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E1EEA" w14:textId="36F4E905" w:rsidR="00B954D3" w:rsidRPr="00B954D3" w:rsidRDefault="00B954D3" w:rsidP="009022BC">
      <w:pPr>
        <w:tabs>
          <w:tab w:val="left" w:pos="720"/>
        </w:tabs>
        <w:spacing w:after="0" w:line="276" w:lineRule="auto"/>
        <w:jc w:val="right"/>
        <w:rPr>
          <w:rFonts w:asciiTheme="majorHAnsi" w:eastAsia="Times New Roman" w:hAnsiTheme="majorHAnsi" w:cstheme="majorHAnsi"/>
          <w:b/>
          <w:bCs/>
          <w:sz w:val="24"/>
          <w:szCs w:val="24"/>
          <w:u w:val="single"/>
          <w:lang w:val="ru-RU"/>
        </w:rPr>
      </w:pPr>
      <w:bookmarkStart w:id="0" w:name="_GoBack"/>
      <w:bookmarkEnd w:id="0"/>
      <w:r>
        <w:rPr>
          <w:rFonts w:asciiTheme="majorHAnsi" w:eastAsia="Times New Roman" w:hAnsiTheme="majorHAnsi" w:cstheme="majorHAnsi"/>
          <w:b/>
          <w:bCs/>
          <w:sz w:val="24"/>
          <w:szCs w:val="24"/>
          <w:u w:val="single"/>
          <w:lang w:val="ru-RU"/>
        </w:rPr>
        <w:t>ПЕРЕВОД</w:t>
      </w:r>
    </w:p>
    <w:p w14:paraId="21EE660C" w14:textId="77777777" w:rsidR="00B954D3" w:rsidRDefault="00B954D3" w:rsidP="009022BC">
      <w:pPr>
        <w:tabs>
          <w:tab w:val="left" w:pos="720"/>
        </w:tabs>
        <w:spacing w:after="0" w:line="276" w:lineRule="auto"/>
        <w:jc w:val="right"/>
        <w:rPr>
          <w:rFonts w:asciiTheme="majorHAnsi" w:eastAsia="Times New Roman" w:hAnsiTheme="majorHAnsi" w:cstheme="majorHAnsi"/>
          <w:bCs/>
          <w:sz w:val="24"/>
          <w:szCs w:val="24"/>
          <w:lang w:val="ru-RU"/>
        </w:rPr>
      </w:pPr>
    </w:p>
    <w:p w14:paraId="235DD383" w14:textId="2394E3A8" w:rsidR="009022BC" w:rsidRPr="00B13B9A" w:rsidRDefault="00B954D3" w:rsidP="009022BC">
      <w:pPr>
        <w:tabs>
          <w:tab w:val="left" w:pos="720"/>
        </w:tabs>
        <w:spacing w:after="0" w:line="276" w:lineRule="auto"/>
        <w:jc w:val="right"/>
        <w:rPr>
          <w:rFonts w:asciiTheme="majorHAnsi" w:eastAsia="Times New Roman" w:hAnsiTheme="majorHAnsi" w:cstheme="majorHAnsi"/>
          <w:bCs/>
          <w:sz w:val="24"/>
          <w:szCs w:val="24"/>
          <w:lang w:val="ro-MD"/>
        </w:rPr>
      </w:pPr>
      <w:r>
        <w:rPr>
          <w:rFonts w:asciiTheme="majorHAnsi" w:eastAsia="Times New Roman" w:hAnsiTheme="majorHAnsi" w:cstheme="majorHAnsi"/>
          <w:bCs/>
          <w:sz w:val="24"/>
          <w:szCs w:val="24"/>
          <w:lang w:val="ru-RU"/>
        </w:rPr>
        <w:t xml:space="preserve">Приложение </w:t>
      </w:r>
      <w:r w:rsidR="009022BC" w:rsidRPr="00B13B9A">
        <w:rPr>
          <w:rFonts w:asciiTheme="majorHAnsi" w:eastAsia="Times New Roman" w:hAnsiTheme="majorHAnsi" w:cstheme="majorHAnsi"/>
          <w:bCs/>
          <w:sz w:val="24"/>
          <w:szCs w:val="24"/>
          <w:lang w:val="ro-MD"/>
        </w:rPr>
        <w:t xml:space="preserve"> </w:t>
      </w:r>
    </w:p>
    <w:p w14:paraId="61880342" w14:textId="0F78343B" w:rsidR="009022BC" w:rsidRPr="00B13B9A" w:rsidRDefault="00B954D3" w:rsidP="009022BC">
      <w:pPr>
        <w:tabs>
          <w:tab w:val="left" w:pos="720"/>
        </w:tabs>
        <w:spacing w:after="0" w:line="276" w:lineRule="auto"/>
        <w:jc w:val="right"/>
        <w:rPr>
          <w:rFonts w:asciiTheme="majorHAnsi" w:eastAsia="Times New Roman" w:hAnsiTheme="majorHAnsi" w:cstheme="majorHAnsi"/>
          <w:bCs/>
          <w:sz w:val="24"/>
          <w:szCs w:val="24"/>
          <w:lang w:val="ro-MD"/>
        </w:rPr>
      </w:pPr>
      <w:r>
        <w:rPr>
          <w:rFonts w:asciiTheme="majorHAnsi" w:eastAsia="Times New Roman" w:hAnsiTheme="majorHAnsi" w:cstheme="majorHAnsi"/>
          <w:bCs/>
          <w:sz w:val="24"/>
          <w:szCs w:val="24"/>
          <w:lang w:val="ru-RU"/>
        </w:rPr>
        <w:t>к Постановлению Счетной палаты</w:t>
      </w:r>
      <w:r w:rsidR="009022BC" w:rsidRPr="00B13B9A">
        <w:rPr>
          <w:rFonts w:asciiTheme="majorHAnsi" w:eastAsia="Times New Roman" w:hAnsiTheme="majorHAnsi" w:cstheme="majorHAnsi"/>
          <w:bCs/>
          <w:sz w:val="24"/>
          <w:szCs w:val="24"/>
          <w:lang w:val="ro-MD"/>
        </w:rPr>
        <w:t xml:space="preserve"> </w:t>
      </w:r>
    </w:p>
    <w:p w14:paraId="39F1DD6F" w14:textId="16D0D4FA" w:rsidR="009022BC" w:rsidRPr="009D5C68" w:rsidRDefault="00B954D3" w:rsidP="009022BC">
      <w:pPr>
        <w:tabs>
          <w:tab w:val="left" w:pos="720"/>
        </w:tabs>
        <w:spacing w:after="0" w:line="276" w:lineRule="auto"/>
        <w:jc w:val="right"/>
        <w:rPr>
          <w:rFonts w:asciiTheme="majorHAnsi" w:eastAsia="Times New Roman" w:hAnsiTheme="majorHAnsi" w:cstheme="majorHAnsi"/>
          <w:bCs/>
          <w:color w:val="1F4E79" w:themeColor="accent1" w:themeShade="80"/>
          <w:sz w:val="24"/>
          <w:szCs w:val="24"/>
          <w:lang w:val="ru-RU"/>
        </w:rPr>
      </w:pPr>
      <w:r>
        <w:rPr>
          <w:rFonts w:asciiTheme="majorHAnsi" w:eastAsia="Times New Roman" w:hAnsiTheme="majorHAnsi" w:cstheme="majorHAnsi"/>
          <w:bCs/>
          <w:sz w:val="24"/>
          <w:szCs w:val="24"/>
          <w:lang w:val="ru-RU"/>
        </w:rPr>
        <w:t>№</w:t>
      </w:r>
      <w:r w:rsidR="009371DC" w:rsidRPr="00B13B9A">
        <w:rPr>
          <w:rFonts w:asciiTheme="majorHAnsi" w:eastAsia="Times New Roman" w:hAnsiTheme="majorHAnsi" w:cstheme="majorHAnsi"/>
          <w:bCs/>
          <w:sz w:val="24"/>
          <w:szCs w:val="24"/>
          <w:lang w:val="ro-MD"/>
        </w:rPr>
        <w:t>56</w:t>
      </w:r>
      <w:r w:rsidR="009022BC" w:rsidRPr="00B13B9A">
        <w:rPr>
          <w:rFonts w:asciiTheme="majorHAnsi" w:eastAsia="Times New Roman" w:hAnsiTheme="majorHAnsi" w:cstheme="majorHAnsi"/>
          <w:bCs/>
          <w:sz w:val="24"/>
          <w:szCs w:val="24"/>
          <w:lang w:val="ro-MD"/>
        </w:rPr>
        <w:t xml:space="preserve"> </w:t>
      </w:r>
      <w:r>
        <w:rPr>
          <w:rFonts w:asciiTheme="majorHAnsi" w:eastAsia="Times New Roman" w:hAnsiTheme="majorHAnsi" w:cstheme="majorHAnsi"/>
          <w:bCs/>
          <w:sz w:val="24"/>
          <w:szCs w:val="24"/>
          <w:lang w:val="ru-RU"/>
        </w:rPr>
        <w:t>от</w:t>
      </w:r>
      <w:r w:rsidR="009022BC" w:rsidRPr="00B13B9A">
        <w:rPr>
          <w:rFonts w:asciiTheme="majorHAnsi" w:eastAsia="Times New Roman" w:hAnsiTheme="majorHAnsi" w:cstheme="majorHAnsi"/>
          <w:bCs/>
          <w:sz w:val="24"/>
          <w:szCs w:val="24"/>
          <w:lang w:val="ro-MD"/>
        </w:rPr>
        <w:t xml:space="preserve"> 15</w:t>
      </w:r>
      <w:r w:rsidR="009D5C68">
        <w:rPr>
          <w:rFonts w:asciiTheme="majorHAnsi" w:eastAsia="Times New Roman" w:hAnsiTheme="majorHAnsi" w:cstheme="majorHAnsi"/>
          <w:bCs/>
          <w:sz w:val="24"/>
          <w:szCs w:val="24"/>
          <w:lang w:val="ro-MD"/>
        </w:rPr>
        <w:t xml:space="preserve"> </w:t>
      </w:r>
      <w:r w:rsidR="009D5C68">
        <w:rPr>
          <w:rFonts w:asciiTheme="majorHAnsi" w:eastAsia="Times New Roman" w:hAnsiTheme="majorHAnsi" w:cstheme="majorHAnsi"/>
          <w:bCs/>
          <w:sz w:val="24"/>
          <w:szCs w:val="24"/>
          <w:lang w:val="ru-RU"/>
        </w:rPr>
        <w:t xml:space="preserve">декабря </w:t>
      </w:r>
      <w:r w:rsidR="009022BC" w:rsidRPr="00B13B9A">
        <w:rPr>
          <w:rFonts w:asciiTheme="majorHAnsi" w:eastAsia="Times New Roman" w:hAnsiTheme="majorHAnsi" w:cstheme="majorHAnsi"/>
          <w:bCs/>
          <w:sz w:val="24"/>
          <w:szCs w:val="24"/>
          <w:lang w:val="ro-MD"/>
        </w:rPr>
        <w:t>2023</w:t>
      </w:r>
      <w:r w:rsidR="009D5C68">
        <w:rPr>
          <w:rFonts w:asciiTheme="majorHAnsi" w:eastAsia="Times New Roman" w:hAnsiTheme="majorHAnsi" w:cstheme="majorHAnsi"/>
          <w:bCs/>
          <w:sz w:val="24"/>
          <w:szCs w:val="24"/>
          <w:lang w:val="ru-RU"/>
        </w:rPr>
        <w:t xml:space="preserve"> года</w:t>
      </w:r>
    </w:p>
    <w:p w14:paraId="0EC8B8BA" w14:textId="77777777" w:rsidR="009022BC" w:rsidRPr="00B13B9A" w:rsidRDefault="009022BC" w:rsidP="009022BC">
      <w:pPr>
        <w:spacing w:after="0" w:line="276" w:lineRule="auto"/>
        <w:rPr>
          <w:rFonts w:asciiTheme="majorHAnsi" w:hAnsiTheme="majorHAnsi" w:cstheme="majorHAnsi"/>
          <w:sz w:val="24"/>
          <w:szCs w:val="24"/>
          <w:lang w:val="ro-MD"/>
        </w:rPr>
      </w:pPr>
    </w:p>
    <w:p w14:paraId="15B4B301" w14:textId="77777777" w:rsidR="009022BC" w:rsidRPr="00B13B9A" w:rsidRDefault="009022BC" w:rsidP="009022BC">
      <w:pPr>
        <w:spacing w:after="0" w:line="276" w:lineRule="auto"/>
        <w:rPr>
          <w:rFonts w:asciiTheme="majorHAnsi" w:hAnsiTheme="majorHAnsi" w:cstheme="majorHAnsi"/>
          <w:sz w:val="24"/>
          <w:szCs w:val="24"/>
          <w:lang w:val="ro-MD"/>
        </w:rPr>
      </w:pPr>
    </w:p>
    <w:p w14:paraId="5043E3C3" w14:textId="77777777" w:rsidR="009022BC" w:rsidRPr="00B13B9A" w:rsidRDefault="009022BC" w:rsidP="009022BC">
      <w:pPr>
        <w:spacing w:after="0" w:line="276" w:lineRule="auto"/>
        <w:rPr>
          <w:rFonts w:asciiTheme="majorHAnsi" w:hAnsiTheme="majorHAnsi" w:cstheme="majorHAnsi"/>
          <w:sz w:val="24"/>
          <w:szCs w:val="24"/>
          <w:lang w:val="ro-MD"/>
        </w:rPr>
      </w:pPr>
    </w:p>
    <w:p w14:paraId="578584BC" w14:textId="77777777" w:rsidR="009022BC" w:rsidRPr="00B13B9A" w:rsidRDefault="009022BC" w:rsidP="009022BC">
      <w:pPr>
        <w:spacing w:after="0" w:line="276" w:lineRule="auto"/>
        <w:jc w:val="center"/>
        <w:rPr>
          <w:rFonts w:asciiTheme="majorHAnsi" w:hAnsiTheme="majorHAnsi" w:cstheme="majorHAnsi"/>
          <w:b/>
          <w:sz w:val="24"/>
          <w:szCs w:val="24"/>
          <w:lang w:val="ro-MD"/>
        </w:rPr>
      </w:pPr>
      <w:r w:rsidRPr="00B13B9A">
        <w:rPr>
          <w:rFonts w:asciiTheme="majorHAnsi" w:hAnsiTheme="majorHAnsi" w:cstheme="majorHAnsi"/>
          <w:noProof/>
          <w:sz w:val="24"/>
          <w:szCs w:val="24"/>
          <w:lang w:val="ru-RU" w:eastAsia="ru-RU"/>
        </w:rPr>
        <w:drawing>
          <wp:inline distT="0" distB="0" distL="0" distR="0" wp14:anchorId="0C2DFA53" wp14:editId="5AE908F5">
            <wp:extent cx="944880" cy="944880"/>
            <wp:effectExtent l="0" t="0" r="7620" b="7620"/>
            <wp:docPr id="2" name="Picture 2"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p w14:paraId="3841F26B" w14:textId="77777777" w:rsidR="009022BC" w:rsidRPr="00B13B9A" w:rsidRDefault="009022BC" w:rsidP="009022BC">
      <w:pPr>
        <w:spacing w:after="0" w:line="276" w:lineRule="auto"/>
        <w:jc w:val="center"/>
        <w:rPr>
          <w:rFonts w:asciiTheme="majorHAnsi" w:hAnsiTheme="majorHAnsi" w:cstheme="majorHAnsi"/>
          <w:b/>
          <w:sz w:val="24"/>
          <w:szCs w:val="24"/>
          <w:lang w:val="ro-MD"/>
        </w:rPr>
      </w:pPr>
    </w:p>
    <w:p w14:paraId="54FDCFB5" w14:textId="1E86AA9D" w:rsidR="009022BC" w:rsidRPr="00B13B9A" w:rsidRDefault="00B954D3" w:rsidP="009022BC">
      <w:pPr>
        <w:spacing w:after="0" w:line="276" w:lineRule="auto"/>
        <w:jc w:val="center"/>
        <w:rPr>
          <w:rFonts w:asciiTheme="majorHAnsi" w:hAnsiTheme="majorHAnsi" w:cstheme="majorHAnsi"/>
          <w:b/>
          <w:sz w:val="24"/>
          <w:szCs w:val="24"/>
          <w:lang w:val="ro-MD"/>
        </w:rPr>
      </w:pPr>
      <w:r>
        <w:rPr>
          <w:rFonts w:asciiTheme="majorHAnsi" w:hAnsiTheme="majorHAnsi" w:cstheme="majorHAnsi"/>
          <w:b/>
          <w:sz w:val="24"/>
          <w:szCs w:val="24"/>
          <w:lang w:val="ru-RU"/>
        </w:rPr>
        <w:t>СЧЕТНАЯ ПАЛАТА РЕСПУБЛИКИ МОЛДОВА</w:t>
      </w:r>
    </w:p>
    <w:p w14:paraId="28162E9E" w14:textId="77777777" w:rsidR="009022BC" w:rsidRPr="00B13B9A" w:rsidRDefault="009022BC" w:rsidP="009022BC">
      <w:pPr>
        <w:spacing w:after="0" w:line="276" w:lineRule="auto"/>
        <w:rPr>
          <w:rFonts w:asciiTheme="majorHAnsi" w:hAnsiTheme="majorHAnsi" w:cstheme="majorHAnsi"/>
          <w:sz w:val="24"/>
          <w:szCs w:val="24"/>
          <w:lang w:val="ro-MD"/>
        </w:rPr>
      </w:pPr>
    </w:p>
    <w:p w14:paraId="76073165" w14:textId="77777777" w:rsidR="009022BC" w:rsidRPr="00B13B9A" w:rsidRDefault="009022BC" w:rsidP="009022BC">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14:paraId="0CFEF345" w14:textId="77777777" w:rsidR="009022BC" w:rsidRPr="00B13B9A" w:rsidRDefault="009022BC" w:rsidP="009022BC">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tbl>
      <w:tblPr>
        <w:tblStyle w:val="a3"/>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022BC" w:rsidRPr="00B13B9A" w14:paraId="4CBBEC32" w14:textId="77777777" w:rsidTr="00D313F8">
        <w:trPr>
          <w:trHeight w:val="435"/>
        </w:trPr>
        <w:tc>
          <w:tcPr>
            <w:tcW w:w="9350" w:type="dxa"/>
          </w:tcPr>
          <w:p w14:paraId="2BC7500C" w14:textId="7C572ED2" w:rsidR="009022BC" w:rsidRPr="00B13B9A" w:rsidRDefault="009022BC" w:rsidP="00D313F8">
            <w:pPr>
              <w:tabs>
                <w:tab w:val="left" w:pos="720"/>
              </w:tabs>
              <w:spacing w:line="276" w:lineRule="auto"/>
              <w:jc w:val="center"/>
              <w:rPr>
                <w:rFonts w:asciiTheme="majorHAnsi" w:hAnsiTheme="majorHAnsi" w:cstheme="majorHAnsi"/>
                <w:sz w:val="20"/>
                <w:szCs w:val="24"/>
                <w:lang w:val="ro-MD"/>
              </w:rPr>
            </w:pPr>
            <w:r w:rsidRPr="00B13B9A">
              <w:rPr>
                <w:rFonts w:asciiTheme="majorHAnsi" w:hAnsiTheme="majorHAnsi" w:cstheme="majorHAnsi"/>
                <w:sz w:val="20"/>
                <w:szCs w:val="24"/>
                <w:lang w:val="ro-MD"/>
              </w:rPr>
              <w:t>MD-2001, mun. Chi</w:t>
            </w:r>
            <w:r w:rsidR="00B13B9A" w:rsidRPr="00B13B9A">
              <w:rPr>
                <w:rFonts w:asciiTheme="majorHAnsi" w:hAnsiTheme="majorHAnsi" w:cstheme="majorHAnsi"/>
                <w:sz w:val="20"/>
                <w:szCs w:val="24"/>
                <w:lang w:val="ro-MD"/>
              </w:rPr>
              <w:t>ș</w:t>
            </w:r>
            <w:r w:rsidRPr="00B13B9A">
              <w:rPr>
                <w:rFonts w:asciiTheme="majorHAnsi" w:hAnsiTheme="majorHAnsi" w:cstheme="majorHAnsi"/>
                <w:sz w:val="20"/>
                <w:szCs w:val="24"/>
                <w:lang w:val="ro-MD"/>
              </w:rPr>
              <w:t xml:space="preserve">inău, bd. </w:t>
            </w:r>
            <w:r w:rsidR="00B13B9A" w:rsidRPr="00B13B9A">
              <w:rPr>
                <w:rFonts w:asciiTheme="majorHAnsi" w:hAnsiTheme="majorHAnsi" w:cstheme="majorHAnsi"/>
                <w:sz w:val="20"/>
                <w:szCs w:val="24"/>
                <w:lang w:val="ro-MD"/>
              </w:rPr>
              <w:t>Ș</w:t>
            </w:r>
            <w:r w:rsidRPr="00B13B9A">
              <w:rPr>
                <w:rFonts w:asciiTheme="majorHAnsi" w:hAnsiTheme="majorHAnsi" w:cstheme="majorHAnsi"/>
                <w:sz w:val="20"/>
                <w:szCs w:val="24"/>
                <w:lang w:val="ro-MD"/>
              </w:rPr>
              <w:t xml:space="preserve">tefan cel Mare </w:t>
            </w:r>
            <w:r w:rsidR="00B13B9A" w:rsidRPr="00B13B9A">
              <w:rPr>
                <w:rFonts w:asciiTheme="majorHAnsi" w:hAnsiTheme="majorHAnsi" w:cstheme="majorHAnsi"/>
                <w:sz w:val="20"/>
                <w:szCs w:val="24"/>
                <w:lang w:val="ro-MD"/>
              </w:rPr>
              <w:t>ș</w:t>
            </w:r>
            <w:r w:rsidRPr="00B13B9A">
              <w:rPr>
                <w:rFonts w:asciiTheme="majorHAnsi" w:hAnsiTheme="majorHAnsi" w:cstheme="majorHAnsi"/>
                <w:sz w:val="20"/>
                <w:szCs w:val="24"/>
                <w:lang w:val="ro-MD"/>
              </w:rPr>
              <w:t>i Sfânt nr.69, tel.: (+373 22) 26 60 02, fax: (+373 22) 26 61 00,</w:t>
            </w:r>
          </w:p>
          <w:p w14:paraId="185695C2" w14:textId="77777777" w:rsidR="009022BC" w:rsidRPr="00B13B9A" w:rsidRDefault="009022BC" w:rsidP="00D313F8">
            <w:pPr>
              <w:tabs>
                <w:tab w:val="left" w:pos="720"/>
              </w:tabs>
              <w:spacing w:line="276" w:lineRule="auto"/>
              <w:jc w:val="center"/>
              <w:rPr>
                <w:rFonts w:asciiTheme="majorHAnsi" w:hAnsiTheme="majorHAnsi" w:cstheme="majorHAnsi"/>
                <w:b/>
                <w:color w:val="0563C1" w:themeColor="hyperlink"/>
                <w:sz w:val="20"/>
                <w:szCs w:val="24"/>
                <w:u w:val="single"/>
                <w:lang w:val="ro-MD"/>
              </w:rPr>
            </w:pPr>
            <w:r w:rsidRPr="00B13B9A">
              <w:rPr>
                <w:rFonts w:asciiTheme="majorHAnsi" w:hAnsiTheme="majorHAnsi" w:cstheme="majorHAnsi"/>
                <w:sz w:val="20"/>
                <w:szCs w:val="24"/>
                <w:lang w:val="ro-MD"/>
              </w:rPr>
              <w:t xml:space="preserve">web: </w:t>
            </w:r>
            <w:hyperlink r:id="rId10" w:history="1">
              <w:r w:rsidRPr="00B13B9A">
                <w:rPr>
                  <w:rStyle w:val="a4"/>
                  <w:rFonts w:asciiTheme="majorHAnsi" w:hAnsiTheme="majorHAnsi" w:cstheme="majorHAnsi"/>
                  <w:b/>
                  <w:sz w:val="20"/>
                  <w:szCs w:val="24"/>
                  <w:lang w:val="ro-MD"/>
                </w:rPr>
                <w:t>www.ccrm.md</w:t>
              </w:r>
            </w:hyperlink>
            <w:r w:rsidRPr="00B13B9A">
              <w:rPr>
                <w:rStyle w:val="a4"/>
                <w:rFonts w:asciiTheme="majorHAnsi" w:hAnsiTheme="majorHAnsi" w:cstheme="majorHAnsi"/>
                <w:color w:val="4472C4" w:themeColor="accent5"/>
                <w:sz w:val="20"/>
                <w:szCs w:val="24"/>
                <w:u w:val="none"/>
                <w:lang w:val="ro-MD"/>
              </w:rPr>
              <w:t xml:space="preserve">, </w:t>
            </w:r>
            <w:r w:rsidRPr="00B13B9A">
              <w:rPr>
                <w:rFonts w:asciiTheme="majorHAnsi" w:hAnsiTheme="majorHAnsi" w:cstheme="majorHAnsi"/>
                <w:sz w:val="20"/>
                <w:szCs w:val="24"/>
                <w:lang w:val="ro-MD"/>
              </w:rPr>
              <w:t xml:space="preserve">e-mail: </w:t>
            </w:r>
            <w:hyperlink r:id="rId11" w:history="1">
              <w:r w:rsidRPr="00B13B9A">
                <w:rPr>
                  <w:rStyle w:val="a4"/>
                  <w:rFonts w:asciiTheme="majorHAnsi" w:hAnsiTheme="majorHAnsi" w:cstheme="majorHAnsi"/>
                  <w:b/>
                  <w:sz w:val="20"/>
                  <w:szCs w:val="24"/>
                  <w:lang w:val="ro-MD"/>
                </w:rPr>
                <w:t>ccrm@</w:t>
              </w:r>
              <w:r w:rsidRPr="00B13B9A">
                <w:rPr>
                  <w:rStyle w:val="a4"/>
                  <w:rFonts w:asciiTheme="majorHAnsi" w:hAnsiTheme="majorHAnsi" w:cstheme="majorHAnsi"/>
                  <w:b/>
                  <w:color w:val="4472C4" w:themeColor="accent5"/>
                  <w:sz w:val="20"/>
                  <w:szCs w:val="24"/>
                  <w:lang w:val="ro-MD"/>
                </w:rPr>
                <w:t>ccrm</w:t>
              </w:r>
              <w:r w:rsidRPr="00B13B9A">
                <w:rPr>
                  <w:rStyle w:val="a4"/>
                  <w:rFonts w:asciiTheme="majorHAnsi" w:hAnsiTheme="majorHAnsi" w:cstheme="majorHAnsi"/>
                  <w:b/>
                  <w:sz w:val="20"/>
                  <w:szCs w:val="24"/>
                  <w:lang w:val="ro-MD"/>
                </w:rPr>
                <w:t>.md</w:t>
              </w:r>
            </w:hyperlink>
          </w:p>
        </w:tc>
      </w:tr>
    </w:tbl>
    <w:p w14:paraId="60612742" w14:textId="77777777" w:rsidR="009022BC" w:rsidRPr="00B13B9A" w:rsidRDefault="009022BC" w:rsidP="009022BC">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14:paraId="0A2BFACD" w14:textId="77777777" w:rsidR="009022BC" w:rsidRPr="00B13B9A" w:rsidRDefault="009022BC" w:rsidP="009022BC">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14:paraId="54414C8F" w14:textId="77777777" w:rsidR="009022BC" w:rsidRPr="00B13B9A" w:rsidRDefault="009022BC" w:rsidP="009022BC">
      <w:pPr>
        <w:tabs>
          <w:tab w:val="left" w:pos="720"/>
        </w:tabs>
        <w:spacing w:after="0" w:line="276" w:lineRule="auto"/>
        <w:ind w:firstLine="720"/>
        <w:jc w:val="center"/>
        <w:rPr>
          <w:rFonts w:asciiTheme="majorHAnsi" w:eastAsia="Times New Roman" w:hAnsiTheme="majorHAnsi" w:cstheme="majorHAnsi"/>
          <w:b/>
          <w:bCs/>
          <w:sz w:val="24"/>
          <w:szCs w:val="24"/>
          <w:lang w:val="ro-MD"/>
        </w:rPr>
      </w:pPr>
    </w:p>
    <w:p w14:paraId="340E2E9C" w14:textId="77777777" w:rsidR="00B954D3" w:rsidRDefault="00B954D3" w:rsidP="00B954D3">
      <w:pPr>
        <w:tabs>
          <w:tab w:val="left" w:pos="720"/>
        </w:tabs>
        <w:spacing w:after="0" w:line="276" w:lineRule="auto"/>
        <w:jc w:val="center"/>
        <w:rPr>
          <w:rFonts w:asciiTheme="majorHAnsi" w:hAnsiTheme="majorHAnsi"/>
          <w:b/>
          <w:sz w:val="24"/>
          <w:szCs w:val="28"/>
          <w:lang w:val="ru-MD"/>
        </w:rPr>
      </w:pPr>
      <w:r w:rsidRPr="00DC18DE">
        <w:rPr>
          <w:rFonts w:asciiTheme="majorHAnsi" w:hAnsiTheme="majorHAnsi"/>
          <w:b/>
          <w:sz w:val="24"/>
          <w:szCs w:val="28"/>
          <w:lang w:val="ru-MD"/>
        </w:rPr>
        <w:t>ОТЧЕТ</w:t>
      </w:r>
    </w:p>
    <w:p w14:paraId="3A8AE4EF" w14:textId="06DA28F2" w:rsidR="00B954D3" w:rsidRPr="00DC18DE" w:rsidRDefault="00B954D3" w:rsidP="00B954D3">
      <w:pPr>
        <w:tabs>
          <w:tab w:val="left" w:pos="720"/>
        </w:tabs>
        <w:spacing w:after="0" w:line="276" w:lineRule="auto"/>
        <w:jc w:val="center"/>
        <w:rPr>
          <w:rFonts w:asciiTheme="majorHAnsi" w:hAnsiTheme="majorHAnsi"/>
          <w:b/>
          <w:sz w:val="24"/>
          <w:szCs w:val="28"/>
          <w:lang w:val="ru-MD"/>
        </w:rPr>
      </w:pPr>
      <w:r w:rsidRPr="00DC18DE">
        <w:rPr>
          <w:rFonts w:asciiTheme="majorHAnsi" w:hAnsiTheme="majorHAnsi"/>
          <w:b/>
          <w:sz w:val="24"/>
          <w:szCs w:val="28"/>
          <w:lang w:val="ru-MD"/>
        </w:rPr>
        <w:t xml:space="preserve"> аудита соответствия управления публичным имуществом и финансовыми ресурсами ПМСУ Институт Фтизиопульмонолологии </w:t>
      </w:r>
      <w:r w:rsidR="001924A7" w:rsidRPr="001924A7">
        <w:rPr>
          <w:rFonts w:asciiTheme="majorHAnsi" w:hAnsiTheme="majorHAnsi"/>
          <w:b/>
          <w:sz w:val="24"/>
          <w:szCs w:val="28"/>
          <w:lang w:val="ru-RU"/>
        </w:rPr>
        <w:t>“</w:t>
      </w:r>
      <w:r w:rsidR="001924A7">
        <w:rPr>
          <w:rFonts w:asciiTheme="majorHAnsi" w:hAnsiTheme="majorHAnsi"/>
          <w:b/>
          <w:sz w:val="24"/>
          <w:szCs w:val="28"/>
          <w:lang w:val="ru-MD"/>
        </w:rPr>
        <w:t>Кирилл Драганюк”</w:t>
      </w:r>
      <w:r w:rsidRPr="00DC18DE">
        <w:rPr>
          <w:rFonts w:asciiTheme="majorHAnsi" w:hAnsiTheme="majorHAnsi"/>
          <w:b/>
          <w:sz w:val="24"/>
          <w:szCs w:val="28"/>
          <w:lang w:val="ru-MD"/>
        </w:rPr>
        <w:t xml:space="preserve">, </w:t>
      </w:r>
    </w:p>
    <w:p w14:paraId="7D7D7764" w14:textId="77777777" w:rsidR="00B954D3" w:rsidRPr="00DC18DE" w:rsidRDefault="00B954D3" w:rsidP="00B954D3">
      <w:pPr>
        <w:tabs>
          <w:tab w:val="left" w:pos="720"/>
        </w:tabs>
        <w:spacing w:after="0" w:line="276" w:lineRule="auto"/>
        <w:jc w:val="center"/>
        <w:rPr>
          <w:rFonts w:asciiTheme="majorHAnsi" w:hAnsiTheme="majorHAnsi"/>
          <w:b/>
          <w:sz w:val="24"/>
          <w:szCs w:val="28"/>
          <w:lang w:val="ru-MD"/>
        </w:rPr>
      </w:pPr>
      <w:r w:rsidRPr="00DC18DE">
        <w:rPr>
          <w:rFonts w:asciiTheme="majorHAnsi" w:hAnsiTheme="majorHAnsi"/>
          <w:b/>
          <w:sz w:val="24"/>
          <w:szCs w:val="28"/>
          <w:lang w:val="ru-MD"/>
        </w:rPr>
        <w:t>за 2021-2023 годы (6 месяцев)</w:t>
      </w:r>
    </w:p>
    <w:p w14:paraId="1EBA4059" w14:textId="70BA0763" w:rsidR="009022BC" w:rsidRPr="00B13B9A" w:rsidRDefault="009022BC" w:rsidP="009022BC">
      <w:pPr>
        <w:spacing w:after="0" w:line="276" w:lineRule="auto"/>
        <w:jc w:val="center"/>
        <w:rPr>
          <w:rFonts w:asciiTheme="majorHAnsi" w:hAnsiTheme="majorHAnsi" w:cstheme="majorHAnsi"/>
          <w:b/>
          <w:sz w:val="24"/>
          <w:szCs w:val="24"/>
          <w:lang w:val="ro-MD"/>
        </w:rPr>
      </w:pPr>
      <w:r w:rsidRPr="00B13B9A">
        <w:rPr>
          <w:rFonts w:asciiTheme="majorHAnsi" w:hAnsiTheme="majorHAnsi" w:cstheme="majorHAnsi"/>
          <w:b/>
          <w:sz w:val="24"/>
          <w:szCs w:val="24"/>
          <w:lang w:val="ro-MD"/>
        </w:rPr>
        <w:br w:type="page"/>
      </w:r>
    </w:p>
    <w:sdt>
      <w:sdtPr>
        <w:rPr>
          <w:rFonts w:asciiTheme="minorHAnsi" w:eastAsiaTheme="minorHAnsi" w:hAnsiTheme="minorHAnsi" w:cstheme="minorBidi"/>
          <w:color w:val="auto"/>
          <w:sz w:val="22"/>
          <w:szCs w:val="22"/>
          <w:lang w:val="ro-MD"/>
        </w:rPr>
        <w:id w:val="-1011058803"/>
        <w:docPartObj>
          <w:docPartGallery w:val="Table of Contents"/>
          <w:docPartUnique/>
        </w:docPartObj>
      </w:sdtPr>
      <w:sdtEndPr>
        <w:rPr>
          <w:b/>
          <w:bCs/>
          <w:noProof/>
        </w:rPr>
      </w:sdtEndPr>
      <w:sdtContent>
        <w:p w14:paraId="6A4360E2" w14:textId="2BD416E5" w:rsidR="00FA7B71" w:rsidRPr="005522BF" w:rsidRDefault="00B954D3" w:rsidP="00506777">
          <w:pPr>
            <w:pStyle w:val="af7"/>
            <w:spacing w:before="0" w:line="240" w:lineRule="auto"/>
            <w:jc w:val="both"/>
            <w:rPr>
              <w:rFonts w:cstheme="majorHAnsi"/>
              <w:sz w:val="20"/>
              <w:szCs w:val="20"/>
              <w:lang w:val="ro-MD"/>
            </w:rPr>
          </w:pPr>
          <w:r>
            <w:rPr>
              <w:rFonts w:cstheme="majorHAnsi"/>
              <w:lang w:val="ru-RU"/>
            </w:rPr>
            <w:t>Содержание</w:t>
          </w:r>
          <w:r w:rsidR="00F03991" w:rsidRPr="005522BF">
            <w:rPr>
              <w:rFonts w:cstheme="majorHAnsi"/>
              <w:lang w:val="ro-MD"/>
            </w:rPr>
            <w:t xml:space="preserve"> </w:t>
          </w:r>
        </w:p>
        <w:p w14:paraId="5D5F3132" w14:textId="5B38F87B" w:rsidR="001E5179" w:rsidRDefault="00FA7B71">
          <w:pPr>
            <w:pStyle w:val="11"/>
            <w:tabs>
              <w:tab w:val="right" w:leader="dot" w:pos="9771"/>
            </w:tabs>
            <w:rPr>
              <w:rFonts w:eastAsiaTheme="minorEastAsia"/>
              <w:noProof/>
              <w:lang w:val="ru-RU" w:eastAsia="ru-RU"/>
            </w:rPr>
          </w:pPr>
          <w:r w:rsidRPr="005522BF">
            <w:rPr>
              <w:rFonts w:asciiTheme="majorHAnsi" w:hAnsiTheme="majorHAnsi" w:cstheme="majorHAnsi"/>
              <w:sz w:val="20"/>
              <w:szCs w:val="20"/>
              <w:lang w:val="ro-MD"/>
            </w:rPr>
            <w:fldChar w:fldCharType="begin"/>
          </w:r>
          <w:r w:rsidRPr="005522BF">
            <w:rPr>
              <w:rFonts w:asciiTheme="majorHAnsi" w:hAnsiTheme="majorHAnsi" w:cstheme="majorHAnsi"/>
              <w:sz w:val="20"/>
              <w:szCs w:val="20"/>
              <w:lang w:val="ro-MD"/>
            </w:rPr>
            <w:instrText xml:space="preserve"> TOC \o "1-3" \h \z \u </w:instrText>
          </w:r>
          <w:r w:rsidRPr="005522BF">
            <w:rPr>
              <w:rFonts w:asciiTheme="majorHAnsi" w:hAnsiTheme="majorHAnsi" w:cstheme="majorHAnsi"/>
              <w:sz w:val="20"/>
              <w:szCs w:val="20"/>
              <w:lang w:val="ro-MD"/>
            </w:rPr>
            <w:fldChar w:fldCharType="separate"/>
          </w:r>
          <w:hyperlink w:anchor="_Toc158317213" w:history="1">
            <w:r w:rsidR="001E5179" w:rsidRPr="00252AE9">
              <w:rPr>
                <w:rStyle w:val="a4"/>
                <w:rFonts w:eastAsia="Times New Roman" w:cstheme="majorHAnsi"/>
                <w:b/>
                <w:bCs/>
                <w:noProof/>
                <w:lang w:val="ru-RU"/>
              </w:rPr>
              <w:t>СПИСОК АКРОНИМОВ</w:t>
            </w:r>
            <w:r w:rsidR="001E5179">
              <w:rPr>
                <w:noProof/>
                <w:webHidden/>
              </w:rPr>
              <w:tab/>
            </w:r>
            <w:r w:rsidR="001E5179">
              <w:rPr>
                <w:noProof/>
                <w:webHidden/>
              </w:rPr>
              <w:fldChar w:fldCharType="begin"/>
            </w:r>
            <w:r w:rsidR="001E5179">
              <w:rPr>
                <w:noProof/>
                <w:webHidden/>
              </w:rPr>
              <w:instrText xml:space="preserve"> PAGEREF _Toc158317213 \h </w:instrText>
            </w:r>
            <w:r w:rsidR="001E5179">
              <w:rPr>
                <w:noProof/>
                <w:webHidden/>
              </w:rPr>
            </w:r>
            <w:r w:rsidR="001E5179">
              <w:rPr>
                <w:noProof/>
                <w:webHidden/>
              </w:rPr>
              <w:fldChar w:fldCharType="separate"/>
            </w:r>
            <w:r w:rsidR="001E5179">
              <w:rPr>
                <w:noProof/>
                <w:webHidden/>
              </w:rPr>
              <w:t>5</w:t>
            </w:r>
            <w:r w:rsidR="001E5179">
              <w:rPr>
                <w:noProof/>
                <w:webHidden/>
              </w:rPr>
              <w:fldChar w:fldCharType="end"/>
            </w:r>
          </w:hyperlink>
        </w:p>
        <w:p w14:paraId="27EF2AED" w14:textId="0E59F227" w:rsidR="001E5179" w:rsidRDefault="001E562B">
          <w:pPr>
            <w:pStyle w:val="11"/>
            <w:tabs>
              <w:tab w:val="right" w:leader="dot" w:pos="9771"/>
            </w:tabs>
            <w:rPr>
              <w:rFonts w:eastAsiaTheme="minorEastAsia"/>
              <w:noProof/>
              <w:lang w:val="ru-RU" w:eastAsia="ru-RU"/>
            </w:rPr>
          </w:pPr>
          <w:hyperlink w:anchor="_Toc158317214" w:history="1">
            <w:r w:rsidR="001E5179" w:rsidRPr="00252AE9">
              <w:rPr>
                <w:rStyle w:val="a4"/>
                <w:rFonts w:eastAsia="Times New Roman" w:cstheme="majorHAnsi"/>
                <w:b/>
                <w:bCs/>
                <w:noProof/>
                <w:lang w:val="ru-RU"/>
              </w:rPr>
              <w:t>ГЛОССАРИЙ</w:t>
            </w:r>
            <w:r w:rsidR="001E5179">
              <w:rPr>
                <w:noProof/>
                <w:webHidden/>
              </w:rPr>
              <w:tab/>
            </w:r>
            <w:r w:rsidR="001E5179">
              <w:rPr>
                <w:noProof/>
                <w:webHidden/>
              </w:rPr>
              <w:fldChar w:fldCharType="begin"/>
            </w:r>
            <w:r w:rsidR="001E5179">
              <w:rPr>
                <w:noProof/>
                <w:webHidden/>
              </w:rPr>
              <w:instrText xml:space="preserve"> PAGEREF _Toc158317214 \h </w:instrText>
            </w:r>
            <w:r w:rsidR="001E5179">
              <w:rPr>
                <w:noProof/>
                <w:webHidden/>
              </w:rPr>
            </w:r>
            <w:r w:rsidR="001E5179">
              <w:rPr>
                <w:noProof/>
                <w:webHidden/>
              </w:rPr>
              <w:fldChar w:fldCharType="separate"/>
            </w:r>
            <w:r w:rsidR="001E5179">
              <w:rPr>
                <w:noProof/>
                <w:webHidden/>
              </w:rPr>
              <w:t>6</w:t>
            </w:r>
            <w:r w:rsidR="001E5179">
              <w:rPr>
                <w:noProof/>
                <w:webHidden/>
              </w:rPr>
              <w:fldChar w:fldCharType="end"/>
            </w:r>
          </w:hyperlink>
        </w:p>
        <w:p w14:paraId="1D4E7ED2" w14:textId="715175E0" w:rsidR="001E5179" w:rsidRDefault="001E562B">
          <w:pPr>
            <w:pStyle w:val="11"/>
            <w:tabs>
              <w:tab w:val="left" w:pos="440"/>
              <w:tab w:val="right" w:leader="dot" w:pos="9771"/>
            </w:tabs>
            <w:rPr>
              <w:rFonts w:eastAsiaTheme="minorEastAsia"/>
              <w:noProof/>
              <w:lang w:val="ru-RU" w:eastAsia="ru-RU"/>
            </w:rPr>
          </w:pPr>
          <w:hyperlink w:anchor="_Toc158317215" w:history="1">
            <w:r w:rsidR="001E5179" w:rsidRPr="00252AE9">
              <w:rPr>
                <w:rStyle w:val="a4"/>
                <w:rFonts w:asciiTheme="majorHAnsi" w:eastAsia="Times New Roman" w:hAnsiTheme="majorHAnsi" w:cstheme="majorHAnsi"/>
                <w:b/>
                <w:bCs/>
                <w:caps/>
                <w:noProof/>
                <w:lang w:val="ro-MD"/>
              </w:rPr>
              <w:t>I.</w:t>
            </w:r>
            <w:r w:rsidR="001E5179">
              <w:rPr>
                <w:rFonts w:eastAsiaTheme="minorEastAsia"/>
                <w:noProof/>
                <w:lang w:val="ru-RU" w:eastAsia="ru-RU"/>
              </w:rPr>
              <w:tab/>
            </w:r>
            <w:r w:rsidR="001E5179" w:rsidRPr="00252AE9">
              <w:rPr>
                <w:rStyle w:val="a4"/>
                <w:rFonts w:asciiTheme="majorHAnsi" w:eastAsia="Times New Roman" w:hAnsiTheme="majorHAnsi" w:cstheme="majorHAnsi"/>
                <w:b/>
                <w:bCs/>
                <w:caps/>
                <w:noProof/>
                <w:lang w:val="ru-RU"/>
              </w:rPr>
              <w:t>СИНТЕЗ</w:t>
            </w:r>
            <w:r w:rsidR="001E5179">
              <w:rPr>
                <w:noProof/>
                <w:webHidden/>
              </w:rPr>
              <w:tab/>
            </w:r>
            <w:r w:rsidR="001E5179">
              <w:rPr>
                <w:noProof/>
                <w:webHidden/>
              </w:rPr>
              <w:fldChar w:fldCharType="begin"/>
            </w:r>
            <w:r w:rsidR="001E5179">
              <w:rPr>
                <w:noProof/>
                <w:webHidden/>
              </w:rPr>
              <w:instrText xml:space="preserve"> PAGEREF _Toc158317215 \h </w:instrText>
            </w:r>
            <w:r w:rsidR="001E5179">
              <w:rPr>
                <w:noProof/>
                <w:webHidden/>
              </w:rPr>
            </w:r>
            <w:r w:rsidR="001E5179">
              <w:rPr>
                <w:noProof/>
                <w:webHidden/>
              </w:rPr>
              <w:fldChar w:fldCharType="separate"/>
            </w:r>
            <w:r w:rsidR="001E5179">
              <w:rPr>
                <w:noProof/>
                <w:webHidden/>
              </w:rPr>
              <w:t>7</w:t>
            </w:r>
            <w:r w:rsidR="001E5179">
              <w:rPr>
                <w:noProof/>
                <w:webHidden/>
              </w:rPr>
              <w:fldChar w:fldCharType="end"/>
            </w:r>
          </w:hyperlink>
        </w:p>
        <w:p w14:paraId="67640505" w14:textId="173934D5" w:rsidR="001E5179" w:rsidRDefault="001E562B">
          <w:pPr>
            <w:pStyle w:val="11"/>
            <w:tabs>
              <w:tab w:val="left" w:pos="440"/>
              <w:tab w:val="right" w:leader="dot" w:pos="9771"/>
            </w:tabs>
            <w:rPr>
              <w:rFonts w:eastAsiaTheme="minorEastAsia"/>
              <w:noProof/>
              <w:lang w:val="ru-RU" w:eastAsia="ru-RU"/>
            </w:rPr>
          </w:pPr>
          <w:hyperlink w:anchor="_Toc158317216" w:history="1">
            <w:r w:rsidR="001E5179" w:rsidRPr="00252AE9">
              <w:rPr>
                <w:rStyle w:val="a4"/>
                <w:rFonts w:asciiTheme="majorHAnsi" w:eastAsia="Times New Roman" w:hAnsiTheme="majorHAnsi" w:cstheme="majorHAnsi"/>
                <w:b/>
                <w:bCs/>
                <w:caps/>
                <w:noProof/>
                <w:lang w:val="ro-MD"/>
              </w:rPr>
              <w:t>II.</w:t>
            </w:r>
            <w:r w:rsidR="001E5179">
              <w:rPr>
                <w:rFonts w:eastAsiaTheme="minorEastAsia"/>
                <w:noProof/>
                <w:lang w:val="ru-RU" w:eastAsia="ru-RU"/>
              </w:rPr>
              <w:tab/>
            </w:r>
            <w:r w:rsidR="001E5179" w:rsidRPr="00252AE9">
              <w:rPr>
                <w:rStyle w:val="a4"/>
                <w:rFonts w:asciiTheme="majorHAnsi" w:eastAsia="Times New Roman" w:hAnsiTheme="majorHAnsi" w:cstheme="majorHAnsi"/>
                <w:b/>
                <w:bCs/>
                <w:caps/>
                <w:noProof/>
                <w:lang w:val="ru-RU"/>
              </w:rPr>
              <w:t>ОБЩЕЕ ПРЕДСТАВЛЕНИЕ</w:t>
            </w:r>
            <w:r w:rsidR="001E5179">
              <w:rPr>
                <w:noProof/>
                <w:webHidden/>
              </w:rPr>
              <w:tab/>
            </w:r>
            <w:r w:rsidR="001E5179">
              <w:rPr>
                <w:noProof/>
                <w:webHidden/>
              </w:rPr>
              <w:fldChar w:fldCharType="begin"/>
            </w:r>
            <w:r w:rsidR="001E5179">
              <w:rPr>
                <w:noProof/>
                <w:webHidden/>
              </w:rPr>
              <w:instrText xml:space="preserve"> PAGEREF _Toc158317216 \h </w:instrText>
            </w:r>
            <w:r w:rsidR="001E5179">
              <w:rPr>
                <w:noProof/>
                <w:webHidden/>
              </w:rPr>
            </w:r>
            <w:r w:rsidR="001E5179">
              <w:rPr>
                <w:noProof/>
                <w:webHidden/>
              </w:rPr>
              <w:fldChar w:fldCharType="separate"/>
            </w:r>
            <w:r w:rsidR="001E5179">
              <w:rPr>
                <w:noProof/>
                <w:webHidden/>
              </w:rPr>
              <w:t>8</w:t>
            </w:r>
            <w:r w:rsidR="001E5179">
              <w:rPr>
                <w:noProof/>
                <w:webHidden/>
              </w:rPr>
              <w:fldChar w:fldCharType="end"/>
            </w:r>
          </w:hyperlink>
        </w:p>
        <w:p w14:paraId="03217CA4" w14:textId="67A99E9E" w:rsidR="001E5179" w:rsidRDefault="001E562B">
          <w:pPr>
            <w:pStyle w:val="22"/>
            <w:tabs>
              <w:tab w:val="right" w:leader="dot" w:pos="9771"/>
            </w:tabs>
            <w:rPr>
              <w:rFonts w:eastAsiaTheme="minorEastAsia"/>
              <w:noProof/>
              <w:lang w:val="ru-RU" w:eastAsia="ru-RU"/>
            </w:rPr>
          </w:pPr>
          <w:hyperlink w:anchor="_Toc158317217" w:history="1">
            <w:r w:rsidR="001E5179" w:rsidRPr="00252AE9">
              <w:rPr>
                <w:rStyle w:val="a4"/>
                <w:rFonts w:asciiTheme="majorHAnsi" w:hAnsiTheme="majorHAnsi" w:cstheme="majorHAnsi"/>
                <w:b/>
                <w:noProof/>
                <w:lang w:val="ru-MD"/>
              </w:rPr>
              <w:t xml:space="preserve">Общая информация о роли и деятельности ПМСУ ИФП </w:t>
            </w:r>
            <w:r w:rsidR="001924A7">
              <w:rPr>
                <w:rStyle w:val="a4"/>
                <w:rFonts w:asciiTheme="majorHAnsi" w:hAnsiTheme="majorHAnsi" w:cstheme="majorHAnsi"/>
                <w:b/>
                <w:noProof/>
              </w:rPr>
              <w:t>“</w:t>
            </w:r>
            <w:r w:rsidR="001924A7">
              <w:rPr>
                <w:rStyle w:val="a4"/>
                <w:rFonts w:asciiTheme="majorHAnsi" w:hAnsiTheme="majorHAnsi" w:cstheme="majorHAnsi"/>
                <w:b/>
                <w:noProof/>
                <w:lang w:val="ru-MD"/>
              </w:rPr>
              <w:t>Кирилл Драганюк”</w:t>
            </w:r>
            <w:r w:rsidR="001E5179">
              <w:rPr>
                <w:noProof/>
                <w:webHidden/>
              </w:rPr>
              <w:tab/>
            </w:r>
            <w:r w:rsidR="001E5179">
              <w:rPr>
                <w:noProof/>
                <w:webHidden/>
              </w:rPr>
              <w:fldChar w:fldCharType="begin"/>
            </w:r>
            <w:r w:rsidR="001E5179">
              <w:rPr>
                <w:noProof/>
                <w:webHidden/>
              </w:rPr>
              <w:instrText xml:space="preserve"> PAGEREF _Toc158317217 \h </w:instrText>
            </w:r>
            <w:r w:rsidR="001E5179">
              <w:rPr>
                <w:noProof/>
                <w:webHidden/>
              </w:rPr>
            </w:r>
            <w:r w:rsidR="001E5179">
              <w:rPr>
                <w:noProof/>
                <w:webHidden/>
              </w:rPr>
              <w:fldChar w:fldCharType="separate"/>
            </w:r>
            <w:r w:rsidR="001E5179">
              <w:rPr>
                <w:noProof/>
                <w:webHidden/>
              </w:rPr>
              <w:t>8</w:t>
            </w:r>
            <w:r w:rsidR="001E5179">
              <w:rPr>
                <w:noProof/>
                <w:webHidden/>
              </w:rPr>
              <w:fldChar w:fldCharType="end"/>
            </w:r>
          </w:hyperlink>
        </w:p>
        <w:p w14:paraId="36B761AA" w14:textId="4A511A41" w:rsidR="001E5179" w:rsidRDefault="001E562B">
          <w:pPr>
            <w:pStyle w:val="22"/>
            <w:tabs>
              <w:tab w:val="right" w:leader="dot" w:pos="9771"/>
            </w:tabs>
            <w:rPr>
              <w:rFonts w:eastAsiaTheme="minorEastAsia"/>
              <w:noProof/>
              <w:lang w:val="ru-RU" w:eastAsia="ru-RU"/>
            </w:rPr>
          </w:pPr>
          <w:hyperlink w:anchor="_Toc158317218" w:history="1">
            <w:r w:rsidR="001E5179" w:rsidRPr="00252AE9">
              <w:rPr>
                <w:rStyle w:val="a4"/>
                <w:rFonts w:asciiTheme="majorHAnsi" w:hAnsiTheme="majorHAnsi" w:cstheme="majorHAnsi"/>
                <w:b/>
                <w:bCs/>
                <w:noProof/>
                <w:lang w:val="ru-MD"/>
              </w:rPr>
              <w:t>Управляемое имущество</w:t>
            </w:r>
            <w:r w:rsidR="001E5179">
              <w:rPr>
                <w:noProof/>
                <w:webHidden/>
              </w:rPr>
              <w:tab/>
            </w:r>
            <w:r w:rsidR="001E5179">
              <w:rPr>
                <w:noProof/>
                <w:webHidden/>
              </w:rPr>
              <w:fldChar w:fldCharType="begin"/>
            </w:r>
            <w:r w:rsidR="001E5179">
              <w:rPr>
                <w:noProof/>
                <w:webHidden/>
              </w:rPr>
              <w:instrText xml:space="preserve"> PAGEREF _Toc158317218 \h </w:instrText>
            </w:r>
            <w:r w:rsidR="001E5179">
              <w:rPr>
                <w:noProof/>
                <w:webHidden/>
              </w:rPr>
            </w:r>
            <w:r w:rsidR="001E5179">
              <w:rPr>
                <w:noProof/>
                <w:webHidden/>
              </w:rPr>
              <w:fldChar w:fldCharType="separate"/>
            </w:r>
            <w:r w:rsidR="001E5179">
              <w:rPr>
                <w:noProof/>
                <w:webHidden/>
              </w:rPr>
              <w:t>10</w:t>
            </w:r>
            <w:r w:rsidR="001E5179">
              <w:rPr>
                <w:noProof/>
                <w:webHidden/>
              </w:rPr>
              <w:fldChar w:fldCharType="end"/>
            </w:r>
          </w:hyperlink>
        </w:p>
        <w:p w14:paraId="342A988B" w14:textId="547B8DC0" w:rsidR="001E5179" w:rsidRDefault="001E562B">
          <w:pPr>
            <w:pStyle w:val="22"/>
            <w:tabs>
              <w:tab w:val="right" w:leader="dot" w:pos="9771"/>
            </w:tabs>
            <w:rPr>
              <w:rFonts w:eastAsiaTheme="minorEastAsia"/>
              <w:noProof/>
              <w:lang w:val="ru-RU" w:eastAsia="ru-RU"/>
            </w:rPr>
          </w:pPr>
          <w:hyperlink w:anchor="_Toc158317219" w:history="1">
            <w:r w:rsidR="001E5179" w:rsidRPr="00252AE9">
              <w:rPr>
                <w:rStyle w:val="a4"/>
                <w:rFonts w:asciiTheme="majorHAnsi" w:hAnsiTheme="majorHAnsi" w:cstheme="majorHAnsi"/>
                <w:b/>
                <w:noProof/>
                <w:lang w:val="ru-MD"/>
              </w:rPr>
              <w:t>Обязанности руководства в рамках аудита соответствия</w:t>
            </w:r>
            <w:r w:rsidR="001E5179">
              <w:rPr>
                <w:noProof/>
                <w:webHidden/>
              </w:rPr>
              <w:tab/>
            </w:r>
            <w:r w:rsidR="001E5179">
              <w:rPr>
                <w:noProof/>
                <w:webHidden/>
              </w:rPr>
              <w:fldChar w:fldCharType="begin"/>
            </w:r>
            <w:r w:rsidR="001E5179">
              <w:rPr>
                <w:noProof/>
                <w:webHidden/>
              </w:rPr>
              <w:instrText xml:space="preserve"> PAGEREF _Toc158317219 \h </w:instrText>
            </w:r>
            <w:r w:rsidR="001E5179">
              <w:rPr>
                <w:noProof/>
                <w:webHidden/>
              </w:rPr>
            </w:r>
            <w:r w:rsidR="001E5179">
              <w:rPr>
                <w:noProof/>
                <w:webHidden/>
              </w:rPr>
              <w:fldChar w:fldCharType="separate"/>
            </w:r>
            <w:r w:rsidR="001E5179">
              <w:rPr>
                <w:noProof/>
                <w:webHidden/>
              </w:rPr>
              <w:t>11</w:t>
            </w:r>
            <w:r w:rsidR="001E5179">
              <w:rPr>
                <w:noProof/>
                <w:webHidden/>
              </w:rPr>
              <w:fldChar w:fldCharType="end"/>
            </w:r>
          </w:hyperlink>
        </w:p>
        <w:p w14:paraId="612AD88C" w14:textId="7FC01113" w:rsidR="001E5179" w:rsidRDefault="001E562B">
          <w:pPr>
            <w:pStyle w:val="11"/>
            <w:tabs>
              <w:tab w:val="left" w:pos="440"/>
              <w:tab w:val="right" w:leader="dot" w:pos="9771"/>
            </w:tabs>
            <w:rPr>
              <w:rFonts w:eastAsiaTheme="minorEastAsia"/>
              <w:noProof/>
              <w:lang w:val="ru-RU" w:eastAsia="ru-RU"/>
            </w:rPr>
          </w:pPr>
          <w:hyperlink w:anchor="_Toc158317220" w:history="1">
            <w:r w:rsidR="001E5179" w:rsidRPr="00252AE9">
              <w:rPr>
                <w:rStyle w:val="a4"/>
                <w:rFonts w:asciiTheme="majorHAnsi" w:hAnsiTheme="majorHAnsi" w:cstheme="minorHAnsi"/>
                <w:b/>
                <w:noProof/>
                <w:lang w:val="ro-MD"/>
              </w:rPr>
              <w:t>III.</w:t>
            </w:r>
            <w:r w:rsidR="001E5179">
              <w:rPr>
                <w:rFonts w:eastAsiaTheme="minorEastAsia"/>
                <w:noProof/>
                <w:lang w:val="ru-RU" w:eastAsia="ru-RU"/>
              </w:rPr>
              <w:tab/>
            </w:r>
            <w:r w:rsidR="001E5179" w:rsidRPr="00252AE9">
              <w:rPr>
                <w:rStyle w:val="a4"/>
                <w:rFonts w:asciiTheme="majorHAnsi" w:hAnsiTheme="majorHAnsi" w:cstheme="minorHAnsi"/>
                <w:b/>
                <w:noProof/>
                <w:shd w:val="clear" w:color="auto" w:fill="FFFFFF"/>
                <w:lang w:val="ru-RU"/>
              </w:rPr>
              <w:t>СФЕРА И ПОДХОД К АУДИТУ</w:t>
            </w:r>
            <w:r w:rsidR="001E5179">
              <w:rPr>
                <w:noProof/>
                <w:webHidden/>
              </w:rPr>
              <w:tab/>
            </w:r>
            <w:r w:rsidR="001E5179">
              <w:rPr>
                <w:noProof/>
                <w:webHidden/>
              </w:rPr>
              <w:fldChar w:fldCharType="begin"/>
            </w:r>
            <w:r w:rsidR="001E5179">
              <w:rPr>
                <w:noProof/>
                <w:webHidden/>
              </w:rPr>
              <w:instrText xml:space="preserve"> PAGEREF _Toc158317220 \h </w:instrText>
            </w:r>
            <w:r w:rsidR="001E5179">
              <w:rPr>
                <w:noProof/>
                <w:webHidden/>
              </w:rPr>
            </w:r>
            <w:r w:rsidR="001E5179">
              <w:rPr>
                <w:noProof/>
                <w:webHidden/>
              </w:rPr>
              <w:fldChar w:fldCharType="separate"/>
            </w:r>
            <w:r w:rsidR="001E5179">
              <w:rPr>
                <w:noProof/>
                <w:webHidden/>
              </w:rPr>
              <w:t>11</w:t>
            </w:r>
            <w:r w:rsidR="001E5179">
              <w:rPr>
                <w:noProof/>
                <w:webHidden/>
              </w:rPr>
              <w:fldChar w:fldCharType="end"/>
            </w:r>
          </w:hyperlink>
        </w:p>
        <w:p w14:paraId="43C25AB6" w14:textId="15024718" w:rsidR="001E5179" w:rsidRDefault="001E562B">
          <w:pPr>
            <w:pStyle w:val="32"/>
            <w:tabs>
              <w:tab w:val="right" w:leader="dot" w:pos="9771"/>
            </w:tabs>
            <w:rPr>
              <w:rFonts w:eastAsiaTheme="minorEastAsia"/>
              <w:noProof/>
              <w:lang w:val="ru-RU" w:eastAsia="ru-RU"/>
            </w:rPr>
          </w:pPr>
          <w:hyperlink w:anchor="_Toc158317221" w:history="1">
            <w:r w:rsidR="001E5179" w:rsidRPr="00252AE9">
              <w:rPr>
                <w:rStyle w:val="a4"/>
                <w:rFonts w:cstheme="minorHAnsi"/>
                <w:b/>
                <w:noProof/>
                <w:shd w:val="clear" w:color="auto" w:fill="FFFFFF"/>
              </w:rPr>
              <w:t xml:space="preserve">3.1. </w:t>
            </w:r>
            <w:r w:rsidR="001E5179" w:rsidRPr="00252AE9">
              <w:rPr>
                <w:rStyle w:val="a4"/>
                <w:rFonts w:cstheme="minorHAnsi"/>
                <w:b/>
                <w:noProof/>
                <w:shd w:val="clear" w:color="auto" w:fill="FFFFFF"/>
                <w:lang w:val="ru-MD"/>
              </w:rPr>
              <w:t>Законный мандат и цель аудита</w:t>
            </w:r>
            <w:r w:rsidR="001E5179">
              <w:rPr>
                <w:noProof/>
                <w:webHidden/>
              </w:rPr>
              <w:tab/>
            </w:r>
            <w:r w:rsidR="001E5179">
              <w:rPr>
                <w:noProof/>
                <w:webHidden/>
              </w:rPr>
              <w:fldChar w:fldCharType="begin"/>
            </w:r>
            <w:r w:rsidR="001E5179">
              <w:rPr>
                <w:noProof/>
                <w:webHidden/>
              </w:rPr>
              <w:instrText xml:space="preserve"> PAGEREF _Toc158317221 \h </w:instrText>
            </w:r>
            <w:r w:rsidR="001E5179">
              <w:rPr>
                <w:noProof/>
                <w:webHidden/>
              </w:rPr>
            </w:r>
            <w:r w:rsidR="001E5179">
              <w:rPr>
                <w:noProof/>
                <w:webHidden/>
              </w:rPr>
              <w:fldChar w:fldCharType="separate"/>
            </w:r>
            <w:r w:rsidR="001E5179">
              <w:rPr>
                <w:noProof/>
                <w:webHidden/>
              </w:rPr>
              <w:t>11</w:t>
            </w:r>
            <w:r w:rsidR="001E5179">
              <w:rPr>
                <w:noProof/>
                <w:webHidden/>
              </w:rPr>
              <w:fldChar w:fldCharType="end"/>
            </w:r>
          </w:hyperlink>
        </w:p>
        <w:p w14:paraId="121EC885" w14:textId="75BA6F87" w:rsidR="001E5179" w:rsidRDefault="001E562B">
          <w:pPr>
            <w:pStyle w:val="32"/>
            <w:tabs>
              <w:tab w:val="right" w:leader="dot" w:pos="9771"/>
            </w:tabs>
            <w:rPr>
              <w:rFonts w:eastAsiaTheme="minorEastAsia"/>
              <w:noProof/>
              <w:lang w:val="ru-RU" w:eastAsia="ru-RU"/>
            </w:rPr>
          </w:pPr>
          <w:hyperlink w:anchor="_Toc158317222" w:history="1">
            <w:r w:rsidR="001E5179" w:rsidRPr="00252AE9">
              <w:rPr>
                <w:rStyle w:val="a4"/>
                <w:rFonts w:cstheme="minorHAnsi"/>
                <w:b/>
                <w:noProof/>
                <w:shd w:val="clear" w:color="auto" w:fill="FFFFFF"/>
              </w:rPr>
              <w:t xml:space="preserve">3.2. </w:t>
            </w:r>
            <w:r w:rsidR="001E5179" w:rsidRPr="00252AE9">
              <w:rPr>
                <w:rStyle w:val="a4"/>
                <w:rFonts w:cstheme="minorHAnsi"/>
                <w:b/>
                <w:noProof/>
                <w:shd w:val="clear" w:color="auto" w:fill="FFFFFF"/>
                <w:lang w:val="ru-RU"/>
              </w:rPr>
              <w:t>Подход к аудиту</w:t>
            </w:r>
            <w:r w:rsidR="001E5179">
              <w:rPr>
                <w:noProof/>
                <w:webHidden/>
              </w:rPr>
              <w:tab/>
            </w:r>
            <w:r w:rsidR="001E5179">
              <w:rPr>
                <w:noProof/>
                <w:webHidden/>
              </w:rPr>
              <w:fldChar w:fldCharType="begin"/>
            </w:r>
            <w:r w:rsidR="001E5179">
              <w:rPr>
                <w:noProof/>
                <w:webHidden/>
              </w:rPr>
              <w:instrText xml:space="preserve"> PAGEREF _Toc158317222 \h </w:instrText>
            </w:r>
            <w:r w:rsidR="001E5179">
              <w:rPr>
                <w:noProof/>
                <w:webHidden/>
              </w:rPr>
            </w:r>
            <w:r w:rsidR="001E5179">
              <w:rPr>
                <w:noProof/>
                <w:webHidden/>
              </w:rPr>
              <w:fldChar w:fldCharType="separate"/>
            </w:r>
            <w:r w:rsidR="001E5179">
              <w:rPr>
                <w:noProof/>
                <w:webHidden/>
              </w:rPr>
              <w:t>12</w:t>
            </w:r>
            <w:r w:rsidR="001E5179">
              <w:rPr>
                <w:noProof/>
                <w:webHidden/>
              </w:rPr>
              <w:fldChar w:fldCharType="end"/>
            </w:r>
          </w:hyperlink>
        </w:p>
        <w:p w14:paraId="41FF45F9" w14:textId="152AE90D" w:rsidR="001E5179" w:rsidRDefault="001E562B">
          <w:pPr>
            <w:pStyle w:val="32"/>
            <w:tabs>
              <w:tab w:val="right" w:leader="dot" w:pos="9771"/>
            </w:tabs>
            <w:rPr>
              <w:rFonts w:eastAsiaTheme="minorEastAsia"/>
              <w:noProof/>
              <w:lang w:val="ru-RU" w:eastAsia="ru-RU"/>
            </w:rPr>
          </w:pPr>
          <w:hyperlink w:anchor="_Toc158317223" w:history="1">
            <w:r w:rsidR="001E5179" w:rsidRPr="00252AE9">
              <w:rPr>
                <w:rStyle w:val="a4"/>
                <w:rFonts w:cstheme="minorHAnsi"/>
                <w:b/>
                <w:noProof/>
                <w:shd w:val="clear" w:color="auto" w:fill="FFFFFF"/>
              </w:rPr>
              <w:t xml:space="preserve">3.3. </w:t>
            </w:r>
            <w:r w:rsidR="001E5179" w:rsidRPr="00252AE9">
              <w:rPr>
                <w:rStyle w:val="a4"/>
                <w:rFonts w:cstheme="minorHAnsi"/>
                <w:b/>
                <w:noProof/>
                <w:shd w:val="clear" w:color="auto" w:fill="FFFFFF"/>
                <w:lang w:val="ru-RU"/>
              </w:rPr>
              <w:t>Ответственность аудиторской группы</w:t>
            </w:r>
            <w:r w:rsidR="001E5179">
              <w:rPr>
                <w:noProof/>
                <w:webHidden/>
              </w:rPr>
              <w:tab/>
            </w:r>
            <w:r w:rsidR="001E5179">
              <w:rPr>
                <w:noProof/>
                <w:webHidden/>
              </w:rPr>
              <w:fldChar w:fldCharType="begin"/>
            </w:r>
            <w:r w:rsidR="001E5179">
              <w:rPr>
                <w:noProof/>
                <w:webHidden/>
              </w:rPr>
              <w:instrText xml:space="preserve"> PAGEREF _Toc158317223 \h </w:instrText>
            </w:r>
            <w:r w:rsidR="001E5179">
              <w:rPr>
                <w:noProof/>
                <w:webHidden/>
              </w:rPr>
            </w:r>
            <w:r w:rsidR="001E5179">
              <w:rPr>
                <w:noProof/>
                <w:webHidden/>
              </w:rPr>
              <w:fldChar w:fldCharType="separate"/>
            </w:r>
            <w:r w:rsidR="001E5179">
              <w:rPr>
                <w:noProof/>
                <w:webHidden/>
              </w:rPr>
              <w:t>12</w:t>
            </w:r>
            <w:r w:rsidR="001E5179">
              <w:rPr>
                <w:noProof/>
                <w:webHidden/>
              </w:rPr>
              <w:fldChar w:fldCharType="end"/>
            </w:r>
          </w:hyperlink>
        </w:p>
        <w:p w14:paraId="792C2903" w14:textId="7DA5D2A1" w:rsidR="001E5179" w:rsidRDefault="001E562B">
          <w:pPr>
            <w:pStyle w:val="11"/>
            <w:tabs>
              <w:tab w:val="left" w:pos="660"/>
              <w:tab w:val="right" w:leader="dot" w:pos="9771"/>
            </w:tabs>
            <w:rPr>
              <w:rFonts w:eastAsiaTheme="minorEastAsia"/>
              <w:noProof/>
              <w:lang w:val="ru-RU" w:eastAsia="ru-RU"/>
            </w:rPr>
          </w:pPr>
          <w:hyperlink w:anchor="_Toc158317224" w:history="1">
            <w:r w:rsidR="001E5179" w:rsidRPr="00252AE9">
              <w:rPr>
                <w:rStyle w:val="a4"/>
                <w:rFonts w:ascii="Calibri Light" w:eastAsia="Times New Roman" w:hAnsi="Calibri Light" w:cs="Calibri Light"/>
                <w:b/>
                <w:bCs/>
                <w:caps/>
                <w:noProof/>
                <w:lang w:val="ro-MD"/>
              </w:rPr>
              <w:t>IV.</w:t>
            </w:r>
            <w:r w:rsidR="001E5179">
              <w:rPr>
                <w:rFonts w:eastAsiaTheme="minorEastAsia"/>
                <w:noProof/>
                <w:lang w:val="ru-RU" w:eastAsia="ru-RU"/>
              </w:rPr>
              <w:tab/>
            </w:r>
            <w:r w:rsidR="001E5179" w:rsidRPr="00252AE9">
              <w:rPr>
                <w:rStyle w:val="a4"/>
                <w:rFonts w:ascii="Calibri Light" w:eastAsia="Times New Roman" w:hAnsi="Calibri Light" w:cs="Calibri Light"/>
                <w:b/>
                <w:bCs/>
                <w:caps/>
                <w:noProof/>
                <w:lang w:val="ru-RU"/>
              </w:rPr>
              <w:t>КОНСТАТАЦИИ</w:t>
            </w:r>
            <w:r w:rsidR="001E5179">
              <w:rPr>
                <w:noProof/>
                <w:webHidden/>
              </w:rPr>
              <w:tab/>
            </w:r>
            <w:r w:rsidR="001E5179">
              <w:rPr>
                <w:noProof/>
                <w:webHidden/>
              </w:rPr>
              <w:fldChar w:fldCharType="begin"/>
            </w:r>
            <w:r w:rsidR="001E5179">
              <w:rPr>
                <w:noProof/>
                <w:webHidden/>
              </w:rPr>
              <w:instrText xml:space="preserve"> PAGEREF _Toc158317224 \h </w:instrText>
            </w:r>
            <w:r w:rsidR="001E5179">
              <w:rPr>
                <w:noProof/>
                <w:webHidden/>
              </w:rPr>
            </w:r>
            <w:r w:rsidR="001E5179">
              <w:rPr>
                <w:noProof/>
                <w:webHidden/>
              </w:rPr>
              <w:fldChar w:fldCharType="separate"/>
            </w:r>
            <w:r w:rsidR="001E5179">
              <w:rPr>
                <w:noProof/>
                <w:webHidden/>
              </w:rPr>
              <w:t>13</w:t>
            </w:r>
            <w:r w:rsidR="001E5179">
              <w:rPr>
                <w:noProof/>
                <w:webHidden/>
              </w:rPr>
              <w:fldChar w:fldCharType="end"/>
            </w:r>
          </w:hyperlink>
        </w:p>
        <w:p w14:paraId="2E2E43D7" w14:textId="7ED129BA" w:rsidR="001E5179" w:rsidRDefault="001E562B">
          <w:pPr>
            <w:pStyle w:val="22"/>
            <w:tabs>
              <w:tab w:val="right" w:leader="dot" w:pos="9771"/>
            </w:tabs>
            <w:rPr>
              <w:rFonts w:eastAsiaTheme="minorEastAsia"/>
              <w:noProof/>
              <w:lang w:val="ru-RU" w:eastAsia="ru-RU"/>
            </w:rPr>
          </w:pPr>
          <w:hyperlink w:anchor="_Toc158317225" w:history="1">
            <w:r w:rsidR="001E5179" w:rsidRPr="00252AE9">
              <w:rPr>
                <w:rStyle w:val="a4"/>
                <w:rFonts w:asciiTheme="majorHAnsi" w:hAnsiTheme="majorHAnsi" w:cstheme="majorHAnsi"/>
                <w:b/>
                <w:noProof/>
                <w:lang w:val="ru-MD"/>
              </w:rPr>
              <w:t>4.1. Управление публичным имуществом требует консолидации, чтобы обеспечить надлежащую регистрацию в бухгалтерском учете всех имущественных элементов, а также укрепления деятельности, связанной с надлежащим управлением медицинским оборудованием</w:t>
            </w:r>
            <w:r w:rsidR="001E5179" w:rsidRPr="00252AE9">
              <w:rPr>
                <w:rStyle w:val="a4"/>
                <w:rFonts w:asciiTheme="majorHAnsi" w:hAnsiTheme="majorHAnsi"/>
                <w:b/>
                <w:noProof/>
                <w:lang w:val="ro-MD"/>
              </w:rPr>
              <w:t>.</w:t>
            </w:r>
            <w:r w:rsidR="001E5179">
              <w:rPr>
                <w:noProof/>
                <w:webHidden/>
              </w:rPr>
              <w:tab/>
            </w:r>
            <w:r w:rsidR="001E5179">
              <w:rPr>
                <w:noProof/>
                <w:webHidden/>
              </w:rPr>
              <w:fldChar w:fldCharType="begin"/>
            </w:r>
            <w:r w:rsidR="001E5179">
              <w:rPr>
                <w:noProof/>
                <w:webHidden/>
              </w:rPr>
              <w:instrText xml:space="preserve"> PAGEREF _Toc158317225 \h </w:instrText>
            </w:r>
            <w:r w:rsidR="001E5179">
              <w:rPr>
                <w:noProof/>
                <w:webHidden/>
              </w:rPr>
            </w:r>
            <w:r w:rsidR="001E5179">
              <w:rPr>
                <w:noProof/>
                <w:webHidden/>
              </w:rPr>
              <w:fldChar w:fldCharType="separate"/>
            </w:r>
            <w:r w:rsidR="001E5179">
              <w:rPr>
                <w:noProof/>
                <w:webHidden/>
              </w:rPr>
              <w:t>13</w:t>
            </w:r>
            <w:r w:rsidR="001E5179">
              <w:rPr>
                <w:noProof/>
                <w:webHidden/>
              </w:rPr>
              <w:fldChar w:fldCharType="end"/>
            </w:r>
          </w:hyperlink>
        </w:p>
        <w:p w14:paraId="3FED4A60" w14:textId="3B2F306C" w:rsidR="001E5179" w:rsidRDefault="001E562B">
          <w:pPr>
            <w:pStyle w:val="32"/>
            <w:tabs>
              <w:tab w:val="left" w:pos="1320"/>
              <w:tab w:val="right" w:leader="dot" w:pos="9771"/>
            </w:tabs>
            <w:rPr>
              <w:rFonts w:eastAsiaTheme="minorEastAsia"/>
              <w:noProof/>
              <w:lang w:val="ru-RU" w:eastAsia="ru-RU"/>
            </w:rPr>
          </w:pPr>
          <w:hyperlink w:anchor="_Toc158317226" w:history="1">
            <w:r w:rsidR="001E5179" w:rsidRPr="00252AE9">
              <w:rPr>
                <w:rStyle w:val="a4"/>
                <w:rFonts w:asciiTheme="majorHAnsi" w:hAnsiTheme="majorHAnsi" w:cstheme="majorHAnsi"/>
                <w:b/>
                <w:noProof/>
                <w:lang w:val="ro-MD"/>
              </w:rPr>
              <w:t>4.1.1.</w:t>
            </w:r>
            <w:r w:rsidR="001E5179">
              <w:rPr>
                <w:rFonts w:eastAsiaTheme="minorEastAsia"/>
                <w:noProof/>
                <w:lang w:val="ru-RU" w:eastAsia="ru-RU"/>
              </w:rPr>
              <w:tab/>
            </w:r>
            <w:r w:rsidR="001E5179" w:rsidRPr="00252AE9">
              <w:rPr>
                <w:rStyle w:val="a4"/>
                <w:rFonts w:asciiTheme="majorHAnsi" w:hAnsiTheme="majorHAnsi" w:cstheme="majorHAnsi"/>
                <w:b/>
                <w:noProof/>
                <w:shd w:val="clear" w:color="auto" w:fill="FFFFFF"/>
                <w:lang w:val="ro-MD"/>
              </w:rPr>
              <w:t>Процесс разграничения публичной собственности не был завершен в надлежащем порядке, что указывает на определенные недостатки, связанные с регистрацией права собственности на него</w:t>
            </w:r>
            <w:r w:rsidR="001E5179" w:rsidRPr="00252AE9">
              <w:rPr>
                <w:rStyle w:val="a4"/>
                <w:rFonts w:asciiTheme="majorHAnsi" w:hAnsiTheme="majorHAnsi" w:cstheme="majorHAnsi"/>
                <w:b/>
                <w:noProof/>
                <w:lang w:val="ro-MD"/>
              </w:rPr>
              <w:t>.</w:t>
            </w:r>
            <w:r w:rsidR="001E5179">
              <w:rPr>
                <w:noProof/>
                <w:webHidden/>
              </w:rPr>
              <w:tab/>
            </w:r>
            <w:r w:rsidR="001E5179">
              <w:rPr>
                <w:noProof/>
                <w:webHidden/>
              </w:rPr>
              <w:fldChar w:fldCharType="begin"/>
            </w:r>
            <w:r w:rsidR="001E5179">
              <w:rPr>
                <w:noProof/>
                <w:webHidden/>
              </w:rPr>
              <w:instrText xml:space="preserve"> PAGEREF _Toc158317226 \h </w:instrText>
            </w:r>
            <w:r w:rsidR="001E5179">
              <w:rPr>
                <w:noProof/>
                <w:webHidden/>
              </w:rPr>
            </w:r>
            <w:r w:rsidR="001E5179">
              <w:rPr>
                <w:noProof/>
                <w:webHidden/>
              </w:rPr>
              <w:fldChar w:fldCharType="separate"/>
            </w:r>
            <w:r w:rsidR="001E5179">
              <w:rPr>
                <w:noProof/>
                <w:webHidden/>
              </w:rPr>
              <w:t>14</w:t>
            </w:r>
            <w:r w:rsidR="001E5179">
              <w:rPr>
                <w:noProof/>
                <w:webHidden/>
              </w:rPr>
              <w:fldChar w:fldCharType="end"/>
            </w:r>
          </w:hyperlink>
        </w:p>
        <w:p w14:paraId="0D4B125B" w14:textId="0822E125" w:rsidR="001E5179" w:rsidRDefault="001E562B">
          <w:pPr>
            <w:pStyle w:val="32"/>
            <w:tabs>
              <w:tab w:val="left" w:pos="1320"/>
              <w:tab w:val="right" w:leader="dot" w:pos="9771"/>
            </w:tabs>
            <w:rPr>
              <w:rFonts w:eastAsiaTheme="minorEastAsia"/>
              <w:noProof/>
              <w:lang w:val="ru-RU" w:eastAsia="ru-RU"/>
            </w:rPr>
          </w:pPr>
          <w:hyperlink w:anchor="_Toc158317227" w:history="1">
            <w:r w:rsidR="001E5179" w:rsidRPr="00252AE9">
              <w:rPr>
                <w:rStyle w:val="a4"/>
                <w:rFonts w:asciiTheme="majorHAnsi" w:hAnsiTheme="majorHAnsi" w:cstheme="majorHAnsi"/>
                <w:b/>
                <w:noProof/>
                <w:lang w:val="ro-MD"/>
              </w:rPr>
              <w:t>4.1.2.</w:t>
            </w:r>
            <w:r w:rsidR="001E5179">
              <w:rPr>
                <w:rFonts w:eastAsiaTheme="minorEastAsia"/>
                <w:noProof/>
                <w:lang w:val="ru-RU" w:eastAsia="ru-RU"/>
              </w:rPr>
              <w:tab/>
            </w:r>
            <w:r w:rsidR="001E5179" w:rsidRPr="00252AE9">
              <w:rPr>
                <w:rStyle w:val="a4"/>
                <w:rFonts w:asciiTheme="majorHAnsi" w:hAnsiTheme="majorHAnsi" w:cstheme="majorHAnsi"/>
                <w:b/>
                <w:noProof/>
                <w:lang w:val="ro-MD"/>
              </w:rPr>
              <w:t xml:space="preserve">Субъект не применил в полной мере нормативные положения о долгосрочных активах, не использованных в операционной деятельности, что может повлиять на стоимость оказанной услуги, а также на ненадлежащее отражение информации/ситуаций </w:t>
            </w:r>
            <w:r w:rsidR="001E5179" w:rsidRPr="00252AE9">
              <w:rPr>
                <w:rStyle w:val="a4"/>
                <w:rFonts w:asciiTheme="majorHAnsi" w:hAnsiTheme="majorHAnsi" w:cstheme="majorHAnsi"/>
                <w:b/>
                <w:noProof/>
                <w:lang w:val="ru-RU"/>
              </w:rPr>
              <w:t>в отчетности</w:t>
            </w:r>
            <w:r w:rsidR="001E5179" w:rsidRPr="00252AE9">
              <w:rPr>
                <w:rStyle w:val="a4"/>
                <w:rFonts w:asciiTheme="majorHAnsi" w:hAnsiTheme="majorHAnsi" w:cstheme="majorHAnsi"/>
                <w:b/>
                <w:noProof/>
                <w:lang w:val="ro-MD"/>
              </w:rPr>
              <w:t>.</w:t>
            </w:r>
            <w:r w:rsidR="001E5179">
              <w:rPr>
                <w:noProof/>
                <w:webHidden/>
              </w:rPr>
              <w:tab/>
            </w:r>
            <w:r w:rsidR="001E5179">
              <w:rPr>
                <w:noProof/>
                <w:webHidden/>
              </w:rPr>
              <w:fldChar w:fldCharType="begin"/>
            </w:r>
            <w:r w:rsidR="001E5179">
              <w:rPr>
                <w:noProof/>
                <w:webHidden/>
              </w:rPr>
              <w:instrText xml:space="preserve"> PAGEREF _Toc158317227 \h </w:instrText>
            </w:r>
            <w:r w:rsidR="001E5179">
              <w:rPr>
                <w:noProof/>
                <w:webHidden/>
              </w:rPr>
            </w:r>
            <w:r w:rsidR="001E5179">
              <w:rPr>
                <w:noProof/>
                <w:webHidden/>
              </w:rPr>
              <w:fldChar w:fldCharType="separate"/>
            </w:r>
            <w:r w:rsidR="001E5179">
              <w:rPr>
                <w:noProof/>
                <w:webHidden/>
              </w:rPr>
              <w:t>15</w:t>
            </w:r>
            <w:r w:rsidR="001E5179">
              <w:rPr>
                <w:noProof/>
                <w:webHidden/>
              </w:rPr>
              <w:fldChar w:fldCharType="end"/>
            </w:r>
          </w:hyperlink>
        </w:p>
        <w:p w14:paraId="140BD97E" w14:textId="24772198" w:rsidR="001E5179" w:rsidRDefault="001E562B">
          <w:pPr>
            <w:pStyle w:val="32"/>
            <w:tabs>
              <w:tab w:val="left" w:pos="1320"/>
              <w:tab w:val="right" w:leader="dot" w:pos="9771"/>
            </w:tabs>
            <w:rPr>
              <w:rFonts w:eastAsiaTheme="minorEastAsia"/>
              <w:noProof/>
              <w:lang w:val="ru-RU" w:eastAsia="ru-RU"/>
            </w:rPr>
          </w:pPr>
          <w:hyperlink w:anchor="_Toc158317228" w:history="1">
            <w:r w:rsidR="001E5179" w:rsidRPr="00252AE9">
              <w:rPr>
                <w:rStyle w:val="a4"/>
                <w:rFonts w:asciiTheme="majorHAnsi" w:hAnsiTheme="majorHAnsi" w:cstheme="majorHAnsi"/>
                <w:b/>
                <w:noProof/>
                <w:lang w:val="ro-MD"/>
              </w:rPr>
              <w:t>4.1.3.</w:t>
            </w:r>
            <w:r w:rsidR="001E5179">
              <w:rPr>
                <w:rFonts w:eastAsiaTheme="minorEastAsia"/>
                <w:noProof/>
                <w:lang w:val="ru-RU" w:eastAsia="ru-RU"/>
              </w:rPr>
              <w:tab/>
            </w:r>
            <w:r w:rsidR="001E5179" w:rsidRPr="00252AE9">
              <w:rPr>
                <w:rStyle w:val="a4"/>
                <w:rFonts w:asciiTheme="majorHAnsi" w:hAnsiTheme="majorHAnsi" w:cstheme="majorHAnsi"/>
                <w:b/>
                <w:noProof/>
                <w:lang w:val="ro-MD"/>
              </w:rPr>
              <w:t>Отсутствие подтверждающих документов, свидетельствующих о приватизации квартир, не обеспечивает надлежащего учета жилых домов, принадлежащих ПМСУ.</w:t>
            </w:r>
            <w:r w:rsidR="001E5179">
              <w:rPr>
                <w:noProof/>
                <w:webHidden/>
              </w:rPr>
              <w:tab/>
            </w:r>
            <w:r w:rsidR="001E5179">
              <w:rPr>
                <w:noProof/>
                <w:webHidden/>
              </w:rPr>
              <w:fldChar w:fldCharType="begin"/>
            </w:r>
            <w:r w:rsidR="001E5179">
              <w:rPr>
                <w:noProof/>
                <w:webHidden/>
              </w:rPr>
              <w:instrText xml:space="preserve"> PAGEREF _Toc158317228 \h </w:instrText>
            </w:r>
            <w:r w:rsidR="001E5179">
              <w:rPr>
                <w:noProof/>
                <w:webHidden/>
              </w:rPr>
            </w:r>
            <w:r w:rsidR="001E5179">
              <w:rPr>
                <w:noProof/>
                <w:webHidden/>
              </w:rPr>
              <w:fldChar w:fldCharType="separate"/>
            </w:r>
            <w:r w:rsidR="001E5179">
              <w:rPr>
                <w:noProof/>
                <w:webHidden/>
              </w:rPr>
              <w:t>16</w:t>
            </w:r>
            <w:r w:rsidR="001E5179">
              <w:rPr>
                <w:noProof/>
                <w:webHidden/>
              </w:rPr>
              <w:fldChar w:fldCharType="end"/>
            </w:r>
          </w:hyperlink>
        </w:p>
        <w:p w14:paraId="25A3859A" w14:textId="65FCAA8F" w:rsidR="001E5179" w:rsidRDefault="001E562B">
          <w:pPr>
            <w:pStyle w:val="32"/>
            <w:tabs>
              <w:tab w:val="left" w:pos="1320"/>
              <w:tab w:val="right" w:leader="dot" w:pos="9771"/>
            </w:tabs>
            <w:rPr>
              <w:rFonts w:eastAsiaTheme="minorEastAsia"/>
              <w:noProof/>
              <w:lang w:val="ru-RU" w:eastAsia="ru-RU"/>
            </w:rPr>
          </w:pPr>
          <w:hyperlink w:anchor="_Toc158317229" w:history="1">
            <w:r w:rsidR="001E5179" w:rsidRPr="00252AE9">
              <w:rPr>
                <w:rStyle w:val="a4"/>
                <w:rFonts w:asciiTheme="majorHAnsi" w:hAnsiTheme="majorHAnsi" w:cstheme="minorHAnsi"/>
                <w:b/>
                <w:noProof/>
                <w:lang w:val="ro-MD"/>
              </w:rPr>
              <w:t>4.1.4.</w:t>
            </w:r>
            <w:r w:rsidR="001E5179">
              <w:rPr>
                <w:rFonts w:eastAsiaTheme="minorEastAsia"/>
                <w:noProof/>
                <w:lang w:val="ru-RU" w:eastAsia="ru-RU"/>
              </w:rPr>
              <w:tab/>
            </w:r>
            <w:r w:rsidR="001E5179" w:rsidRPr="00252AE9">
              <w:rPr>
                <w:rStyle w:val="a4"/>
                <w:rFonts w:asciiTheme="majorHAnsi" w:hAnsiTheme="majorHAnsi" w:cstheme="minorHAnsi"/>
                <w:b/>
                <w:noProof/>
                <w:lang w:val="ro-MD"/>
              </w:rPr>
              <w:t xml:space="preserve">Процедура передачи земельных участков в хозяйственное управление не была завершена, что не обеспечивает их надлежащий учет, а актуализация их стоимости примерно на 102 635,0 тыс. леев не </w:t>
            </w:r>
            <w:r w:rsidR="001E5179" w:rsidRPr="00252AE9">
              <w:rPr>
                <w:rStyle w:val="a4"/>
                <w:rFonts w:asciiTheme="majorHAnsi" w:hAnsiTheme="majorHAnsi" w:cstheme="minorHAnsi"/>
                <w:b/>
                <w:noProof/>
              </w:rPr>
              <w:t>была проведена</w:t>
            </w:r>
            <w:r w:rsidR="001E5179" w:rsidRPr="00252AE9">
              <w:rPr>
                <w:rStyle w:val="a4"/>
                <w:rFonts w:asciiTheme="majorHAnsi" w:hAnsiTheme="majorHAnsi" w:cstheme="minorHAnsi"/>
                <w:b/>
                <w:noProof/>
                <w:lang w:val="ro-MD"/>
              </w:rPr>
              <w:t>.</w:t>
            </w:r>
            <w:r w:rsidR="001E5179">
              <w:rPr>
                <w:noProof/>
                <w:webHidden/>
              </w:rPr>
              <w:tab/>
            </w:r>
            <w:r w:rsidR="001E5179">
              <w:rPr>
                <w:noProof/>
                <w:webHidden/>
              </w:rPr>
              <w:fldChar w:fldCharType="begin"/>
            </w:r>
            <w:r w:rsidR="001E5179">
              <w:rPr>
                <w:noProof/>
                <w:webHidden/>
              </w:rPr>
              <w:instrText xml:space="preserve"> PAGEREF _Toc158317229 \h </w:instrText>
            </w:r>
            <w:r w:rsidR="001E5179">
              <w:rPr>
                <w:noProof/>
                <w:webHidden/>
              </w:rPr>
            </w:r>
            <w:r w:rsidR="001E5179">
              <w:rPr>
                <w:noProof/>
                <w:webHidden/>
              </w:rPr>
              <w:fldChar w:fldCharType="separate"/>
            </w:r>
            <w:r w:rsidR="001E5179">
              <w:rPr>
                <w:noProof/>
                <w:webHidden/>
              </w:rPr>
              <w:t>17</w:t>
            </w:r>
            <w:r w:rsidR="001E5179">
              <w:rPr>
                <w:noProof/>
                <w:webHidden/>
              </w:rPr>
              <w:fldChar w:fldCharType="end"/>
            </w:r>
          </w:hyperlink>
        </w:p>
        <w:p w14:paraId="0D491BB9" w14:textId="13C6A66C" w:rsidR="001E5179" w:rsidRDefault="001E562B">
          <w:pPr>
            <w:pStyle w:val="32"/>
            <w:tabs>
              <w:tab w:val="left" w:pos="1320"/>
              <w:tab w:val="right" w:leader="dot" w:pos="9771"/>
            </w:tabs>
            <w:rPr>
              <w:rFonts w:eastAsiaTheme="minorEastAsia"/>
              <w:noProof/>
              <w:lang w:val="ru-RU" w:eastAsia="ru-RU"/>
            </w:rPr>
          </w:pPr>
          <w:hyperlink w:anchor="_Toc158317230" w:history="1">
            <w:r w:rsidR="001E5179" w:rsidRPr="00252AE9">
              <w:rPr>
                <w:rStyle w:val="a4"/>
                <w:rFonts w:asciiTheme="majorHAnsi" w:hAnsiTheme="majorHAnsi" w:cstheme="majorHAnsi"/>
                <w:b/>
                <w:noProof/>
                <w:lang w:val="ro-MD"/>
              </w:rPr>
              <w:t>4.1.5.</w:t>
            </w:r>
            <w:r w:rsidR="001E5179">
              <w:rPr>
                <w:rFonts w:eastAsiaTheme="minorEastAsia"/>
                <w:noProof/>
                <w:lang w:val="ru-RU" w:eastAsia="ru-RU"/>
              </w:rPr>
              <w:tab/>
            </w:r>
            <w:r w:rsidR="001E5179" w:rsidRPr="00252AE9">
              <w:rPr>
                <w:rStyle w:val="a4"/>
                <w:rFonts w:asciiTheme="majorHAnsi" w:hAnsiTheme="majorHAnsi" w:cstheme="majorHAnsi"/>
                <w:b/>
                <w:noProof/>
                <w:lang w:val="ro-MD"/>
              </w:rPr>
              <w:t>Решения об изменении назначения некоторых объектов являются невыполнимыми и не соответствуют законодательной базе.</w:t>
            </w:r>
            <w:r w:rsidR="001E5179">
              <w:rPr>
                <w:noProof/>
                <w:webHidden/>
              </w:rPr>
              <w:tab/>
            </w:r>
            <w:r w:rsidR="001E5179">
              <w:rPr>
                <w:noProof/>
                <w:webHidden/>
              </w:rPr>
              <w:fldChar w:fldCharType="begin"/>
            </w:r>
            <w:r w:rsidR="001E5179">
              <w:rPr>
                <w:noProof/>
                <w:webHidden/>
              </w:rPr>
              <w:instrText xml:space="preserve"> PAGEREF _Toc158317230 \h </w:instrText>
            </w:r>
            <w:r w:rsidR="001E5179">
              <w:rPr>
                <w:noProof/>
                <w:webHidden/>
              </w:rPr>
            </w:r>
            <w:r w:rsidR="001E5179">
              <w:rPr>
                <w:noProof/>
                <w:webHidden/>
              </w:rPr>
              <w:fldChar w:fldCharType="separate"/>
            </w:r>
            <w:r w:rsidR="001E5179">
              <w:rPr>
                <w:noProof/>
                <w:webHidden/>
              </w:rPr>
              <w:t>18</w:t>
            </w:r>
            <w:r w:rsidR="001E5179">
              <w:rPr>
                <w:noProof/>
                <w:webHidden/>
              </w:rPr>
              <w:fldChar w:fldCharType="end"/>
            </w:r>
          </w:hyperlink>
        </w:p>
        <w:p w14:paraId="48B93337" w14:textId="14CDC72E" w:rsidR="001E5179" w:rsidRDefault="001E562B">
          <w:pPr>
            <w:pStyle w:val="32"/>
            <w:tabs>
              <w:tab w:val="left" w:pos="1320"/>
              <w:tab w:val="right" w:leader="dot" w:pos="9771"/>
            </w:tabs>
            <w:rPr>
              <w:rFonts w:eastAsiaTheme="minorEastAsia"/>
              <w:noProof/>
              <w:lang w:val="ru-RU" w:eastAsia="ru-RU"/>
            </w:rPr>
          </w:pPr>
          <w:hyperlink w:anchor="_Toc158317231" w:history="1">
            <w:r w:rsidR="001E5179" w:rsidRPr="00252AE9">
              <w:rPr>
                <w:rStyle w:val="a4"/>
                <w:rFonts w:cstheme="majorHAnsi"/>
                <w:b/>
                <w:noProof/>
              </w:rPr>
              <w:t>4.1.6.</w:t>
            </w:r>
            <w:r w:rsidR="001E5179">
              <w:rPr>
                <w:rFonts w:eastAsiaTheme="minorEastAsia"/>
                <w:noProof/>
                <w:lang w:val="ru-RU" w:eastAsia="ru-RU"/>
              </w:rPr>
              <w:tab/>
            </w:r>
            <w:r w:rsidR="001E5179" w:rsidRPr="00252AE9">
              <w:rPr>
                <w:rStyle w:val="a4"/>
                <w:rFonts w:cstheme="majorHAnsi"/>
                <w:b/>
                <w:noProof/>
              </w:rPr>
              <w:t>Потребности на содержание клиники, расположенной в с. Ворничень, скоррелированные с увеличением расходов и сокращением числа пациентов, оказывают экономическое давление на ПМСУ ИФП.</w:t>
            </w:r>
            <w:r w:rsidR="001E5179">
              <w:rPr>
                <w:noProof/>
                <w:webHidden/>
              </w:rPr>
              <w:tab/>
            </w:r>
            <w:r w:rsidR="001E5179">
              <w:rPr>
                <w:noProof/>
                <w:webHidden/>
              </w:rPr>
              <w:fldChar w:fldCharType="begin"/>
            </w:r>
            <w:r w:rsidR="001E5179">
              <w:rPr>
                <w:noProof/>
                <w:webHidden/>
              </w:rPr>
              <w:instrText xml:space="preserve"> PAGEREF _Toc158317231 \h </w:instrText>
            </w:r>
            <w:r w:rsidR="001E5179">
              <w:rPr>
                <w:noProof/>
                <w:webHidden/>
              </w:rPr>
            </w:r>
            <w:r w:rsidR="001E5179">
              <w:rPr>
                <w:noProof/>
                <w:webHidden/>
              </w:rPr>
              <w:fldChar w:fldCharType="separate"/>
            </w:r>
            <w:r w:rsidR="001E5179">
              <w:rPr>
                <w:noProof/>
                <w:webHidden/>
              </w:rPr>
              <w:t>18</w:t>
            </w:r>
            <w:r w:rsidR="001E5179">
              <w:rPr>
                <w:noProof/>
                <w:webHidden/>
              </w:rPr>
              <w:fldChar w:fldCharType="end"/>
            </w:r>
          </w:hyperlink>
        </w:p>
        <w:p w14:paraId="03EEA8DD" w14:textId="2E9FC81E" w:rsidR="001E5179" w:rsidRDefault="001E562B">
          <w:pPr>
            <w:pStyle w:val="32"/>
            <w:tabs>
              <w:tab w:val="left" w:pos="1320"/>
              <w:tab w:val="right" w:leader="dot" w:pos="9771"/>
            </w:tabs>
            <w:rPr>
              <w:rFonts w:eastAsiaTheme="minorEastAsia"/>
              <w:noProof/>
              <w:lang w:val="ru-RU" w:eastAsia="ru-RU"/>
            </w:rPr>
          </w:pPr>
          <w:hyperlink w:anchor="_Toc158317232" w:history="1">
            <w:r w:rsidR="001E5179" w:rsidRPr="00252AE9">
              <w:rPr>
                <w:rStyle w:val="a4"/>
                <w:rFonts w:asciiTheme="majorHAnsi" w:hAnsiTheme="majorHAnsi" w:cstheme="minorHAnsi"/>
                <w:b/>
                <w:noProof/>
                <w:lang w:val="ro-MD"/>
              </w:rPr>
              <w:t>4.1.7.</w:t>
            </w:r>
            <w:r w:rsidR="001E5179">
              <w:rPr>
                <w:rFonts w:eastAsiaTheme="minorEastAsia"/>
                <w:noProof/>
                <w:lang w:val="ru-RU" w:eastAsia="ru-RU"/>
              </w:rPr>
              <w:tab/>
            </w:r>
            <w:r w:rsidR="001E5179" w:rsidRPr="00252AE9">
              <w:rPr>
                <w:rStyle w:val="a4"/>
                <w:rFonts w:asciiTheme="majorHAnsi" w:hAnsiTheme="majorHAnsi" w:cstheme="majorHAnsi"/>
                <w:b/>
                <w:noProof/>
                <w:lang w:val="ro-MD"/>
              </w:rPr>
              <w:t>Отсутствие своевременных решений относительно незавершенных материальных активов (корпус 2 клиники Ворничень) на протяжении длительного периода времени, не способствует надлежащему и эффективному управлению имуществом</w:t>
            </w:r>
            <w:r w:rsidR="001E5179" w:rsidRPr="00252AE9">
              <w:rPr>
                <w:rStyle w:val="a4"/>
                <w:rFonts w:asciiTheme="majorHAnsi" w:hAnsiTheme="majorHAnsi" w:cstheme="minorHAnsi"/>
                <w:b/>
                <w:noProof/>
                <w:lang w:val="ro-MD"/>
              </w:rPr>
              <w:t>)</w:t>
            </w:r>
            <w:r w:rsidR="001E5179" w:rsidRPr="00252AE9">
              <w:rPr>
                <w:rStyle w:val="a4"/>
                <w:rFonts w:asciiTheme="majorHAnsi" w:hAnsiTheme="majorHAnsi" w:cstheme="majorHAnsi"/>
                <w:b/>
                <w:noProof/>
                <w:lang w:val="ro-MD"/>
              </w:rPr>
              <w:t>.</w:t>
            </w:r>
            <w:r w:rsidR="001E5179">
              <w:rPr>
                <w:noProof/>
                <w:webHidden/>
              </w:rPr>
              <w:tab/>
            </w:r>
            <w:r w:rsidR="001E5179">
              <w:rPr>
                <w:noProof/>
                <w:webHidden/>
              </w:rPr>
              <w:fldChar w:fldCharType="begin"/>
            </w:r>
            <w:r w:rsidR="001E5179">
              <w:rPr>
                <w:noProof/>
                <w:webHidden/>
              </w:rPr>
              <w:instrText xml:space="preserve"> PAGEREF _Toc158317232 \h </w:instrText>
            </w:r>
            <w:r w:rsidR="001E5179">
              <w:rPr>
                <w:noProof/>
                <w:webHidden/>
              </w:rPr>
            </w:r>
            <w:r w:rsidR="001E5179">
              <w:rPr>
                <w:noProof/>
                <w:webHidden/>
              </w:rPr>
              <w:fldChar w:fldCharType="separate"/>
            </w:r>
            <w:r w:rsidR="001E5179">
              <w:rPr>
                <w:noProof/>
                <w:webHidden/>
              </w:rPr>
              <w:t>20</w:t>
            </w:r>
            <w:r w:rsidR="001E5179">
              <w:rPr>
                <w:noProof/>
                <w:webHidden/>
              </w:rPr>
              <w:fldChar w:fldCharType="end"/>
            </w:r>
          </w:hyperlink>
        </w:p>
        <w:p w14:paraId="75D0DEA1" w14:textId="594DFFF7" w:rsidR="001E5179" w:rsidRDefault="001E562B">
          <w:pPr>
            <w:pStyle w:val="32"/>
            <w:tabs>
              <w:tab w:val="left" w:pos="1320"/>
              <w:tab w:val="right" w:leader="dot" w:pos="9771"/>
            </w:tabs>
            <w:rPr>
              <w:rFonts w:eastAsiaTheme="minorEastAsia"/>
              <w:noProof/>
              <w:lang w:val="ru-RU" w:eastAsia="ru-RU"/>
            </w:rPr>
          </w:pPr>
          <w:hyperlink w:anchor="_Toc158317233" w:history="1">
            <w:r w:rsidR="001E5179" w:rsidRPr="00252AE9">
              <w:rPr>
                <w:rStyle w:val="a4"/>
                <w:rFonts w:asciiTheme="majorHAnsi" w:hAnsiTheme="majorHAnsi"/>
                <w:b/>
                <w:noProof/>
                <w:lang w:val="ro-MD"/>
              </w:rPr>
              <w:t>4.1.8.</w:t>
            </w:r>
            <w:r w:rsidR="001E5179">
              <w:rPr>
                <w:rFonts w:eastAsiaTheme="minorEastAsia"/>
                <w:noProof/>
                <w:lang w:val="ru-RU" w:eastAsia="ru-RU"/>
              </w:rPr>
              <w:tab/>
            </w:r>
            <w:r w:rsidR="001E5179" w:rsidRPr="00252AE9">
              <w:rPr>
                <w:rStyle w:val="a4"/>
                <w:rFonts w:asciiTheme="majorHAnsi" w:hAnsiTheme="majorHAnsi"/>
                <w:b/>
                <w:noProof/>
                <w:lang w:val="ro-MD"/>
              </w:rPr>
              <w:t xml:space="preserve">Долги по имуществу, полученному в </w:t>
            </w:r>
            <w:r w:rsidR="001E5179" w:rsidRPr="00252AE9">
              <w:rPr>
                <w:rStyle w:val="a4"/>
                <w:rFonts w:asciiTheme="majorHAnsi" w:hAnsiTheme="majorHAnsi"/>
                <w:b/>
                <w:noProof/>
                <w:lang w:val="ru-RU"/>
              </w:rPr>
              <w:t>экономическ</w:t>
            </w:r>
            <w:r w:rsidR="001E5179" w:rsidRPr="00252AE9">
              <w:rPr>
                <w:rStyle w:val="a4"/>
                <w:rFonts w:asciiTheme="majorHAnsi" w:hAnsiTheme="majorHAnsi"/>
                <w:b/>
                <w:noProof/>
                <w:lang w:val="ro-MD"/>
              </w:rPr>
              <w:t xml:space="preserve">ом управлении, и, соответственно, по имуществу, полученному от государства с правом собственности, не отражаются в </w:t>
            </w:r>
            <w:r w:rsidR="001E5179" w:rsidRPr="00252AE9">
              <w:rPr>
                <w:rStyle w:val="a4"/>
                <w:rFonts w:asciiTheme="majorHAnsi" w:hAnsiTheme="majorHAnsi"/>
                <w:b/>
                <w:noProof/>
                <w:lang w:val="ru-RU"/>
              </w:rPr>
              <w:t>установленно</w:t>
            </w:r>
            <w:r w:rsidR="001E5179" w:rsidRPr="00252AE9">
              <w:rPr>
                <w:rStyle w:val="a4"/>
                <w:rFonts w:asciiTheme="majorHAnsi" w:hAnsiTheme="majorHAnsi"/>
                <w:b/>
                <w:noProof/>
                <w:lang w:val="ro-MD"/>
              </w:rPr>
              <w:t xml:space="preserve">м </w:t>
            </w:r>
            <w:r w:rsidR="001E5179" w:rsidRPr="00252AE9">
              <w:rPr>
                <w:rStyle w:val="a4"/>
                <w:rFonts w:asciiTheme="majorHAnsi" w:hAnsiTheme="majorHAnsi"/>
                <w:b/>
                <w:noProof/>
                <w:lang w:val="ru-RU"/>
              </w:rPr>
              <w:t>порядке</w:t>
            </w:r>
            <w:r w:rsidR="001E5179" w:rsidRPr="00252AE9">
              <w:rPr>
                <w:rStyle w:val="a4"/>
                <w:rFonts w:asciiTheme="majorHAnsi" w:hAnsiTheme="majorHAnsi"/>
                <w:b/>
                <w:noProof/>
                <w:lang w:val="ro-MD"/>
              </w:rPr>
              <w:t>.</w:t>
            </w:r>
            <w:r w:rsidR="001E5179">
              <w:rPr>
                <w:noProof/>
                <w:webHidden/>
              </w:rPr>
              <w:tab/>
            </w:r>
            <w:r w:rsidR="001E5179">
              <w:rPr>
                <w:noProof/>
                <w:webHidden/>
              </w:rPr>
              <w:fldChar w:fldCharType="begin"/>
            </w:r>
            <w:r w:rsidR="001E5179">
              <w:rPr>
                <w:noProof/>
                <w:webHidden/>
              </w:rPr>
              <w:instrText xml:space="preserve"> PAGEREF _Toc158317233 \h </w:instrText>
            </w:r>
            <w:r w:rsidR="001E5179">
              <w:rPr>
                <w:noProof/>
                <w:webHidden/>
              </w:rPr>
            </w:r>
            <w:r w:rsidR="001E5179">
              <w:rPr>
                <w:noProof/>
                <w:webHidden/>
              </w:rPr>
              <w:fldChar w:fldCharType="separate"/>
            </w:r>
            <w:r w:rsidR="001E5179">
              <w:rPr>
                <w:noProof/>
                <w:webHidden/>
              </w:rPr>
              <w:t>22</w:t>
            </w:r>
            <w:r w:rsidR="001E5179">
              <w:rPr>
                <w:noProof/>
                <w:webHidden/>
              </w:rPr>
              <w:fldChar w:fldCharType="end"/>
            </w:r>
          </w:hyperlink>
        </w:p>
        <w:p w14:paraId="68F9B71A" w14:textId="339661DD" w:rsidR="001E5179" w:rsidRDefault="001E562B">
          <w:pPr>
            <w:pStyle w:val="32"/>
            <w:tabs>
              <w:tab w:val="left" w:pos="1320"/>
              <w:tab w:val="right" w:leader="dot" w:pos="9771"/>
            </w:tabs>
            <w:rPr>
              <w:rFonts w:eastAsiaTheme="minorEastAsia"/>
              <w:noProof/>
              <w:lang w:val="ru-RU" w:eastAsia="ru-RU"/>
            </w:rPr>
          </w:pPr>
          <w:hyperlink w:anchor="_Toc158317234" w:history="1">
            <w:r w:rsidR="001E5179" w:rsidRPr="00252AE9">
              <w:rPr>
                <w:rStyle w:val="a4"/>
                <w:rFonts w:asciiTheme="majorHAnsi" w:hAnsiTheme="majorHAnsi" w:cstheme="majorHAnsi"/>
                <w:b/>
                <w:bCs/>
                <w:iCs/>
                <w:noProof/>
                <w:lang w:val="ro-MD"/>
              </w:rPr>
              <w:t>4.1.9.</w:t>
            </w:r>
            <w:r w:rsidR="001E5179">
              <w:rPr>
                <w:rFonts w:eastAsiaTheme="minorEastAsia"/>
                <w:noProof/>
                <w:lang w:val="ru-RU" w:eastAsia="ru-RU"/>
              </w:rPr>
              <w:tab/>
            </w:r>
            <w:r w:rsidR="001E5179" w:rsidRPr="00252AE9">
              <w:rPr>
                <w:rStyle w:val="a4"/>
                <w:rFonts w:asciiTheme="majorHAnsi" w:hAnsiTheme="majorHAnsi" w:cstheme="majorHAnsi"/>
                <w:b/>
                <w:bCs/>
                <w:iCs/>
                <w:noProof/>
                <w:lang w:val="ro-MD"/>
              </w:rPr>
              <w:t xml:space="preserve">Некоторые медицинские приборы и оборудование на сумму 1 126,1 тыс. леев, полученные на безвозмездной основе в виде гуманитарной помощи и распределенные в пользование, не используются по назначению, а хранятся в отделениях вновом состоянии, некоторые </w:t>
            </w:r>
            <w:r w:rsidR="001E5179" w:rsidRPr="00252AE9">
              <w:rPr>
                <w:rStyle w:val="a4"/>
                <w:rFonts w:asciiTheme="majorHAnsi" w:hAnsiTheme="majorHAnsi" w:cstheme="majorHAnsi"/>
                <w:b/>
                <w:bCs/>
                <w:iCs/>
                <w:noProof/>
                <w:lang w:val="ru-RU"/>
              </w:rPr>
              <w:t xml:space="preserve">из них </w:t>
            </w:r>
            <w:r w:rsidR="001E5179" w:rsidRPr="00252AE9">
              <w:rPr>
                <w:rStyle w:val="a4"/>
                <w:rFonts w:asciiTheme="majorHAnsi" w:hAnsiTheme="majorHAnsi" w:cstheme="majorHAnsi"/>
                <w:b/>
                <w:bCs/>
                <w:iCs/>
                <w:noProof/>
                <w:lang w:val="ro-MD"/>
              </w:rPr>
              <w:t>на протяжении более 10 лет.</w:t>
            </w:r>
            <w:r w:rsidR="001E5179">
              <w:rPr>
                <w:noProof/>
                <w:webHidden/>
              </w:rPr>
              <w:tab/>
            </w:r>
            <w:r w:rsidR="001E5179">
              <w:rPr>
                <w:noProof/>
                <w:webHidden/>
              </w:rPr>
              <w:fldChar w:fldCharType="begin"/>
            </w:r>
            <w:r w:rsidR="001E5179">
              <w:rPr>
                <w:noProof/>
                <w:webHidden/>
              </w:rPr>
              <w:instrText xml:space="preserve"> PAGEREF _Toc158317234 \h </w:instrText>
            </w:r>
            <w:r w:rsidR="001E5179">
              <w:rPr>
                <w:noProof/>
                <w:webHidden/>
              </w:rPr>
            </w:r>
            <w:r w:rsidR="001E5179">
              <w:rPr>
                <w:noProof/>
                <w:webHidden/>
              </w:rPr>
              <w:fldChar w:fldCharType="separate"/>
            </w:r>
            <w:r w:rsidR="001E5179">
              <w:rPr>
                <w:noProof/>
                <w:webHidden/>
              </w:rPr>
              <w:t>24</w:t>
            </w:r>
            <w:r w:rsidR="001E5179">
              <w:rPr>
                <w:noProof/>
                <w:webHidden/>
              </w:rPr>
              <w:fldChar w:fldCharType="end"/>
            </w:r>
          </w:hyperlink>
        </w:p>
        <w:p w14:paraId="4EF260F2" w14:textId="0D74A1C6" w:rsidR="001E5179" w:rsidRDefault="001E562B">
          <w:pPr>
            <w:pStyle w:val="32"/>
            <w:tabs>
              <w:tab w:val="left" w:pos="1320"/>
              <w:tab w:val="right" w:leader="dot" w:pos="9771"/>
            </w:tabs>
            <w:rPr>
              <w:rFonts w:eastAsiaTheme="minorEastAsia"/>
              <w:noProof/>
              <w:lang w:val="ru-RU" w:eastAsia="ru-RU"/>
            </w:rPr>
          </w:pPr>
          <w:hyperlink w:anchor="_Toc158317235" w:history="1">
            <w:r w:rsidR="001E5179" w:rsidRPr="00252AE9">
              <w:rPr>
                <w:rStyle w:val="a4"/>
                <w:rFonts w:cstheme="majorHAnsi"/>
                <w:b/>
                <w:noProof/>
              </w:rPr>
              <w:t>4.1.10.</w:t>
            </w:r>
            <w:r w:rsidR="001E5179">
              <w:rPr>
                <w:rFonts w:eastAsiaTheme="minorEastAsia"/>
                <w:noProof/>
                <w:lang w:val="ru-RU" w:eastAsia="ru-RU"/>
              </w:rPr>
              <w:tab/>
            </w:r>
            <w:r w:rsidR="001E5179" w:rsidRPr="00252AE9">
              <w:rPr>
                <w:rStyle w:val="a4"/>
                <w:rFonts w:cstheme="majorHAnsi"/>
                <w:b/>
                <w:noProof/>
              </w:rPr>
              <w:t xml:space="preserve">Субъект </w:t>
            </w:r>
            <w:r w:rsidR="001E5179" w:rsidRPr="00252AE9">
              <w:rPr>
                <w:rStyle w:val="a4"/>
                <w:rFonts w:cstheme="majorHAnsi"/>
                <w:b/>
                <w:noProof/>
                <w:lang w:val="ru-RU"/>
              </w:rPr>
              <w:t>сохраняет</w:t>
            </w:r>
            <w:r w:rsidR="001E5179" w:rsidRPr="00252AE9">
              <w:rPr>
                <w:rStyle w:val="a4"/>
                <w:rFonts w:cstheme="majorHAnsi"/>
                <w:b/>
                <w:noProof/>
              </w:rPr>
              <w:t xml:space="preserve"> на балансе медицинское оборудование на сумму 3 650,1 тыс. леев, которое является нефункциональным и изношенным, что приводит к необоснованному увеличению их остатка, по состоянию на30.06.2023, на ту же сумму.</w:t>
            </w:r>
            <w:r w:rsidR="001E5179">
              <w:rPr>
                <w:noProof/>
                <w:webHidden/>
              </w:rPr>
              <w:tab/>
            </w:r>
            <w:r w:rsidR="001E5179">
              <w:rPr>
                <w:noProof/>
                <w:webHidden/>
              </w:rPr>
              <w:fldChar w:fldCharType="begin"/>
            </w:r>
            <w:r w:rsidR="001E5179">
              <w:rPr>
                <w:noProof/>
                <w:webHidden/>
              </w:rPr>
              <w:instrText xml:space="preserve"> PAGEREF _Toc158317235 \h </w:instrText>
            </w:r>
            <w:r w:rsidR="001E5179">
              <w:rPr>
                <w:noProof/>
                <w:webHidden/>
              </w:rPr>
            </w:r>
            <w:r w:rsidR="001E5179">
              <w:rPr>
                <w:noProof/>
                <w:webHidden/>
              </w:rPr>
              <w:fldChar w:fldCharType="separate"/>
            </w:r>
            <w:r w:rsidR="001E5179">
              <w:rPr>
                <w:noProof/>
                <w:webHidden/>
              </w:rPr>
              <w:t>26</w:t>
            </w:r>
            <w:r w:rsidR="001E5179">
              <w:rPr>
                <w:noProof/>
                <w:webHidden/>
              </w:rPr>
              <w:fldChar w:fldCharType="end"/>
            </w:r>
          </w:hyperlink>
        </w:p>
        <w:p w14:paraId="437E1176" w14:textId="50736423" w:rsidR="001E5179" w:rsidRDefault="001E562B">
          <w:pPr>
            <w:pStyle w:val="32"/>
            <w:tabs>
              <w:tab w:val="left" w:pos="1320"/>
              <w:tab w:val="right" w:leader="dot" w:pos="9771"/>
            </w:tabs>
            <w:rPr>
              <w:rFonts w:eastAsiaTheme="minorEastAsia"/>
              <w:noProof/>
              <w:lang w:val="ru-RU" w:eastAsia="ru-RU"/>
            </w:rPr>
          </w:pPr>
          <w:hyperlink w:anchor="_Toc158317236" w:history="1">
            <w:r w:rsidR="001E5179" w:rsidRPr="00252AE9">
              <w:rPr>
                <w:rStyle w:val="a4"/>
                <w:rFonts w:asciiTheme="majorHAnsi" w:hAnsiTheme="majorHAnsi" w:cstheme="majorHAnsi"/>
                <w:b/>
                <w:noProof/>
                <w:lang w:val="ro-MD"/>
              </w:rPr>
              <w:t>4.1.11.</w:t>
            </w:r>
            <w:r w:rsidR="001E5179">
              <w:rPr>
                <w:rFonts w:eastAsiaTheme="minorEastAsia"/>
                <w:noProof/>
                <w:lang w:val="ru-RU" w:eastAsia="ru-RU"/>
              </w:rPr>
              <w:tab/>
            </w:r>
            <w:r w:rsidR="001E5179" w:rsidRPr="00252AE9">
              <w:rPr>
                <w:rStyle w:val="a4"/>
                <w:rFonts w:asciiTheme="majorHAnsi" w:hAnsiTheme="majorHAnsi" w:cstheme="majorHAnsi"/>
                <w:b/>
                <w:noProof/>
                <w:lang w:val="ro-MD"/>
              </w:rPr>
              <w:t>Некоторые медицинские приборы, введенные в эксплуатацию, не подвергались обязательной периодической проверке, и использовались в работе.</w:t>
            </w:r>
            <w:r w:rsidR="001E5179">
              <w:rPr>
                <w:noProof/>
                <w:webHidden/>
              </w:rPr>
              <w:tab/>
            </w:r>
            <w:r w:rsidR="001E5179">
              <w:rPr>
                <w:noProof/>
                <w:webHidden/>
              </w:rPr>
              <w:fldChar w:fldCharType="begin"/>
            </w:r>
            <w:r w:rsidR="001E5179">
              <w:rPr>
                <w:noProof/>
                <w:webHidden/>
              </w:rPr>
              <w:instrText xml:space="preserve"> PAGEREF _Toc158317236 \h </w:instrText>
            </w:r>
            <w:r w:rsidR="001E5179">
              <w:rPr>
                <w:noProof/>
                <w:webHidden/>
              </w:rPr>
            </w:r>
            <w:r w:rsidR="001E5179">
              <w:rPr>
                <w:noProof/>
                <w:webHidden/>
              </w:rPr>
              <w:fldChar w:fldCharType="separate"/>
            </w:r>
            <w:r w:rsidR="001E5179">
              <w:rPr>
                <w:noProof/>
                <w:webHidden/>
              </w:rPr>
              <w:t>27</w:t>
            </w:r>
            <w:r w:rsidR="001E5179">
              <w:rPr>
                <w:noProof/>
                <w:webHidden/>
              </w:rPr>
              <w:fldChar w:fldCharType="end"/>
            </w:r>
          </w:hyperlink>
        </w:p>
        <w:p w14:paraId="5670A4C5" w14:textId="499218BE" w:rsidR="001E5179" w:rsidRDefault="001E562B" w:rsidP="001E5179">
          <w:pPr>
            <w:pStyle w:val="22"/>
            <w:tabs>
              <w:tab w:val="left" w:pos="880"/>
              <w:tab w:val="right" w:leader="dot" w:pos="9771"/>
            </w:tabs>
            <w:rPr>
              <w:rFonts w:eastAsiaTheme="minorEastAsia"/>
              <w:noProof/>
              <w:lang w:val="ru-RU" w:eastAsia="ru-RU"/>
            </w:rPr>
          </w:pPr>
          <w:hyperlink w:anchor="_Toc158317237" w:history="1">
            <w:r w:rsidR="001E5179" w:rsidRPr="00252AE9">
              <w:rPr>
                <w:rStyle w:val="a4"/>
                <w:rFonts w:asciiTheme="majorHAnsi" w:hAnsiTheme="majorHAnsi" w:cstheme="majorHAnsi"/>
                <w:b/>
                <w:noProof/>
                <w:lang w:val="ro-MD"/>
              </w:rPr>
              <w:t>4.2.</w:t>
            </w:r>
            <w:r w:rsidR="001E5179">
              <w:rPr>
                <w:rFonts w:eastAsiaTheme="minorEastAsia"/>
                <w:noProof/>
                <w:lang w:val="ru-RU" w:eastAsia="ru-RU"/>
              </w:rPr>
              <w:tab/>
            </w:r>
            <w:r w:rsidR="001E5179" w:rsidRPr="00252AE9">
              <w:rPr>
                <w:rStyle w:val="a4"/>
                <w:rFonts w:asciiTheme="majorHAnsi" w:hAnsiTheme="majorHAnsi" w:cstheme="majorHAnsi"/>
                <w:b/>
                <w:noProof/>
                <w:lang w:val="ro-MD"/>
              </w:rPr>
              <w:t>Механизмы внутреннего контроля, связанные с использованием финансовых ресурсов, должны быть разработаны, утверждены и укреплены для консолидации и надлежащего применения норм, регулирующих процессы оплаты труда, закупок, питания, участвующих в формировании цен</w:t>
            </w:r>
            <w:r w:rsidR="001E5179">
              <w:rPr>
                <w:rStyle w:val="a4"/>
                <w:rFonts w:asciiTheme="majorHAnsi" w:hAnsiTheme="majorHAnsi" w:cstheme="majorHAnsi"/>
                <w:b/>
                <w:noProof/>
                <w:lang w:val="ru-RU"/>
              </w:rPr>
              <w:t>.</w:t>
            </w:r>
            <w:r w:rsidR="001E5179" w:rsidRPr="00252AE9">
              <w:rPr>
                <w:rStyle w:val="a4"/>
                <w:rFonts w:asciiTheme="majorHAnsi" w:hAnsiTheme="majorHAnsi" w:cstheme="majorHAnsi"/>
                <w:b/>
                <w:noProof/>
                <w:lang w:val="ro-MD"/>
              </w:rPr>
              <w:t>.</w:t>
            </w:r>
            <w:r w:rsidR="001E5179">
              <w:rPr>
                <w:noProof/>
                <w:webHidden/>
              </w:rPr>
              <w:tab/>
            </w:r>
            <w:r w:rsidR="001E5179">
              <w:rPr>
                <w:noProof/>
                <w:webHidden/>
              </w:rPr>
              <w:fldChar w:fldCharType="begin"/>
            </w:r>
            <w:r w:rsidR="001E5179">
              <w:rPr>
                <w:noProof/>
                <w:webHidden/>
              </w:rPr>
              <w:instrText xml:space="preserve"> PAGEREF _Toc158317237 \h </w:instrText>
            </w:r>
            <w:r w:rsidR="001E5179">
              <w:rPr>
                <w:noProof/>
                <w:webHidden/>
              </w:rPr>
            </w:r>
            <w:r w:rsidR="001E5179">
              <w:rPr>
                <w:noProof/>
                <w:webHidden/>
              </w:rPr>
              <w:fldChar w:fldCharType="separate"/>
            </w:r>
            <w:r w:rsidR="001E5179">
              <w:rPr>
                <w:noProof/>
                <w:webHidden/>
              </w:rPr>
              <w:t>27</w:t>
            </w:r>
            <w:r w:rsidR="001E5179">
              <w:rPr>
                <w:noProof/>
                <w:webHidden/>
              </w:rPr>
              <w:fldChar w:fldCharType="end"/>
            </w:r>
          </w:hyperlink>
        </w:p>
        <w:p w14:paraId="3A6E0FA7" w14:textId="77E41C29" w:rsidR="001E5179" w:rsidRDefault="001E562B">
          <w:pPr>
            <w:pStyle w:val="32"/>
            <w:tabs>
              <w:tab w:val="left" w:pos="1320"/>
              <w:tab w:val="right" w:leader="dot" w:pos="9771"/>
            </w:tabs>
            <w:rPr>
              <w:rFonts w:eastAsiaTheme="minorEastAsia"/>
              <w:noProof/>
              <w:lang w:val="ru-RU" w:eastAsia="ru-RU"/>
            </w:rPr>
          </w:pPr>
          <w:hyperlink w:anchor="_Toc158317238" w:history="1">
            <w:r w:rsidR="001E5179" w:rsidRPr="00252AE9">
              <w:rPr>
                <w:rStyle w:val="a4"/>
                <w:rFonts w:asciiTheme="majorHAnsi" w:eastAsia="Times New Roman" w:hAnsiTheme="majorHAnsi" w:cstheme="majorHAnsi"/>
                <w:b/>
                <w:noProof/>
                <w:lang w:val="ro-MD"/>
              </w:rPr>
              <w:t>4.2.1.</w:t>
            </w:r>
            <w:r w:rsidR="001E5179">
              <w:rPr>
                <w:rFonts w:eastAsiaTheme="minorEastAsia"/>
                <w:noProof/>
                <w:lang w:val="ru-RU" w:eastAsia="ru-RU"/>
              </w:rPr>
              <w:tab/>
            </w:r>
            <w:r w:rsidR="001E5179" w:rsidRPr="00252AE9">
              <w:rPr>
                <w:rStyle w:val="a4"/>
                <w:rFonts w:asciiTheme="majorHAnsi" w:eastAsia="Times New Roman" w:hAnsiTheme="majorHAnsi" w:cstheme="majorHAnsi"/>
                <w:b/>
                <w:noProof/>
                <w:shd w:val="clear" w:color="auto" w:fill="FFFFFF"/>
                <w:lang w:val="ro-MD"/>
              </w:rPr>
              <w:t>Недостаточность институциональных механизмов контроля в рамках ПМСУ обусловила ненадлежащий расчет и выплату заработной платы некоторым лицам, не находящимся на территории Республики Молдова и, соответственно, на рабочем месте, что привело к необоснованным расходам в размере 47,1 тыс. леев.</w:t>
            </w:r>
            <w:r w:rsidR="001E5179">
              <w:rPr>
                <w:noProof/>
                <w:webHidden/>
              </w:rPr>
              <w:tab/>
            </w:r>
            <w:r w:rsidR="001E5179">
              <w:rPr>
                <w:noProof/>
                <w:webHidden/>
              </w:rPr>
              <w:fldChar w:fldCharType="begin"/>
            </w:r>
            <w:r w:rsidR="001E5179">
              <w:rPr>
                <w:noProof/>
                <w:webHidden/>
              </w:rPr>
              <w:instrText xml:space="preserve"> PAGEREF _Toc158317238 \h </w:instrText>
            </w:r>
            <w:r w:rsidR="001E5179">
              <w:rPr>
                <w:noProof/>
                <w:webHidden/>
              </w:rPr>
            </w:r>
            <w:r w:rsidR="001E5179">
              <w:rPr>
                <w:noProof/>
                <w:webHidden/>
              </w:rPr>
              <w:fldChar w:fldCharType="separate"/>
            </w:r>
            <w:r w:rsidR="001E5179">
              <w:rPr>
                <w:noProof/>
                <w:webHidden/>
              </w:rPr>
              <w:t>28</w:t>
            </w:r>
            <w:r w:rsidR="001E5179">
              <w:rPr>
                <w:noProof/>
                <w:webHidden/>
              </w:rPr>
              <w:fldChar w:fldCharType="end"/>
            </w:r>
          </w:hyperlink>
        </w:p>
        <w:p w14:paraId="2B5B5DB3" w14:textId="006CDB56" w:rsidR="001E5179" w:rsidRDefault="001E562B">
          <w:pPr>
            <w:pStyle w:val="32"/>
            <w:tabs>
              <w:tab w:val="left" w:pos="1320"/>
              <w:tab w:val="right" w:leader="dot" w:pos="9771"/>
            </w:tabs>
            <w:rPr>
              <w:rFonts w:eastAsiaTheme="minorEastAsia"/>
              <w:noProof/>
              <w:lang w:val="ru-RU" w:eastAsia="ru-RU"/>
            </w:rPr>
          </w:pPr>
          <w:hyperlink w:anchor="_Toc158317239" w:history="1">
            <w:r w:rsidR="001E5179" w:rsidRPr="00252AE9">
              <w:rPr>
                <w:rStyle w:val="a4"/>
                <w:rFonts w:cstheme="majorHAnsi"/>
                <w:b/>
                <w:noProof/>
                <w:lang w:eastAsia="ro-RO"/>
              </w:rPr>
              <w:t>4.2.2.</w:t>
            </w:r>
            <w:r w:rsidR="001E5179">
              <w:rPr>
                <w:rFonts w:eastAsiaTheme="minorEastAsia"/>
                <w:noProof/>
                <w:lang w:val="ru-RU" w:eastAsia="ru-RU"/>
              </w:rPr>
              <w:tab/>
            </w:r>
            <w:r w:rsidR="001E5179" w:rsidRPr="00252AE9">
              <w:rPr>
                <w:rStyle w:val="a4"/>
                <w:rFonts w:cstheme="majorHAnsi"/>
                <w:b/>
                <w:noProof/>
                <w:lang w:eastAsia="ro-RO"/>
              </w:rPr>
              <w:t>Менеджер ПМСУ ИФП "Кирилл Драганюк" не обеспечил в полной мере назначение, согласно приказам, персонала, непосредственно задействованного в лечении пациентов, инфицированных COVID-19, что обусловило ненадлежащую отчетность, запрос и выделение дополнительных финансовых средств из ФОМС в сумме 110,0 тыс. леев</w:t>
            </w:r>
            <w:r w:rsidR="001E5179" w:rsidRPr="00252AE9">
              <w:rPr>
                <w:rStyle w:val="a4"/>
                <w:rFonts w:cstheme="majorHAnsi"/>
                <w:b/>
                <w:noProof/>
              </w:rPr>
              <w:t>.</w:t>
            </w:r>
            <w:r w:rsidR="001E5179">
              <w:rPr>
                <w:noProof/>
                <w:webHidden/>
              </w:rPr>
              <w:tab/>
            </w:r>
            <w:r w:rsidR="001E5179">
              <w:rPr>
                <w:noProof/>
                <w:webHidden/>
              </w:rPr>
              <w:fldChar w:fldCharType="begin"/>
            </w:r>
            <w:r w:rsidR="001E5179">
              <w:rPr>
                <w:noProof/>
                <w:webHidden/>
              </w:rPr>
              <w:instrText xml:space="preserve"> PAGEREF _Toc158317239 \h </w:instrText>
            </w:r>
            <w:r w:rsidR="001E5179">
              <w:rPr>
                <w:noProof/>
                <w:webHidden/>
              </w:rPr>
            </w:r>
            <w:r w:rsidR="001E5179">
              <w:rPr>
                <w:noProof/>
                <w:webHidden/>
              </w:rPr>
              <w:fldChar w:fldCharType="separate"/>
            </w:r>
            <w:r w:rsidR="001E5179">
              <w:rPr>
                <w:noProof/>
                <w:webHidden/>
              </w:rPr>
              <w:t>29</w:t>
            </w:r>
            <w:r w:rsidR="001E5179">
              <w:rPr>
                <w:noProof/>
                <w:webHidden/>
              </w:rPr>
              <w:fldChar w:fldCharType="end"/>
            </w:r>
          </w:hyperlink>
        </w:p>
        <w:p w14:paraId="6B26624F" w14:textId="54CDB8E8" w:rsidR="001E5179" w:rsidRDefault="001E562B">
          <w:pPr>
            <w:pStyle w:val="32"/>
            <w:tabs>
              <w:tab w:val="left" w:pos="1320"/>
              <w:tab w:val="right" w:leader="dot" w:pos="9771"/>
            </w:tabs>
            <w:rPr>
              <w:rFonts w:eastAsiaTheme="minorEastAsia"/>
              <w:noProof/>
              <w:lang w:val="ru-RU" w:eastAsia="ru-RU"/>
            </w:rPr>
          </w:pPr>
          <w:hyperlink w:anchor="_Toc158317240" w:history="1">
            <w:r w:rsidR="001E5179" w:rsidRPr="00252AE9">
              <w:rPr>
                <w:rStyle w:val="a4"/>
                <w:rFonts w:asciiTheme="majorHAnsi" w:hAnsiTheme="majorHAnsi" w:cstheme="majorHAnsi"/>
                <w:b/>
                <w:noProof/>
                <w:lang w:val="ro-MD"/>
              </w:rPr>
              <w:t>4.2.3.</w:t>
            </w:r>
            <w:r w:rsidR="001E5179">
              <w:rPr>
                <w:rFonts w:eastAsiaTheme="minorEastAsia"/>
                <w:noProof/>
                <w:lang w:val="ru-RU" w:eastAsia="ru-RU"/>
              </w:rPr>
              <w:tab/>
            </w:r>
            <w:r w:rsidR="001E5179" w:rsidRPr="00252AE9">
              <w:rPr>
                <w:rStyle w:val="a4"/>
                <w:rFonts w:asciiTheme="majorHAnsi" w:hAnsiTheme="majorHAnsi" w:cstheme="majorHAnsi"/>
                <w:b/>
                <w:bCs/>
                <w:noProof/>
                <w:lang w:val="ro-MD"/>
              </w:rPr>
              <w:t>Недостаточный внутренний контроль в рамках субъекта привел к использованию публичных средств на оплату труда с несением необоснованных расходов в размере 63,4 тыс. леев.</w:t>
            </w:r>
            <w:r w:rsidR="001E5179">
              <w:rPr>
                <w:noProof/>
                <w:webHidden/>
              </w:rPr>
              <w:tab/>
            </w:r>
            <w:r w:rsidR="001E5179">
              <w:rPr>
                <w:noProof/>
                <w:webHidden/>
              </w:rPr>
              <w:fldChar w:fldCharType="begin"/>
            </w:r>
            <w:r w:rsidR="001E5179">
              <w:rPr>
                <w:noProof/>
                <w:webHidden/>
              </w:rPr>
              <w:instrText xml:space="preserve"> PAGEREF _Toc158317240 \h </w:instrText>
            </w:r>
            <w:r w:rsidR="001E5179">
              <w:rPr>
                <w:noProof/>
                <w:webHidden/>
              </w:rPr>
            </w:r>
            <w:r w:rsidR="001E5179">
              <w:rPr>
                <w:noProof/>
                <w:webHidden/>
              </w:rPr>
              <w:fldChar w:fldCharType="separate"/>
            </w:r>
            <w:r w:rsidR="001E5179">
              <w:rPr>
                <w:noProof/>
                <w:webHidden/>
              </w:rPr>
              <w:t>31</w:t>
            </w:r>
            <w:r w:rsidR="001E5179">
              <w:rPr>
                <w:noProof/>
                <w:webHidden/>
              </w:rPr>
              <w:fldChar w:fldCharType="end"/>
            </w:r>
          </w:hyperlink>
        </w:p>
        <w:p w14:paraId="3A965913" w14:textId="035758DA" w:rsidR="001E5179" w:rsidRDefault="001E562B">
          <w:pPr>
            <w:pStyle w:val="32"/>
            <w:tabs>
              <w:tab w:val="left" w:pos="1320"/>
              <w:tab w:val="right" w:leader="dot" w:pos="9771"/>
            </w:tabs>
            <w:rPr>
              <w:rFonts w:eastAsiaTheme="minorEastAsia"/>
              <w:noProof/>
              <w:lang w:val="ru-RU" w:eastAsia="ru-RU"/>
            </w:rPr>
          </w:pPr>
          <w:hyperlink w:anchor="_Toc158317241" w:history="1">
            <w:r w:rsidR="001E5179" w:rsidRPr="00252AE9">
              <w:rPr>
                <w:rStyle w:val="a4"/>
                <w:rFonts w:asciiTheme="majorHAnsi" w:hAnsiTheme="majorHAnsi" w:cstheme="majorHAnsi"/>
                <w:b/>
                <w:noProof/>
                <w:lang w:val="ro-MD"/>
              </w:rPr>
              <w:t>4.2.4.</w:t>
            </w:r>
            <w:r w:rsidR="001E5179">
              <w:rPr>
                <w:rFonts w:eastAsiaTheme="minorEastAsia"/>
                <w:noProof/>
                <w:lang w:val="ru-RU" w:eastAsia="ru-RU"/>
              </w:rPr>
              <w:tab/>
            </w:r>
            <w:r w:rsidR="001E5179" w:rsidRPr="00252AE9">
              <w:rPr>
                <w:rStyle w:val="a4"/>
                <w:rFonts w:asciiTheme="majorHAnsi" w:hAnsiTheme="majorHAnsi" w:cstheme="majorHAnsi"/>
                <w:b/>
                <w:noProof/>
                <w:lang w:val="ro-MD"/>
              </w:rPr>
              <w:t>Накопление 6 770 неиспользованных дней ежегодного отпуска, оцениваемых в 4 648,5 тыс. леев, влечет за собой возможные дополнительные расходы и может повлиять на финансовую стабильность учреждения.</w:t>
            </w:r>
            <w:r w:rsidR="001E5179">
              <w:rPr>
                <w:noProof/>
                <w:webHidden/>
              </w:rPr>
              <w:tab/>
            </w:r>
            <w:r w:rsidR="001E5179">
              <w:rPr>
                <w:noProof/>
                <w:webHidden/>
              </w:rPr>
              <w:fldChar w:fldCharType="begin"/>
            </w:r>
            <w:r w:rsidR="001E5179">
              <w:rPr>
                <w:noProof/>
                <w:webHidden/>
              </w:rPr>
              <w:instrText xml:space="preserve"> PAGEREF _Toc158317241 \h </w:instrText>
            </w:r>
            <w:r w:rsidR="001E5179">
              <w:rPr>
                <w:noProof/>
                <w:webHidden/>
              </w:rPr>
            </w:r>
            <w:r w:rsidR="001E5179">
              <w:rPr>
                <w:noProof/>
                <w:webHidden/>
              </w:rPr>
              <w:fldChar w:fldCharType="separate"/>
            </w:r>
            <w:r w:rsidR="001E5179">
              <w:rPr>
                <w:noProof/>
                <w:webHidden/>
              </w:rPr>
              <w:t>32</w:t>
            </w:r>
            <w:r w:rsidR="001E5179">
              <w:rPr>
                <w:noProof/>
                <w:webHidden/>
              </w:rPr>
              <w:fldChar w:fldCharType="end"/>
            </w:r>
          </w:hyperlink>
        </w:p>
        <w:p w14:paraId="34E408CB" w14:textId="381DA69E" w:rsidR="001E5179" w:rsidRDefault="001E562B">
          <w:pPr>
            <w:pStyle w:val="32"/>
            <w:tabs>
              <w:tab w:val="left" w:pos="1320"/>
              <w:tab w:val="right" w:leader="dot" w:pos="9771"/>
            </w:tabs>
            <w:rPr>
              <w:rFonts w:eastAsiaTheme="minorEastAsia"/>
              <w:noProof/>
              <w:lang w:val="ru-RU" w:eastAsia="ru-RU"/>
            </w:rPr>
          </w:pPr>
          <w:hyperlink w:anchor="_Toc158317242" w:history="1">
            <w:r w:rsidR="001E5179" w:rsidRPr="00252AE9">
              <w:rPr>
                <w:rStyle w:val="a4"/>
                <w:rFonts w:asciiTheme="majorHAnsi" w:hAnsiTheme="majorHAnsi" w:cstheme="majorHAnsi"/>
                <w:b/>
                <w:noProof/>
                <w:lang w:val="ro-MD"/>
              </w:rPr>
              <w:t>4.2.5.</w:t>
            </w:r>
            <w:r w:rsidR="001E5179">
              <w:rPr>
                <w:rFonts w:eastAsiaTheme="minorEastAsia"/>
                <w:noProof/>
                <w:lang w:val="ru-RU" w:eastAsia="ru-RU"/>
              </w:rPr>
              <w:tab/>
            </w:r>
            <w:r w:rsidR="001E5179" w:rsidRPr="00252AE9">
              <w:rPr>
                <w:rStyle w:val="a4"/>
                <w:rFonts w:asciiTheme="majorHAnsi" w:hAnsiTheme="majorHAnsi" w:cstheme="majorHAnsi"/>
                <w:b/>
                <w:noProof/>
                <w:lang w:val="ro-MD"/>
              </w:rPr>
              <w:t xml:space="preserve">Ненадлежащая оценка реальных потребностей привела к проведению </w:t>
            </w:r>
            <w:r w:rsidR="001E5179" w:rsidRPr="00252AE9">
              <w:rPr>
                <w:rStyle w:val="a4"/>
                <w:rFonts w:asciiTheme="majorHAnsi" w:hAnsiTheme="majorHAnsi" w:cstheme="majorHAnsi"/>
                <w:b/>
                <w:noProof/>
                <w:lang w:val="ru-RU"/>
              </w:rPr>
              <w:t>за</w:t>
            </w:r>
            <w:r w:rsidR="001E5179" w:rsidRPr="00252AE9">
              <w:rPr>
                <w:rStyle w:val="a4"/>
                <w:rFonts w:asciiTheme="majorHAnsi" w:hAnsiTheme="majorHAnsi" w:cstheme="majorHAnsi"/>
                <w:b/>
                <w:noProof/>
                <w:lang w:val="ro-MD"/>
              </w:rPr>
              <w:t>купок вне плана закупок</w:t>
            </w:r>
            <w:r w:rsidR="001E5179" w:rsidRPr="00252AE9">
              <w:rPr>
                <w:rStyle w:val="a4"/>
                <w:rFonts w:asciiTheme="majorHAnsi" w:hAnsiTheme="majorHAnsi" w:cstheme="majorHAnsi"/>
                <w:b/>
                <w:noProof/>
                <w:lang w:val="ru-RU"/>
              </w:rPr>
              <w:t>,</w:t>
            </w:r>
            <w:r w:rsidR="001E5179" w:rsidRPr="00252AE9">
              <w:rPr>
                <w:rStyle w:val="a4"/>
                <w:rFonts w:asciiTheme="majorHAnsi" w:hAnsiTheme="majorHAnsi" w:cstheme="majorHAnsi"/>
                <w:b/>
                <w:noProof/>
                <w:lang w:val="ro-MD"/>
              </w:rPr>
              <w:t xml:space="preserve"> на сумму 247,9 тыс. леев.</w:t>
            </w:r>
            <w:r w:rsidR="001E5179">
              <w:rPr>
                <w:noProof/>
                <w:webHidden/>
              </w:rPr>
              <w:tab/>
            </w:r>
            <w:r w:rsidR="001E5179">
              <w:rPr>
                <w:noProof/>
                <w:webHidden/>
              </w:rPr>
              <w:fldChar w:fldCharType="begin"/>
            </w:r>
            <w:r w:rsidR="001E5179">
              <w:rPr>
                <w:noProof/>
                <w:webHidden/>
              </w:rPr>
              <w:instrText xml:space="preserve"> PAGEREF _Toc158317242 \h </w:instrText>
            </w:r>
            <w:r w:rsidR="001E5179">
              <w:rPr>
                <w:noProof/>
                <w:webHidden/>
              </w:rPr>
            </w:r>
            <w:r w:rsidR="001E5179">
              <w:rPr>
                <w:noProof/>
                <w:webHidden/>
              </w:rPr>
              <w:fldChar w:fldCharType="separate"/>
            </w:r>
            <w:r w:rsidR="001E5179">
              <w:rPr>
                <w:noProof/>
                <w:webHidden/>
              </w:rPr>
              <w:t>33</w:t>
            </w:r>
            <w:r w:rsidR="001E5179">
              <w:rPr>
                <w:noProof/>
                <w:webHidden/>
              </w:rPr>
              <w:fldChar w:fldCharType="end"/>
            </w:r>
          </w:hyperlink>
        </w:p>
        <w:p w14:paraId="2B3213E3" w14:textId="33047560" w:rsidR="001E5179" w:rsidRDefault="001E562B">
          <w:pPr>
            <w:pStyle w:val="32"/>
            <w:tabs>
              <w:tab w:val="left" w:pos="1320"/>
              <w:tab w:val="right" w:leader="dot" w:pos="9771"/>
            </w:tabs>
            <w:rPr>
              <w:rFonts w:eastAsiaTheme="minorEastAsia"/>
              <w:noProof/>
              <w:lang w:val="ru-RU" w:eastAsia="ru-RU"/>
            </w:rPr>
          </w:pPr>
          <w:hyperlink w:anchor="_Toc158317243" w:history="1">
            <w:r w:rsidR="001E5179" w:rsidRPr="00252AE9">
              <w:rPr>
                <w:rStyle w:val="a4"/>
                <w:rFonts w:asciiTheme="majorHAnsi" w:hAnsiTheme="majorHAnsi" w:cstheme="majorHAnsi"/>
                <w:b/>
                <w:noProof/>
                <w:lang w:val="ro-MD"/>
              </w:rPr>
              <w:t>4.2.6.</w:t>
            </w:r>
            <w:r w:rsidR="001E5179">
              <w:rPr>
                <w:rFonts w:eastAsiaTheme="minorEastAsia"/>
                <w:noProof/>
                <w:lang w:val="ru-RU" w:eastAsia="ru-RU"/>
              </w:rPr>
              <w:tab/>
            </w:r>
            <w:r w:rsidR="001E5179" w:rsidRPr="00252AE9">
              <w:rPr>
                <w:rStyle w:val="a4"/>
                <w:rFonts w:asciiTheme="majorHAnsi" w:hAnsiTheme="majorHAnsi" w:cstheme="majorHAnsi"/>
                <w:b/>
                <w:noProof/>
                <w:lang w:val="ro-MD"/>
              </w:rPr>
              <w:t>Несоблюдение нормативных положений обусловило дроблению государственных закупок путем заключения отдельных договоров для одного и того же предмета и с одним и тем же экономическим оператором, на сумму 777,8 тыс. леев  .</w:t>
            </w:r>
            <w:r w:rsidR="001E5179">
              <w:rPr>
                <w:noProof/>
                <w:webHidden/>
              </w:rPr>
              <w:tab/>
            </w:r>
            <w:r w:rsidR="001E5179">
              <w:rPr>
                <w:noProof/>
                <w:webHidden/>
              </w:rPr>
              <w:fldChar w:fldCharType="begin"/>
            </w:r>
            <w:r w:rsidR="001E5179">
              <w:rPr>
                <w:noProof/>
                <w:webHidden/>
              </w:rPr>
              <w:instrText xml:space="preserve"> PAGEREF _Toc158317243 \h </w:instrText>
            </w:r>
            <w:r w:rsidR="001E5179">
              <w:rPr>
                <w:noProof/>
                <w:webHidden/>
              </w:rPr>
            </w:r>
            <w:r w:rsidR="001E5179">
              <w:rPr>
                <w:noProof/>
                <w:webHidden/>
              </w:rPr>
              <w:fldChar w:fldCharType="separate"/>
            </w:r>
            <w:r w:rsidR="001E5179">
              <w:rPr>
                <w:noProof/>
                <w:webHidden/>
              </w:rPr>
              <w:t>34</w:t>
            </w:r>
            <w:r w:rsidR="001E5179">
              <w:rPr>
                <w:noProof/>
                <w:webHidden/>
              </w:rPr>
              <w:fldChar w:fldCharType="end"/>
            </w:r>
          </w:hyperlink>
        </w:p>
        <w:p w14:paraId="3B31B186" w14:textId="76797721" w:rsidR="001E5179" w:rsidRDefault="001E562B">
          <w:pPr>
            <w:pStyle w:val="32"/>
            <w:tabs>
              <w:tab w:val="left" w:pos="1320"/>
              <w:tab w:val="right" w:leader="dot" w:pos="9771"/>
            </w:tabs>
            <w:rPr>
              <w:rFonts w:eastAsiaTheme="minorEastAsia"/>
              <w:noProof/>
              <w:lang w:val="ru-RU" w:eastAsia="ru-RU"/>
            </w:rPr>
          </w:pPr>
          <w:hyperlink w:anchor="_Toc158317244" w:history="1">
            <w:r w:rsidR="001E5179" w:rsidRPr="00252AE9">
              <w:rPr>
                <w:rStyle w:val="a4"/>
                <w:rFonts w:asciiTheme="majorHAnsi" w:hAnsiTheme="majorHAnsi" w:cstheme="majorHAnsi"/>
                <w:b/>
                <w:noProof/>
                <w:lang w:val="ro-MD"/>
              </w:rPr>
              <w:t>4.2.7.</w:t>
            </w:r>
            <w:r w:rsidR="001E5179">
              <w:rPr>
                <w:rFonts w:eastAsiaTheme="minorEastAsia"/>
                <w:noProof/>
                <w:lang w:val="ru-RU" w:eastAsia="ru-RU"/>
              </w:rPr>
              <w:tab/>
            </w:r>
            <w:r w:rsidR="001E5179" w:rsidRPr="00252AE9">
              <w:rPr>
                <w:rStyle w:val="a4"/>
                <w:rFonts w:asciiTheme="majorHAnsi" w:hAnsiTheme="majorHAnsi" w:cstheme="majorHAnsi"/>
                <w:b/>
                <w:noProof/>
                <w:lang w:val="ro-MD"/>
              </w:rPr>
              <w:t>Процедура проведения закупок путем заключения договора о закупке небольшой стоимости на сумму 960,0 тыс. леев была присуждена неправильно, с несоблюдением установленных законодательством пороговых значений.</w:t>
            </w:r>
            <w:r w:rsidR="001E5179">
              <w:rPr>
                <w:noProof/>
                <w:webHidden/>
              </w:rPr>
              <w:tab/>
            </w:r>
            <w:r w:rsidR="001E5179">
              <w:rPr>
                <w:noProof/>
                <w:webHidden/>
              </w:rPr>
              <w:fldChar w:fldCharType="begin"/>
            </w:r>
            <w:r w:rsidR="001E5179">
              <w:rPr>
                <w:noProof/>
                <w:webHidden/>
              </w:rPr>
              <w:instrText xml:space="preserve"> PAGEREF _Toc158317244 \h </w:instrText>
            </w:r>
            <w:r w:rsidR="001E5179">
              <w:rPr>
                <w:noProof/>
                <w:webHidden/>
              </w:rPr>
            </w:r>
            <w:r w:rsidR="001E5179">
              <w:rPr>
                <w:noProof/>
                <w:webHidden/>
              </w:rPr>
              <w:fldChar w:fldCharType="separate"/>
            </w:r>
            <w:r w:rsidR="001E5179">
              <w:rPr>
                <w:noProof/>
                <w:webHidden/>
              </w:rPr>
              <w:t>35</w:t>
            </w:r>
            <w:r w:rsidR="001E5179">
              <w:rPr>
                <w:noProof/>
                <w:webHidden/>
              </w:rPr>
              <w:fldChar w:fldCharType="end"/>
            </w:r>
          </w:hyperlink>
        </w:p>
        <w:p w14:paraId="7C743525" w14:textId="7278A497" w:rsidR="001E5179" w:rsidRDefault="001E562B">
          <w:pPr>
            <w:pStyle w:val="32"/>
            <w:tabs>
              <w:tab w:val="left" w:pos="1320"/>
              <w:tab w:val="right" w:leader="dot" w:pos="9771"/>
            </w:tabs>
            <w:rPr>
              <w:rFonts w:eastAsiaTheme="minorEastAsia"/>
              <w:noProof/>
              <w:lang w:val="ru-RU" w:eastAsia="ru-RU"/>
            </w:rPr>
          </w:pPr>
          <w:hyperlink w:anchor="_Toc158317245" w:history="1">
            <w:r w:rsidR="001E5179" w:rsidRPr="00252AE9">
              <w:rPr>
                <w:rStyle w:val="a4"/>
                <w:rFonts w:asciiTheme="majorHAnsi" w:hAnsiTheme="majorHAnsi" w:cstheme="majorHAnsi"/>
                <w:b/>
                <w:noProof/>
                <w:lang w:val="ro-MD"/>
              </w:rPr>
              <w:t>4.2.8.</w:t>
            </w:r>
            <w:r w:rsidR="001E5179">
              <w:rPr>
                <w:rFonts w:eastAsiaTheme="minorEastAsia"/>
                <w:noProof/>
                <w:lang w:val="ru-RU" w:eastAsia="ru-RU"/>
              </w:rPr>
              <w:tab/>
            </w:r>
            <w:r w:rsidR="001E5179" w:rsidRPr="00252AE9">
              <w:rPr>
                <w:rStyle w:val="a4"/>
                <w:rFonts w:asciiTheme="majorHAnsi" w:hAnsiTheme="majorHAnsi" w:cstheme="majorHAnsi"/>
                <w:b/>
                <w:noProof/>
                <w:lang w:val="ro-MD"/>
              </w:rPr>
              <w:t>Процесс обеспечения питания пациентов не организован надлежащим образом, путем корреляции фактического количества пациентов с потребностями в пищевых продуктах, что создает риск несоблюдения действующих норм.</w:t>
            </w:r>
            <w:r w:rsidR="001E5179">
              <w:rPr>
                <w:noProof/>
                <w:webHidden/>
              </w:rPr>
              <w:tab/>
            </w:r>
            <w:r w:rsidR="001E5179">
              <w:rPr>
                <w:noProof/>
                <w:webHidden/>
              </w:rPr>
              <w:fldChar w:fldCharType="begin"/>
            </w:r>
            <w:r w:rsidR="001E5179">
              <w:rPr>
                <w:noProof/>
                <w:webHidden/>
              </w:rPr>
              <w:instrText xml:space="preserve"> PAGEREF _Toc158317245 \h </w:instrText>
            </w:r>
            <w:r w:rsidR="001E5179">
              <w:rPr>
                <w:noProof/>
                <w:webHidden/>
              </w:rPr>
            </w:r>
            <w:r w:rsidR="001E5179">
              <w:rPr>
                <w:noProof/>
                <w:webHidden/>
              </w:rPr>
              <w:fldChar w:fldCharType="separate"/>
            </w:r>
            <w:r w:rsidR="001E5179">
              <w:rPr>
                <w:noProof/>
                <w:webHidden/>
              </w:rPr>
              <w:t>36</w:t>
            </w:r>
            <w:r w:rsidR="001E5179">
              <w:rPr>
                <w:noProof/>
                <w:webHidden/>
              </w:rPr>
              <w:fldChar w:fldCharType="end"/>
            </w:r>
          </w:hyperlink>
        </w:p>
        <w:p w14:paraId="1127D9FC" w14:textId="118FB05C" w:rsidR="001E5179" w:rsidRDefault="001E562B">
          <w:pPr>
            <w:pStyle w:val="32"/>
            <w:tabs>
              <w:tab w:val="left" w:pos="1320"/>
              <w:tab w:val="right" w:leader="dot" w:pos="9771"/>
            </w:tabs>
            <w:rPr>
              <w:rFonts w:eastAsiaTheme="minorEastAsia"/>
              <w:noProof/>
              <w:lang w:val="ru-RU" w:eastAsia="ru-RU"/>
            </w:rPr>
          </w:pPr>
          <w:hyperlink w:anchor="_Toc158317246" w:history="1">
            <w:r w:rsidR="001E5179" w:rsidRPr="00252AE9">
              <w:rPr>
                <w:rStyle w:val="a4"/>
                <w:rFonts w:asciiTheme="majorHAnsi" w:hAnsiTheme="majorHAnsi" w:cstheme="majorHAnsi"/>
                <w:b/>
                <w:noProof/>
                <w:lang w:val="ro-MD"/>
              </w:rPr>
              <w:t>4.2.9.</w:t>
            </w:r>
            <w:r w:rsidR="001E5179">
              <w:rPr>
                <w:rFonts w:eastAsiaTheme="minorEastAsia"/>
                <w:noProof/>
                <w:lang w:val="ru-RU" w:eastAsia="ru-RU"/>
              </w:rPr>
              <w:tab/>
            </w:r>
            <w:r w:rsidR="001E5179" w:rsidRPr="00252AE9">
              <w:rPr>
                <w:rStyle w:val="a4"/>
                <w:rFonts w:asciiTheme="majorHAnsi" w:hAnsiTheme="majorHAnsi" w:cstheme="majorHAnsi"/>
                <w:b/>
                <w:noProof/>
                <w:lang w:val="ro-MD"/>
              </w:rPr>
              <w:t xml:space="preserve">Планирование потребностей в продуктах питания не основано на реальных данных, что привело к закупке продуктов питания в значительно меньшем </w:t>
            </w:r>
            <w:r w:rsidR="001E5179" w:rsidRPr="00252AE9">
              <w:rPr>
                <w:rStyle w:val="a4"/>
                <w:rFonts w:asciiTheme="majorHAnsi" w:hAnsiTheme="majorHAnsi" w:cstheme="majorHAnsi"/>
                <w:b/>
                <w:noProof/>
                <w:lang w:val="ru-RU"/>
              </w:rPr>
              <w:t>объем</w:t>
            </w:r>
            <w:r w:rsidR="001E5179" w:rsidRPr="00252AE9">
              <w:rPr>
                <w:rStyle w:val="a4"/>
                <w:rFonts w:asciiTheme="majorHAnsi" w:hAnsiTheme="majorHAnsi" w:cstheme="majorHAnsi"/>
                <w:b/>
                <w:noProof/>
                <w:lang w:val="ro-MD"/>
              </w:rPr>
              <w:t xml:space="preserve">е, чем </w:t>
            </w:r>
            <w:r w:rsidR="001E5179" w:rsidRPr="00252AE9">
              <w:rPr>
                <w:rStyle w:val="a4"/>
                <w:rFonts w:asciiTheme="majorHAnsi" w:hAnsiTheme="majorHAnsi" w:cstheme="majorHAnsi"/>
                <w:b/>
                <w:noProof/>
                <w:lang w:val="ru-RU"/>
              </w:rPr>
              <w:t>за</w:t>
            </w:r>
            <w:r w:rsidR="001E5179" w:rsidRPr="00252AE9">
              <w:rPr>
                <w:rStyle w:val="a4"/>
                <w:rFonts w:asciiTheme="majorHAnsi" w:hAnsiTheme="majorHAnsi" w:cstheme="majorHAnsi"/>
                <w:b/>
                <w:noProof/>
                <w:lang w:val="ro-MD"/>
              </w:rPr>
              <w:t>планирова</w:t>
            </w:r>
            <w:r w:rsidR="001E5179" w:rsidRPr="00252AE9">
              <w:rPr>
                <w:rStyle w:val="a4"/>
                <w:rFonts w:asciiTheme="majorHAnsi" w:hAnsiTheme="majorHAnsi" w:cstheme="majorHAnsi"/>
                <w:b/>
                <w:noProof/>
                <w:lang w:val="ru-RU"/>
              </w:rPr>
              <w:t>нный</w:t>
            </w:r>
            <w:r w:rsidR="001E5179" w:rsidRPr="00252AE9">
              <w:rPr>
                <w:rStyle w:val="a4"/>
                <w:rFonts w:asciiTheme="majorHAnsi" w:hAnsiTheme="majorHAnsi" w:cstheme="majorHAnsi"/>
                <w:b/>
                <w:noProof/>
                <w:lang w:val="ro-MD"/>
              </w:rPr>
              <w:t>.</w:t>
            </w:r>
            <w:r w:rsidR="001E5179">
              <w:rPr>
                <w:noProof/>
                <w:webHidden/>
              </w:rPr>
              <w:tab/>
            </w:r>
            <w:r w:rsidR="001E5179">
              <w:rPr>
                <w:noProof/>
                <w:webHidden/>
              </w:rPr>
              <w:fldChar w:fldCharType="begin"/>
            </w:r>
            <w:r w:rsidR="001E5179">
              <w:rPr>
                <w:noProof/>
                <w:webHidden/>
              </w:rPr>
              <w:instrText xml:space="preserve"> PAGEREF _Toc158317246 \h </w:instrText>
            </w:r>
            <w:r w:rsidR="001E5179">
              <w:rPr>
                <w:noProof/>
                <w:webHidden/>
              </w:rPr>
            </w:r>
            <w:r w:rsidR="001E5179">
              <w:rPr>
                <w:noProof/>
                <w:webHidden/>
              </w:rPr>
              <w:fldChar w:fldCharType="separate"/>
            </w:r>
            <w:r w:rsidR="001E5179">
              <w:rPr>
                <w:noProof/>
                <w:webHidden/>
              </w:rPr>
              <w:t>37</w:t>
            </w:r>
            <w:r w:rsidR="001E5179">
              <w:rPr>
                <w:noProof/>
                <w:webHidden/>
              </w:rPr>
              <w:fldChar w:fldCharType="end"/>
            </w:r>
          </w:hyperlink>
        </w:p>
        <w:p w14:paraId="40E250AB" w14:textId="2ED3ED96" w:rsidR="001E5179" w:rsidRDefault="001E562B">
          <w:pPr>
            <w:pStyle w:val="32"/>
            <w:tabs>
              <w:tab w:val="left" w:pos="1320"/>
              <w:tab w:val="right" w:leader="dot" w:pos="9771"/>
            </w:tabs>
            <w:rPr>
              <w:rFonts w:eastAsiaTheme="minorEastAsia"/>
              <w:noProof/>
              <w:lang w:val="ru-RU" w:eastAsia="ru-RU"/>
            </w:rPr>
          </w:pPr>
          <w:hyperlink w:anchor="_Toc158317247" w:history="1">
            <w:r w:rsidR="001E5179" w:rsidRPr="00252AE9">
              <w:rPr>
                <w:rStyle w:val="a4"/>
                <w:rFonts w:asciiTheme="majorHAnsi" w:hAnsiTheme="majorHAnsi" w:cstheme="minorHAnsi"/>
                <w:b/>
                <w:noProof/>
                <w:lang w:val="ro-MD"/>
              </w:rPr>
              <w:t>4.2.10.</w:t>
            </w:r>
            <w:r w:rsidR="001E5179">
              <w:rPr>
                <w:rFonts w:eastAsiaTheme="minorEastAsia"/>
                <w:noProof/>
                <w:lang w:val="ru-RU" w:eastAsia="ru-RU"/>
              </w:rPr>
              <w:tab/>
            </w:r>
            <w:r w:rsidR="001E5179" w:rsidRPr="00252AE9">
              <w:rPr>
                <w:rStyle w:val="a4"/>
                <w:rFonts w:asciiTheme="majorHAnsi" w:hAnsiTheme="majorHAnsi" w:cstheme="minorHAnsi"/>
                <w:b/>
                <w:noProof/>
                <w:lang w:val="ro-MD"/>
              </w:rPr>
              <w:t>Стоимость материальных ценностей, полученных на безвозмездной основе, ниже чем сумма ожидаемого дохода от них, что указывает на занижение текущих доходов от пожертвований за периоды, предшествующие 2023 году.</w:t>
            </w:r>
            <w:r w:rsidR="001E5179">
              <w:rPr>
                <w:noProof/>
                <w:webHidden/>
              </w:rPr>
              <w:tab/>
            </w:r>
            <w:r w:rsidR="001E5179">
              <w:rPr>
                <w:noProof/>
                <w:webHidden/>
              </w:rPr>
              <w:fldChar w:fldCharType="begin"/>
            </w:r>
            <w:r w:rsidR="001E5179">
              <w:rPr>
                <w:noProof/>
                <w:webHidden/>
              </w:rPr>
              <w:instrText xml:space="preserve"> PAGEREF _Toc158317247 \h </w:instrText>
            </w:r>
            <w:r w:rsidR="001E5179">
              <w:rPr>
                <w:noProof/>
                <w:webHidden/>
              </w:rPr>
            </w:r>
            <w:r w:rsidR="001E5179">
              <w:rPr>
                <w:noProof/>
                <w:webHidden/>
              </w:rPr>
              <w:fldChar w:fldCharType="separate"/>
            </w:r>
            <w:r w:rsidR="001E5179">
              <w:rPr>
                <w:noProof/>
                <w:webHidden/>
              </w:rPr>
              <w:t>38</w:t>
            </w:r>
            <w:r w:rsidR="001E5179">
              <w:rPr>
                <w:noProof/>
                <w:webHidden/>
              </w:rPr>
              <w:fldChar w:fldCharType="end"/>
            </w:r>
          </w:hyperlink>
        </w:p>
        <w:p w14:paraId="453D8BD5" w14:textId="5599BB5F" w:rsidR="001E5179" w:rsidRDefault="001E562B">
          <w:pPr>
            <w:pStyle w:val="32"/>
            <w:tabs>
              <w:tab w:val="left" w:pos="1320"/>
              <w:tab w:val="right" w:leader="dot" w:pos="9771"/>
            </w:tabs>
            <w:rPr>
              <w:rFonts w:eastAsiaTheme="minorEastAsia"/>
              <w:noProof/>
              <w:lang w:val="ru-RU" w:eastAsia="ru-RU"/>
            </w:rPr>
          </w:pPr>
          <w:hyperlink w:anchor="_Toc158317248" w:history="1">
            <w:r w:rsidR="001E5179" w:rsidRPr="00252AE9">
              <w:rPr>
                <w:rStyle w:val="a4"/>
                <w:rFonts w:asciiTheme="majorHAnsi" w:hAnsiTheme="majorHAnsi" w:cstheme="minorHAnsi"/>
                <w:b/>
                <w:noProof/>
                <w:lang w:val="ro-MD"/>
              </w:rPr>
              <w:t>4.2.11.</w:t>
            </w:r>
            <w:r w:rsidR="001E5179">
              <w:rPr>
                <w:rFonts w:eastAsiaTheme="minorEastAsia"/>
                <w:noProof/>
                <w:lang w:val="ru-RU" w:eastAsia="ru-RU"/>
              </w:rPr>
              <w:tab/>
            </w:r>
            <w:r w:rsidR="001E5179" w:rsidRPr="00252AE9">
              <w:rPr>
                <w:rStyle w:val="a4"/>
                <w:rFonts w:asciiTheme="majorHAnsi" w:hAnsiTheme="majorHAnsi" w:cstheme="minorHAnsi"/>
                <w:b/>
                <w:noProof/>
                <w:lang w:val="ro-MD"/>
              </w:rPr>
              <w:t>Расходы, связанные с оказанными услугами, лежат в основе формирования тарифов, утвержденных Министерством здравоохранения.</w:t>
            </w:r>
            <w:r w:rsidR="001E5179">
              <w:rPr>
                <w:noProof/>
                <w:webHidden/>
              </w:rPr>
              <w:tab/>
            </w:r>
            <w:r w:rsidR="001E5179">
              <w:rPr>
                <w:noProof/>
                <w:webHidden/>
              </w:rPr>
              <w:fldChar w:fldCharType="begin"/>
            </w:r>
            <w:r w:rsidR="001E5179">
              <w:rPr>
                <w:noProof/>
                <w:webHidden/>
              </w:rPr>
              <w:instrText xml:space="preserve"> PAGEREF _Toc158317248 \h </w:instrText>
            </w:r>
            <w:r w:rsidR="001E5179">
              <w:rPr>
                <w:noProof/>
                <w:webHidden/>
              </w:rPr>
            </w:r>
            <w:r w:rsidR="001E5179">
              <w:rPr>
                <w:noProof/>
                <w:webHidden/>
              </w:rPr>
              <w:fldChar w:fldCharType="separate"/>
            </w:r>
            <w:r w:rsidR="001E5179">
              <w:rPr>
                <w:noProof/>
                <w:webHidden/>
              </w:rPr>
              <w:t>40</w:t>
            </w:r>
            <w:r w:rsidR="001E5179">
              <w:rPr>
                <w:noProof/>
                <w:webHidden/>
              </w:rPr>
              <w:fldChar w:fldCharType="end"/>
            </w:r>
          </w:hyperlink>
        </w:p>
        <w:p w14:paraId="652A50CE" w14:textId="25159365" w:rsidR="001E5179" w:rsidRDefault="001E562B">
          <w:pPr>
            <w:pStyle w:val="32"/>
            <w:tabs>
              <w:tab w:val="left" w:pos="1320"/>
              <w:tab w:val="right" w:leader="dot" w:pos="9771"/>
            </w:tabs>
            <w:rPr>
              <w:rFonts w:eastAsiaTheme="minorEastAsia"/>
              <w:noProof/>
              <w:lang w:val="ru-RU" w:eastAsia="ru-RU"/>
            </w:rPr>
          </w:pPr>
          <w:hyperlink w:anchor="_Toc158317249" w:history="1">
            <w:r w:rsidR="001E5179" w:rsidRPr="00252AE9">
              <w:rPr>
                <w:rStyle w:val="a4"/>
                <w:rFonts w:asciiTheme="majorHAnsi" w:hAnsiTheme="majorHAnsi" w:cstheme="minorHAnsi"/>
                <w:b/>
                <w:noProof/>
                <w:lang w:val="ro-MD"/>
              </w:rPr>
              <w:t>4.2.12.</w:t>
            </w:r>
            <w:r w:rsidR="001E5179">
              <w:rPr>
                <w:rFonts w:eastAsiaTheme="minorEastAsia"/>
                <w:noProof/>
                <w:lang w:val="ru-RU" w:eastAsia="ru-RU"/>
              </w:rPr>
              <w:tab/>
            </w:r>
            <w:r w:rsidR="001E5179" w:rsidRPr="00252AE9">
              <w:rPr>
                <w:rStyle w:val="a4"/>
                <w:rFonts w:asciiTheme="majorHAnsi" w:hAnsiTheme="majorHAnsi" w:cstheme="minorHAnsi"/>
                <w:b/>
                <w:noProof/>
                <w:lang w:val="ro-MD"/>
              </w:rPr>
              <w:t>Отсутствует отдельная законодательная база по регулированию ПМСУ на самофинансировании.</w:t>
            </w:r>
            <w:r w:rsidR="001E5179">
              <w:rPr>
                <w:noProof/>
                <w:webHidden/>
              </w:rPr>
              <w:tab/>
            </w:r>
            <w:r w:rsidR="001E5179">
              <w:rPr>
                <w:noProof/>
                <w:webHidden/>
              </w:rPr>
              <w:fldChar w:fldCharType="begin"/>
            </w:r>
            <w:r w:rsidR="001E5179">
              <w:rPr>
                <w:noProof/>
                <w:webHidden/>
              </w:rPr>
              <w:instrText xml:space="preserve"> PAGEREF _Toc158317249 \h </w:instrText>
            </w:r>
            <w:r w:rsidR="001E5179">
              <w:rPr>
                <w:noProof/>
                <w:webHidden/>
              </w:rPr>
            </w:r>
            <w:r w:rsidR="001E5179">
              <w:rPr>
                <w:noProof/>
                <w:webHidden/>
              </w:rPr>
              <w:fldChar w:fldCharType="separate"/>
            </w:r>
            <w:r w:rsidR="001E5179">
              <w:rPr>
                <w:noProof/>
                <w:webHidden/>
              </w:rPr>
              <w:t>41</w:t>
            </w:r>
            <w:r w:rsidR="001E5179">
              <w:rPr>
                <w:noProof/>
                <w:webHidden/>
              </w:rPr>
              <w:fldChar w:fldCharType="end"/>
            </w:r>
          </w:hyperlink>
        </w:p>
        <w:p w14:paraId="236AD44A" w14:textId="0DCDE65B" w:rsidR="001E5179" w:rsidRDefault="001E562B">
          <w:pPr>
            <w:pStyle w:val="32"/>
            <w:tabs>
              <w:tab w:val="left" w:pos="1320"/>
              <w:tab w:val="right" w:leader="dot" w:pos="9771"/>
            </w:tabs>
            <w:rPr>
              <w:rFonts w:eastAsiaTheme="minorEastAsia"/>
              <w:noProof/>
              <w:lang w:val="ru-RU" w:eastAsia="ru-RU"/>
            </w:rPr>
          </w:pPr>
          <w:hyperlink w:anchor="_Toc158317250" w:history="1">
            <w:r w:rsidR="001E5179" w:rsidRPr="00252AE9">
              <w:rPr>
                <w:rStyle w:val="a4"/>
                <w:rFonts w:asciiTheme="majorHAnsi" w:hAnsiTheme="majorHAnsi" w:cstheme="majorHAnsi"/>
                <w:b/>
                <w:noProof/>
                <w:lang w:val="ro-MD"/>
              </w:rPr>
              <w:t>4.2.13.</w:t>
            </w:r>
            <w:r w:rsidR="001E5179">
              <w:rPr>
                <w:rFonts w:eastAsiaTheme="minorEastAsia"/>
                <w:noProof/>
                <w:lang w:val="ru-RU" w:eastAsia="ru-RU"/>
              </w:rPr>
              <w:tab/>
            </w:r>
            <w:r w:rsidR="001E5179" w:rsidRPr="00252AE9">
              <w:rPr>
                <w:rStyle w:val="a4"/>
                <w:rFonts w:asciiTheme="majorHAnsi" w:hAnsiTheme="majorHAnsi" w:cstheme="majorHAnsi"/>
                <w:b/>
                <w:noProof/>
                <w:lang w:val="ro-MD"/>
              </w:rPr>
              <w:t>Управление противотуберкулезными препаратами осуществлялось в надлежащем порядке и обеспечивает своевременное лечение пациентов.</w:t>
            </w:r>
            <w:r w:rsidR="001E5179">
              <w:rPr>
                <w:noProof/>
                <w:webHidden/>
              </w:rPr>
              <w:tab/>
            </w:r>
            <w:r w:rsidR="001E5179">
              <w:rPr>
                <w:noProof/>
                <w:webHidden/>
              </w:rPr>
              <w:fldChar w:fldCharType="begin"/>
            </w:r>
            <w:r w:rsidR="001E5179">
              <w:rPr>
                <w:noProof/>
                <w:webHidden/>
              </w:rPr>
              <w:instrText xml:space="preserve"> PAGEREF _Toc158317250 \h </w:instrText>
            </w:r>
            <w:r w:rsidR="001E5179">
              <w:rPr>
                <w:noProof/>
                <w:webHidden/>
              </w:rPr>
            </w:r>
            <w:r w:rsidR="001E5179">
              <w:rPr>
                <w:noProof/>
                <w:webHidden/>
              </w:rPr>
              <w:fldChar w:fldCharType="separate"/>
            </w:r>
            <w:r w:rsidR="001E5179">
              <w:rPr>
                <w:noProof/>
                <w:webHidden/>
              </w:rPr>
              <w:t>42</w:t>
            </w:r>
            <w:r w:rsidR="001E5179">
              <w:rPr>
                <w:noProof/>
                <w:webHidden/>
              </w:rPr>
              <w:fldChar w:fldCharType="end"/>
            </w:r>
          </w:hyperlink>
        </w:p>
        <w:p w14:paraId="545EF279" w14:textId="1EDDA452" w:rsidR="001E5179" w:rsidRDefault="001E562B">
          <w:pPr>
            <w:pStyle w:val="32"/>
            <w:tabs>
              <w:tab w:val="left" w:pos="1320"/>
              <w:tab w:val="right" w:leader="dot" w:pos="9771"/>
            </w:tabs>
            <w:rPr>
              <w:rFonts w:eastAsiaTheme="minorEastAsia"/>
              <w:noProof/>
              <w:lang w:val="ru-RU" w:eastAsia="ru-RU"/>
            </w:rPr>
          </w:pPr>
          <w:hyperlink w:anchor="_Toc158317251" w:history="1">
            <w:r w:rsidR="001E5179" w:rsidRPr="00252AE9">
              <w:rPr>
                <w:rStyle w:val="a4"/>
                <w:rFonts w:asciiTheme="majorHAnsi" w:hAnsiTheme="majorHAnsi" w:cstheme="majorHAnsi"/>
                <w:b/>
                <w:noProof/>
                <w:lang w:val="ro-MD"/>
              </w:rPr>
              <w:t>4.2.14.</w:t>
            </w:r>
            <w:r w:rsidR="001E5179">
              <w:rPr>
                <w:rFonts w:eastAsiaTheme="minorEastAsia"/>
                <w:noProof/>
                <w:lang w:val="ru-RU" w:eastAsia="ru-RU"/>
              </w:rPr>
              <w:tab/>
            </w:r>
            <w:r w:rsidR="001E5179" w:rsidRPr="00252AE9">
              <w:rPr>
                <w:rStyle w:val="a4"/>
                <w:rFonts w:asciiTheme="majorHAnsi" w:hAnsiTheme="majorHAnsi" w:cstheme="majorHAnsi"/>
                <w:b/>
                <w:noProof/>
                <w:lang w:val="ro-MD"/>
              </w:rPr>
              <w:t>Рекомендации из Отчета аудита эффективности реализации Национальной программы по снижению бремени туберкулеза были реализованы.</w:t>
            </w:r>
            <w:r w:rsidR="001E5179">
              <w:rPr>
                <w:noProof/>
                <w:webHidden/>
              </w:rPr>
              <w:tab/>
            </w:r>
            <w:r w:rsidR="001E5179">
              <w:rPr>
                <w:noProof/>
                <w:webHidden/>
              </w:rPr>
              <w:fldChar w:fldCharType="begin"/>
            </w:r>
            <w:r w:rsidR="001E5179">
              <w:rPr>
                <w:noProof/>
                <w:webHidden/>
              </w:rPr>
              <w:instrText xml:space="preserve"> PAGEREF _Toc158317251 \h </w:instrText>
            </w:r>
            <w:r w:rsidR="001E5179">
              <w:rPr>
                <w:noProof/>
                <w:webHidden/>
              </w:rPr>
            </w:r>
            <w:r w:rsidR="001E5179">
              <w:rPr>
                <w:noProof/>
                <w:webHidden/>
              </w:rPr>
              <w:fldChar w:fldCharType="separate"/>
            </w:r>
            <w:r w:rsidR="001E5179">
              <w:rPr>
                <w:noProof/>
                <w:webHidden/>
              </w:rPr>
              <w:t>45</w:t>
            </w:r>
            <w:r w:rsidR="001E5179">
              <w:rPr>
                <w:noProof/>
                <w:webHidden/>
              </w:rPr>
              <w:fldChar w:fldCharType="end"/>
            </w:r>
          </w:hyperlink>
        </w:p>
        <w:p w14:paraId="5988F2C2" w14:textId="1B6C639F" w:rsidR="001E5179" w:rsidRDefault="001E562B">
          <w:pPr>
            <w:pStyle w:val="11"/>
            <w:tabs>
              <w:tab w:val="left" w:pos="440"/>
              <w:tab w:val="right" w:leader="dot" w:pos="9771"/>
            </w:tabs>
            <w:rPr>
              <w:rFonts w:eastAsiaTheme="minorEastAsia"/>
              <w:noProof/>
              <w:lang w:val="ru-RU" w:eastAsia="ru-RU"/>
            </w:rPr>
          </w:pPr>
          <w:hyperlink w:anchor="_Toc158317252" w:history="1">
            <w:r w:rsidR="001E5179" w:rsidRPr="00252AE9">
              <w:rPr>
                <w:rStyle w:val="a4"/>
                <w:rFonts w:asciiTheme="majorHAnsi" w:hAnsiTheme="majorHAnsi" w:cstheme="minorHAnsi"/>
                <w:b/>
                <w:noProof/>
                <w:lang w:val="ro-MD"/>
              </w:rPr>
              <w:t>V.</w:t>
            </w:r>
            <w:r w:rsidR="001E5179">
              <w:rPr>
                <w:rFonts w:eastAsiaTheme="minorEastAsia"/>
                <w:noProof/>
                <w:lang w:val="ru-RU" w:eastAsia="ru-RU"/>
              </w:rPr>
              <w:tab/>
            </w:r>
            <w:r w:rsidR="001E5179" w:rsidRPr="00252AE9">
              <w:rPr>
                <w:rStyle w:val="a4"/>
                <w:rFonts w:asciiTheme="majorHAnsi" w:hAnsiTheme="majorHAnsi" w:cstheme="minorHAnsi"/>
                <w:b/>
                <w:noProof/>
              </w:rPr>
              <w:t>ОБЩИЙ ВЫВОД</w:t>
            </w:r>
            <w:r w:rsidR="001E5179">
              <w:rPr>
                <w:noProof/>
                <w:webHidden/>
              </w:rPr>
              <w:tab/>
            </w:r>
            <w:r w:rsidR="001E5179">
              <w:rPr>
                <w:noProof/>
                <w:webHidden/>
              </w:rPr>
              <w:fldChar w:fldCharType="begin"/>
            </w:r>
            <w:r w:rsidR="001E5179">
              <w:rPr>
                <w:noProof/>
                <w:webHidden/>
              </w:rPr>
              <w:instrText xml:space="preserve"> PAGEREF _Toc158317252 \h </w:instrText>
            </w:r>
            <w:r w:rsidR="001E5179">
              <w:rPr>
                <w:noProof/>
                <w:webHidden/>
              </w:rPr>
            </w:r>
            <w:r w:rsidR="001E5179">
              <w:rPr>
                <w:noProof/>
                <w:webHidden/>
              </w:rPr>
              <w:fldChar w:fldCharType="separate"/>
            </w:r>
            <w:r w:rsidR="001E5179">
              <w:rPr>
                <w:noProof/>
                <w:webHidden/>
              </w:rPr>
              <w:t>45</w:t>
            </w:r>
            <w:r w:rsidR="001E5179">
              <w:rPr>
                <w:noProof/>
                <w:webHidden/>
              </w:rPr>
              <w:fldChar w:fldCharType="end"/>
            </w:r>
          </w:hyperlink>
        </w:p>
        <w:p w14:paraId="75D5DE68" w14:textId="7FDFDE84" w:rsidR="001E5179" w:rsidRDefault="001E562B">
          <w:pPr>
            <w:pStyle w:val="11"/>
            <w:tabs>
              <w:tab w:val="left" w:pos="660"/>
              <w:tab w:val="right" w:leader="dot" w:pos="9771"/>
            </w:tabs>
            <w:rPr>
              <w:rFonts w:eastAsiaTheme="minorEastAsia"/>
              <w:noProof/>
              <w:lang w:val="ru-RU" w:eastAsia="ru-RU"/>
            </w:rPr>
          </w:pPr>
          <w:hyperlink w:anchor="_Toc158317253" w:history="1">
            <w:r w:rsidR="001E5179" w:rsidRPr="00252AE9">
              <w:rPr>
                <w:rStyle w:val="a4"/>
                <w:rFonts w:asciiTheme="majorHAnsi" w:hAnsiTheme="majorHAnsi" w:cstheme="minorHAnsi"/>
                <w:b/>
                <w:noProof/>
                <w:lang w:val="ro-MD"/>
              </w:rPr>
              <w:t>VI.</w:t>
            </w:r>
            <w:r w:rsidR="001E5179">
              <w:rPr>
                <w:rFonts w:eastAsiaTheme="minorEastAsia"/>
                <w:noProof/>
                <w:lang w:val="ru-RU" w:eastAsia="ru-RU"/>
              </w:rPr>
              <w:tab/>
            </w:r>
            <w:r w:rsidR="001E5179" w:rsidRPr="00252AE9">
              <w:rPr>
                <w:rStyle w:val="a4"/>
                <w:rFonts w:asciiTheme="majorHAnsi" w:hAnsiTheme="majorHAnsi" w:cstheme="minorHAnsi"/>
                <w:b/>
                <w:noProof/>
              </w:rPr>
              <w:t>РЕКОМЕНДАЦИИ</w:t>
            </w:r>
            <w:r w:rsidR="001E5179">
              <w:rPr>
                <w:noProof/>
                <w:webHidden/>
              </w:rPr>
              <w:tab/>
            </w:r>
            <w:r w:rsidR="001E5179">
              <w:rPr>
                <w:noProof/>
                <w:webHidden/>
              </w:rPr>
              <w:fldChar w:fldCharType="begin"/>
            </w:r>
            <w:r w:rsidR="001E5179">
              <w:rPr>
                <w:noProof/>
                <w:webHidden/>
              </w:rPr>
              <w:instrText xml:space="preserve"> PAGEREF _Toc158317253 \h </w:instrText>
            </w:r>
            <w:r w:rsidR="001E5179">
              <w:rPr>
                <w:noProof/>
                <w:webHidden/>
              </w:rPr>
            </w:r>
            <w:r w:rsidR="001E5179">
              <w:rPr>
                <w:noProof/>
                <w:webHidden/>
              </w:rPr>
              <w:fldChar w:fldCharType="separate"/>
            </w:r>
            <w:r w:rsidR="001E5179">
              <w:rPr>
                <w:noProof/>
                <w:webHidden/>
              </w:rPr>
              <w:t>47</w:t>
            </w:r>
            <w:r w:rsidR="001E5179">
              <w:rPr>
                <w:noProof/>
                <w:webHidden/>
              </w:rPr>
              <w:fldChar w:fldCharType="end"/>
            </w:r>
          </w:hyperlink>
        </w:p>
        <w:p w14:paraId="28C22522" w14:textId="26A74FA4" w:rsidR="001E5179" w:rsidRDefault="001E562B">
          <w:pPr>
            <w:pStyle w:val="11"/>
            <w:tabs>
              <w:tab w:val="right" w:leader="dot" w:pos="9771"/>
            </w:tabs>
            <w:rPr>
              <w:rFonts w:eastAsiaTheme="minorEastAsia"/>
              <w:noProof/>
              <w:lang w:val="ru-RU" w:eastAsia="ru-RU"/>
            </w:rPr>
          </w:pPr>
          <w:hyperlink w:anchor="_Toc158317254" w:history="1">
            <w:r w:rsidR="001E5179" w:rsidRPr="00252AE9">
              <w:rPr>
                <w:rStyle w:val="a4"/>
                <w:rFonts w:asciiTheme="majorHAnsi" w:hAnsiTheme="majorHAnsi" w:cstheme="minorHAnsi"/>
                <w:b/>
                <w:noProof/>
                <w:lang w:val="ro-MD"/>
              </w:rPr>
              <w:t>ANEXE</w:t>
            </w:r>
            <w:r w:rsidR="001E5179">
              <w:rPr>
                <w:noProof/>
                <w:webHidden/>
              </w:rPr>
              <w:tab/>
            </w:r>
            <w:r w:rsidR="001E5179">
              <w:rPr>
                <w:noProof/>
                <w:webHidden/>
              </w:rPr>
              <w:fldChar w:fldCharType="begin"/>
            </w:r>
            <w:r w:rsidR="001E5179">
              <w:rPr>
                <w:noProof/>
                <w:webHidden/>
              </w:rPr>
              <w:instrText xml:space="preserve"> PAGEREF _Toc158317254 \h </w:instrText>
            </w:r>
            <w:r w:rsidR="001E5179">
              <w:rPr>
                <w:noProof/>
                <w:webHidden/>
              </w:rPr>
            </w:r>
            <w:r w:rsidR="001E5179">
              <w:rPr>
                <w:noProof/>
                <w:webHidden/>
              </w:rPr>
              <w:fldChar w:fldCharType="separate"/>
            </w:r>
            <w:r w:rsidR="001E5179">
              <w:rPr>
                <w:noProof/>
                <w:webHidden/>
              </w:rPr>
              <w:t>49</w:t>
            </w:r>
            <w:r w:rsidR="001E5179">
              <w:rPr>
                <w:noProof/>
                <w:webHidden/>
              </w:rPr>
              <w:fldChar w:fldCharType="end"/>
            </w:r>
          </w:hyperlink>
        </w:p>
        <w:p w14:paraId="3B174BD0" w14:textId="0D0740F0" w:rsidR="001E5179" w:rsidRDefault="001E562B">
          <w:pPr>
            <w:pStyle w:val="32"/>
            <w:tabs>
              <w:tab w:val="right" w:leader="dot" w:pos="9771"/>
            </w:tabs>
            <w:rPr>
              <w:rFonts w:eastAsiaTheme="minorEastAsia"/>
              <w:noProof/>
              <w:lang w:val="ru-RU" w:eastAsia="ru-RU"/>
            </w:rPr>
          </w:pPr>
          <w:hyperlink w:anchor="_Toc158317255" w:history="1">
            <w:r w:rsidR="001E5179" w:rsidRPr="00252AE9">
              <w:rPr>
                <w:rStyle w:val="a4"/>
                <w:rFonts w:cstheme="majorHAnsi"/>
                <w:b/>
                <w:iCs/>
                <w:noProof/>
              </w:rPr>
              <w:t>Anexa nr. 1</w:t>
            </w:r>
            <w:r w:rsidR="001E5179">
              <w:rPr>
                <w:noProof/>
                <w:webHidden/>
              </w:rPr>
              <w:tab/>
            </w:r>
            <w:r w:rsidR="001E5179">
              <w:rPr>
                <w:noProof/>
                <w:webHidden/>
              </w:rPr>
              <w:fldChar w:fldCharType="begin"/>
            </w:r>
            <w:r w:rsidR="001E5179">
              <w:rPr>
                <w:noProof/>
                <w:webHidden/>
              </w:rPr>
              <w:instrText xml:space="preserve"> PAGEREF _Toc158317255 \h </w:instrText>
            </w:r>
            <w:r w:rsidR="001E5179">
              <w:rPr>
                <w:noProof/>
                <w:webHidden/>
              </w:rPr>
            </w:r>
            <w:r w:rsidR="001E5179">
              <w:rPr>
                <w:noProof/>
                <w:webHidden/>
              </w:rPr>
              <w:fldChar w:fldCharType="separate"/>
            </w:r>
            <w:r w:rsidR="001E5179">
              <w:rPr>
                <w:noProof/>
                <w:webHidden/>
              </w:rPr>
              <w:t>49</w:t>
            </w:r>
            <w:r w:rsidR="001E5179">
              <w:rPr>
                <w:noProof/>
                <w:webHidden/>
              </w:rPr>
              <w:fldChar w:fldCharType="end"/>
            </w:r>
          </w:hyperlink>
        </w:p>
        <w:p w14:paraId="07C448D3" w14:textId="739130CF" w:rsidR="001E5179" w:rsidRDefault="001E562B">
          <w:pPr>
            <w:pStyle w:val="32"/>
            <w:tabs>
              <w:tab w:val="right" w:leader="dot" w:pos="9771"/>
            </w:tabs>
            <w:rPr>
              <w:rFonts w:eastAsiaTheme="minorEastAsia"/>
              <w:noProof/>
              <w:lang w:val="ru-RU" w:eastAsia="ru-RU"/>
            </w:rPr>
          </w:pPr>
          <w:hyperlink w:anchor="_Toc158317256" w:history="1">
            <w:r w:rsidR="001E5179" w:rsidRPr="00252AE9">
              <w:rPr>
                <w:rStyle w:val="a4"/>
                <w:rFonts w:cstheme="majorHAnsi"/>
                <w:b/>
                <w:iCs/>
                <w:noProof/>
              </w:rPr>
              <w:t>Anexa nr. 2</w:t>
            </w:r>
            <w:r w:rsidR="001E5179">
              <w:rPr>
                <w:noProof/>
                <w:webHidden/>
              </w:rPr>
              <w:tab/>
            </w:r>
            <w:r w:rsidR="001E5179">
              <w:rPr>
                <w:noProof/>
                <w:webHidden/>
              </w:rPr>
              <w:fldChar w:fldCharType="begin"/>
            </w:r>
            <w:r w:rsidR="001E5179">
              <w:rPr>
                <w:noProof/>
                <w:webHidden/>
              </w:rPr>
              <w:instrText xml:space="preserve"> PAGEREF _Toc158317256 \h </w:instrText>
            </w:r>
            <w:r w:rsidR="001E5179">
              <w:rPr>
                <w:noProof/>
                <w:webHidden/>
              </w:rPr>
            </w:r>
            <w:r w:rsidR="001E5179">
              <w:rPr>
                <w:noProof/>
                <w:webHidden/>
              </w:rPr>
              <w:fldChar w:fldCharType="separate"/>
            </w:r>
            <w:r w:rsidR="001E5179">
              <w:rPr>
                <w:noProof/>
                <w:webHidden/>
              </w:rPr>
              <w:t>50</w:t>
            </w:r>
            <w:r w:rsidR="001E5179">
              <w:rPr>
                <w:noProof/>
                <w:webHidden/>
              </w:rPr>
              <w:fldChar w:fldCharType="end"/>
            </w:r>
          </w:hyperlink>
        </w:p>
        <w:p w14:paraId="102A8D76" w14:textId="44A5423B" w:rsidR="001E5179" w:rsidRDefault="001E562B">
          <w:pPr>
            <w:pStyle w:val="32"/>
            <w:tabs>
              <w:tab w:val="right" w:leader="dot" w:pos="9771"/>
            </w:tabs>
            <w:rPr>
              <w:rFonts w:eastAsiaTheme="minorEastAsia"/>
              <w:noProof/>
              <w:lang w:val="ru-RU" w:eastAsia="ru-RU"/>
            </w:rPr>
          </w:pPr>
          <w:hyperlink w:anchor="_Toc158317257" w:history="1">
            <w:r w:rsidR="001E5179" w:rsidRPr="00252AE9">
              <w:rPr>
                <w:rStyle w:val="a4"/>
                <w:rFonts w:cstheme="majorHAnsi"/>
                <w:b/>
                <w:iCs/>
                <w:noProof/>
              </w:rPr>
              <w:t>Anexa nr. 3</w:t>
            </w:r>
            <w:r w:rsidR="001E5179">
              <w:rPr>
                <w:noProof/>
                <w:webHidden/>
              </w:rPr>
              <w:tab/>
            </w:r>
            <w:r w:rsidR="001E5179">
              <w:rPr>
                <w:noProof/>
                <w:webHidden/>
              </w:rPr>
              <w:fldChar w:fldCharType="begin"/>
            </w:r>
            <w:r w:rsidR="001E5179">
              <w:rPr>
                <w:noProof/>
                <w:webHidden/>
              </w:rPr>
              <w:instrText xml:space="preserve"> PAGEREF _Toc158317257 \h </w:instrText>
            </w:r>
            <w:r w:rsidR="001E5179">
              <w:rPr>
                <w:noProof/>
                <w:webHidden/>
              </w:rPr>
            </w:r>
            <w:r w:rsidR="001E5179">
              <w:rPr>
                <w:noProof/>
                <w:webHidden/>
              </w:rPr>
              <w:fldChar w:fldCharType="separate"/>
            </w:r>
            <w:r w:rsidR="001E5179">
              <w:rPr>
                <w:noProof/>
                <w:webHidden/>
              </w:rPr>
              <w:t>51</w:t>
            </w:r>
            <w:r w:rsidR="001E5179">
              <w:rPr>
                <w:noProof/>
                <w:webHidden/>
              </w:rPr>
              <w:fldChar w:fldCharType="end"/>
            </w:r>
          </w:hyperlink>
        </w:p>
        <w:p w14:paraId="4B81B44B" w14:textId="02A0C2C1" w:rsidR="001E5179" w:rsidRDefault="001E562B">
          <w:pPr>
            <w:pStyle w:val="32"/>
            <w:tabs>
              <w:tab w:val="right" w:leader="dot" w:pos="9771"/>
            </w:tabs>
            <w:rPr>
              <w:rFonts w:eastAsiaTheme="minorEastAsia"/>
              <w:noProof/>
              <w:lang w:val="ru-RU" w:eastAsia="ru-RU"/>
            </w:rPr>
          </w:pPr>
          <w:hyperlink w:anchor="_Toc158317258" w:history="1">
            <w:r w:rsidR="001E5179" w:rsidRPr="00252AE9">
              <w:rPr>
                <w:rStyle w:val="a4"/>
                <w:rFonts w:cstheme="majorHAnsi"/>
                <w:b/>
                <w:iCs/>
                <w:noProof/>
              </w:rPr>
              <w:t>Anexa nr. 4</w:t>
            </w:r>
            <w:r w:rsidR="001E5179">
              <w:rPr>
                <w:noProof/>
                <w:webHidden/>
              </w:rPr>
              <w:tab/>
            </w:r>
            <w:r w:rsidR="001E5179">
              <w:rPr>
                <w:noProof/>
                <w:webHidden/>
              </w:rPr>
              <w:fldChar w:fldCharType="begin"/>
            </w:r>
            <w:r w:rsidR="001E5179">
              <w:rPr>
                <w:noProof/>
                <w:webHidden/>
              </w:rPr>
              <w:instrText xml:space="preserve"> PAGEREF _Toc158317258 \h </w:instrText>
            </w:r>
            <w:r w:rsidR="001E5179">
              <w:rPr>
                <w:noProof/>
                <w:webHidden/>
              </w:rPr>
            </w:r>
            <w:r w:rsidR="001E5179">
              <w:rPr>
                <w:noProof/>
                <w:webHidden/>
              </w:rPr>
              <w:fldChar w:fldCharType="separate"/>
            </w:r>
            <w:r w:rsidR="001E5179">
              <w:rPr>
                <w:noProof/>
                <w:webHidden/>
              </w:rPr>
              <w:t>52</w:t>
            </w:r>
            <w:r w:rsidR="001E5179">
              <w:rPr>
                <w:noProof/>
                <w:webHidden/>
              </w:rPr>
              <w:fldChar w:fldCharType="end"/>
            </w:r>
          </w:hyperlink>
        </w:p>
        <w:p w14:paraId="49EE8593" w14:textId="231549E6" w:rsidR="001E5179" w:rsidRDefault="001E562B">
          <w:pPr>
            <w:pStyle w:val="32"/>
            <w:tabs>
              <w:tab w:val="right" w:leader="dot" w:pos="9771"/>
            </w:tabs>
            <w:rPr>
              <w:rFonts w:eastAsiaTheme="minorEastAsia"/>
              <w:noProof/>
              <w:lang w:val="ru-RU" w:eastAsia="ru-RU"/>
            </w:rPr>
          </w:pPr>
          <w:hyperlink w:anchor="_Toc158317259" w:history="1">
            <w:r w:rsidR="001E5179" w:rsidRPr="00252AE9">
              <w:rPr>
                <w:rStyle w:val="a4"/>
                <w:rFonts w:cstheme="majorHAnsi"/>
                <w:b/>
                <w:iCs/>
                <w:noProof/>
              </w:rPr>
              <w:t>Anexa nr. 5</w:t>
            </w:r>
            <w:r w:rsidR="001E5179">
              <w:rPr>
                <w:noProof/>
                <w:webHidden/>
              </w:rPr>
              <w:tab/>
            </w:r>
            <w:r w:rsidR="001E5179">
              <w:rPr>
                <w:noProof/>
                <w:webHidden/>
              </w:rPr>
              <w:fldChar w:fldCharType="begin"/>
            </w:r>
            <w:r w:rsidR="001E5179">
              <w:rPr>
                <w:noProof/>
                <w:webHidden/>
              </w:rPr>
              <w:instrText xml:space="preserve"> PAGEREF _Toc158317259 \h </w:instrText>
            </w:r>
            <w:r w:rsidR="001E5179">
              <w:rPr>
                <w:noProof/>
                <w:webHidden/>
              </w:rPr>
            </w:r>
            <w:r w:rsidR="001E5179">
              <w:rPr>
                <w:noProof/>
                <w:webHidden/>
              </w:rPr>
              <w:fldChar w:fldCharType="separate"/>
            </w:r>
            <w:r w:rsidR="001E5179">
              <w:rPr>
                <w:noProof/>
                <w:webHidden/>
              </w:rPr>
              <w:t>52</w:t>
            </w:r>
            <w:r w:rsidR="001E5179">
              <w:rPr>
                <w:noProof/>
                <w:webHidden/>
              </w:rPr>
              <w:fldChar w:fldCharType="end"/>
            </w:r>
          </w:hyperlink>
        </w:p>
        <w:p w14:paraId="5E873A8F" w14:textId="7003B207" w:rsidR="001E5179" w:rsidRDefault="001E562B">
          <w:pPr>
            <w:pStyle w:val="32"/>
            <w:tabs>
              <w:tab w:val="right" w:leader="dot" w:pos="9771"/>
            </w:tabs>
            <w:rPr>
              <w:rFonts w:eastAsiaTheme="minorEastAsia"/>
              <w:noProof/>
              <w:lang w:val="ru-RU" w:eastAsia="ru-RU"/>
            </w:rPr>
          </w:pPr>
          <w:hyperlink w:anchor="_Toc158317260" w:history="1">
            <w:r w:rsidR="001E5179" w:rsidRPr="00252AE9">
              <w:rPr>
                <w:rStyle w:val="a4"/>
                <w:rFonts w:cstheme="majorHAnsi"/>
                <w:b/>
                <w:iCs/>
                <w:noProof/>
              </w:rPr>
              <w:t>Anexa nr. 6</w:t>
            </w:r>
            <w:r w:rsidR="001E5179">
              <w:rPr>
                <w:noProof/>
                <w:webHidden/>
              </w:rPr>
              <w:tab/>
            </w:r>
            <w:r w:rsidR="001E5179">
              <w:rPr>
                <w:noProof/>
                <w:webHidden/>
              </w:rPr>
              <w:fldChar w:fldCharType="begin"/>
            </w:r>
            <w:r w:rsidR="001E5179">
              <w:rPr>
                <w:noProof/>
                <w:webHidden/>
              </w:rPr>
              <w:instrText xml:space="preserve"> PAGEREF _Toc158317260 \h </w:instrText>
            </w:r>
            <w:r w:rsidR="001E5179">
              <w:rPr>
                <w:noProof/>
                <w:webHidden/>
              </w:rPr>
            </w:r>
            <w:r w:rsidR="001E5179">
              <w:rPr>
                <w:noProof/>
                <w:webHidden/>
              </w:rPr>
              <w:fldChar w:fldCharType="separate"/>
            </w:r>
            <w:r w:rsidR="001E5179">
              <w:rPr>
                <w:noProof/>
                <w:webHidden/>
              </w:rPr>
              <w:t>52</w:t>
            </w:r>
            <w:r w:rsidR="001E5179">
              <w:rPr>
                <w:noProof/>
                <w:webHidden/>
              </w:rPr>
              <w:fldChar w:fldCharType="end"/>
            </w:r>
          </w:hyperlink>
        </w:p>
        <w:p w14:paraId="04DE57D8" w14:textId="3D10A915" w:rsidR="001E5179" w:rsidRDefault="001E562B">
          <w:pPr>
            <w:pStyle w:val="32"/>
            <w:tabs>
              <w:tab w:val="right" w:leader="dot" w:pos="9771"/>
            </w:tabs>
            <w:rPr>
              <w:rFonts w:eastAsiaTheme="minorEastAsia"/>
              <w:noProof/>
              <w:lang w:val="ru-RU" w:eastAsia="ru-RU"/>
            </w:rPr>
          </w:pPr>
          <w:hyperlink w:anchor="_Toc158317261" w:history="1">
            <w:r w:rsidR="001E5179" w:rsidRPr="00252AE9">
              <w:rPr>
                <w:rStyle w:val="a4"/>
                <w:rFonts w:cstheme="majorHAnsi"/>
                <w:b/>
                <w:iCs/>
                <w:noProof/>
              </w:rPr>
              <w:t>Anexa nr. 7</w:t>
            </w:r>
            <w:r w:rsidR="001E5179">
              <w:rPr>
                <w:noProof/>
                <w:webHidden/>
              </w:rPr>
              <w:tab/>
            </w:r>
            <w:r w:rsidR="001E5179">
              <w:rPr>
                <w:noProof/>
                <w:webHidden/>
              </w:rPr>
              <w:fldChar w:fldCharType="begin"/>
            </w:r>
            <w:r w:rsidR="001E5179">
              <w:rPr>
                <w:noProof/>
                <w:webHidden/>
              </w:rPr>
              <w:instrText xml:space="preserve"> PAGEREF _Toc158317261 \h </w:instrText>
            </w:r>
            <w:r w:rsidR="001E5179">
              <w:rPr>
                <w:noProof/>
                <w:webHidden/>
              </w:rPr>
            </w:r>
            <w:r w:rsidR="001E5179">
              <w:rPr>
                <w:noProof/>
                <w:webHidden/>
              </w:rPr>
              <w:fldChar w:fldCharType="separate"/>
            </w:r>
            <w:r w:rsidR="001E5179">
              <w:rPr>
                <w:noProof/>
                <w:webHidden/>
              </w:rPr>
              <w:t>53</w:t>
            </w:r>
            <w:r w:rsidR="001E5179">
              <w:rPr>
                <w:noProof/>
                <w:webHidden/>
              </w:rPr>
              <w:fldChar w:fldCharType="end"/>
            </w:r>
          </w:hyperlink>
        </w:p>
        <w:p w14:paraId="60DCAF6A" w14:textId="5459021F" w:rsidR="001E5179" w:rsidRDefault="001E562B">
          <w:pPr>
            <w:pStyle w:val="32"/>
            <w:tabs>
              <w:tab w:val="right" w:leader="dot" w:pos="9771"/>
            </w:tabs>
            <w:rPr>
              <w:rFonts w:eastAsiaTheme="minorEastAsia"/>
              <w:noProof/>
              <w:lang w:val="ru-RU" w:eastAsia="ru-RU"/>
            </w:rPr>
          </w:pPr>
          <w:hyperlink w:anchor="_Toc158317262" w:history="1">
            <w:r w:rsidR="001E5179" w:rsidRPr="00252AE9">
              <w:rPr>
                <w:rStyle w:val="a4"/>
                <w:b/>
                <w:bCs/>
                <w:noProof/>
                <w:kern w:val="24"/>
              </w:rPr>
              <w:t>Anexa nr. 8</w:t>
            </w:r>
            <w:r w:rsidR="001E5179">
              <w:rPr>
                <w:noProof/>
                <w:webHidden/>
              </w:rPr>
              <w:tab/>
            </w:r>
            <w:r w:rsidR="001E5179">
              <w:rPr>
                <w:noProof/>
                <w:webHidden/>
              </w:rPr>
              <w:fldChar w:fldCharType="begin"/>
            </w:r>
            <w:r w:rsidR="001E5179">
              <w:rPr>
                <w:noProof/>
                <w:webHidden/>
              </w:rPr>
              <w:instrText xml:space="preserve"> PAGEREF _Toc158317262 \h </w:instrText>
            </w:r>
            <w:r w:rsidR="001E5179">
              <w:rPr>
                <w:noProof/>
                <w:webHidden/>
              </w:rPr>
            </w:r>
            <w:r w:rsidR="001E5179">
              <w:rPr>
                <w:noProof/>
                <w:webHidden/>
              </w:rPr>
              <w:fldChar w:fldCharType="separate"/>
            </w:r>
            <w:r w:rsidR="001E5179">
              <w:rPr>
                <w:noProof/>
                <w:webHidden/>
              </w:rPr>
              <w:t>54</w:t>
            </w:r>
            <w:r w:rsidR="001E5179">
              <w:rPr>
                <w:noProof/>
                <w:webHidden/>
              </w:rPr>
              <w:fldChar w:fldCharType="end"/>
            </w:r>
          </w:hyperlink>
        </w:p>
        <w:p w14:paraId="0D426D52" w14:textId="101DC4DF" w:rsidR="001E5179" w:rsidRDefault="001E562B">
          <w:pPr>
            <w:pStyle w:val="32"/>
            <w:tabs>
              <w:tab w:val="right" w:leader="dot" w:pos="9771"/>
            </w:tabs>
            <w:rPr>
              <w:rFonts w:eastAsiaTheme="minorEastAsia"/>
              <w:noProof/>
              <w:lang w:val="ru-RU" w:eastAsia="ru-RU"/>
            </w:rPr>
          </w:pPr>
          <w:hyperlink w:anchor="_Toc158317263" w:history="1">
            <w:r w:rsidR="001E5179" w:rsidRPr="00252AE9">
              <w:rPr>
                <w:rStyle w:val="a4"/>
                <w:rFonts w:cstheme="majorHAnsi"/>
                <w:b/>
                <w:iCs/>
                <w:noProof/>
              </w:rPr>
              <w:t>Anexa nr. 9</w:t>
            </w:r>
            <w:r w:rsidR="001E5179">
              <w:rPr>
                <w:noProof/>
                <w:webHidden/>
              </w:rPr>
              <w:tab/>
            </w:r>
            <w:r w:rsidR="001E5179">
              <w:rPr>
                <w:noProof/>
                <w:webHidden/>
              </w:rPr>
              <w:fldChar w:fldCharType="begin"/>
            </w:r>
            <w:r w:rsidR="001E5179">
              <w:rPr>
                <w:noProof/>
                <w:webHidden/>
              </w:rPr>
              <w:instrText xml:space="preserve"> PAGEREF _Toc158317263 \h </w:instrText>
            </w:r>
            <w:r w:rsidR="001E5179">
              <w:rPr>
                <w:noProof/>
                <w:webHidden/>
              </w:rPr>
            </w:r>
            <w:r w:rsidR="001E5179">
              <w:rPr>
                <w:noProof/>
                <w:webHidden/>
              </w:rPr>
              <w:fldChar w:fldCharType="separate"/>
            </w:r>
            <w:r w:rsidR="001E5179">
              <w:rPr>
                <w:noProof/>
                <w:webHidden/>
              </w:rPr>
              <w:t>56</w:t>
            </w:r>
            <w:r w:rsidR="001E5179">
              <w:rPr>
                <w:noProof/>
                <w:webHidden/>
              </w:rPr>
              <w:fldChar w:fldCharType="end"/>
            </w:r>
          </w:hyperlink>
        </w:p>
        <w:p w14:paraId="4868A746" w14:textId="43815734" w:rsidR="001E5179" w:rsidRDefault="001E562B">
          <w:pPr>
            <w:pStyle w:val="32"/>
            <w:tabs>
              <w:tab w:val="right" w:leader="dot" w:pos="9771"/>
            </w:tabs>
            <w:rPr>
              <w:rFonts w:eastAsiaTheme="minorEastAsia"/>
              <w:noProof/>
              <w:lang w:val="ru-RU" w:eastAsia="ru-RU"/>
            </w:rPr>
          </w:pPr>
          <w:hyperlink w:anchor="_Toc158317264" w:history="1">
            <w:r w:rsidR="001E5179" w:rsidRPr="00252AE9">
              <w:rPr>
                <w:rStyle w:val="a4"/>
                <w:rFonts w:cstheme="majorHAnsi"/>
                <w:b/>
                <w:iCs/>
                <w:noProof/>
              </w:rPr>
              <w:t>Anexa nr. 10</w:t>
            </w:r>
            <w:r w:rsidR="001E5179">
              <w:rPr>
                <w:noProof/>
                <w:webHidden/>
              </w:rPr>
              <w:tab/>
            </w:r>
            <w:r w:rsidR="001E5179">
              <w:rPr>
                <w:noProof/>
                <w:webHidden/>
              </w:rPr>
              <w:fldChar w:fldCharType="begin"/>
            </w:r>
            <w:r w:rsidR="001E5179">
              <w:rPr>
                <w:noProof/>
                <w:webHidden/>
              </w:rPr>
              <w:instrText xml:space="preserve"> PAGEREF _Toc158317264 \h </w:instrText>
            </w:r>
            <w:r w:rsidR="001E5179">
              <w:rPr>
                <w:noProof/>
                <w:webHidden/>
              </w:rPr>
            </w:r>
            <w:r w:rsidR="001E5179">
              <w:rPr>
                <w:noProof/>
                <w:webHidden/>
              </w:rPr>
              <w:fldChar w:fldCharType="separate"/>
            </w:r>
            <w:r w:rsidR="001E5179">
              <w:rPr>
                <w:noProof/>
                <w:webHidden/>
              </w:rPr>
              <w:t>58</w:t>
            </w:r>
            <w:r w:rsidR="001E5179">
              <w:rPr>
                <w:noProof/>
                <w:webHidden/>
              </w:rPr>
              <w:fldChar w:fldCharType="end"/>
            </w:r>
          </w:hyperlink>
        </w:p>
        <w:p w14:paraId="71E60304" w14:textId="51ECAB9F" w:rsidR="001E5179" w:rsidRDefault="001E562B">
          <w:pPr>
            <w:pStyle w:val="32"/>
            <w:tabs>
              <w:tab w:val="right" w:leader="dot" w:pos="9771"/>
            </w:tabs>
            <w:rPr>
              <w:rFonts w:eastAsiaTheme="minorEastAsia"/>
              <w:noProof/>
              <w:lang w:val="ru-RU" w:eastAsia="ru-RU"/>
            </w:rPr>
          </w:pPr>
          <w:hyperlink w:anchor="_Toc158317265" w:history="1">
            <w:r w:rsidR="001E5179" w:rsidRPr="00252AE9">
              <w:rPr>
                <w:rStyle w:val="a4"/>
                <w:rFonts w:cstheme="majorHAnsi"/>
                <w:b/>
                <w:iCs/>
                <w:noProof/>
              </w:rPr>
              <w:t>Anexa nr. 11</w:t>
            </w:r>
            <w:r w:rsidR="001E5179">
              <w:rPr>
                <w:noProof/>
                <w:webHidden/>
              </w:rPr>
              <w:tab/>
            </w:r>
            <w:r w:rsidR="001E5179">
              <w:rPr>
                <w:noProof/>
                <w:webHidden/>
              </w:rPr>
              <w:fldChar w:fldCharType="begin"/>
            </w:r>
            <w:r w:rsidR="001E5179">
              <w:rPr>
                <w:noProof/>
                <w:webHidden/>
              </w:rPr>
              <w:instrText xml:space="preserve"> PAGEREF _Toc158317265 \h </w:instrText>
            </w:r>
            <w:r w:rsidR="001E5179">
              <w:rPr>
                <w:noProof/>
                <w:webHidden/>
              </w:rPr>
            </w:r>
            <w:r w:rsidR="001E5179">
              <w:rPr>
                <w:noProof/>
                <w:webHidden/>
              </w:rPr>
              <w:fldChar w:fldCharType="separate"/>
            </w:r>
            <w:r w:rsidR="001E5179">
              <w:rPr>
                <w:noProof/>
                <w:webHidden/>
              </w:rPr>
              <w:t>58</w:t>
            </w:r>
            <w:r w:rsidR="001E5179">
              <w:rPr>
                <w:noProof/>
                <w:webHidden/>
              </w:rPr>
              <w:fldChar w:fldCharType="end"/>
            </w:r>
          </w:hyperlink>
        </w:p>
        <w:p w14:paraId="200EA172" w14:textId="1BCF6B8A" w:rsidR="001E5179" w:rsidRDefault="001E562B">
          <w:pPr>
            <w:pStyle w:val="32"/>
            <w:tabs>
              <w:tab w:val="right" w:leader="dot" w:pos="9771"/>
            </w:tabs>
            <w:rPr>
              <w:rFonts w:eastAsiaTheme="minorEastAsia"/>
              <w:noProof/>
              <w:lang w:val="ru-RU" w:eastAsia="ru-RU"/>
            </w:rPr>
          </w:pPr>
          <w:hyperlink w:anchor="_Toc158317266" w:history="1">
            <w:r w:rsidR="001E5179" w:rsidRPr="00252AE9">
              <w:rPr>
                <w:rStyle w:val="a4"/>
                <w:b/>
                <w:noProof/>
              </w:rPr>
              <w:t>Anexa nr. 12</w:t>
            </w:r>
            <w:r w:rsidR="001E5179">
              <w:rPr>
                <w:noProof/>
                <w:webHidden/>
              </w:rPr>
              <w:tab/>
            </w:r>
            <w:r w:rsidR="001E5179">
              <w:rPr>
                <w:noProof/>
                <w:webHidden/>
              </w:rPr>
              <w:fldChar w:fldCharType="begin"/>
            </w:r>
            <w:r w:rsidR="001E5179">
              <w:rPr>
                <w:noProof/>
                <w:webHidden/>
              </w:rPr>
              <w:instrText xml:space="preserve"> PAGEREF _Toc158317266 \h </w:instrText>
            </w:r>
            <w:r w:rsidR="001E5179">
              <w:rPr>
                <w:noProof/>
                <w:webHidden/>
              </w:rPr>
            </w:r>
            <w:r w:rsidR="001E5179">
              <w:rPr>
                <w:noProof/>
                <w:webHidden/>
              </w:rPr>
              <w:fldChar w:fldCharType="separate"/>
            </w:r>
            <w:r w:rsidR="001E5179">
              <w:rPr>
                <w:noProof/>
                <w:webHidden/>
              </w:rPr>
              <w:t>58</w:t>
            </w:r>
            <w:r w:rsidR="001E5179">
              <w:rPr>
                <w:noProof/>
                <w:webHidden/>
              </w:rPr>
              <w:fldChar w:fldCharType="end"/>
            </w:r>
          </w:hyperlink>
        </w:p>
        <w:p w14:paraId="6C5468F4" w14:textId="6F87D281" w:rsidR="001E5179" w:rsidRDefault="001E562B">
          <w:pPr>
            <w:pStyle w:val="32"/>
            <w:tabs>
              <w:tab w:val="right" w:leader="dot" w:pos="9771"/>
            </w:tabs>
            <w:rPr>
              <w:rFonts w:eastAsiaTheme="minorEastAsia"/>
              <w:noProof/>
              <w:lang w:val="ru-RU" w:eastAsia="ru-RU"/>
            </w:rPr>
          </w:pPr>
          <w:hyperlink w:anchor="_Toc158317267" w:history="1">
            <w:r w:rsidR="001E5179" w:rsidRPr="00252AE9">
              <w:rPr>
                <w:rStyle w:val="a4"/>
                <w:rFonts w:cstheme="majorHAnsi"/>
                <w:b/>
                <w:iCs/>
                <w:noProof/>
              </w:rPr>
              <w:t>Anexa nr. 13</w:t>
            </w:r>
            <w:r w:rsidR="001E5179">
              <w:rPr>
                <w:noProof/>
                <w:webHidden/>
              </w:rPr>
              <w:tab/>
            </w:r>
            <w:r w:rsidR="001E5179">
              <w:rPr>
                <w:noProof/>
                <w:webHidden/>
              </w:rPr>
              <w:fldChar w:fldCharType="begin"/>
            </w:r>
            <w:r w:rsidR="001E5179">
              <w:rPr>
                <w:noProof/>
                <w:webHidden/>
              </w:rPr>
              <w:instrText xml:space="preserve"> PAGEREF _Toc158317267 \h </w:instrText>
            </w:r>
            <w:r w:rsidR="001E5179">
              <w:rPr>
                <w:noProof/>
                <w:webHidden/>
              </w:rPr>
            </w:r>
            <w:r w:rsidR="001E5179">
              <w:rPr>
                <w:noProof/>
                <w:webHidden/>
              </w:rPr>
              <w:fldChar w:fldCharType="separate"/>
            </w:r>
            <w:r w:rsidR="001E5179">
              <w:rPr>
                <w:noProof/>
                <w:webHidden/>
              </w:rPr>
              <w:t>59</w:t>
            </w:r>
            <w:r w:rsidR="001E5179">
              <w:rPr>
                <w:noProof/>
                <w:webHidden/>
              </w:rPr>
              <w:fldChar w:fldCharType="end"/>
            </w:r>
          </w:hyperlink>
        </w:p>
        <w:p w14:paraId="7D4B50F9" w14:textId="7635AA89" w:rsidR="001E5179" w:rsidRDefault="001E562B">
          <w:pPr>
            <w:pStyle w:val="32"/>
            <w:tabs>
              <w:tab w:val="right" w:leader="dot" w:pos="9771"/>
            </w:tabs>
            <w:rPr>
              <w:rFonts w:eastAsiaTheme="minorEastAsia"/>
              <w:noProof/>
              <w:lang w:val="ru-RU" w:eastAsia="ru-RU"/>
            </w:rPr>
          </w:pPr>
          <w:hyperlink w:anchor="_Toc158317268" w:history="1">
            <w:r w:rsidR="001E5179" w:rsidRPr="00252AE9">
              <w:rPr>
                <w:rStyle w:val="a4"/>
                <w:rFonts w:cstheme="majorHAnsi"/>
                <w:b/>
                <w:iCs/>
                <w:noProof/>
              </w:rPr>
              <w:t>Anexa nr. 14</w:t>
            </w:r>
            <w:r w:rsidR="001E5179">
              <w:rPr>
                <w:noProof/>
                <w:webHidden/>
              </w:rPr>
              <w:tab/>
            </w:r>
            <w:r w:rsidR="001E5179">
              <w:rPr>
                <w:noProof/>
                <w:webHidden/>
              </w:rPr>
              <w:fldChar w:fldCharType="begin"/>
            </w:r>
            <w:r w:rsidR="001E5179">
              <w:rPr>
                <w:noProof/>
                <w:webHidden/>
              </w:rPr>
              <w:instrText xml:space="preserve"> PAGEREF _Toc158317268 \h </w:instrText>
            </w:r>
            <w:r w:rsidR="001E5179">
              <w:rPr>
                <w:noProof/>
                <w:webHidden/>
              </w:rPr>
            </w:r>
            <w:r w:rsidR="001E5179">
              <w:rPr>
                <w:noProof/>
                <w:webHidden/>
              </w:rPr>
              <w:fldChar w:fldCharType="separate"/>
            </w:r>
            <w:r w:rsidR="001E5179">
              <w:rPr>
                <w:noProof/>
                <w:webHidden/>
              </w:rPr>
              <w:t>60</w:t>
            </w:r>
            <w:r w:rsidR="001E5179">
              <w:rPr>
                <w:noProof/>
                <w:webHidden/>
              </w:rPr>
              <w:fldChar w:fldCharType="end"/>
            </w:r>
          </w:hyperlink>
        </w:p>
        <w:p w14:paraId="4D6E55DF" w14:textId="46B56F55" w:rsidR="001E5179" w:rsidRDefault="001E562B">
          <w:pPr>
            <w:pStyle w:val="32"/>
            <w:tabs>
              <w:tab w:val="right" w:leader="dot" w:pos="9771"/>
            </w:tabs>
            <w:rPr>
              <w:rFonts w:eastAsiaTheme="minorEastAsia"/>
              <w:noProof/>
              <w:lang w:val="ru-RU" w:eastAsia="ru-RU"/>
            </w:rPr>
          </w:pPr>
          <w:hyperlink w:anchor="_Toc158317269" w:history="1">
            <w:r w:rsidR="001E5179" w:rsidRPr="00252AE9">
              <w:rPr>
                <w:rStyle w:val="a4"/>
                <w:rFonts w:cstheme="majorHAnsi"/>
                <w:b/>
                <w:iCs/>
                <w:noProof/>
              </w:rPr>
              <w:t>Anexa nr. 15</w:t>
            </w:r>
            <w:r w:rsidR="001E5179">
              <w:rPr>
                <w:noProof/>
                <w:webHidden/>
              </w:rPr>
              <w:tab/>
            </w:r>
            <w:r w:rsidR="001E5179">
              <w:rPr>
                <w:noProof/>
                <w:webHidden/>
              </w:rPr>
              <w:fldChar w:fldCharType="begin"/>
            </w:r>
            <w:r w:rsidR="001E5179">
              <w:rPr>
                <w:noProof/>
                <w:webHidden/>
              </w:rPr>
              <w:instrText xml:space="preserve"> PAGEREF _Toc158317269 \h </w:instrText>
            </w:r>
            <w:r w:rsidR="001E5179">
              <w:rPr>
                <w:noProof/>
                <w:webHidden/>
              </w:rPr>
            </w:r>
            <w:r w:rsidR="001E5179">
              <w:rPr>
                <w:noProof/>
                <w:webHidden/>
              </w:rPr>
              <w:fldChar w:fldCharType="separate"/>
            </w:r>
            <w:r w:rsidR="001E5179">
              <w:rPr>
                <w:noProof/>
                <w:webHidden/>
              </w:rPr>
              <w:t>61</w:t>
            </w:r>
            <w:r w:rsidR="001E5179">
              <w:rPr>
                <w:noProof/>
                <w:webHidden/>
              </w:rPr>
              <w:fldChar w:fldCharType="end"/>
            </w:r>
          </w:hyperlink>
        </w:p>
        <w:p w14:paraId="1CE117C4" w14:textId="11334199" w:rsidR="001E5179" w:rsidRDefault="001E562B">
          <w:pPr>
            <w:pStyle w:val="32"/>
            <w:tabs>
              <w:tab w:val="right" w:leader="dot" w:pos="9771"/>
            </w:tabs>
            <w:rPr>
              <w:rFonts w:eastAsiaTheme="minorEastAsia"/>
              <w:noProof/>
              <w:lang w:val="ru-RU" w:eastAsia="ru-RU"/>
            </w:rPr>
          </w:pPr>
          <w:hyperlink w:anchor="_Toc158317270" w:history="1">
            <w:r w:rsidR="001E5179" w:rsidRPr="00252AE9">
              <w:rPr>
                <w:rStyle w:val="a4"/>
                <w:rFonts w:cstheme="majorHAnsi"/>
                <w:b/>
                <w:iCs/>
                <w:noProof/>
              </w:rPr>
              <w:t>Anexa nr. 16</w:t>
            </w:r>
            <w:r w:rsidR="001E5179">
              <w:rPr>
                <w:noProof/>
                <w:webHidden/>
              </w:rPr>
              <w:tab/>
            </w:r>
            <w:r w:rsidR="001E5179">
              <w:rPr>
                <w:noProof/>
                <w:webHidden/>
              </w:rPr>
              <w:fldChar w:fldCharType="begin"/>
            </w:r>
            <w:r w:rsidR="001E5179">
              <w:rPr>
                <w:noProof/>
                <w:webHidden/>
              </w:rPr>
              <w:instrText xml:space="preserve"> PAGEREF _Toc158317270 \h </w:instrText>
            </w:r>
            <w:r w:rsidR="001E5179">
              <w:rPr>
                <w:noProof/>
                <w:webHidden/>
              </w:rPr>
            </w:r>
            <w:r w:rsidR="001E5179">
              <w:rPr>
                <w:noProof/>
                <w:webHidden/>
              </w:rPr>
              <w:fldChar w:fldCharType="separate"/>
            </w:r>
            <w:r w:rsidR="001E5179">
              <w:rPr>
                <w:noProof/>
                <w:webHidden/>
              </w:rPr>
              <w:t>61</w:t>
            </w:r>
            <w:r w:rsidR="001E5179">
              <w:rPr>
                <w:noProof/>
                <w:webHidden/>
              </w:rPr>
              <w:fldChar w:fldCharType="end"/>
            </w:r>
          </w:hyperlink>
        </w:p>
        <w:p w14:paraId="0259862F" w14:textId="31C7903B" w:rsidR="001E5179" w:rsidRDefault="001E562B">
          <w:pPr>
            <w:pStyle w:val="32"/>
            <w:tabs>
              <w:tab w:val="right" w:leader="dot" w:pos="9771"/>
            </w:tabs>
            <w:rPr>
              <w:rFonts w:eastAsiaTheme="minorEastAsia"/>
              <w:noProof/>
              <w:lang w:val="ru-RU" w:eastAsia="ru-RU"/>
            </w:rPr>
          </w:pPr>
          <w:hyperlink w:anchor="_Toc158317271" w:history="1">
            <w:r w:rsidR="001E5179" w:rsidRPr="00252AE9">
              <w:rPr>
                <w:rStyle w:val="a4"/>
                <w:rFonts w:cstheme="majorHAnsi"/>
                <w:b/>
                <w:iCs/>
                <w:noProof/>
              </w:rPr>
              <w:t>Anexa nr. 17</w:t>
            </w:r>
            <w:r w:rsidR="001E5179">
              <w:rPr>
                <w:noProof/>
                <w:webHidden/>
              </w:rPr>
              <w:tab/>
            </w:r>
            <w:r w:rsidR="001E5179">
              <w:rPr>
                <w:noProof/>
                <w:webHidden/>
              </w:rPr>
              <w:fldChar w:fldCharType="begin"/>
            </w:r>
            <w:r w:rsidR="001E5179">
              <w:rPr>
                <w:noProof/>
                <w:webHidden/>
              </w:rPr>
              <w:instrText xml:space="preserve"> PAGEREF _Toc158317271 \h </w:instrText>
            </w:r>
            <w:r w:rsidR="001E5179">
              <w:rPr>
                <w:noProof/>
                <w:webHidden/>
              </w:rPr>
            </w:r>
            <w:r w:rsidR="001E5179">
              <w:rPr>
                <w:noProof/>
                <w:webHidden/>
              </w:rPr>
              <w:fldChar w:fldCharType="separate"/>
            </w:r>
            <w:r w:rsidR="001E5179">
              <w:rPr>
                <w:noProof/>
                <w:webHidden/>
              </w:rPr>
              <w:t>62</w:t>
            </w:r>
            <w:r w:rsidR="001E5179">
              <w:rPr>
                <w:noProof/>
                <w:webHidden/>
              </w:rPr>
              <w:fldChar w:fldCharType="end"/>
            </w:r>
          </w:hyperlink>
        </w:p>
        <w:p w14:paraId="3F7D7398" w14:textId="6E2F4587" w:rsidR="001E5179" w:rsidRDefault="001E562B">
          <w:pPr>
            <w:pStyle w:val="32"/>
            <w:tabs>
              <w:tab w:val="right" w:leader="dot" w:pos="9771"/>
            </w:tabs>
            <w:rPr>
              <w:rFonts w:eastAsiaTheme="minorEastAsia"/>
              <w:noProof/>
              <w:lang w:val="ru-RU" w:eastAsia="ru-RU"/>
            </w:rPr>
          </w:pPr>
          <w:hyperlink w:anchor="_Toc158317272" w:history="1">
            <w:r w:rsidR="001E5179" w:rsidRPr="00252AE9">
              <w:rPr>
                <w:rStyle w:val="a4"/>
                <w:rFonts w:cstheme="majorHAnsi"/>
                <w:b/>
                <w:iCs/>
                <w:noProof/>
              </w:rPr>
              <w:t>Anexa nr. 18</w:t>
            </w:r>
            <w:r w:rsidR="001E5179">
              <w:rPr>
                <w:noProof/>
                <w:webHidden/>
              </w:rPr>
              <w:tab/>
            </w:r>
            <w:r w:rsidR="001E5179">
              <w:rPr>
                <w:noProof/>
                <w:webHidden/>
              </w:rPr>
              <w:fldChar w:fldCharType="begin"/>
            </w:r>
            <w:r w:rsidR="001E5179">
              <w:rPr>
                <w:noProof/>
                <w:webHidden/>
              </w:rPr>
              <w:instrText xml:space="preserve"> PAGEREF _Toc158317272 \h </w:instrText>
            </w:r>
            <w:r w:rsidR="001E5179">
              <w:rPr>
                <w:noProof/>
                <w:webHidden/>
              </w:rPr>
            </w:r>
            <w:r w:rsidR="001E5179">
              <w:rPr>
                <w:noProof/>
                <w:webHidden/>
              </w:rPr>
              <w:fldChar w:fldCharType="separate"/>
            </w:r>
            <w:r w:rsidR="001E5179">
              <w:rPr>
                <w:noProof/>
                <w:webHidden/>
              </w:rPr>
              <w:t>65</w:t>
            </w:r>
            <w:r w:rsidR="001E5179">
              <w:rPr>
                <w:noProof/>
                <w:webHidden/>
              </w:rPr>
              <w:fldChar w:fldCharType="end"/>
            </w:r>
          </w:hyperlink>
        </w:p>
        <w:p w14:paraId="4AC862BD" w14:textId="53B83AA8" w:rsidR="001E5179" w:rsidRDefault="001E562B">
          <w:pPr>
            <w:pStyle w:val="32"/>
            <w:tabs>
              <w:tab w:val="right" w:leader="dot" w:pos="9771"/>
            </w:tabs>
            <w:rPr>
              <w:rFonts w:eastAsiaTheme="minorEastAsia"/>
              <w:noProof/>
              <w:lang w:val="ru-RU" w:eastAsia="ru-RU"/>
            </w:rPr>
          </w:pPr>
          <w:hyperlink w:anchor="_Toc158317273" w:history="1">
            <w:r w:rsidR="001E5179" w:rsidRPr="00252AE9">
              <w:rPr>
                <w:rStyle w:val="a4"/>
                <w:rFonts w:cstheme="majorHAnsi"/>
                <w:b/>
                <w:noProof/>
              </w:rPr>
              <w:t>Anexa nr.19</w:t>
            </w:r>
            <w:r w:rsidR="001E5179">
              <w:rPr>
                <w:noProof/>
                <w:webHidden/>
              </w:rPr>
              <w:tab/>
            </w:r>
            <w:r w:rsidR="001E5179">
              <w:rPr>
                <w:noProof/>
                <w:webHidden/>
              </w:rPr>
              <w:fldChar w:fldCharType="begin"/>
            </w:r>
            <w:r w:rsidR="001E5179">
              <w:rPr>
                <w:noProof/>
                <w:webHidden/>
              </w:rPr>
              <w:instrText xml:space="preserve"> PAGEREF _Toc158317273 \h </w:instrText>
            </w:r>
            <w:r w:rsidR="001E5179">
              <w:rPr>
                <w:noProof/>
                <w:webHidden/>
              </w:rPr>
            </w:r>
            <w:r w:rsidR="001E5179">
              <w:rPr>
                <w:noProof/>
                <w:webHidden/>
              </w:rPr>
              <w:fldChar w:fldCharType="separate"/>
            </w:r>
            <w:r w:rsidR="001E5179">
              <w:rPr>
                <w:noProof/>
                <w:webHidden/>
              </w:rPr>
              <w:t>66</w:t>
            </w:r>
            <w:r w:rsidR="001E5179">
              <w:rPr>
                <w:noProof/>
                <w:webHidden/>
              </w:rPr>
              <w:fldChar w:fldCharType="end"/>
            </w:r>
          </w:hyperlink>
        </w:p>
        <w:p w14:paraId="0480D94F" w14:textId="772AD49F" w:rsidR="001E5179" w:rsidRDefault="001E562B">
          <w:pPr>
            <w:pStyle w:val="32"/>
            <w:tabs>
              <w:tab w:val="right" w:leader="dot" w:pos="9771"/>
            </w:tabs>
            <w:rPr>
              <w:rFonts w:eastAsiaTheme="minorEastAsia"/>
              <w:noProof/>
              <w:lang w:val="ru-RU" w:eastAsia="ru-RU"/>
            </w:rPr>
          </w:pPr>
          <w:hyperlink w:anchor="_Toc158317274" w:history="1">
            <w:r w:rsidR="001E5179" w:rsidRPr="00252AE9">
              <w:rPr>
                <w:rStyle w:val="a4"/>
                <w:rFonts w:cstheme="majorHAnsi"/>
                <w:b/>
                <w:noProof/>
              </w:rPr>
              <w:t>Anexa nr.20</w:t>
            </w:r>
            <w:r w:rsidR="001E5179">
              <w:rPr>
                <w:noProof/>
                <w:webHidden/>
              </w:rPr>
              <w:tab/>
            </w:r>
            <w:r w:rsidR="001E5179">
              <w:rPr>
                <w:noProof/>
                <w:webHidden/>
              </w:rPr>
              <w:fldChar w:fldCharType="begin"/>
            </w:r>
            <w:r w:rsidR="001E5179">
              <w:rPr>
                <w:noProof/>
                <w:webHidden/>
              </w:rPr>
              <w:instrText xml:space="preserve"> PAGEREF _Toc158317274 \h </w:instrText>
            </w:r>
            <w:r w:rsidR="001E5179">
              <w:rPr>
                <w:noProof/>
                <w:webHidden/>
              </w:rPr>
            </w:r>
            <w:r w:rsidR="001E5179">
              <w:rPr>
                <w:noProof/>
                <w:webHidden/>
              </w:rPr>
              <w:fldChar w:fldCharType="separate"/>
            </w:r>
            <w:r w:rsidR="001E5179">
              <w:rPr>
                <w:noProof/>
                <w:webHidden/>
              </w:rPr>
              <w:t>67</w:t>
            </w:r>
            <w:r w:rsidR="001E5179">
              <w:rPr>
                <w:noProof/>
                <w:webHidden/>
              </w:rPr>
              <w:fldChar w:fldCharType="end"/>
            </w:r>
          </w:hyperlink>
        </w:p>
        <w:p w14:paraId="5E1D6DB6" w14:textId="7AB096E7" w:rsidR="001E5179" w:rsidRDefault="001E562B">
          <w:pPr>
            <w:pStyle w:val="32"/>
            <w:tabs>
              <w:tab w:val="right" w:leader="dot" w:pos="9771"/>
            </w:tabs>
            <w:rPr>
              <w:rFonts w:eastAsiaTheme="minorEastAsia"/>
              <w:noProof/>
              <w:lang w:val="ru-RU" w:eastAsia="ru-RU"/>
            </w:rPr>
          </w:pPr>
          <w:hyperlink w:anchor="_Toc158317275" w:history="1">
            <w:r w:rsidR="001E5179" w:rsidRPr="00252AE9">
              <w:rPr>
                <w:rStyle w:val="a4"/>
                <w:rFonts w:cstheme="majorHAnsi"/>
                <w:b/>
                <w:noProof/>
              </w:rPr>
              <w:t>Anexa nr.21</w:t>
            </w:r>
            <w:r w:rsidR="001E5179">
              <w:rPr>
                <w:noProof/>
                <w:webHidden/>
              </w:rPr>
              <w:tab/>
            </w:r>
            <w:r w:rsidR="001E5179">
              <w:rPr>
                <w:noProof/>
                <w:webHidden/>
              </w:rPr>
              <w:fldChar w:fldCharType="begin"/>
            </w:r>
            <w:r w:rsidR="001E5179">
              <w:rPr>
                <w:noProof/>
                <w:webHidden/>
              </w:rPr>
              <w:instrText xml:space="preserve"> PAGEREF _Toc158317275 \h </w:instrText>
            </w:r>
            <w:r w:rsidR="001E5179">
              <w:rPr>
                <w:noProof/>
                <w:webHidden/>
              </w:rPr>
            </w:r>
            <w:r w:rsidR="001E5179">
              <w:rPr>
                <w:noProof/>
                <w:webHidden/>
              </w:rPr>
              <w:fldChar w:fldCharType="separate"/>
            </w:r>
            <w:r w:rsidR="001E5179">
              <w:rPr>
                <w:noProof/>
                <w:webHidden/>
              </w:rPr>
              <w:t>68</w:t>
            </w:r>
            <w:r w:rsidR="001E5179">
              <w:rPr>
                <w:noProof/>
                <w:webHidden/>
              </w:rPr>
              <w:fldChar w:fldCharType="end"/>
            </w:r>
          </w:hyperlink>
        </w:p>
        <w:p w14:paraId="2A06B9EF" w14:textId="386C15AE" w:rsidR="001E5179" w:rsidRDefault="001E562B">
          <w:pPr>
            <w:pStyle w:val="32"/>
            <w:tabs>
              <w:tab w:val="right" w:leader="dot" w:pos="9771"/>
            </w:tabs>
            <w:rPr>
              <w:rFonts w:eastAsiaTheme="minorEastAsia"/>
              <w:noProof/>
              <w:lang w:val="ru-RU" w:eastAsia="ru-RU"/>
            </w:rPr>
          </w:pPr>
          <w:hyperlink w:anchor="_Toc158317276" w:history="1">
            <w:r w:rsidR="001E5179" w:rsidRPr="00252AE9">
              <w:rPr>
                <w:rStyle w:val="a4"/>
                <w:rFonts w:cstheme="majorHAnsi"/>
                <w:b/>
                <w:noProof/>
              </w:rPr>
              <w:t>Anexa nr.22</w:t>
            </w:r>
            <w:r w:rsidR="001E5179">
              <w:rPr>
                <w:noProof/>
                <w:webHidden/>
              </w:rPr>
              <w:tab/>
            </w:r>
            <w:r w:rsidR="001E5179">
              <w:rPr>
                <w:noProof/>
                <w:webHidden/>
              </w:rPr>
              <w:fldChar w:fldCharType="begin"/>
            </w:r>
            <w:r w:rsidR="001E5179">
              <w:rPr>
                <w:noProof/>
                <w:webHidden/>
              </w:rPr>
              <w:instrText xml:space="preserve"> PAGEREF _Toc158317276 \h </w:instrText>
            </w:r>
            <w:r w:rsidR="001E5179">
              <w:rPr>
                <w:noProof/>
                <w:webHidden/>
              </w:rPr>
            </w:r>
            <w:r w:rsidR="001E5179">
              <w:rPr>
                <w:noProof/>
                <w:webHidden/>
              </w:rPr>
              <w:fldChar w:fldCharType="separate"/>
            </w:r>
            <w:r w:rsidR="001E5179">
              <w:rPr>
                <w:noProof/>
                <w:webHidden/>
              </w:rPr>
              <w:t>70</w:t>
            </w:r>
            <w:r w:rsidR="001E5179">
              <w:rPr>
                <w:noProof/>
                <w:webHidden/>
              </w:rPr>
              <w:fldChar w:fldCharType="end"/>
            </w:r>
          </w:hyperlink>
        </w:p>
        <w:p w14:paraId="5F17BEFE" w14:textId="7090A772" w:rsidR="001E5179" w:rsidRDefault="001E562B">
          <w:pPr>
            <w:pStyle w:val="32"/>
            <w:tabs>
              <w:tab w:val="right" w:leader="dot" w:pos="9771"/>
            </w:tabs>
            <w:rPr>
              <w:rFonts w:eastAsiaTheme="minorEastAsia"/>
              <w:noProof/>
              <w:lang w:val="ru-RU" w:eastAsia="ru-RU"/>
            </w:rPr>
          </w:pPr>
          <w:hyperlink w:anchor="_Toc158317277" w:history="1">
            <w:r w:rsidR="001E5179" w:rsidRPr="00252AE9">
              <w:rPr>
                <w:rStyle w:val="a4"/>
                <w:rFonts w:cstheme="majorHAnsi"/>
                <w:b/>
                <w:noProof/>
              </w:rPr>
              <w:t>Anexa nr.23</w:t>
            </w:r>
            <w:r w:rsidR="001E5179">
              <w:rPr>
                <w:noProof/>
                <w:webHidden/>
              </w:rPr>
              <w:tab/>
            </w:r>
            <w:r w:rsidR="001E5179">
              <w:rPr>
                <w:noProof/>
                <w:webHidden/>
              </w:rPr>
              <w:fldChar w:fldCharType="begin"/>
            </w:r>
            <w:r w:rsidR="001E5179">
              <w:rPr>
                <w:noProof/>
                <w:webHidden/>
              </w:rPr>
              <w:instrText xml:space="preserve"> PAGEREF _Toc158317277 \h </w:instrText>
            </w:r>
            <w:r w:rsidR="001E5179">
              <w:rPr>
                <w:noProof/>
                <w:webHidden/>
              </w:rPr>
            </w:r>
            <w:r w:rsidR="001E5179">
              <w:rPr>
                <w:noProof/>
                <w:webHidden/>
              </w:rPr>
              <w:fldChar w:fldCharType="separate"/>
            </w:r>
            <w:r w:rsidR="001E5179">
              <w:rPr>
                <w:noProof/>
                <w:webHidden/>
              </w:rPr>
              <w:t>72</w:t>
            </w:r>
            <w:r w:rsidR="001E5179">
              <w:rPr>
                <w:noProof/>
                <w:webHidden/>
              </w:rPr>
              <w:fldChar w:fldCharType="end"/>
            </w:r>
          </w:hyperlink>
        </w:p>
        <w:p w14:paraId="5CD951FA" w14:textId="28FF1897" w:rsidR="00FA7B71" w:rsidRPr="00B13B9A" w:rsidRDefault="00FA7B71" w:rsidP="00506777">
          <w:pPr>
            <w:spacing w:line="240" w:lineRule="auto"/>
            <w:jc w:val="both"/>
            <w:rPr>
              <w:lang w:val="ro-MD"/>
            </w:rPr>
          </w:pPr>
          <w:r w:rsidRPr="005522BF">
            <w:rPr>
              <w:rFonts w:asciiTheme="majorHAnsi" w:hAnsiTheme="majorHAnsi" w:cstheme="majorHAnsi"/>
              <w:bCs/>
              <w:noProof/>
              <w:sz w:val="20"/>
              <w:szCs w:val="20"/>
              <w:lang w:val="ro-MD"/>
            </w:rPr>
            <w:fldChar w:fldCharType="end"/>
          </w:r>
        </w:p>
      </w:sdtContent>
    </w:sdt>
    <w:p w14:paraId="182AD8DC" w14:textId="5648F4BC" w:rsidR="00F35503" w:rsidRDefault="00F35503" w:rsidP="00FA7B71">
      <w:pPr>
        <w:rPr>
          <w:rFonts w:eastAsia="Times New Roman" w:cstheme="majorHAnsi"/>
          <w:b/>
          <w:bCs/>
          <w:sz w:val="24"/>
          <w:szCs w:val="24"/>
          <w:lang w:val="ro-MD"/>
        </w:rPr>
      </w:pPr>
      <w:r>
        <w:rPr>
          <w:rFonts w:eastAsia="Times New Roman" w:cstheme="majorHAnsi"/>
          <w:b/>
          <w:bCs/>
          <w:sz w:val="24"/>
          <w:szCs w:val="24"/>
          <w:lang w:val="ro-MD"/>
        </w:rPr>
        <w:br w:type="page"/>
      </w:r>
    </w:p>
    <w:p w14:paraId="095861E1" w14:textId="1D2E5E04" w:rsidR="009022BC" w:rsidRPr="00B13B9A" w:rsidRDefault="00B954D3" w:rsidP="00FA7B71">
      <w:pPr>
        <w:pStyle w:val="1"/>
        <w:rPr>
          <w:rFonts w:eastAsia="Times New Roman" w:cstheme="majorHAnsi"/>
          <w:b/>
          <w:bCs/>
          <w:sz w:val="24"/>
          <w:szCs w:val="24"/>
          <w:lang w:val="ro-MD"/>
        </w:rPr>
      </w:pPr>
      <w:bookmarkStart w:id="1" w:name="_Toc158317213"/>
      <w:r>
        <w:rPr>
          <w:rFonts w:eastAsia="Times New Roman" w:cstheme="majorHAnsi"/>
          <w:b/>
          <w:bCs/>
          <w:sz w:val="24"/>
          <w:szCs w:val="24"/>
          <w:lang w:val="ru-RU"/>
        </w:rPr>
        <w:t>СПИСОК АКРОНИМОВ</w:t>
      </w:r>
      <w:bookmarkEnd w:id="1"/>
    </w:p>
    <w:p w14:paraId="1EAFB182" w14:textId="77777777" w:rsidR="00D30318" w:rsidRPr="00B13B9A" w:rsidRDefault="00D30318" w:rsidP="00D30318">
      <w:pPr>
        <w:spacing w:after="0" w:line="276" w:lineRule="auto"/>
        <w:rPr>
          <w:rFonts w:asciiTheme="majorHAnsi" w:eastAsia="Times New Roman" w:hAnsiTheme="majorHAnsi" w:cstheme="majorHAnsi"/>
          <w:b/>
          <w:bCs/>
          <w:color w:val="2E74B5" w:themeColor="accent1" w:themeShade="BF"/>
          <w:sz w:val="24"/>
          <w:szCs w:val="24"/>
          <w:lang w:val="ro-MD"/>
        </w:rPr>
      </w:pPr>
    </w:p>
    <w:tbl>
      <w:tblPr>
        <w:tblStyle w:val="a3"/>
        <w:tblW w:w="0" w:type="auto"/>
        <w:tblBorders>
          <w:top w:val="none" w:sz="0" w:space="0" w:color="auto"/>
          <w:left w:val="none" w:sz="0" w:space="0" w:color="auto"/>
          <w:bottom w:val="none" w:sz="0" w:space="0" w:color="auto"/>
          <w:right w:val="none" w:sz="0" w:space="0" w:color="auto"/>
          <w:insideH w:val="single" w:sz="4" w:space="0" w:color="5B9BD5" w:themeColor="accent1"/>
          <w:insideV w:val="none" w:sz="0" w:space="0" w:color="auto"/>
        </w:tblBorders>
        <w:tblLook w:val="04A0" w:firstRow="1" w:lastRow="0" w:firstColumn="1" w:lastColumn="0" w:noHBand="0" w:noVBand="1"/>
      </w:tblPr>
      <w:tblGrid>
        <w:gridCol w:w="1233"/>
        <w:gridCol w:w="8411"/>
      </w:tblGrid>
      <w:tr w:rsidR="006D52C7" w:rsidRPr="00B13B9A" w14:paraId="7D5255D0" w14:textId="77777777" w:rsidTr="00B24768">
        <w:trPr>
          <w:trHeight w:val="306"/>
        </w:trPr>
        <w:tc>
          <w:tcPr>
            <w:tcW w:w="1233" w:type="dxa"/>
          </w:tcPr>
          <w:p w14:paraId="5539879D" w14:textId="3F88197C" w:rsidR="006D52C7" w:rsidRPr="008D721A" w:rsidRDefault="00886991" w:rsidP="00B24768">
            <w:pPr>
              <w:spacing w:line="276" w:lineRule="auto"/>
              <w:rPr>
                <w:rFonts w:asciiTheme="majorHAnsi" w:eastAsia="Times New Roman" w:hAnsiTheme="majorHAnsi" w:cstheme="majorHAnsi"/>
                <w:b/>
                <w:bCs/>
                <w:color w:val="2E74B5" w:themeColor="accent1" w:themeShade="BF"/>
                <w:sz w:val="24"/>
                <w:szCs w:val="24"/>
                <w:lang w:val="ru-MD"/>
              </w:rPr>
            </w:pPr>
            <w:r w:rsidRPr="008D721A">
              <w:rPr>
                <w:rFonts w:asciiTheme="majorHAnsi" w:eastAsia="Times New Roman" w:hAnsiTheme="majorHAnsi" w:cstheme="majorHAnsi"/>
                <w:b/>
                <w:bCs/>
                <w:color w:val="2E74B5" w:themeColor="accent1" w:themeShade="BF"/>
                <w:sz w:val="24"/>
                <w:szCs w:val="24"/>
                <w:lang w:val="ru-MD"/>
              </w:rPr>
              <w:t>АПС</w:t>
            </w:r>
          </w:p>
        </w:tc>
        <w:tc>
          <w:tcPr>
            <w:tcW w:w="8411" w:type="dxa"/>
          </w:tcPr>
          <w:p w14:paraId="1B148581" w14:textId="623F0760" w:rsidR="006D52C7" w:rsidRPr="008D721A" w:rsidRDefault="00B954D3" w:rsidP="00B24768">
            <w:pPr>
              <w:spacing w:line="276" w:lineRule="auto"/>
              <w:rPr>
                <w:rFonts w:asciiTheme="majorHAnsi" w:hAnsiTheme="majorHAnsi" w:cstheme="majorHAnsi"/>
                <w:sz w:val="24"/>
                <w:szCs w:val="24"/>
                <w:lang w:val="ru-MD"/>
              </w:rPr>
            </w:pPr>
            <w:r w:rsidRPr="008D721A">
              <w:rPr>
                <w:rFonts w:asciiTheme="majorHAnsi" w:eastAsia="Times New Roman" w:hAnsiTheme="majorHAnsi" w:cstheme="majorHAnsi"/>
                <w:bCs/>
                <w:sz w:val="24"/>
                <w:szCs w:val="24"/>
                <w:lang w:val="ru-MD"/>
              </w:rPr>
              <w:t>Агентство публичной собственности</w:t>
            </w:r>
          </w:p>
        </w:tc>
      </w:tr>
      <w:tr w:rsidR="006D52C7" w:rsidRPr="00B13B9A" w14:paraId="3A4A18A4" w14:textId="77777777" w:rsidTr="00B24768">
        <w:trPr>
          <w:trHeight w:val="306"/>
        </w:trPr>
        <w:tc>
          <w:tcPr>
            <w:tcW w:w="1233" w:type="dxa"/>
          </w:tcPr>
          <w:p w14:paraId="5AB3165B" w14:textId="14792F33" w:rsidR="006D52C7" w:rsidRPr="008D721A" w:rsidRDefault="00886991" w:rsidP="00B24768">
            <w:pPr>
              <w:spacing w:line="276" w:lineRule="auto"/>
              <w:rPr>
                <w:rFonts w:asciiTheme="majorHAnsi" w:eastAsia="Times New Roman" w:hAnsiTheme="majorHAnsi" w:cstheme="majorHAnsi"/>
                <w:b/>
                <w:bCs/>
                <w:color w:val="2E74B5" w:themeColor="accent1" w:themeShade="BF"/>
                <w:sz w:val="24"/>
                <w:szCs w:val="24"/>
                <w:lang w:val="ru-MD"/>
              </w:rPr>
            </w:pPr>
            <w:r w:rsidRPr="008D721A">
              <w:rPr>
                <w:rFonts w:asciiTheme="majorHAnsi" w:eastAsia="Times New Roman" w:hAnsiTheme="majorHAnsi" w:cstheme="majorHAnsi"/>
                <w:b/>
                <w:bCs/>
                <w:color w:val="2E74B5" w:themeColor="accent1" w:themeShade="BF"/>
                <w:sz w:val="24"/>
                <w:szCs w:val="24"/>
                <w:lang w:val="ru-MD"/>
              </w:rPr>
              <w:t>ЦПУ</w:t>
            </w:r>
          </w:p>
        </w:tc>
        <w:tc>
          <w:tcPr>
            <w:tcW w:w="8411" w:type="dxa"/>
          </w:tcPr>
          <w:p w14:paraId="236D7C66" w14:textId="37ED4FE5" w:rsidR="006D52C7" w:rsidRPr="008D721A" w:rsidRDefault="00B954D3" w:rsidP="00B24768">
            <w:pPr>
              <w:spacing w:line="276" w:lineRule="auto"/>
              <w:rPr>
                <w:rFonts w:asciiTheme="majorHAnsi" w:hAnsiTheme="majorHAnsi" w:cstheme="majorHAnsi"/>
                <w:sz w:val="24"/>
                <w:szCs w:val="24"/>
                <w:lang w:val="ru-MD"/>
              </w:rPr>
            </w:pPr>
            <w:r w:rsidRPr="008D721A">
              <w:rPr>
                <w:rFonts w:asciiTheme="majorHAnsi" w:eastAsia="Times New Roman" w:hAnsiTheme="majorHAnsi" w:cstheme="majorHAnsi"/>
                <w:bCs/>
                <w:sz w:val="24"/>
                <w:szCs w:val="24"/>
                <w:lang w:val="ru-MD"/>
              </w:rPr>
              <w:t>Центральное публичное управление</w:t>
            </w:r>
          </w:p>
        </w:tc>
      </w:tr>
      <w:tr w:rsidR="006D52C7" w:rsidRPr="00B13B9A" w14:paraId="7D7901D9" w14:textId="77777777" w:rsidTr="00B24768">
        <w:trPr>
          <w:trHeight w:val="262"/>
        </w:trPr>
        <w:tc>
          <w:tcPr>
            <w:tcW w:w="1233" w:type="dxa"/>
          </w:tcPr>
          <w:p w14:paraId="47A01F46" w14:textId="3F5DA6ED" w:rsidR="006D52C7" w:rsidRPr="008D721A" w:rsidRDefault="00886991" w:rsidP="00B24768">
            <w:pPr>
              <w:rPr>
                <w:rFonts w:asciiTheme="majorHAnsi" w:eastAsia="Times New Roman" w:hAnsiTheme="majorHAnsi" w:cstheme="majorHAnsi"/>
                <w:b/>
                <w:bCs/>
                <w:color w:val="2E74B5" w:themeColor="accent1" w:themeShade="BF"/>
                <w:sz w:val="24"/>
                <w:szCs w:val="24"/>
                <w:lang w:val="ru-MD"/>
              </w:rPr>
            </w:pPr>
            <w:r w:rsidRPr="008D721A">
              <w:rPr>
                <w:rFonts w:asciiTheme="majorHAnsi" w:eastAsia="Times New Roman" w:hAnsiTheme="majorHAnsi" w:cstheme="majorHAnsi"/>
                <w:b/>
                <w:bCs/>
                <w:color w:val="2E74B5" w:themeColor="accent1" w:themeShade="BF"/>
                <w:sz w:val="24"/>
                <w:szCs w:val="24"/>
                <w:lang w:val="ru-MD"/>
              </w:rPr>
              <w:t>НМСК</w:t>
            </w:r>
          </w:p>
        </w:tc>
        <w:tc>
          <w:tcPr>
            <w:tcW w:w="8411" w:type="dxa"/>
          </w:tcPr>
          <w:p w14:paraId="64DC9625" w14:textId="58193991" w:rsidR="006D52C7" w:rsidRPr="008D721A" w:rsidRDefault="00B954D3" w:rsidP="00B24768">
            <w:pPr>
              <w:rPr>
                <w:rFonts w:asciiTheme="majorHAnsi" w:hAnsiTheme="majorHAnsi" w:cstheme="majorHAnsi"/>
                <w:sz w:val="24"/>
                <w:szCs w:val="24"/>
                <w:lang w:val="ru-MD"/>
              </w:rPr>
            </w:pPr>
            <w:r w:rsidRPr="008D721A">
              <w:rPr>
                <w:rFonts w:asciiTheme="majorHAnsi" w:eastAsia="Times New Roman" w:hAnsiTheme="majorHAnsi" w:cstheme="majorHAnsi"/>
                <w:bCs/>
                <w:sz w:val="24"/>
                <w:szCs w:val="24"/>
                <w:lang w:val="ru-MD"/>
              </w:rPr>
              <w:t>Национальная медицинская страховая компания</w:t>
            </w:r>
          </w:p>
        </w:tc>
      </w:tr>
      <w:tr w:rsidR="006D52C7" w:rsidRPr="001924A7" w14:paraId="31177E7A" w14:textId="77777777" w:rsidTr="00B24768">
        <w:trPr>
          <w:trHeight w:val="306"/>
        </w:trPr>
        <w:tc>
          <w:tcPr>
            <w:tcW w:w="1233" w:type="dxa"/>
          </w:tcPr>
          <w:p w14:paraId="2648DE11" w14:textId="577F0EBE" w:rsidR="006D52C7" w:rsidRPr="008D721A" w:rsidRDefault="00886991" w:rsidP="00B24768">
            <w:pPr>
              <w:spacing w:line="276" w:lineRule="auto"/>
              <w:rPr>
                <w:rFonts w:asciiTheme="majorHAnsi" w:eastAsia="Times New Roman" w:hAnsiTheme="majorHAnsi" w:cstheme="majorHAnsi"/>
                <w:b/>
                <w:bCs/>
                <w:color w:val="2E74B5" w:themeColor="accent1" w:themeShade="BF"/>
                <w:sz w:val="24"/>
                <w:szCs w:val="24"/>
                <w:lang w:val="ru-MD"/>
              </w:rPr>
            </w:pPr>
            <w:r w:rsidRPr="008D721A">
              <w:rPr>
                <w:rFonts w:asciiTheme="majorHAnsi" w:eastAsia="Times New Roman" w:hAnsiTheme="majorHAnsi" w:cstheme="majorHAnsi"/>
                <w:b/>
                <w:bCs/>
                <w:color w:val="2E74B5" w:themeColor="accent1" w:themeShade="BF"/>
                <w:sz w:val="24"/>
                <w:szCs w:val="24"/>
                <w:lang w:val="ru-MD"/>
              </w:rPr>
              <w:t>ЦПАЗ</w:t>
            </w:r>
          </w:p>
        </w:tc>
        <w:tc>
          <w:tcPr>
            <w:tcW w:w="8411" w:type="dxa"/>
          </w:tcPr>
          <w:p w14:paraId="547BEBF2" w14:textId="1C885B1E" w:rsidR="006D52C7" w:rsidRPr="008D721A" w:rsidRDefault="00B954D3" w:rsidP="00B24768">
            <w:pPr>
              <w:spacing w:line="276" w:lineRule="auto"/>
              <w:rPr>
                <w:rFonts w:asciiTheme="majorHAnsi" w:hAnsiTheme="majorHAnsi" w:cstheme="majorHAnsi"/>
                <w:sz w:val="24"/>
                <w:szCs w:val="24"/>
                <w:lang w:val="ru-MD"/>
              </w:rPr>
            </w:pPr>
            <w:r w:rsidRPr="008D721A">
              <w:rPr>
                <w:rFonts w:asciiTheme="majorHAnsi" w:eastAsia="Times New Roman" w:hAnsiTheme="majorHAnsi" w:cstheme="majorHAnsi"/>
                <w:bCs/>
                <w:sz w:val="24"/>
                <w:szCs w:val="24"/>
                <w:lang w:val="ru-MD"/>
              </w:rPr>
              <w:t>Центр политики и анализа в области здравоохранения</w:t>
            </w:r>
          </w:p>
        </w:tc>
      </w:tr>
      <w:tr w:rsidR="006D52C7" w:rsidRPr="00B13B9A" w14:paraId="5007A808" w14:textId="77777777" w:rsidTr="00B24768">
        <w:trPr>
          <w:trHeight w:val="306"/>
        </w:trPr>
        <w:tc>
          <w:tcPr>
            <w:tcW w:w="1233" w:type="dxa"/>
          </w:tcPr>
          <w:p w14:paraId="6D5BE6CF" w14:textId="736B7656" w:rsidR="006D52C7" w:rsidRPr="008D721A" w:rsidRDefault="00886991" w:rsidP="00B24768">
            <w:pPr>
              <w:spacing w:line="276" w:lineRule="auto"/>
              <w:rPr>
                <w:rFonts w:asciiTheme="majorHAnsi" w:eastAsia="Times New Roman" w:hAnsiTheme="majorHAnsi" w:cstheme="majorHAnsi"/>
                <w:b/>
                <w:bCs/>
                <w:color w:val="2E74B5" w:themeColor="accent1" w:themeShade="BF"/>
                <w:sz w:val="24"/>
                <w:szCs w:val="24"/>
                <w:lang w:val="ru-MD"/>
              </w:rPr>
            </w:pPr>
            <w:r w:rsidRPr="008D721A">
              <w:rPr>
                <w:rFonts w:asciiTheme="majorHAnsi" w:eastAsia="Times New Roman" w:hAnsiTheme="majorHAnsi" w:cstheme="majorHAnsi"/>
                <w:b/>
                <w:bCs/>
                <w:color w:val="2E74B5" w:themeColor="accent1" w:themeShade="BF"/>
                <w:sz w:val="24"/>
                <w:szCs w:val="24"/>
                <w:lang w:val="ru-MD"/>
              </w:rPr>
              <w:t>ФСУ</w:t>
            </w:r>
          </w:p>
        </w:tc>
        <w:tc>
          <w:tcPr>
            <w:tcW w:w="8411" w:type="dxa"/>
          </w:tcPr>
          <w:p w14:paraId="79B280E4" w14:textId="3E49EE24" w:rsidR="006D52C7" w:rsidRPr="008D721A" w:rsidRDefault="00B954D3" w:rsidP="00B24768">
            <w:pPr>
              <w:spacing w:line="276" w:lineRule="auto"/>
              <w:rPr>
                <w:rFonts w:asciiTheme="majorHAnsi" w:hAnsiTheme="majorHAnsi" w:cstheme="majorHAnsi"/>
                <w:sz w:val="24"/>
                <w:szCs w:val="24"/>
                <w:lang w:val="ru-MD"/>
              </w:rPr>
            </w:pPr>
            <w:r w:rsidRPr="008D721A">
              <w:rPr>
                <w:rFonts w:asciiTheme="majorHAnsi" w:eastAsia="Times New Roman" w:hAnsiTheme="majorHAnsi" w:cstheme="majorHAnsi"/>
                <w:bCs/>
                <w:sz w:val="24"/>
                <w:szCs w:val="24"/>
                <w:lang w:val="ru-MD"/>
              </w:rPr>
              <w:t>Фармацевтический склад учреждения</w:t>
            </w:r>
          </w:p>
        </w:tc>
      </w:tr>
      <w:tr w:rsidR="006D52C7" w:rsidRPr="00B13B9A" w14:paraId="25E3B48A" w14:textId="77777777" w:rsidTr="00B24768">
        <w:trPr>
          <w:trHeight w:val="306"/>
        </w:trPr>
        <w:tc>
          <w:tcPr>
            <w:tcW w:w="1233" w:type="dxa"/>
          </w:tcPr>
          <w:p w14:paraId="50C628D3" w14:textId="3A9736DF" w:rsidR="006D52C7" w:rsidRPr="008D721A" w:rsidRDefault="00886991" w:rsidP="00B24768">
            <w:pPr>
              <w:spacing w:line="276" w:lineRule="auto"/>
              <w:rPr>
                <w:rFonts w:asciiTheme="majorHAnsi" w:eastAsia="Times New Roman" w:hAnsiTheme="majorHAnsi" w:cstheme="majorHAnsi"/>
                <w:b/>
                <w:bCs/>
                <w:color w:val="2E74B5" w:themeColor="accent1" w:themeShade="BF"/>
                <w:sz w:val="24"/>
                <w:szCs w:val="24"/>
                <w:lang w:val="ru-MD"/>
              </w:rPr>
            </w:pPr>
            <w:r w:rsidRPr="008D721A">
              <w:rPr>
                <w:rFonts w:asciiTheme="majorHAnsi" w:eastAsia="Times New Roman" w:hAnsiTheme="majorHAnsi" w:cstheme="majorHAnsi"/>
                <w:b/>
                <w:bCs/>
                <w:color w:val="2E74B5" w:themeColor="accent1" w:themeShade="BF"/>
                <w:sz w:val="24"/>
                <w:szCs w:val="24"/>
                <w:lang w:val="ru-MD"/>
              </w:rPr>
              <w:t>НФС</w:t>
            </w:r>
          </w:p>
        </w:tc>
        <w:tc>
          <w:tcPr>
            <w:tcW w:w="8411" w:type="dxa"/>
          </w:tcPr>
          <w:p w14:paraId="5D191266" w14:textId="25EE093A" w:rsidR="006D52C7" w:rsidRPr="008D721A" w:rsidRDefault="00B954D3" w:rsidP="00B24768">
            <w:pPr>
              <w:spacing w:line="276" w:lineRule="auto"/>
              <w:rPr>
                <w:rFonts w:asciiTheme="majorHAnsi" w:hAnsiTheme="majorHAnsi" w:cstheme="majorHAnsi"/>
                <w:sz w:val="24"/>
                <w:szCs w:val="24"/>
                <w:lang w:val="ru-MD"/>
              </w:rPr>
            </w:pPr>
            <w:r w:rsidRPr="008D721A">
              <w:rPr>
                <w:rFonts w:asciiTheme="majorHAnsi" w:eastAsia="Times New Roman" w:hAnsiTheme="majorHAnsi" w:cstheme="majorHAnsi"/>
                <w:bCs/>
                <w:sz w:val="24"/>
                <w:szCs w:val="24"/>
                <w:lang w:val="ru-MD"/>
              </w:rPr>
              <w:t>Национальный фармацевтический склад</w:t>
            </w:r>
          </w:p>
        </w:tc>
      </w:tr>
      <w:tr w:rsidR="006D52C7" w:rsidRPr="00B13B9A" w14:paraId="7FD978C0" w14:textId="77777777" w:rsidTr="00B24768">
        <w:trPr>
          <w:trHeight w:val="306"/>
        </w:trPr>
        <w:tc>
          <w:tcPr>
            <w:tcW w:w="1233" w:type="dxa"/>
            <w:shd w:val="clear" w:color="auto" w:fill="FFFFFF" w:themeFill="background1"/>
          </w:tcPr>
          <w:p w14:paraId="2B91D1AC" w14:textId="42E6E5B0" w:rsidR="006D52C7" w:rsidRPr="008D721A" w:rsidRDefault="00886991" w:rsidP="00B24768">
            <w:pPr>
              <w:spacing w:line="276" w:lineRule="auto"/>
              <w:rPr>
                <w:rFonts w:asciiTheme="majorHAnsi" w:eastAsia="Times New Roman" w:hAnsiTheme="majorHAnsi" w:cstheme="majorHAnsi"/>
                <w:b/>
                <w:bCs/>
                <w:color w:val="2E74B5" w:themeColor="accent1" w:themeShade="BF"/>
                <w:sz w:val="24"/>
                <w:szCs w:val="24"/>
                <w:lang w:val="ru-MD"/>
              </w:rPr>
            </w:pPr>
            <w:r w:rsidRPr="008D721A">
              <w:rPr>
                <w:rFonts w:asciiTheme="majorHAnsi" w:eastAsia="Times New Roman" w:hAnsiTheme="majorHAnsi" w:cstheme="majorHAnsi"/>
                <w:b/>
                <w:bCs/>
                <w:color w:val="2E74B5" w:themeColor="accent1" w:themeShade="BF"/>
                <w:sz w:val="24"/>
                <w:szCs w:val="24"/>
                <w:lang w:val="ru-MD"/>
              </w:rPr>
              <w:t>ФОМС</w:t>
            </w:r>
          </w:p>
        </w:tc>
        <w:tc>
          <w:tcPr>
            <w:tcW w:w="8411" w:type="dxa"/>
            <w:shd w:val="clear" w:color="auto" w:fill="FFFFFF" w:themeFill="background1"/>
          </w:tcPr>
          <w:p w14:paraId="14258E86" w14:textId="3071C44E" w:rsidR="006D52C7" w:rsidRPr="008D721A" w:rsidRDefault="00B954D3" w:rsidP="00B24768">
            <w:pPr>
              <w:spacing w:line="276" w:lineRule="auto"/>
              <w:rPr>
                <w:rFonts w:asciiTheme="majorHAnsi" w:eastAsia="Times New Roman" w:hAnsiTheme="majorHAnsi" w:cstheme="majorHAnsi"/>
                <w:bCs/>
                <w:sz w:val="24"/>
                <w:szCs w:val="24"/>
                <w:lang w:val="ru-MD"/>
              </w:rPr>
            </w:pPr>
            <w:r w:rsidRPr="008D721A">
              <w:rPr>
                <w:rFonts w:asciiTheme="majorHAnsi" w:eastAsia="Times New Roman" w:hAnsiTheme="majorHAnsi" w:cstheme="majorHAnsi"/>
                <w:bCs/>
                <w:sz w:val="24"/>
                <w:szCs w:val="24"/>
                <w:lang w:val="ru-MD"/>
              </w:rPr>
              <w:t>Фонд обязательного медицинского страхования</w:t>
            </w:r>
          </w:p>
        </w:tc>
      </w:tr>
      <w:tr w:rsidR="006D52C7" w:rsidRPr="00B13B9A" w14:paraId="34C96A3C" w14:textId="77777777" w:rsidTr="00B24768">
        <w:trPr>
          <w:trHeight w:val="306"/>
        </w:trPr>
        <w:tc>
          <w:tcPr>
            <w:tcW w:w="1233" w:type="dxa"/>
            <w:shd w:val="clear" w:color="auto" w:fill="FFFFFF" w:themeFill="background1"/>
          </w:tcPr>
          <w:p w14:paraId="54FA684B" w14:textId="2BF555CC" w:rsidR="006D52C7" w:rsidRPr="008D721A" w:rsidRDefault="00886991" w:rsidP="00B24768">
            <w:pPr>
              <w:rPr>
                <w:rFonts w:asciiTheme="majorHAnsi" w:eastAsia="Times New Roman" w:hAnsiTheme="majorHAnsi" w:cstheme="majorHAnsi"/>
                <w:b/>
                <w:bCs/>
                <w:color w:val="2E74B5" w:themeColor="accent1" w:themeShade="BF"/>
                <w:sz w:val="24"/>
                <w:szCs w:val="24"/>
                <w:lang w:val="ru-MD"/>
              </w:rPr>
            </w:pPr>
            <w:r w:rsidRPr="008D721A">
              <w:rPr>
                <w:rFonts w:asciiTheme="majorHAnsi" w:eastAsia="Times New Roman" w:hAnsiTheme="majorHAnsi" w:cstheme="majorHAnsi"/>
                <w:b/>
                <w:bCs/>
                <w:color w:val="2E74B5" w:themeColor="accent1" w:themeShade="BF"/>
                <w:sz w:val="24"/>
                <w:szCs w:val="24"/>
                <w:lang w:val="ru-MD"/>
              </w:rPr>
              <w:t>ПП</w:t>
            </w:r>
          </w:p>
        </w:tc>
        <w:tc>
          <w:tcPr>
            <w:tcW w:w="8411" w:type="dxa"/>
            <w:shd w:val="clear" w:color="auto" w:fill="FFFFFF" w:themeFill="background1"/>
          </w:tcPr>
          <w:p w14:paraId="257FD98B" w14:textId="65DD6E3D" w:rsidR="006D52C7" w:rsidRPr="008D721A" w:rsidRDefault="00B954D3" w:rsidP="00B24768">
            <w:pPr>
              <w:rPr>
                <w:rFonts w:asciiTheme="majorHAnsi" w:hAnsiTheme="majorHAnsi" w:cstheme="majorHAnsi"/>
                <w:sz w:val="24"/>
                <w:szCs w:val="24"/>
                <w:lang w:val="ru-MD"/>
              </w:rPr>
            </w:pPr>
            <w:r w:rsidRPr="008D721A">
              <w:rPr>
                <w:rFonts w:asciiTheme="majorHAnsi" w:hAnsiTheme="majorHAnsi" w:cstheme="majorHAnsi"/>
                <w:sz w:val="24"/>
                <w:szCs w:val="24"/>
                <w:lang w:val="ru-MD"/>
              </w:rPr>
              <w:t>Постановление Правительства</w:t>
            </w:r>
          </w:p>
        </w:tc>
      </w:tr>
      <w:tr w:rsidR="006D52C7" w:rsidRPr="00B13B9A" w14:paraId="43BD085A" w14:textId="77777777" w:rsidTr="00B24768">
        <w:trPr>
          <w:trHeight w:val="306"/>
        </w:trPr>
        <w:tc>
          <w:tcPr>
            <w:tcW w:w="1233" w:type="dxa"/>
            <w:shd w:val="clear" w:color="auto" w:fill="FFFFFF" w:themeFill="background1"/>
          </w:tcPr>
          <w:p w14:paraId="2DFD573D" w14:textId="6FEF8940" w:rsidR="006D52C7" w:rsidRPr="008D721A" w:rsidRDefault="00886991" w:rsidP="00B24768">
            <w:pPr>
              <w:spacing w:line="276" w:lineRule="auto"/>
              <w:rPr>
                <w:rFonts w:asciiTheme="majorHAnsi" w:eastAsia="Times New Roman" w:hAnsiTheme="majorHAnsi" w:cstheme="majorHAnsi"/>
                <w:b/>
                <w:bCs/>
                <w:color w:val="2E74B5" w:themeColor="accent1" w:themeShade="BF"/>
                <w:sz w:val="24"/>
                <w:szCs w:val="24"/>
                <w:lang w:val="ru-MD"/>
              </w:rPr>
            </w:pPr>
            <w:r w:rsidRPr="008D721A">
              <w:rPr>
                <w:rFonts w:asciiTheme="majorHAnsi" w:eastAsia="Times New Roman" w:hAnsiTheme="majorHAnsi" w:cstheme="majorHAnsi"/>
                <w:b/>
                <w:bCs/>
                <w:color w:val="2E74B5" w:themeColor="accent1" w:themeShade="BF"/>
                <w:sz w:val="24"/>
                <w:szCs w:val="24"/>
                <w:lang w:val="ru-MD"/>
              </w:rPr>
              <w:t>ИФП</w:t>
            </w:r>
          </w:p>
        </w:tc>
        <w:tc>
          <w:tcPr>
            <w:tcW w:w="8411" w:type="dxa"/>
            <w:shd w:val="clear" w:color="auto" w:fill="FFFFFF" w:themeFill="background1"/>
          </w:tcPr>
          <w:p w14:paraId="6B089806" w14:textId="4EA922D7" w:rsidR="006D52C7" w:rsidRPr="008D721A" w:rsidRDefault="00B954D3" w:rsidP="00B24768">
            <w:pPr>
              <w:spacing w:line="276" w:lineRule="auto"/>
              <w:rPr>
                <w:rFonts w:asciiTheme="majorHAnsi" w:hAnsiTheme="majorHAnsi" w:cstheme="majorHAnsi"/>
                <w:sz w:val="24"/>
                <w:szCs w:val="24"/>
                <w:lang w:val="ru-MD"/>
              </w:rPr>
            </w:pPr>
            <w:r w:rsidRPr="008D721A">
              <w:rPr>
                <w:rFonts w:asciiTheme="majorHAnsi" w:hAnsiTheme="majorHAnsi" w:cstheme="majorHAnsi"/>
                <w:sz w:val="24"/>
                <w:szCs w:val="24"/>
                <w:lang w:val="ru-MD"/>
              </w:rPr>
              <w:t>Институт Фтизиопульмонологии</w:t>
            </w:r>
          </w:p>
        </w:tc>
      </w:tr>
      <w:tr w:rsidR="006D52C7" w:rsidRPr="00B13B9A" w14:paraId="3003B1CB" w14:textId="77777777" w:rsidTr="00B24768">
        <w:trPr>
          <w:trHeight w:val="306"/>
        </w:trPr>
        <w:tc>
          <w:tcPr>
            <w:tcW w:w="1233" w:type="dxa"/>
            <w:shd w:val="clear" w:color="auto" w:fill="FFFFFF" w:themeFill="background1"/>
          </w:tcPr>
          <w:p w14:paraId="45F64D5F" w14:textId="1C4ADE83" w:rsidR="006D52C7" w:rsidRPr="008D721A" w:rsidRDefault="00886991" w:rsidP="00B24768">
            <w:pPr>
              <w:spacing w:line="276" w:lineRule="auto"/>
              <w:rPr>
                <w:rFonts w:asciiTheme="majorHAnsi" w:eastAsia="Times New Roman" w:hAnsiTheme="majorHAnsi" w:cstheme="majorHAnsi"/>
                <w:b/>
                <w:bCs/>
                <w:color w:val="2E74B5" w:themeColor="accent1" w:themeShade="BF"/>
                <w:sz w:val="24"/>
                <w:szCs w:val="24"/>
                <w:lang w:val="ru-MD"/>
              </w:rPr>
            </w:pPr>
            <w:r w:rsidRPr="008D721A">
              <w:rPr>
                <w:rFonts w:asciiTheme="majorHAnsi" w:eastAsia="Times New Roman" w:hAnsiTheme="majorHAnsi" w:cstheme="majorHAnsi"/>
                <w:b/>
                <w:bCs/>
                <w:color w:val="2E74B5" w:themeColor="accent1" w:themeShade="BF"/>
                <w:sz w:val="24"/>
                <w:szCs w:val="24"/>
                <w:lang w:val="ru-MD"/>
              </w:rPr>
              <w:t>ПМСУ</w:t>
            </w:r>
          </w:p>
        </w:tc>
        <w:tc>
          <w:tcPr>
            <w:tcW w:w="8411" w:type="dxa"/>
            <w:shd w:val="clear" w:color="auto" w:fill="FFFFFF" w:themeFill="background1"/>
          </w:tcPr>
          <w:p w14:paraId="150305D6" w14:textId="0EAFAD0E" w:rsidR="006D52C7" w:rsidRPr="008D721A" w:rsidRDefault="00B954D3" w:rsidP="00F03991">
            <w:pPr>
              <w:spacing w:line="276" w:lineRule="auto"/>
              <w:rPr>
                <w:rFonts w:asciiTheme="majorHAnsi" w:eastAsia="Times New Roman" w:hAnsiTheme="majorHAnsi" w:cstheme="majorHAnsi"/>
                <w:bCs/>
                <w:sz w:val="24"/>
                <w:szCs w:val="24"/>
                <w:lang w:val="ru-MD"/>
              </w:rPr>
            </w:pPr>
            <w:r w:rsidRPr="008D721A">
              <w:rPr>
                <w:rFonts w:asciiTheme="majorHAnsi" w:hAnsiTheme="majorHAnsi" w:cstheme="majorHAnsi"/>
                <w:sz w:val="24"/>
                <w:szCs w:val="24"/>
                <w:lang w:val="ru-MD"/>
              </w:rPr>
              <w:t>Публичное медико-санитарное учреждение</w:t>
            </w:r>
          </w:p>
        </w:tc>
      </w:tr>
      <w:tr w:rsidR="006D52C7" w:rsidRPr="00B13B9A" w14:paraId="41763550" w14:textId="77777777" w:rsidTr="00B24768">
        <w:trPr>
          <w:trHeight w:val="306"/>
        </w:trPr>
        <w:tc>
          <w:tcPr>
            <w:tcW w:w="1233" w:type="dxa"/>
            <w:shd w:val="clear" w:color="auto" w:fill="FFFFFF" w:themeFill="background1"/>
          </w:tcPr>
          <w:p w14:paraId="18C8846D" w14:textId="56B83A74" w:rsidR="006D52C7" w:rsidRPr="008D721A" w:rsidRDefault="00886991" w:rsidP="00B24768">
            <w:pPr>
              <w:spacing w:line="276" w:lineRule="auto"/>
              <w:rPr>
                <w:rFonts w:asciiTheme="majorHAnsi" w:eastAsia="Times New Roman" w:hAnsiTheme="majorHAnsi" w:cstheme="majorHAnsi"/>
                <w:b/>
                <w:bCs/>
                <w:color w:val="2E74B5" w:themeColor="accent1" w:themeShade="BF"/>
                <w:sz w:val="24"/>
                <w:szCs w:val="24"/>
                <w:lang w:val="ru-MD"/>
              </w:rPr>
            </w:pPr>
            <w:r w:rsidRPr="008D721A">
              <w:rPr>
                <w:rFonts w:asciiTheme="majorHAnsi" w:eastAsia="Times New Roman" w:hAnsiTheme="majorHAnsi" w:cstheme="majorHAnsi"/>
                <w:b/>
                <w:bCs/>
                <w:color w:val="2E74B5" w:themeColor="accent1" w:themeShade="BF"/>
                <w:sz w:val="24"/>
                <w:szCs w:val="24"/>
                <w:lang w:val="ru-MD"/>
              </w:rPr>
              <w:t>МЗ</w:t>
            </w:r>
          </w:p>
        </w:tc>
        <w:tc>
          <w:tcPr>
            <w:tcW w:w="8411" w:type="dxa"/>
            <w:shd w:val="clear" w:color="auto" w:fill="FFFFFF" w:themeFill="background1"/>
          </w:tcPr>
          <w:p w14:paraId="5F8D0E9B" w14:textId="54B2DE9E" w:rsidR="006D52C7" w:rsidRPr="008D721A" w:rsidRDefault="00B954D3" w:rsidP="00B24768">
            <w:pPr>
              <w:spacing w:line="276" w:lineRule="auto"/>
              <w:rPr>
                <w:rFonts w:asciiTheme="majorHAnsi" w:hAnsiTheme="majorHAnsi" w:cstheme="majorHAnsi"/>
                <w:sz w:val="24"/>
                <w:szCs w:val="24"/>
                <w:lang w:val="ru-MD"/>
              </w:rPr>
            </w:pPr>
            <w:r w:rsidRPr="008D721A">
              <w:rPr>
                <w:rFonts w:asciiTheme="majorHAnsi" w:hAnsiTheme="majorHAnsi" w:cstheme="majorHAnsi"/>
                <w:sz w:val="24"/>
                <w:szCs w:val="24"/>
                <w:lang w:val="ru-MD"/>
              </w:rPr>
              <w:t>Министерство Здравоохранения</w:t>
            </w:r>
          </w:p>
        </w:tc>
      </w:tr>
      <w:tr w:rsidR="006D52C7" w:rsidRPr="001924A7" w14:paraId="5F266CB4" w14:textId="77777777" w:rsidTr="00B24768">
        <w:trPr>
          <w:trHeight w:val="306"/>
        </w:trPr>
        <w:tc>
          <w:tcPr>
            <w:tcW w:w="1233" w:type="dxa"/>
            <w:shd w:val="clear" w:color="auto" w:fill="FFFFFF" w:themeFill="background1"/>
          </w:tcPr>
          <w:p w14:paraId="6EE81234" w14:textId="3C4CFDC7" w:rsidR="006D52C7" w:rsidRPr="008D721A" w:rsidRDefault="00886991" w:rsidP="00B24768">
            <w:pPr>
              <w:spacing w:line="276" w:lineRule="auto"/>
              <w:rPr>
                <w:rFonts w:asciiTheme="majorHAnsi" w:eastAsia="Times New Roman" w:hAnsiTheme="majorHAnsi" w:cstheme="majorHAnsi"/>
                <w:b/>
                <w:bCs/>
                <w:color w:val="2E74B5" w:themeColor="accent1" w:themeShade="BF"/>
                <w:sz w:val="24"/>
                <w:szCs w:val="24"/>
                <w:lang w:val="ru-MD"/>
              </w:rPr>
            </w:pPr>
            <w:r w:rsidRPr="008D721A">
              <w:rPr>
                <w:rFonts w:asciiTheme="majorHAnsi" w:eastAsia="Times New Roman" w:hAnsiTheme="majorHAnsi" w:cstheme="majorHAnsi"/>
                <w:b/>
                <w:bCs/>
                <w:color w:val="2E74B5" w:themeColor="accent1" w:themeShade="BF"/>
                <w:sz w:val="24"/>
                <w:szCs w:val="24"/>
                <w:lang w:val="ru-MD"/>
              </w:rPr>
              <w:t>МЗТСЗ</w:t>
            </w:r>
          </w:p>
        </w:tc>
        <w:tc>
          <w:tcPr>
            <w:tcW w:w="8411" w:type="dxa"/>
            <w:shd w:val="clear" w:color="auto" w:fill="FFFFFF" w:themeFill="background1"/>
          </w:tcPr>
          <w:p w14:paraId="580F546B" w14:textId="2E7C7FCE" w:rsidR="006D52C7" w:rsidRPr="008D721A" w:rsidRDefault="00B954D3" w:rsidP="00B24768">
            <w:pPr>
              <w:spacing w:line="276" w:lineRule="auto"/>
              <w:rPr>
                <w:rFonts w:asciiTheme="majorHAnsi" w:hAnsiTheme="majorHAnsi" w:cstheme="majorHAnsi"/>
                <w:sz w:val="24"/>
                <w:szCs w:val="24"/>
                <w:lang w:val="ru-MD"/>
              </w:rPr>
            </w:pPr>
            <w:r w:rsidRPr="008D721A">
              <w:rPr>
                <w:rFonts w:asciiTheme="majorHAnsi" w:hAnsiTheme="majorHAnsi" w:cstheme="majorHAnsi"/>
                <w:sz w:val="24"/>
                <w:szCs w:val="24"/>
                <w:lang w:val="ru-MD"/>
              </w:rPr>
              <w:t>Министерство здравоохранения, труда и социальной защиты</w:t>
            </w:r>
          </w:p>
        </w:tc>
      </w:tr>
      <w:tr w:rsidR="006D52C7" w:rsidRPr="001924A7" w14:paraId="6A067D60" w14:textId="77777777" w:rsidTr="00B24768">
        <w:trPr>
          <w:trHeight w:val="306"/>
        </w:trPr>
        <w:tc>
          <w:tcPr>
            <w:tcW w:w="1233" w:type="dxa"/>
            <w:shd w:val="clear" w:color="auto" w:fill="FFFFFF" w:themeFill="background1"/>
          </w:tcPr>
          <w:p w14:paraId="60251B71" w14:textId="0C33DFDB" w:rsidR="006D52C7" w:rsidRPr="008D721A" w:rsidRDefault="00886991" w:rsidP="00B24768">
            <w:pPr>
              <w:spacing w:line="276" w:lineRule="auto"/>
              <w:rPr>
                <w:rFonts w:asciiTheme="majorHAnsi" w:eastAsia="Times New Roman" w:hAnsiTheme="majorHAnsi" w:cstheme="majorHAnsi"/>
                <w:b/>
                <w:bCs/>
                <w:color w:val="2E74B5" w:themeColor="accent1" w:themeShade="BF"/>
                <w:sz w:val="24"/>
                <w:szCs w:val="24"/>
                <w:lang w:val="ru-MD"/>
              </w:rPr>
            </w:pPr>
            <w:r w:rsidRPr="008D721A">
              <w:rPr>
                <w:rFonts w:asciiTheme="majorHAnsi" w:eastAsia="Times New Roman" w:hAnsiTheme="majorHAnsi" w:cstheme="majorHAnsi"/>
                <w:b/>
                <w:bCs/>
                <w:color w:val="2E74B5" w:themeColor="accent1" w:themeShade="BF"/>
                <w:sz w:val="24"/>
                <w:szCs w:val="24"/>
                <w:lang w:val="ru-MD"/>
              </w:rPr>
              <w:t>МИРР</w:t>
            </w:r>
          </w:p>
        </w:tc>
        <w:tc>
          <w:tcPr>
            <w:tcW w:w="8411" w:type="dxa"/>
            <w:shd w:val="clear" w:color="auto" w:fill="FFFFFF" w:themeFill="background1"/>
          </w:tcPr>
          <w:p w14:paraId="0A9AA707" w14:textId="323C48A1" w:rsidR="006D52C7" w:rsidRPr="008D721A" w:rsidRDefault="00B954D3" w:rsidP="00B24768">
            <w:pPr>
              <w:spacing w:line="276" w:lineRule="auto"/>
              <w:rPr>
                <w:rFonts w:asciiTheme="majorHAnsi" w:eastAsia="Times New Roman" w:hAnsiTheme="majorHAnsi" w:cstheme="majorHAnsi"/>
                <w:bCs/>
                <w:sz w:val="24"/>
                <w:szCs w:val="24"/>
                <w:lang w:val="ru-MD"/>
              </w:rPr>
            </w:pPr>
            <w:r w:rsidRPr="008D721A">
              <w:rPr>
                <w:rFonts w:asciiTheme="majorHAnsi" w:eastAsia="Times New Roman" w:hAnsiTheme="majorHAnsi" w:cstheme="majorHAnsi"/>
                <w:bCs/>
                <w:sz w:val="24"/>
                <w:szCs w:val="24"/>
                <w:lang w:val="ru-MD"/>
              </w:rPr>
              <w:t>Министерство инфраструктуры и регионального развития</w:t>
            </w:r>
          </w:p>
        </w:tc>
      </w:tr>
      <w:tr w:rsidR="006D52C7" w:rsidRPr="001924A7" w14:paraId="0510FC61" w14:textId="77777777" w:rsidTr="00B24768">
        <w:trPr>
          <w:trHeight w:val="306"/>
        </w:trPr>
        <w:tc>
          <w:tcPr>
            <w:tcW w:w="1233" w:type="dxa"/>
            <w:shd w:val="clear" w:color="auto" w:fill="FFFFFF" w:themeFill="background1"/>
          </w:tcPr>
          <w:p w14:paraId="1604B0CE" w14:textId="213E47EC" w:rsidR="006D52C7" w:rsidRPr="008D721A" w:rsidRDefault="00886991" w:rsidP="00B24768">
            <w:pPr>
              <w:spacing w:line="276" w:lineRule="auto"/>
              <w:rPr>
                <w:rFonts w:asciiTheme="majorHAnsi" w:eastAsia="Times New Roman" w:hAnsiTheme="majorHAnsi" w:cstheme="majorHAnsi"/>
                <w:b/>
                <w:bCs/>
                <w:color w:val="2E74B5" w:themeColor="accent1" w:themeShade="BF"/>
                <w:sz w:val="24"/>
                <w:szCs w:val="24"/>
                <w:lang w:val="ru-MD"/>
              </w:rPr>
            </w:pPr>
            <w:r w:rsidRPr="008D721A">
              <w:rPr>
                <w:rFonts w:asciiTheme="majorHAnsi" w:eastAsia="Times New Roman" w:hAnsiTheme="majorHAnsi" w:cstheme="majorHAnsi"/>
                <w:b/>
                <w:bCs/>
                <w:color w:val="2E74B5" w:themeColor="accent1" w:themeShade="BF"/>
                <w:sz w:val="24"/>
                <w:szCs w:val="24"/>
                <w:lang w:val="ru-MD"/>
              </w:rPr>
              <w:t>НПБТ</w:t>
            </w:r>
          </w:p>
        </w:tc>
        <w:tc>
          <w:tcPr>
            <w:tcW w:w="8411" w:type="dxa"/>
            <w:shd w:val="clear" w:color="auto" w:fill="FFFFFF" w:themeFill="background1"/>
          </w:tcPr>
          <w:p w14:paraId="4CFF9C03" w14:textId="0221504D" w:rsidR="006D52C7" w:rsidRPr="008D721A" w:rsidRDefault="00B954D3" w:rsidP="00B24768">
            <w:pPr>
              <w:spacing w:line="276" w:lineRule="auto"/>
              <w:rPr>
                <w:rFonts w:asciiTheme="majorHAnsi" w:eastAsia="Times New Roman" w:hAnsiTheme="majorHAnsi" w:cstheme="majorHAnsi"/>
                <w:bCs/>
                <w:sz w:val="24"/>
                <w:szCs w:val="24"/>
                <w:lang w:val="ru-MD"/>
              </w:rPr>
            </w:pPr>
            <w:r w:rsidRPr="008D721A">
              <w:rPr>
                <w:rFonts w:asciiTheme="majorHAnsi" w:eastAsia="Times New Roman" w:hAnsiTheme="majorHAnsi" w:cstheme="majorHAnsi"/>
                <w:bCs/>
                <w:sz w:val="24"/>
                <w:szCs w:val="24"/>
                <w:lang w:val="ru-MD"/>
              </w:rPr>
              <w:t>Национальная программа по борьбе с туберкулезом</w:t>
            </w:r>
          </w:p>
        </w:tc>
      </w:tr>
      <w:tr w:rsidR="006D52C7" w:rsidRPr="00B13B9A" w14:paraId="1DDC71A7" w14:textId="77777777" w:rsidTr="00B24768">
        <w:trPr>
          <w:trHeight w:val="306"/>
        </w:trPr>
        <w:tc>
          <w:tcPr>
            <w:tcW w:w="1233" w:type="dxa"/>
            <w:shd w:val="clear" w:color="auto" w:fill="FFFFFF" w:themeFill="background1"/>
          </w:tcPr>
          <w:p w14:paraId="77AECE2E" w14:textId="426CBAF0" w:rsidR="006D52C7" w:rsidRPr="008D721A" w:rsidRDefault="00886991" w:rsidP="00B24768">
            <w:pPr>
              <w:spacing w:line="276" w:lineRule="auto"/>
              <w:rPr>
                <w:rFonts w:asciiTheme="majorHAnsi" w:eastAsia="Times New Roman" w:hAnsiTheme="majorHAnsi" w:cstheme="majorHAnsi"/>
                <w:b/>
                <w:bCs/>
                <w:color w:val="2E74B5" w:themeColor="accent1" w:themeShade="BF"/>
                <w:sz w:val="24"/>
                <w:szCs w:val="24"/>
                <w:lang w:val="ru-MD"/>
              </w:rPr>
            </w:pPr>
            <w:r w:rsidRPr="008D721A">
              <w:rPr>
                <w:rFonts w:asciiTheme="majorHAnsi" w:eastAsia="Times New Roman" w:hAnsiTheme="majorHAnsi" w:cstheme="majorHAnsi"/>
                <w:b/>
                <w:bCs/>
                <w:color w:val="2E74B5" w:themeColor="accent1" w:themeShade="BF"/>
                <w:sz w:val="24"/>
                <w:szCs w:val="24"/>
                <w:lang w:val="ru-MD"/>
              </w:rPr>
              <w:t>РНИ</w:t>
            </w:r>
          </w:p>
        </w:tc>
        <w:tc>
          <w:tcPr>
            <w:tcW w:w="8411" w:type="dxa"/>
            <w:shd w:val="clear" w:color="auto" w:fill="FFFFFF" w:themeFill="background1"/>
          </w:tcPr>
          <w:p w14:paraId="0828BCB7" w14:textId="76B64B5B" w:rsidR="006D52C7" w:rsidRPr="008D721A" w:rsidRDefault="00B954D3" w:rsidP="00B24768">
            <w:pPr>
              <w:spacing w:line="276" w:lineRule="auto"/>
              <w:rPr>
                <w:rFonts w:asciiTheme="majorHAnsi" w:eastAsia="Times New Roman" w:hAnsiTheme="majorHAnsi" w:cstheme="majorHAnsi"/>
                <w:bCs/>
                <w:sz w:val="24"/>
                <w:szCs w:val="24"/>
                <w:lang w:val="ru-MD"/>
              </w:rPr>
            </w:pPr>
            <w:r w:rsidRPr="008D721A">
              <w:rPr>
                <w:rFonts w:asciiTheme="majorHAnsi" w:eastAsia="Times New Roman" w:hAnsiTheme="majorHAnsi" w:cstheme="majorHAnsi"/>
                <w:bCs/>
                <w:sz w:val="24"/>
                <w:szCs w:val="24"/>
                <w:lang w:val="ru-MD"/>
              </w:rPr>
              <w:t>Регистр недвижимого имущества</w:t>
            </w:r>
          </w:p>
        </w:tc>
      </w:tr>
      <w:tr w:rsidR="006D52C7" w:rsidRPr="00B13B9A" w14:paraId="11698ECC" w14:textId="77777777" w:rsidTr="00B24768">
        <w:trPr>
          <w:trHeight w:val="306"/>
        </w:trPr>
        <w:tc>
          <w:tcPr>
            <w:tcW w:w="1233" w:type="dxa"/>
            <w:shd w:val="clear" w:color="auto" w:fill="FFFFFF" w:themeFill="background1"/>
          </w:tcPr>
          <w:p w14:paraId="2D00DDD9" w14:textId="1FE36150" w:rsidR="006D52C7" w:rsidRPr="008D721A" w:rsidRDefault="00886991" w:rsidP="00B24768">
            <w:pPr>
              <w:spacing w:line="276" w:lineRule="auto"/>
              <w:rPr>
                <w:rFonts w:asciiTheme="majorHAnsi" w:eastAsia="Times New Roman" w:hAnsiTheme="majorHAnsi" w:cstheme="majorHAnsi"/>
                <w:b/>
                <w:bCs/>
                <w:color w:val="2E74B5" w:themeColor="accent1" w:themeShade="BF"/>
                <w:sz w:val="24"/>
                <w:szCs w:val="24"/>
                <w:lang w:val="ru-MD"/>
              </w:rPr>
            </w:pPr>
            <w:r w:rsidRPr="008D721A">
              <w:rPr>
                <w:rFonts w:asciiTheme="majorHAnsi" w:eastAsia="Times New Roman" w:hAnsiTheme="majorHAnsi" w:cstheme="majorHAnsi"/>
                <w:b/>
                <w:bCs/>
                <w:color w:val="2E74B5" w:themeColor="accent1" w:themeShade="BF"/>
                <w:sz w:val="24"/>
                <w:szCs w:val="24"/>
                <w:lang w:val="ru-MD"/>
              </w:rPr>
              <w:t>НСБУ</w:t>
            </w:r>
          </w:p>
        </w:tc>
        <w:tc>
          <w:tcPr>
            <w:tcW w:w="8411" w:type="dxa"/>
            <w:shd w:val="clear" w:color="auto" w:fill="FFFFFF" w:themeFill="background1"/>
          </w:tcPr>
          <w:p w14:paraId="154BA0EE" w14:textId="045AEA11" w:rsidR="006D52C7" w:rsidRPr="008D721A" w:rsidRDefault="00B954D3" w:rsidP="00B24768">
            <w:pPr>
              <w:spacing w:line="276" w:lineRule="auto"/>
              <w:rPr>
                <w:rFonts w:asciiTheme="majorHAnsi" w:hAnsiTheme="majorHAnsi" w:cstheme="majorHAnsi"/>
                <w:sz w:val="24"/>
                <w:szCs w:val="24"/>
                <w:lang w:val="ru-MD"/>
              </w:rPr>
            </w:pPr>
            <w:r w:rsidRPr="008D721A">
              <w:rPr>
                <w:rFonts w:asciiTheme="majorHAnsi" w:hAnsiTheme="majorHAnsi" w:cstheme="majorHAnsi"/>
                <w:sz w:val="24"/>
                <w:szCs w:val="24"/>
                <w:lang w:val="ru-MD"/>
              </w:rPr>
              <w:t>Национальный стандарт бухгалтерского учета</w:t>
            </w:r>
          </w:p>
        </w:tc>
      </w:tr>
      <w:tr w:rsidR="006D52C7" w:rsidRPr="00B13B9A" w14:paraId="0A82AEEA" w14:textId="77777777" w:rsidTr="00B24768">
        <w:trPr>
          <w:trHeight w:val="306"/>
        </w:trPr>
        <w:tc>
          <w:tcPr>
            <w:tcW w:w="1233" w:type="dxa"/>
            <w:shd w:val="clear" w:color="auto" w:fill="FFFFFF" w:themeFill="background1"/>
          </w:tcPr>
          <w:p w14:paraId="1997F4C4" w14:textId="52BC765B" w:rsidR="006D52C7" w:rsidRPr="008D721A" w:rsidRDefault="00886991" w:rsidP="00B24768">
            <w:pPr>
              <w:spacing w:line="276" w:lineRule="auto"/>
              <w:rPr>
                <w:rFonts w:asciiTheme="majorHAnsi" w:eastAsia="Times New Roman" w:hAnsiTheme="majorHAnsi" w:cstheme="majorHAnsi"/>
                <w:b/>
                <w:bCs/>
                <w:color w:val="2E74B5" w:themeColor="accent1" w:themeShade="BF"/>
                <w:sz w:val="24"/>
                <w:szCs w:val="24"/>
                <w:lang w:val="ru-MD"/>
              </w:rPr>
            </w:pPr>
            <w:r w:rsidRPr="008D721A">
              <w:rPr>
                <w:rFonts w:asciiTheme="majorHAnsi" w:eastAsia="Times New Roman" w:hAnsiTheme="majorHAnsi" w:cstheme="majorHAnsi"/>
                <w:b/>
                <w:bCs/>
                <w:color w:val="2E74B5" w:themeColor="accent1" w:themeShade="BF"/>
                <w:sz w:val="24"/>
                <w:szCs w:val="24"/>
                <w:lang w:val="ru-MD"/>
              </w:rPr>
              <w:t>ТБ</w:t>
            </w:r>
          </w:p>
        </w:tc>
        <w:tc>
          <w:tcPr>
            <w:tcW w:w="8411" w:type="dxa"/>
            <w:shd w:val="clear" w:color="auto" w:fill="FFFFFF" w:themeFill="background1"/>
          </w:tcPr>
          <w:p w14:paraId="7595AFB5" w14:textId="2A8C8AB7" w:rsidR="006D52C7" w:rsidRPr="008D721A" w:rsidRDefault="00B954D3" w:rsidP="00B24768">
            <w:pPr>
              <w:spacing w:line="276" w:lineRule="auto"/>
              <w:rPr>
                <w:rFonts w:asciiTheme="majorHAnsi" w:eastAsia="Times New Roman" w:hAnsiTheme="majorHAnsi" w:cstheme="majorHAnsi"/>
                <w:bCs/>
                <w:sz w:val="24"/>
                <w:szCs w:val="24"/>
                <w:lang w:val="ru-MD"/>
              </w:rPr>
            </w:pPr>
            <w:r w:rsidRPr="008D721A">
              <w:rPr>
                <w:rFonts w:asciiTheme="majorHAnsi" w:eastAsia="Times New Roman" w:hAnsiTheme="majorHAnsi" w:cstheme="majorHAnsi"/>
                <w:bCs/>
                <w:sz w:val="24"/>
                <w:szCs w:val="24"/>
                <w:lang w:val="ru-MD"/>
              </w:rPr>
              <w:t>Туберкулез</w:t>
            </w:r>
          </w:p>
        </w:tc>
      </w:tr>
      <w:tr w:rsidR="006D52C7" w:rsidRPr="001924A7" w14:paraId="5EA6A153" w14:textId="77777777" w:rsidTr="00B24768">
        <w:trPr>
          <w:trHeight w:val="306"/>
        </w:trPr>
        <w:tc>
          <w:tcPr>
            <w:tcW w:w="1233" w:type="dxa"/>
            <w:shd w:val="clear" w:color="auto" w:fill="FFFFFF" w:themeFill="background1"/>
          </w:tcPr>
          <w:p w14:paraId="527CF9BC" w14:textId="67F64B80" w:rsidR="006D52C7" w:rsidRPr="008D721A" w:rsidRDefault="00886991" w:rsidP="00886991">
            <w:pPr>
              <w:spacing w:line="276" w:lineRule="auto"/>
              <w:rPr>
                <w:rFonts w:asciiTheme="majorHAnsi" w:eastAsia="Times New Roman" w:hAnsiTheme="majorHAnsi" w:cstheme="majorHAnsi"/>
                <w:b/>
                <w:bCs/>
                <w:color w:val="2E74B5" w:themeColor="accent1" w:themeShade="BF"/>
                <w:sz w:val="24"/>
                <w:szCs w:val="24"/>
                <w:lang w:val="ru-MD"/>
              </w:rPr>
            </w:pPr>
            <w:r w:rsidRPr="008D721A">
              <w:rPr>
                <w:rFonts w:asciiTheme="majorHAnsi" w:eastAsia="Times New Roman" w:hAnsiTheme="majorHAnsi" w:cstheme="majorHAnsi"/>
                <w:b/>
                <w:bCs/>
                <w:color w:val="2E74B5" w:themeColor="accent1" w:themeShade="BF"/>
                <w:sz w:val="24"/>
                <w:szCs w:val="24"/>
                <w:lang w:val="ru-MD"/>
              </w:rPr>
              <w:t>ПКВМП</w:t>
            </w:r>
          </w:p>
        </w:tc>
        <w:tc>
          <w:tcPr>
            <w:tcW w:w="8411" w:type="dxa"/>
            <w:shd w:val="clear" w:color="auto" w:fill="FFFFFF" w:themeFill="background1"/>
          </w:tcPr>
          <w:p w14:paraId="1F857A04" w14:textId="7D2596B7" w:rsidR="00AE15A5" w:rsidRPr="008D721A" w:rsidRDefault="00B954D3" w:rsidP="00886991">
            <w:pPr>
              <w:spacing w:line="276" w:lineRule="auto"/>
              <w:rPr>
                <w:rFonts w:asciiTheme="majorHAnsi" w:eastAsia="Times New Roman" w:hAnsiTheme="majorHAnsi" w:cstheme="majorHAnsi"/>
                <w:bCs/>
                <w:sz w:val="24"/>
                <w:szCs w:val="24"/>
                <w:lang w:val="ru-MD"/>
              </w:rPr>
            </w:pPr>
            <w:r w:rsidRPr="008D721A">
              <w:rPr>
                <w:rFonts w:asciiTheme="majorHAnsi" w:eastAsia="Times New Roman" w:hAnsiTheme="majorHAnsi" w:cstheme="majorHAnsi"/>
                <w:bCs/>
                <w:sz w:val="24"/>
                <w:szCs w:val="24"/>
                <w:lang w:val="ru-MD"/>
              </w:rPr>
              <w:t xml:space="preserve">Подразделение по координации, </w:t>
            </w:r>
            <w:r w:rsidR="00886991" w:rsidRPr="008D721A">
              <w:rPr>
                <w:rFonts w:asciiTheme="majorHAnsi" w:eastAsia="Times New Roman" w:hAnsiTheme="majorHAnsi" w:cstheme="majorHAnsi"/>
                <w:bCs/>
                <w:sz w:val="24"/>
                <w:szCs w:val="24"/>
                <w:lang w:val="ru-MD"/>
              </w:rPr>
              <w:t>внедрению</w:t>
            </w:r>
            <w:r w:rsidRPr="008D721A">
              <w:rPr>
                <w:rFonts w:asciiTheme="majorHAnsi" w:eastAsia="Times New Roman" w:hAnsiTheme="majorHAnsi" w:cstheme="majorHAnsi"/>
                <w:bCs/>
                <w:sz w:val="24"/>
                <w:szCs w:val="24"/>
                <w:lang w:val="ru-MD"/>
              </w:rPr>
              <w:t xml:space="preserve"> и мониторингу проектов</w:t>
            </w:r>
          </w:p>
        </w:tc>
      </w:tr>
      <w:tr w:rsidR="00415D9E" w:rsidRPr="001924A7" w14:paraId="6383708A" w14:textId="77777777" w:rsidTr="00B24768">
        <w:trPr>
          <w:trHeight w:val="306"/>
        </w:trPr>
        <w:tc>
          <w:tcPr>
            <w:tcW w:w="1233" w:type="dxa"/>
            <w:shd w:val="clear" w:color="auto" w:fill="FFFFFF" w:themeFill="background1"/>
          </w:tcPr>
          <w:p w14:paraId="37DB0322" w14:textId="490E01C4" w:rsidR="00415D9E" w:rsidRPr="008D721A" w:rsidRDefault="00886991" w:rsidP="00886991">
            <w:pPr>
              <w:spacing w:line="276" w:lineRule="auto"/>
              <w:rPr>
                <w:rFonts w:asciiTheme="majorHAnsi" w:eastAsia="Times New Roman" w:hAnsiTheme="majorHAnsi" w:cstheme="majorHAnsi"/>
                <w:b/>
                <w:bCs/>
                <w:color w:val="2E74B5" w:themeColor="accent1" w:themeShade="BF"/>
                <w:sz w:val="24"/>
                <w:szCs w:val="24"/>
                <w:lang w:val="ru-MD"/>
              </w:rPr>
            </w:pPr>
            <w:r w:rsidRPr="008D721A">
              <w:rPr>
                <w:rFonts w:asciiTheme="majorHAnsi" w:eastAsia="Times New Roman" w:hAnsiTheme="majorHAnsi" w:cstheme="majorHAnsi"/>
                <w:b/>
                <w:bCs/>
                <w:color w:val="2E74B5" w:themeColor="accent1" w:themeShade="BF"/>
                <w:sz w:val="24"/>
                <w:szCs w:val="24"/>
                <w:lang w:val="ru-MD"/>
              </w:rPr>
              <w:t>ЦЦГЗЗ</w:t>
            </w:r>
          </w:p>
        </w:tc>
        <w:tc>
          <w:tcPr>
            <w:tcW w:w="8411" w:type="dxa"/>
            <w:shd w:val="clear" w:color="auto" w:fill="FFFFFF" w:themeFill="background1"/>
          </w:tcPr>
          <w:p w14:paraId="681407FD" w14:textId="0459BE81" w:rsidR="00415D9E" w:rsidRPr="008D721A" w:rsidRDefault="00B954D3" w:rsidP="00B24768">
            <w:pPr>
              <w:spacing w:line="276" w:lineRule="auto"/>
              <w:rPr>
                <w:rFonts w:asciiTheme="majorHAnsi" w:eastAsia="Times New Roman" w:hAnsiTheme="majorHAnsi" w:cstheme="majorHAnsi"/>
                <w:bCs/>
                <w:sz w:val="24"/>
                <w:szCs w:val="24"/>
                <w:lang w:val="ru-MD"/>
              </w:rPr>
            </w:pPr>
            <w:r w:rsidRPr="008D721A">
              <w:rPr>
                <w:rFonts w:asciiTheme="majorHAnsi" w:hAnsiTheme="majorHAnsi" w:cstheme="majorHAnsi"/>
                <w:sz w:val="24"/>
                <w:szCs w:val="24"/>
                <w:lang w:val="ru-MD"/>
              </w:rPr>
              <w:t>Центр централизованных государственных закупок в области здравоохранения</w:t>
            </w:r>
          </w:p>
        </w:tc>
      </w:tr>
      <w:tr w:rsidR="006D52C7" w:rsidRPr="001924A7" w14:paraId="6B4C4CBC" w14:textId="77777777" w:rsidTr="00B24768">
        <w:trPr>
          <w:trHeight w:val="306"/>
        </w:trPr>
        <w:tc>
          <w:tcPr>
            <w:tcW w:w="1233" w:type="dxa"/>
            <w:shd w:val="clear" w:color="auto" w:fill="FFFFFF" w:themeFill="background1"/>
          </w:tcPr>
          <w:p w14:paraId="3987DDFF" w14:textId="77777777" w:rsidR="006D52C7" w:rsidRPr="00B13B9A" w:rsidRDefault="006D52C7" w:rsidP="00B24768">
            <w:pPr>
              <w:spacing w:line="276" w:lineRule="auto"/>
              <w:rPr>
                <w:rFonts w:asciiTheme="majorHAnsi" w:eastAsia="Times New Roman" w:hAnsiTheme="majorHAnsi" w:cstheme="majorHAnsi"/>
                <w:b/>
                <w:bCs/>
                <w:color w:val="2E74B5" w:themeColor="accent1" w:themeShade="BF"/>
                <w:sz w:val="24"/>
                <w:szCs w:val="24"/>
                <w:lang w:val="ro-MD"/>
              </w:rPr>
            </w:pPr>
          </w:p>
        </w:tc>
        <w:tc>
          <w:tcPr>
            <w:tcW w:w="8411" w:type="dxa"/>
            <w:shd w:val="clear" w:color="auto" w:fill="FFFFFF" w:themeFill="background1"/>
          </w:tcPr>
          <w:p w14:paraId="2C5C483E" w14:textId="77777777" w:rsidR="006D52C7" w:rsidRPr="00B13B9A" w:rsidRDefault="006D52C7" w:rsidP="00B24768">
            <w:pPr>
              <w:spacing w:line="276" w:lineRule="auto"/>
              <w:rPr>
                <w:rFonts w:asciiTheme="majorHAnsi" w:eastAsia="Times New Roman" w:hAnsiTheme="majorHAnsi" w:cstheme="majorHAnsi"/>
                <w:bCs/>
                <w:sz w:val="24"/>
                <w:szCs w:val="24"/>
                <w:lang w:val="ro-MD"/>
              </w:rPr>
            </w:pPr>
          </w:p>
        </w:tc>
      </w:tr>
    </w:tbl>
    <w:p w14:paraId="6928BCCF" w14:textId="77777777" w:rsidR="009022BC" w:rsidRPr="00B13B9A" w:rsidRDefault="009022BC" w:rsidP="00D30318">
      <w:pPr>
        <w:spacing w:after="0" w:line="276" w:lineRule="auto"/>
        <w:rPr>
          <w:rFonts w:asciiTheme="majorHAnsi" w:eastAsia="Times New Roman" w:hAnsiTheme="majorHAnsi" w:cstheme="majorHAnsi"/>
          <w:b/>
          <w:bCs/>
          <w:color w:val="2E74B5" w:themeColor="accent1" w:themeShade="BF"/>
          <w:sz w:val="24"/>
          <w:szCs w:val="24"/>
          <w:lang w:val="ro-MD"/>
        </w:rPr>
      </w:pPr>
    </w:p>
    <w:p w14:paraId="5AE03C6C" w14:textId="77777777" w:rsidR="00F54249" w:rsidRPr="00B13B9A" w:rsidRDefault="00F54249" w:rsidP="00D30318">
      <w:pPr>
        <w:spacing w:after="0" w:line="276" w:lineRule="auto"/>
        <w:rPr>
          <w:rFonts w:asciiTheme="majorHAnsi" w:eastAsia="Times New Roman" w:hAnsiTheme="majorHAnsi" w:cstheme="majorHAnsi"/>
          <w:b/>
          <w:bCs/>
          <w:color w:val="2E74B5" w:themeColor="accent1" w:themeShade="BF"/>
          <w:sz w:val="24"/>
          <w:szCs w:val="24"/>
          <w:lang w:val="ro-MD"/>
        </w:rPr>
      </w:pPr>
    </w:p>
    <w:p w14:paraId="24187CEE" w14:textId="77777777" w:rsidR="00934A6F" w:rsidRDefault="00934A6F" w:rsidP="00FA7B71">
      <w:pPr>
        <w:pStyle w:val="1"/>
        <w:rPr>
          <w:rFonts w:eastAsia="Times New Roman" w:cstheme="majorHAnsi"/>
          <w:b/>
          <w:bCs/>
          <w:sz w:val="24"/>
          <w:szCs w:val="24"/>
          <w:lang w:val="ro-MD"/>
        </w:rPr>
      </w:pPr>
      <w:r>
        <w:rPr>
          <w:rFonts w:eastAsia="Times New Roman" w:cstheme="majorHAnsi"/>
          <w:b/>
          <w:bCs/>
          <w:sz w:val="24"/>
          <w:szCs w:val="24"/>
          <w:lang w:val="ro-MD"/>
        </w:rPr>
        <w:br w:type="page"/>
      </w:r>
    </w:p>
    <w:p w14:paraId="677AD24D" w14:textId="4932E893" w:rsidR="009022BC" w:rsidRPr="00B13B9A" w:rsidRDefault="008140CB" w:rsidP="00FA7B71">
      <w:pPr>
        <w:pStyle w:val="1"/>
        <w:rPr>
          <w:rFonts w:eastAsia="Times New Roman" w:cstheme="majorHAnsi"/>
          <w:b/>
          <w:bCs/>
          <w:sz w:val="24"/>
          <w:szCs w:val="24"/>
          <w:lang w:val="ro-MD"/>
        </w:rPr>
      </w:pPr>
      <w:bookmarkStart w:id="2" w:name="_Toc158317214"/>
      <w:r>
        <w:rPr>
          <w:rFonts w:eastAsia="Times New Roman" w:cstheme="majorHAnsi"/>
          <w:b/>
          <w:bCs/>
          <w:sz w:val="24"/>
          <w:szCs w:val="24"/>
          <w:lang w:val="ru-RU"/>
        </w:rPr>
        <w:t>ГЛОССАРИЙ</w:t>
      </w:r>
      <w:bookmarkEnd w:id="2"/>
    </w:p>
    <w:tbl>
      <w:tblPr>
        <w:tblStyle w:val="PlainTable21"/>
        <w:tblW w:w="9667" w:type="dxa"/>
        <w:tblBorders>
          <w:top w:val="none" w:sz="0" w:space="0" w:color="auto"/>
          <w:bottom w:val="none" w:sz="0" w:space="0" w:color="auto"/>
          <w:insideH w:val="single" w:sz="4" w:space="0" w:color="5B9BD5" w:themeColor="accent1"/>
        </w:tblBorders>
        <w:tblLook w:val="04A0" w:firstRow="1" w:lastRow="0" w:firstColumn="1" w:lastColumn="0" w:noHBand="0" w:noVBand="1"/>
      </w:tblPr>
      <w:tblGrid>
        <w:gridCol w:w="2399"/>
        <w:gridCol w:w="7268"/>
      </w:tblGrid>
      <w:tr w:rsidR="006D52C7" w:rsidRPr="001924A7" w14:paraId="5AABA578" w14:textId="77777777" w:rsidTr="00B24768">
        <w:trPr>
          <w:cnfStyle w:val="100000000000" w:firstRow="1" w:lastRow="0" w:firstColumn="0" w:lastColumn="0" w:oddVBand="0" w:evenVBand="0" w:oddHBand="0" w:evenHBand="0" w:firstRowFirstColumn="0" w:firstRowLastColumn="0" w:lastRowFirstColumn="0" w:lastRowLastColumn="0"/>
          <w:trHeight w:val="324"/>
        </w:trPr>
        <w:tc>
          <w:tcPr>
            <w:tcW w:w="2343" w:type="dxa"/>
            <w:tcBorders>
              <w:bottom w:val="none" w:sz="0" w:space="0" w:color="auto"/>
            </w:tcBorders>
          </w:tcPr>
          <w:p w14:paraId="6DE2B05B" w14:textId="10CE178E" w:rsidR="006D52C7" w:rsidRPr="00B21BB2" w:rsidRDefault="00B21BB2" w:rsidP="00B21BB2">
            <w:pPr>
              <w:rPr>
                <w:rFonts w:asciiTheme="majorHAnsi" w:hAnsiTheme="majorHAnsi" w:cstheme="majorHAnsi"/>
                <w:b/>
                <w:szCs w:val="24"/>
                <w:lang w:val="ro-MD"/>
              </w:rPr>
            </w:pPr>
            <w:r>
              <w:rPr>
                <w:rFonts w:asciiTheme="majorHAnsi" w:hAnsiTheme="majorHAnsi" w:cstheme="majorHAnsi"/>
                <w:b/>
                <w:iCs/>
                <w:szCs w:val="24"/>
                <w:lang w:val="ru-RU"/>
              </w:rPr>
              <w:t>Г</w:t>
            </w:r>
            <w:r w:rsidRPr="00B21BB2">
              <w:rPr>
                <w:rFonts w:asciiTheme="majorHAnsi" w:hAnsiTheme="majorHAnsi" w:cstheme="majorHAnsi"/>
                <w:b/>
                <w:iCs/>
                <w:szCs w:val="24"/>
              </w:rPr>
              <w:t>уманитарная помощь</w:t>
            </w:r>
          </w:p>
        </w:tc>
        <w:tc>
          <w:tcPr>
            <w:tcW w:w="7324" w:type="dxa"/>
            <w:tcBorders>
              <w:bottom w:val="none" w:sz="0" w:space="0" w:color="auto"/>
            </w:tcBorders>
          </w:tcPr>
          <w:p w14:paraId="2C9491D7" w14:textId="532DB49A" w:rsidR="006D52C7" w:rsidRPr="00B13B9A" w:rsidRDefault="00B21BB2" w:rsidP="00B21BB2">
            <w:pPr>
              <w:jc w:val="both"/>
              <w:rPr>
                <w:rFonts w:asciiTheme="majorHAnsi" w:hAnsiTheme="majorHAnsi" w:cstheme="majorHAnsi"/>
                <w:i/>
                <w:szCs w:val="24"/>
                <w:lang w:val="ro-MD"/>
              </w:rPr>
            </w:pPr>
            <w:r>
              <w:rPr>
                <w:rFonts w:asciiTheme="majorHAnsi" w:hAnsiTheme="majorHAnsi" w:cstheme="majorHAnsi"/>
                <w:i/>
                <w:szCs w:val="24"/>
                <w:shd w:val="clear" w:color="auto" w:fill="FFFFFF"/>
                <w:lang w:val="ru-RU"/>
              </w:rPr>
              <w:t>А</w:t>
            </w:r>
            <w:r w:rsidRPr="00B21BB2">
              <w:rPr>
                <w:rFonts w:asciiTheme="majorHAnsi" w:hAnsiTheme="majorHAnsi" w:cstheme="majorHAnsi"/>
                <w:i/>
                <w:szCs w:val="24"/>
                <w:shd w:val="clear" w:color="auto" w:fill="FFFFFF"/>
                <w:lang w:val="ro-MD"/>
              </w:rPr>
              <w:t xml:space="preserve">дресная бесплатная помощь в виде товаров, безвозвратной финансовой помощи, добровольных пожертвований в виде выполнения работ, оказания услуг, предоставляемая иностранными донорами </w:t>
            </w:r>
          </w:p>
        </w:tc>
      </w:tr>
      <w:tr w:rsidR="006D52C7" w:rsidRPr="001924A7" w14:paraId="20D08163" w14:textId="77777777" w:rsidTr="00B24768">
        <w:trPr>
          <w:cnfStyle w:val="000000100000" w:firstRow="0" w:lastRow="0" w:firstColumn="0" w:lastColumn="0" w:oddVBand="0" w:evenVBand="0" w:oddHBand="1" w:evenHBand="0" w:firstRowFirstColumn="0" w:firstRowLastColumn="0" w:lastRowFirstColumn="0" w:lastRowLastColumn="0"/>
          <w:trHeight w:val="324"/>
        </w:trPr>
        <w:tc>
          <w:tcPr>
            <w:tcW w:w="2343" w:type="dxa"/>
          </w:tcPr>
          <w:p w14:paraId="05F7C790" w14:textId="240A15A5" w:rsidR="006D52C7" w:rsidRPr="00B21BB2" w:rsidRDefault="00B21BB2" w:rsidP="00B21BB2">
            <w:pPr>
              <w:rPr>
                <w:rFonts w:asciiTheme="majorHAnsi" w:hAnsiTheme="majorHAnsi" w:cstheme="majorHAnsi"/>
                <w:b/>
                <w:szCs w:val="24"/>
                <w:lang w:val="ro-MD"/>
              </w:rPr>
            </w:pPr>
            <w:r>
              <w:rPr>
                <w:rFonts w:asciiTheme="majorHAnsi" w:hAnsiTheme="majorHAnsi" w:cstheme="majorHAnsi"/>
                <w:b/>
                <w:iCs/>
                <w:szCs w:val="24"/>
                <w:lang w:val="ru-RU"/>
              </w:rPr>
              <w:t>П</w:t>
            </w:r>
            <w:r w:rsidRPr="00B21BB2">
              <w:rPr>
                <w:rFonts w:asciiTheme="majorHAnsi" w:hAnsiTheme="majorHAnsi" w:cstheme="majorHAnsi"/>
                <w:b/>
                <w:iCs/>
                <w:szCs w:val="24"/>
              </w:rPr>
              <w:t>ротив</w:t>
            </w:r>
            <w:r>
              <w:rPr>
                <w:rFonts w:asciiTheme="majorHAnsi" w:hAnsiTheme="majorHAnsi" w:cstheme="majorHAnsi"/>
                <w:b/>
                <w:iCs/>
                <w:szCs w:val="24"/>
                <w:lang w:val="ru-RU"/>
              </w:rPr>
              <w:t>о</w:t>
            </w:r>
            <w:r w:rsidRPr="00B21BB2">
              <w:rPr>
                <w:rFonts w:asciiTheme="majorHAnsi" w:hAnsiTheme="majorHAnsi" w:cstheme="majorHAnsi"/>
                <w:b/>
                <w:iCs/>
                <w:szCs w:val="24"/>
              </w:rPr>
              <w:t>туберкулезная медицинская помощь</w:t>
            </w:r>
          </w:p>
        </w:tc>
        <w:tc>
          <w:tcPr>
            <w:tcW w:w="7324" w:type="dxa"/>
          </w:tcPr>
          <w:p w14:paraId="0DAF800F" w14:textId="1B6B7220" w:rsidR="006D52C7" w:rsidRPr="006A52E3" w:rsidRDefault="006A52E3" w:rsidP="007E6B0B">
            <w:pPr>
              <w:jc w:val="both"/>
              <w:rPr>
                <w:rFonts w:asciiTheme="majorHAnsi" w:hAnsiTheme="majorHAnsi" w:cstheme="majorHAnsi"/>
                <w:i/>
                <w:szCs w:val="24"/>
                <w:lang w:val="ru-RU"/>
              </w:rPr>
            </w:pPr>
            <w:r>
              <w:rPr>
                <w:rFonts w:asciiTheme="majorHAnsi" w:hAnsiTheme="majorHAnsi" w:cstheme="majorHAnsi"/>
                <w:i/>
                <w:szCs w:val="24"/>
                <w:lang w:val="ru-RU"/>
              </w:rPr>
              <w:t>К</w:t>
            </w:r>
            <w:r w:rsidRPr="006A52E3">
              <w:rPr>
                <w:rFonts w:asciiTheme="majorHAnsi" w:hAnsiTheme="majorHAnsi" w:cstheme="majorHAnsi"/>
                <w:i/>
                <w:szCs w:val="24"/>
                <w:lang w:val="ru-RU"/>
              </w:rPr>
              <w:t>омплекс медицинских, санитарно-гигиенических и противоэпидемических мер, направленных на выявление, обследование и лечение, в том числе обязательное, а также на наблюдение и восстановление больного туберкулезом в стационарных и амбулаторных условиях</w:t>
            </w:r>
          </w:p>
        </w:tc>
      </w:tr>
      <w:tr w:rsidR="006D52C7" w:rsidRPr="001924A7" w14:paraId="25E81984" w14:textId="77777777" w:rsidTr="00B24768">
        <w:trPr>
          <w:trHeight w:val="324"/>
        </w:trPr>
        <w:tc>
          <w:tcPr>
            <w:tcW w:w="2343" w:type="dxa"/>
          </w:tcPr>
          <w:p w14:paraId="7A0086CE" w14:textId="71BD9798" w:rsidR="006D52C7" w:rsidRPr="006A52E3" w:rsidRDefault="006A52E3" w:rsidP="00B24768">
            <w:pPr>
              <w:rPr>
                <w:rFonts w:asciiTheme="majorHAnsi" w:hAnsiTheme="majorHAnsi" w:cstheme="majorHAnsi"/>
                <w:b/>
                <w:szCs w:val="24"/>
                <w:lang w:val="ro-MD"/>
              </w:rPr>
            </w:pPr>
            <w:r>
              <w:rPr>
                <w:rFonts w:asciiTheme="majorHAnsi" w:hAnsiTheme="majorHAnsi" w:cstheme="majorHAnsi"/>
                <w:b/>
                <w:iCs/>
                <w:szCs w:val="24"/>
                <w:lang w:val="ru-RU"/>
              </w:rPr>
              <w:t>Д</w:t>
            </w:r>
            <w:r w:rsidRPr="006A52E3">
              <w:rPr>
                <w:rFonts w:asciiTheme="majorHAnsi" w:hAnsiTheme="majorHAnsi" w:cstheme="majorHAnsi"/>
                <w:b/>
                <w:iCs/>
                <w:szCs w:val="24"/>
              </w:rPr>
              <w:t>оговор о государственных закупках</w:t>
            </w:r>
          </w:p>
        </w:tc>
        <w:tc>
          <w:tcPr>
            <w:tcW w:w="7324" w:type="dxa"/>
          </w:tcPr>
          <w:p w14:paraId="014096DC" w14:textId="04DE124F" w:rsidR="006D52C7" w:rsidRPr="00B13B9A" w:rsidRDefault="00CD01D7" w:rsidP="00CD01D7">
            <w:pPr>
              <w:jc w:val="both"/>
              <w:rPr>
                <w:rFonts w:asciiTheme="majorHAnsi" w:hAnsiTheme="majorHAnsi" w:cstheme="majorHAnsi"/>
                <w:i/>
                <w:szCs w:val="24"/>
                <w:lang w:val="ro-MD"/>
              </w:rPr>
            </w:pPr>
            <w:r w:rsidRPr="00CD01D7">
              <w:rPr>
                <w:rFonts w:asciiTheme="majorHAnsi" w:hAnsiTheme="majorHAnsi" w:cstheme="majorHAnsi"/>
                <w:i/>
                <w:szCs w:val="24"/>
                <w:lang w:val="ro-MD"/>
              </w:rPr>
              <w:t xml:space="preserve">Возмездный договор, заключенный в письменной форме между одним или несколькими экономическими операторами и одним или несколькими закупающими органами, предметом которого является закупка товаров, выполнение работ или оказание услуг </w:t>
            </w:r>
          </w:p>
        </w:tc>
      </w:tr>
      <w:tr w:rsidR="006D52C7" w:rsidRPr="001924A7" w14:paraId="21A68BCB" w14:textId="77777777" w:rsidTr="00B24768">
        <w:trPr>
          <w:cnfStyle w:val="000000100000" w:firstRow="0" w:lastRow="0" w:firstColumn="0" w:lastColumn="0" w:oddVBand="0" w:evenVBand="0" w:oddHBand="1" w:evenHBand="0" w:firstRowFirstColumn="0" w:firstRowLastColumn="0" w:lastRowFirstColumn="0" w:lastRowLastColumn="0"/>
          <w:trHeight w:val="324"/>
        </w:trPr>
        <w:tc>
          <w:tcPr>
            <w:tcW w:w="2343" w:type="dxa"/>
          </w:tcPr>
          <w:p w14:paraId="54279B25" w14:textId="54D85288" w:rsidR="006D52C7" w:rsidRPr="00CD01D7" w:rsidRDefault="00CD01D7" w:rsidP="00B24768">
            <w:pPr>
              <w:rPr>
                <w:rFonts w:asciiTheme="majorHAnsi" w:hAnsiTheme="majorHAnsi" w:cstheme="majorHAnsi"/>
                <w:b/>
                <w:szCs w:val="24"/>
                <w:lang w:val="ro-MD"/>
              </w:rPr>
            </w:pPr>
            <w:r>
              <w:rPr>
                <w:rFonts w:asciiTheme="majorHAnsi" w:hAnsiTheme="majorHAnsi" w:cstheme="majorHAnsi"/>
                <w:b/>
                <w:iCs/>
                <w:szCs w:val="24"/>
                <w:lang w:val="ru-RU"/>
              </w:rPr>
              <w:t>Р</w:t>
            </w:r>
            <w:r w:rsidRPr="00CD01D7">
              <w:rPr>
                <w:rFonts w:asciiTheme="majorHAnsi" w:hAnsiTheme="majorHAnsi" w:cstheme="majorHAnsi"/>
                <w:b/>
                <w:iCs/>
                <w:szCs w:val="24"/>
              </w:rPr>
              <w:t>азгосударствление публичной собственности</w:t>
            </w:r>
          </w:p>
        </w:tc>
        <w:tc>
          <w:tcPr>
            <w:tcW w:w="7324" w:type="dxa"/>
          </w:tcPr>
          <w:p w14:paraId="0E77B6A5" w14:textId="0343ADE7" w:rsidR="006D52C7" w:rsidRPr="00B13B9A" w:rsidRDefault="00CD01D7" w:rsidP="00CD01D7">
            <w:pPr>
              <w:jc w:val="both"/>
              <w:rPr>
                <w:rFonts w:asciiTheme="majorHAnsi" w:hAnsiTheme="majorHAnsi" w:cstheme="majorHAnsi"/>
                <w:i/>
                <w:szCs w:val="24"/>
                <w:lang w:val="ro-MD"/>
              </w:rPr>
            </w:pPr>
            <w:r w:rsidRPr="00CD01D7">
              <w:rPr>
                <w:rFonts w:asciiTheme="majorHAnsi" w:hAnsiTheme="majorHAnsi" w:cstheme="majorHAnsi"/>
                <w:i/>
                <w:szCs w:val="24"/>
                <w:lang w:val="ru-RU"/>
              </w:rPr>
              <w:t>деятельность, включающая передачу публичного имущества в частную собственность в соответствии с законом (</w:t>
            </w:r>
            <w:r>
              <w:rPr>
                <w:rFonts w:asciiTheme="majorHAnsi" w:hAnsiTheme="majorHAnsi" w:cstheme="majorHAnsi"/>
                <w:i/>
                <w:szCs w:val="24"/>
                <w:lang w:val="ru-RU"/>
              </w:rPr>
              <w:t xml:space="preserve">о </w:t>
            </w:r>
            <w:r w:rsidRPr="00CD01D7">
              <w:rPr>
                <w:rFonts w:asciiTheme="majorHAnsi" w:hAnsiTheme="majorHAnsi" w:cstheme="majorHAnsi"/>
                <w:i/>
                <w:szCs w:val="24"/>
                <w:lang w:val="ru-RU"/>
              </w:rPr>
              <w:t>приватизаци</w:t>
            </w:r>
            <w:r>
              <w:rPr>
                <w:rFonts w:asciiTheme="majorHAnsi" w:hAnsiTheme="majorHAnsi" w:cstheme="majorHAnsi"/>
                <w:i/>
                <w:szCs w:val="24"/>
                <w:lang w:val="ru-RU"/>
              </w:rPr>
              <w:t>и</w:t>
            </w:r>
            <w:r w:rsidRPr="00CD01D7">
              <w:rPr>
                <w:rFonts w:asciiTheme="majorHAnsi" w:hAnsiTheme="majorHAnsi" w:cstheme="majorHAnsi"/>
                <w:i/>
                <w:szCs w:val="24"/>
                <w:lang w:val="ru-RU"/>
              </w:rPr>
              <w:t>), а также передачу в концессию, доверительное управление, передачу государственных предприятий в собственность административно-территориальных единиц и другую деятельность, направленную на сокращение участия государства в управлении собственностью</w:t>
            </w:r>
            <w:r w:rsidRPr="00CD01D7">
              <w:rPr>
                <w:rFonts w:asciiTheme="majorHAnsi" w:hAnsiTheme="majorHAnsi" w:cstheme="majorHAnsi"/>
                <w:i/>
                <w:szCs w:val="24"/>
                <w:lang w:val="ro-MD"/>
              </w:rPr>
              <w:t xml:space="preserve"> </w:t>
            </w:r>
          </w:p>
        </w:tc>
      </w:tr>
      <w:tr w:rsidR="006D52C7" w:rsidRPr="001924A7" w14:paraId="19081DB5" w14:textId="77777777" w:rsidTr="00B24768">
        <w:trPr>
          <w:trHeight w:val="324"/>
        </w:trPr>
        <w:tc>
          <w:tcPr>
            <w:tcW w:w="2343" w:type="dxa"/>
          </w:tcPr>
          <w:p w14:paraId="0D4DB8E6" w14:textId="6FFAE81A" w:rsidR="006D52C7" w:rsidRPr="00B13B9A" w:rsidRDefault="00CD01D7" w:rsidP="00B24768">
            <w:pPr>
              <w:rPr>
                <w:rFonts w:asciiTheme="majorHAnsi" w:hAnsiTheme="majorHAnsi" w:cstheme="majorHAnsi"/>
                <w:b/>
                <w:szCs w:val="24"/>
                <w:lang w:val="ro-MD"/>
              </w:rPr>
            </w:pPr>
            <w:r w:rsidRPr="00CD01D7">
              <w:rPr>
                <w:rFonts w:asciiTheme="majorHAnsi" w:hAnsiTheme="majorHAnsi" w:cstheme="majorHAnsi"/>
                <w:b/>
                <w:szCs w:val="24"/>
              </w:rPr>
              <w:t> Инвентаризация</w:t>
            </w:r>
          </w:p>
        </w:tc>
        <w:tc>
          <w:tcPr>
            <w:tcW w:w="7324" w:type="dxa"/>
          </w:tcPr>
          <w:p w14:paraId="79BB1456" w14:textId="2652715C" w:rsidR="006D52C7" w:rsidRPr="00B13B9A" w:rsidRDefault="00CD01D7" w:rsidP="00850168">
            <w:pPr>
              <w:jc w:val="both"/>
              <w:rPr>
                <w:rFonts w:asciiTheme="majorHAnsi" w:hAnsiTheme="majorHAnsi" w:cstheme="majorHAnsi"/>
                <w:i/>
                <w:szCs w:val="24"/>
                <w:lang w:val="ro-MD"/>
              </w:rPr>
            </w:pPr>
            <w:r w:rsidRPr="00850168">
              <w:rPr>
                <w:rFonts w:asciiTheme="majorHAnsi" w:hAnsiTheme="majorHAnsi" w:cstheme="majorHAnsi"/>
                <w:i/>
                <w:szCs w:val="24"/>
                <w:lang w:val="ro-MD"/>
              </w:rPr>
              <w:t>Процесс контроля и проверки документальной подлинности наличия актив</w:t>
            </w:r>
            <w:r w:rsidR="00850168" w:rsidRPr="00850168">
              <w:rPr>
                <w:rFonts w:asciiTheme="majorHAnsi" w:hAnsiTheme="majorHAnsi" w:cstheme="majorHAnsi"/>
                <w:i/>
                <w:szCs w:val="24"/>
                <w:lang w:val="ro-MD"/>
              </w:rPr>
              <w:t>ов, собственного капитала</w:t>
            </w:r>
            <w:r w:rsidRPr="00850168">
              <w:rPr>
                <w:rFonts w:asciiTheme="majorHAnsi" w:hAnsiTheme="majorHAnsi" w:cstheme="majorHAnsi"/>
                <w:i/>
                <w:szCs w:val="24"/>
                <w:lang w:val="ro-MD"/>
              </w:rPr>
              <w:t xml:space="preserve"> и обязательств, принадлежащих и/или находящихся временно </w:t>
            </w:r>
            <w:r w:rsidR="00850168" w:rsidRPr="00850168">
              <w:rPr>
                <w:rFonts w:asciiTheme="majorHAnsi" w:hAnsiTheme="majorHAnsi" w:cstheme="majorHAnsi"/>
                <w:i/>
                <w:szCs w:val="24"/>
                <w:lang w:val="ro-MD"/>
              </w:rPr>
              <w:t>в управл</w:t>
            </w:r>
            <w:r w:rsidRPr="00850168">
              <w:rPr>
                <w:rFonts w:asciiTheme="majorHAnsi" w:hAnsiTheme="majorHAnsi" w:cstheme="majorHAnsi"/>
                <w:i/>
                <w:szCs w:val="24"/>
                <w:lang w:val="ro-MD"/>
              </w:rPr>
              <w:t>ении субъекта</w:t>
            </w:r>
            <w:r w:rsidR="00850168" w:rsidRPr="00850168">
              <w:rPr>
                <w:rFonts w:asciiTheme="majorHAnsi" w:hAnsiTheme="majorHAnsi" w:cstheme="majorHAnsi"/>
                <w:i/>
                <w:szCs w:val="24"/>
                <w:lang w:val="ro-MD"/>
              </w:rPr>
              <w:t xml:space="preserve"> </w:t>
            </w:r>
          </w:p>
        </w:tc>
      </w:tr>
      <w:tr w:rsidR="006D52C7" w:rsidRPr="001924A7" w14:paraId="54BA5300" w14:textId="77777777" w:rsidTr="00B24768">
        <w:trPr>
          <w:cnfStyle w:val="000000100000" w:firstRow="0" w:lastRow="0" w:firstColumn="0" w:lastColumn="0" w:oddVBand="0" w:evenVBand="0" w:oddHBand="1" w:evenHBand="0" w:firstRowFirstColumn="0" w:firstRowLastColumn="0" w:lastRowFirstColumn="0" w:lastRowLastColumn="0"/>
          <w:trHeight w:val="324"/>
        </w:trPr>
        <w:tc>
          <w:tcPr>
            <w:tcW w:w="2343" w:type="dxa"/>
          </w:tcPr>
          <w:p w14:paraId="676862F9" w14:textId="4920BB19" w:rsidR="006D52C7" w:rsidRPr="00B13B9A" w:rsidRDefault="00850168" w:rsidP="00B24768">
            <w:pPr>
              <w:rPr>
                <w:rFonts w:asciiTheme="majorHAnsi" w:hAnsiTheme="majorHAnsi" w:cstheme="majorHAnsi"/>
                <w:b/>
                <w:szCs w:val="24"/>
                <w:lang w:val="ro-MD"/>
              </w:rPr>
            </w:pPr>
            <w:r w:rsidRPr="00850168">
              <w:rPr>
                <w:rFonts w:asciiTheme="majorHAnsi" w:hAnsiTheme="majorHAnsi" w:cstheme="majorHAnsi"/>
                <w:b/>
                <w:szCs w:val="24"/>
                <w:lang w:val="ro-MD"/>
              </w:rPr>
              <w:t>Противотуберкулезные препараты</w:t>
            </w:r>
          </w:p>
        </w:tc>
        <w:tc>
          <w:tcPr>
            <w:tcW w:w="7324" w:type="dxa"/>
          </w:tcPr>
          <w:p w14:paraId="4EA2C05B" w14:textId="140A781B" w:rsidR="006D52C7" w:rsidRPr="00850168" w:rsidRDefault="00850168" w:rsidP="00B24768">
            <w:pPr>
              <w:jc w:val="both"/>
              <w:rPr>
                <w:rFonts w:asciiTheme="majorHAnsi" w:eastAsia="Times New Roman" w:hAnsiTheme="majorHAnsi" w:cstheme="majorHAnsi"/>
                <w:i/>
                <w:lang w:val="ru-RU"/>
              </w:rPr>
            </w:pPr>
            <w:r w:rsidRPr="00850168">
              <w:rPr>
                <w:rFonts w:asciiTheme="majorHAnsi" w:eastAsia="Times New Roman" w:hAnsiTheme="majorHAnsi" w:cstheme="majorHAnsi"/>
                <w:i/>
                <w:lang w:val="ru-RU"/>
              </w:rPr>
              <w:t>Медицинские препараты, применяемые при лечении туберкулеза</w:t>
            </w:r>
          </w:p>
        </w:tc>
      </w:tr>
      <w:tr w:rsidR="006D52C7" w:rsidRPr="001924A7" w14:paraId="43E687E9" w14:textId="77777777" w:rsidTr="00B24768">
        <w:trPr>
          <w:trHeight w:val="324"/>
        </w:trPr>
        <w:tc>
          <w:tcPr>
            <w:tcW w:w="2343" w:type="dxa"/>
          </w:tcPr>
          <w:p w14:paraId="0B0F0F14" w14:textId="42AED6A9" w:rsidR="006D52C7" w:rsidRPr="00850168" w:rsidRDefault="00850168" w:rsidP="007E6B0B">
            <w:pPr>
              <w:rPr>
                <w:rFonts w:asciiTheme="majorHAnsi" w:eastAsia="Times New Roman" w:hAnsiTheme="majorHAnsi" w:cstheme="majorHAnsi"/>
                <w:b/>
                <w:iCs/>
                <w:szCs w:val="24"/>
                <w:lang w:val="ru-RU"/>
              </w:rPr>
            </w:pPr>
            <w:r>
              <w:rPr>
                <w:rFonts w:asciiTheme="majorHAnsi" w:hAnsiTheme="majorHAnsi" w:cstheme="majorHAnsi"/>
                <w:b/>
                <w:szCs w:val="24"/>
                <w:lang w:val="ru-RU"/>
              </w:rPr>
              <w:t>Публичное имущество</w:t>
            </w:r>
          </w:p>
        </w:tc>
        <w:tc>
          <w:tcPr>
            <w:tcW w:w="7324" w:type="dxa"/>
          </w:tcPr>
          <w:p w14:paraId="5BC23134" w14:textId="12E1745D" w:rsidR="006D52C7" w:rsidRPr="00B13B9A" w:rsidRDefault="003E69FD" w:rsidP="00B24768">
            <w:pPr>
              <w:jc w:val="both"/>
              <w:rPr>
                <w:rFonts w:asciiTheme="majorHAnsi" w:eastAsia="Times New Roman" w:hAnsiTheme="majorHAnsi" w:cstheme="majorHAnsi"/>
                <w:i/>
                <w:szCs w:val="24"/>
                <w:lang w:val="ro-MD"/>
              </w:rPr>
            </w:pPr>
            <w:r w:rsidRPr="003E69FD">
              <w:rPr>
                <w:rFonts w:asciiTheme="majorHAnsi" w:hAnsiTheme="majorHAnsi" w:cstheme="majorHAnsi"/>
                <w:i/>
                <w:szCs w:val="24"/>
                <w:lang w:val="ro-MD"/>
              </w:rPr>
              <w:t>Совокупность прав и обязательств, имеющих экономическую ценность, а также материальных благ, на которые ссылаются эти права, которые принадлежат субъекту публичного права</w:t>
            </w:r>
          </w:p>
        </w:tc>
      </w:tr>
      <w:tr w:rsidR="006D52C7" w:rsidRPr="001924A7" w14:paraId="03E5485A" w14:textId="77777777" w:rsidTr="00B24768">
        <w:trPr>
          <w:cnfStyle w:val="000000100000" w:firstRow="0" w:lastRow="0" w:firstColumn="0" w:lastColumn="0" w:oddVBand="0" w:evenVBand="0" w:oddHBand="1" w:evenHBand="0" w:firstRowFirstColumn="0" w:firstRowLastColumn="0" w:lastRowFirstColumn="0" w:lastRowLastColumn="0"/>
          <w:trHeight w:val="324"/>
        </w:trPr>
        <w:tc>
          <w:tcPr>
            <w:tcW w:w="2343" w:type="dxa"/>
          </w:tcPr>
          <w:p w14:paraId="7DF8BE52" w14:textId="3439FD75" w:rsidR="006D52C7" w:rsidRPr="003E69FD" w:rsidRDefault="003E69FD" w:rsidP="003E69FD">
            <w:pPr>
              <w:rPr>
                <w:rFonts w:asciiTheme="majorHAnsi" w:hAnsiTheme="majorHAnsi" w:cstheme="majorHAnsi"/>
                <w:b/>
                <w:szCs w:val="24"/>
                <w:lang w:val="ru-RU"/>
              </w:rPr>
            </w:pPr>
            <w:r w:rsidRPr="003E69FD">
              <w:rPr>
                <w:rFonts w:asciiTheme="majorHAnsi" w:hAnsiTheme="majorHAnsi" w:cstheme="majorHAnsi"/>
                <w:b/>
                <w:szCs w:val="24"/>
                <w:lang w:val="ru-RU"/>
              </w:rPr>
              <w:t xml:space="preserve">Национальная программа противодействия туберкулезу </w:t>
            </w:r>
          </w:p>
        </w:tc>
        <w:tc>
          <w:tcPr>
            <w:tcW w:w="7324" w:type="dxa"/>
          </w:tcPr>
          <w:p w14:paraId="4AAA5756" w14:textId="3D4862F1" w:rsidR="006D52C7" w:rsidRPr="00B13B9A" w:rsidRDefault="003E69FD" w:rsidP="003E69FD">
            <w:pPr>
              <w:pStyle w:val="ae"/>
              <w:shd w:val="clear" w:color="auto" w:fill="FFFFFF"/>
              <w:spacing w:after="0"/>
              <w:jc w:val="both"/>
              <w:textAlignment w:val="baseline"/>
              <w:rPr>
                <w:rFonts w:asciiTheme="majorHAnsi" w:hAnsiTheme="majorHAnsi" w:cstheme="majorHAnsi"/>
                <w:i/>
                <w:sz w:val="22"/>
                <w:lang w:val="ro-MD"/>
              </w:rPr>
            </w:pPr>
            <w:r>
              <w:rPr>
                <w:rFonts w:asciiTheme="majorHAnsi" w:hAnsiTheme="majorHAnsi" w:cstheme="majorHAnsi"/>
                <w:i/>
                <w:sz w:val="22"/>
                <w:lang w:val="ru-RU"/>
              </w:rPr>
              <w:t>Д</w:t>
            </w:r>
            <w:r w:rsidRPr="003E69FD">
              <w:rPr>
                <w:rFonts w:asciiTheme="majorHAnsi" w:hAnsiTheme="majorHAnsi" w:cstheme="majorHAnsi"/>
                <w:i/>
                <w:sz w:val="22"/>
                <w:lang w:val="ru-RU"/>
              </w:rPr>
              <w:t>окумент политики на среднесрочный период</w:t>
            </w:r>
            <w:r>
              <w:rPr>
                <w:rFonts w:asciiTheme="majorHAnsi" w:hAnsiTheme="majorHAnsi" w:cstheme="majorHAnsi"/>
                <w:i/>
                <w:sz w:val="22"/>
                <w:lang w:val="ru-RU"/>
              </w:rPr>
              <w:t>, который</w:t>
            </w:r>
            <w:r w:rsidRPr="003E69FD">
              <w:rPr>
                <w:rFonts w:asciiTheme="majorHAnsi" w:hAnsiTheme="majorHAnsi" w:cstheme="majorHAnsi"/>
                <w:i/>
                <w:sz w:val="22"/>
                <w:lang w:val="ru-RU"/>
              </w:rPr>
              <w:t xml:space="preserve"> содержит приоритеты Правительства, направленные на применение инновационных стратегий для снижения бремени заболеваемости туберкулезом в Республике Молдова</w:t>
            </w:r>
            <w:r w:rsidRPr="003E69FD">
              <w:rPr>
                <w:rFonts w:asciiTheme="majorHAnsi" w:hAnsiTheme="majorHAnsi" w:cstheme="majorHAnsi"/>
                <w:i/>
                <w:sz w:val="22"/>
                <w:lang w:val="ro-MD"/>
              </w:rPr>
              <w:t xml:space="preserve"> </w:t>
            </w:r>
          </w:p>
        </w:tc>
      </w:tr>
      <w:tr w:rsidR="006D52C7" w:rsidRPr="001924A7" w14:paraId="772D916D" w14:textId="77777777" w:rsidTr="00B24768">
        <w:trPr>
          <w:trHeight w:val="324"/>
        </w:trPr>
        <w:tc>
          <w:tcPr>
            <w:tcW w:w="2343" w:type="dxa"/>
          </w:tcPr>
          <w:p w14:paraId="0E154A76" w14:textId="40FA2D83" w:rsidR="006D52C7" w:rsidRPr="00B13B9A" w:rsidRDefault="00DD424B" w:rsidP="00DD424B">
            <w:pPr>
              <w:rPr>
                <w:rFonts w:asciiTheme="majorHAnsi" w:hAnsiTheme="majorHAnsi" w:cstheme="majorHAnsi"/>
                <w:b/>
                <w:szCs w:val="24"/>
                <w:lang w:val="ro-MD"/>
              </w:rPr>
            </w:pPr>
            <w:r>
              <w:rPr>
                <w:rFonts w:asciiTheme="majorHAnsi" w:hAnsiTheme="majorHAnsi" w:cstheme="majorHAnsi"/>
                <w:b/>
                <w:szCs w:val="24"/>
                <w:lang w:val="ru-RU"/>
              </w:rPr>
              <w:t>Туберкулез</w:t>
            </w:r>
          </w:p>
        </w:tc>
        <w:tc>
          <w:tcPr>
            <w:tcW w:w="7324" w:type="dxa"/>
            <w:vAlign w:val="center"/>
          </w:tcPr>
          <w:p w14:paraId="61D65952" w14:textId="1204F5D1" w:rsidR="006D52C7" w:rsidRPr="00B13B9A" w:rsidRDefault="00DD424B" w:rsidP="007E6B0B">
            <w:pPr>
              <w:jc w:val="both"/>
              <w:rPr>
                <w:rFonts w:asciiTheme="majorHAnsi" w:hAnsiTheme="majorHAnsi" w:cstheme="majorHAnsi"/>
                <w:i/>
                <w:szCs w:val="24"/>
                <w:lang w:val="ro-MD"/>
              </w:rPr>
            </w:pPr>
            <w:r w:rsidRPr="00DD424B">
              <w:rPr>
                <w:rFonts w:asciiTheme="majorHAnsi" w:hAnsiTheme="majorHAnsi" w:cstheme="majorHAnsi"/>
                <w:i/>
                <w:szCs w:val="24"/>
                <w:lang w:val="ro-MD"/>
              </w:rPr>
              <w:t>Специфическое, социально обусловленное, инфекционное заболевание, с преимущественно поражением легких, вызванное Mycobacterium tuberculosis (бацилла Коха), которое характеризуется обострениями, рецидивами и периодической ремиссией</w:t>
            </w:r>
          </w:p>
        </w:tc>
      </w:tr>
      <w:tr w:rsidR="006D52C7" w:rsidRPr="001924A7" w14:paraId="6CAFF1BB" w14:textId="77777777" w:rsidTr="006D52C7">
        <w:trPr>
          <w:cnfStyle w:val="000000100000" w:firstRow="0" w:lastRow="0" w:firstColumn="0" w:lastColumn="0" w:oddVBand="0" w:evenVBand="0" w:oddHBand="1" w:evenHBand="0" w:firstRowFirstColumn="0" w:firstRowLastColumn="0" w:lastRowFirstColumn="0" w:lastRowLastColumn="0"/>
          <w:trHeight w:val="391"/>
        </w:trPr>
        <w:tc>
          <w:tcPr>
            <w:tcW w:w="2343" w:type="dxa"/>
          </w:tcPr>
          <w:p w14:paraId="2A30FF5B" w14:textId="68FCA3AD" w:rsidR="006D52C7" w:rsidRPr="00B13B9A" w:rsidRDefault="00DD424B" w:rsidP="00B24768">
            <w:pPr>
              <w:rPr>
                <w:rFonts w:asciiTheme="majorHAnsi" w:hAnsiTheme="majorHAnsi" w:cstheme="majorHAnsi"/>
                <w:b/>
                <w:szCs w:val="24"/>
                <w:lang w:val="ro-MD"/>
              </w:rPr>
            </w:pPr>
            <w:r w:rsidRPr="00DD424B">
              <w:rPr>
                <w:rFonts w:asciiTheme="majorHAnsi" w:hAnsiTheme="majorHAnsi" w:cstheme="majorHAnsi"/>
                <w:b/>
                <w:szCs w:val="24"/>
                <w:lang w:val="ro-MD"/>
              </w:rPr>
              <w:t>Балансовая стоимость</w:t>
            </w:r>
          </w:p>
        </w:tc>
        <w:tc>
          <w:tcPr>
            <w:tcW w:w="7324" w:type="dxa"/>
          </w:tcPr>
          <w:p w14:paraId="34C10A2B" w14:textId="7B4E0CB6" w:rsidR="006D52C7" w:rsidRPr="001E5179" w:rsidRDefault="00DD424B" w:rsidP="00B24768">
            <w:pPr>
              <w:jc w:val="both"/>
              <w:rPr>
                <w:rFonts w:asciiTheme="majorHAnsi" w:hAnsiTheme="majorHAnsi" w:cstheme="majorHAnsi"/>
                <w:b/>
                <w:i/>
                <w:szCs w:val="24"/>
                <w:lang w:val="ru-RU"/>
              </w:rPr>
            </w:pPr>
            <w:r w:rsidRPr="00DD424B">
              <w:rPr>
                <w:rStyle w:val="af"/>
                <w:rFonts w:asciiTheme="majorHAnsi" w:hAnsiTheme="majorHAnsi" w:cstheme="majorHAnsi"/>
                <w:b w:val="0"/>
                <w:i/>
                <w:iCs/>
                <w:szCs w:val="24"/>
                <w:shd w:val="clear" w:color="auto" w:fill="FFFFFF"/>
                <w:lang w:val="ro-MD"/>
              </w:rPr>
              <w:t>Сумма, на которую оценивается актив или обязательство на дату составления бухгалтерского баланса</w:t>
            </w:r>
            <w:r w:rsidR="001E5179">
              <w:rPr>
                <w:rStyle w:val="af"/>
                <w:rFonts w:asciiTheme="majorHAnsi" w:hAnsiTheme="majorHAnsi" w:cstheme="majorHAnsi"/>
                <w:b w:val="0"/>
                <w:i/>
                <w:iCs/>
                <w:szCs w:val="24"/>
                <w:shd w:val="clear" w:color="auto" w:fill="FFFFFF"/>
                <w:lang w:val="ru-RU"/>
              </w:rPr>
              <w:t>.</w:t>
            </w:r>
          </w:p>
        </w:tc>
      </w:tr>
      <w:tr w:rsidR="006D52C7" w:rsidRPr="001924A7" w14:paraId="6363CA55" w14:textId="77777777" w:rsidTr="00B24768">
        <w:trPr>
          <w:trHeight w:val="324"/>
        </w:trPr>
        <w:tc>
          <w:tcPr>
            <w:tcW w:w="2343" w:type="dxa"/>
            <w:vAlign w:val="center"/>
          </w:tcPr>
          <w:p w14:paraId="34D9722B" w14:textId="77777777" w:rsidR="006D52C7" w:rsidRPr="00B13B9A" w:rsidRDefault="006D52C7" w:rsidP="00B24768">
            <w:pPr>
              <w:rPr>
                <w:rFonts w:asciiTheme="majorHAnsi" w:hAnsiTheme="majorHAnsi" w:cstheme="majorHAnsi"/>
                <w:szCs w:val="24"/>
                <w:lang w:val="ro-MD"/>
              </w:rPr>
            </w:pPr>
          </w:p>
        </w:tc>
        <w:tc>
          <w:tcPr>
            <w:tcW w:w="7324" w:type="dxa"/>
          </w:tcPr>
          <w:p w14:paraId="14FDB05E" w14:textId="77777777" w:rsidR="006D52C7" w:rsidRPr="00B13B9A" w:rsidRDefault="006D52C7" w:rsidP="00B24768">
            <w:pPr>
              <w:jc w:val="both"/>
              <w:rPr>
                <w:rFonts w:asciiTheme="majorHAnsi" w:eastAsia="Times New Roman" w:hAnsiTheme="majorHAnsi" w:cstheme="majorHAnsi"/>
                <w:szCs w:val="24"/>
                <w:lang w:val="ro-MD"/>
              </w:rPr>
            </w:pPr>
          </w:p>
        </w:tc>
      </w:tr>
    </w:tbl>
    <w:p w14:paraId="0E7EB8F2" w14:textId="3C96A44C" w:rsidR="009022BC" w:rsidRPr="00E253B9" w:rsidRDefault="008140CB" w:rsidP="003657D1">
      <w:pPr>
        <w:pStyle w:val="a5"/>
        <w:spacing w:line="276" w:lineRule="auto"/>
        <w:jc w:val="both"/>
        <w:rPr>
          <w:rFonts w:asciiTheme="majorHAnsi" w:hAnsiTheme="majorHAnsi" w:cstheme="majorHAnsi"/>
          <w:b/>
          <w:color w:val="2E74B5" w:themeColor="accent1" w:themeShade="BF"/>
          <w:sz w:val="24"/>
          <w:szCs w:val="24"/>
          <w:vertAlign w:val="baseline"/>
          <w:lang w:val="ru-MD"/>
        </w:rPr>
      </w:pPr>
      <w:r w:rsidRPr="00E253B9">
        <w:rPr>
          <w:rFonts w:asciiTheme="majorHAnsi" w:hAnsiTheme="majorHAnsi" w:cstheme="majorHAnsi"/>
          <w:b/>
          <w:color w:val="2E74B5" w:themeColor="accent1" w:themeShade="BF"/>
          <w:sz w:val="24"/>
          <w:szCs w:val="24"/>
          <w:vertAlign w:val="baseline"/>
          <w:lang w:val="ru-MD"/>
        </w:rPr>
        <w:t>Настоящий Отчет аудита предназначен для</w:t>
      </w:r>
      <w:r w:rsidR="009022BC" w:rsidRPr="00E253B9">
        <w:rPr>
          <w:rFonts w:asciiTheme="majorHAnsi" w:hAnsiTheme="majorHAnsi" w:cstheme="majorHAnsi"/>
          <w:b/>
          <w:color w:val="2E74B5" w:themeColor="accent1" w:themeShade="BF"/>
          <w:sz w:val="24"/>
          <w:szCs w:val="24"/>
          <w:vertAlign w:val="baseline"/>
          <w:lang w:val="ru-MD"/>
        </w:rPr>
        <w:t>:</w:t>
      </w:r>
    </w:p>
    <w:p w14:paraId="2E89D59C" w14:textId="0624863B" w:rsidR="009022BC" w:rsidRPr="00E253B9" w:rsidRDefault="00522200" w:rsidP="009022BC">
      <w:pPr>
        <w:pStyle w:val="a5"/>
        <w:spacing w:line="276" w:lineRule="auto"/>
        <w:ind w:firstLine="709"/>
        <w:jc w:val="both"/>
        <w:rPr>
          <w:rFonts w:asciiTheme="majorHAnsi" w:hAnsiTheme="majorHAnsi" w:cstheme="majorHAnsi"/>
          <w:sz w:val="24"/>
          <w:szCs w:val="24"/>
          <w:vertAlign w:val="baseline"/>
          <w:lang w:val="ru-MD"/>
        </w:rPr>
      </w:pPr>
      <w:r w:rsidRPr="00E253B9">
        <w:rPr>
          <w:rFonts w:asciiTheme="majorHAnsi" w:hAnsiTheme="majorHAnsi" w:cstheme="majorHAnsi"/>
          <w:b/>
          <w:sz w:val="24"/>
          <w:szCs w:val="24"/>
          <w:vertAlign w:val="baseline"/>
          <w:lang w:val="ru-MD"/>
        </w:rPr>
        <w:t xml:space="preserve">Парламента и Правительства Республики Молдова – </w:t>
      </w:r>
      <w:r w:rsidRPr="00E253B9">
        <w:rPr>
          <w:rFonts w:asciiTheme="majorHAnsi" w:hAnsiTheme="majorHAnsi" w:cstheme="majorHAnsi"/>
          <w:sz w:val="24"/>
          <w:szCs w:val="24"/>
          <w:vertAlign w:val="baseline"/>
          <w:lang w:val="ru-MD"/>
        </w:rPr>
        <w:t>для информирования, принятия к сведению, а также для возможного использования информации при принятии решений/инициатив в области здравоохранения и деятельности публичных медико-санитарных учреждений</w:t>
      </w:r>
      <w:r w:rsidR="00DF6DA3" w:rsidRPr="00E253B9">
        <w:rPr>
          <w:rFonts w:asciiTheme="majorHAnsi" w:hAnsiTheme="majorHAnsi" w:cstheme="majorHAnsi"/>
          <w:sz w:val="24"/>
          <w:szCs w:val="24"/>
          <w:vertAlign w:val="baseline"/>
          <w:lang w:val="ru-MD"/>
        </w:rPr>
        <w:t>;</w:t>
      </w:r>
    </w:p>
    <w:p w14:paraId="78D49643" w14:textId="46A401EC" w:rsidR="009022BC" w:rsidRPr="00E253B9" w:rsidRDefault="00522200" w:rsidP="009022BC">
      <w:pPr>
        <w:pStyle w:val="a5"/>
        <w:spacing w:line="276" w:lineRule="auto"/>
        <w:ind w:firstLine="709"/>
        <w:jc w:val="both"/>
        <w:rPr>
          <w:rFonts w:asciiTheme="majorHAnsi" w:hAnsiTheme="majorHAnsi" w:cstheme="majorHAnsi"/>
          <w:sz w:val="24"/>
          <w:szCs w:val="24"/>
          <w:vertAlign w:val="baseline"/>
          <w:lang w:val="ru-MD"/>
        </w:rPr>
      </w:pPr>
      <w:r w:rsidRPr="00E253B9">
        <w:rPr>
          <w:rFonts w:asciiTheme="majorHAnsi" w:hAnsiTheme="majorHAnsi" w:cstheme="majorHAnsi"/>
          <w:b/>
          <w:sz w:val="24"/>
          <w:szCs w:val="24"/>
          <w:vertAlign w:val="baseline"/>
          <w:lang w:val="ru-MD"/>
        </w:rPr>
        <w:t>Министерств</w:t>
      </w:r>
      <w:r w:rsidR="00F00845" w:rsidRPr="00E253B9">
        <w:rPr>
          <w:rFonts w:asciiTheme="majorHAnsi" w:hAnsiTheme="majorHAnsi" w:cstheme="majorHAnsi"/>
          <w:b/>
          <w:sz w:val="24"/>
          <w:szCs w:val="24"/>
          <w:vertAlign w:val="baseline"/>
          <w:lang w:val="ru-MD"/>
        </w:rPr>
        <w:t>а</w:t>
      </w:r>
      <w:r w:rsidRPr="00E253B9">
        <w:rPr>
          <w:rFonts w:asciiTheme="majorHAnsi" w:hAnsiTheme="majorHAnsi" w:cstheme="majorHAnsi"/>
          <w:b/>
          <w:sz w:val="24"/>
          <w:szCs w:val="24"/>
          <w:vertAlign w:val="baseline"/>
          <w:lang w:val="ru-MD"/>
        </w:rPr>
        <w:t xml:space="preserve"> </w:t>
      </w:r>
      <w:r w:rsidR="00F00845" w:rsidRPr="00E253B9">
        <w:rPr>
          <w:rFonts w:asciiTheme="majorHAnsi" w:hAnsiTheme="majorHAnsi" w:cstheme="majorHAnsi"/>
          <w:b/>
          <w:sz w:val="24"/>
          <w:szCs w:val="24"/>
          <w:vertAlign w:val="baseline"/>
          <w:lang w:val="ru-MD"/>
        </w:rPr>
        <w:t>з</w:t>
      </w:r>
      <w:r w:rsidRPr="00E253B9">
        <w:rPr>
          <w:rFonts w:asciiTheme="majorHAnsi" w:hAnsiTheme="majorHAnsi" w:cstheme="majorHAnsi"/>
          <w:b/>
          <w:sz w:val="24"/>
          <w:szCs w:val="24"/>
          <w:vertAlign w:val="baseline"/>
          <w:lang w:val="ru-MD"/>
        </w:rPr>
        <w:t xml:space="preserve">дравоохранения, </w:t>
      </w:r>
      <w:r w:rsidRPr="00E253B9">
        <w:rPr>
          <w:rFonts w:asciiTheme="majorHAnsi" w:hAnsiTheme="majorHAnsi" w:cstheme="majorHAnsi"/>
          <w:sz w:val="24"/>
          <w:szCs w:val="24"/>
          <w:vertAlign w:val="baseline"/>
          <w:lang w:val="ru-MD"/>
        </w:rPr>
        <w:t>в качестве центрального отраслевого органа публичного управления, отвечающего за эту область, а также в качестве учредителя аудируемого публичного учреждения – для информирования и возможного использования информации при продвижении государственной политики в области здравоохранения</w:t>
      </w:r>
      <w:r w:rsidR="009022BC" w:rsidRPr="00E253B9">
        <w:rPr>
          <w:rFonts w:asciiTheme="majorHAnsi" w:hAnsiTheme="majorHAnsi" w:cstheme="majorHAnsi"/>
          <w:sz w:val="24"/>
          <w:szCs w:val="24"/>
          <w:vertAlign w:val="baseline"/>
          <w:lang w:val="ru-MD"/>
        </w:rPr>
        <w:t>;</w:t>
      </w:r>
    </w:p>
    <w:p w14:paraId="0E958B51" w14:textId="1059EFD5" w:rsidR="00D64D06" w:rsidRPr="00E253B9" w:rsidRDefault="00F00845" w:rsidP="009022BC">
      <w:pPr>
        <w:pStyle w:val="a5"/>
        <w:spacing w:line="276" w:lineRule="auto"/>
        <w:ind w:firstLine="709"/>
        <w:jc w:val="both"/>
        <w:rPr>
          <w:rFonts w:asciiTheme="majorHAnsi" w:eastAsia="Times New Roman" w:hAnsiTheme="majorHAnsi" w:cstheme="majorHAnsi"/>
          <w:sz w:val="24"/>
          <w:szCs w:val="24"/>
          <w:vertAlign w:val="baseline"/>
          <w:lang w:val="ru-MD" w:eastAsia="ro-MD"/>
        </w:rPr>
      </w:pPr>
      <w:r w:rsidRPr="00E253B9">
        <w:rPr>
          <w:rFonts w:asciiTheme="majorHAnsi" w:hAnsiTheme="majorHAnsi" w:cstheme="majorHAnsi"/>
          <w:b/>
          <w:sz w:val="24"/>
          <w:szCs w:val="24"/>
          <w:vertAlign w:val="baseline"/>
          <w:lang w:val="ru-MD"/>
        </w:rPr>
        <w:t xml:space="preserve">Национальной медицинской страховой компании – </w:t>
      </w:r>
      <w:r w:rsidRPr="00E253B9">
        <w:rPr>
          <w:rFonts w:asciiTheme="majorHAnsi" w:hAnsiTheme="majorHAnsi" w:cstheme="majorHAnsi"/>
          <w:sz w:val="24"/>
          <w:szCs w:val="24"/>
          <w:vertAlign w:val="baseline"/>
          <w:lang w:val="ru-MD"/>
        </w:rPr>
        <w:t>в качестве администратора фондов обязательного медицинского страхования, а также органа, финансирующего ПМСУ, путем распределения финансовых средств в целях обеспечения оказания медицинских услуг населению</w:t>
      </w:r>
      <w:r w:rsidR="0012633C" w:rsidRPr="00E253B9">
        <w:rPr>
          <w:rFonts w:asciiTheme="majorHAnsi" w:eastAsia="Times New Roman" w:hAnsiTheme="majorHAnsi" w:cstheme="majorHAnsi"/>
          <w:sz w:val="24"/>
          <w:szCs w:val="24"/>
          <w:vertAlign w:val="baseline"/>
          <w:lang w:val="ru-MD" w:eastAsia="ro-MD"/>
        </w:rPr>
        <w:t>;</w:t>
      </w:r>
    </w:p>
    <w:p w14:paraId="1A0E6963" w14:textId="20E02443" w:rsidR="009022BC" w:rsidRPr="00E253B9" w:rsidRDefault="00F00845" w:rsidP="009022BC">
      <w:pPr>
        <w:pStyle w:val="a5"/>
        <w:spacing w:line="276" w:lineRule="auto"/>
        <w:ind w:firstLine="709"/>
        <w:jc w:val="both"/>
        <w:rPr>
          <w:rFonts w:asciiTheme="majorHAnsi" w:hAnsiTheme="majorHAnsi" w:cstheme="majorHAnsi"/>
          <w:b/>
          <w:sz w:val="24"/>
          <w:szCs w:val="24"/>
          <w:vertAlign w:val="baseline"/>
          <w:lang w:val="ru-MD"/>
        </w:rPr>
      </w:pPr>
      <w:r w:rsidRPr="00E253B9">
        <w:rPr>
          <w:rFonts w:asciiTheme="majorHAnsi" w:hAnsiTheme="majorHAnsi" w:cstheme="majorHAnsi"/>
          <w:b/>
          <w:sz w:val="24"/>
          <w:szCs w:val="24"/>
          <w:vertAlign w:val="baseline"/>
          <w:lang w:val="ru-MD"/>
        </w:rPr>
        <w:t>гражданского общества, других заинтересованных сторон.</w:t>
      </w:r>
    </w:p>
    <w:p w14:paraId="35EDAEF7" w14:textId="34D18E73" w:rsidR="009022BC" w:rsidRPr="00E253B9" w:rsidRDefault="00F00845" w:rsidP="009022BC">
      <w:pPr>
        <w:spacing w:line="276" w:lineRule="auto"/>
        <w:ind w:firstLine="709"/>
        <w:jc w:val="both"/>
        <w:rPr>
          <w:rFonts w:asciiTheme="majorHAnsi" w:eastAsia="Times New Roman" w:hAnsiTheme="majorHAnsi" w:cstheme="majorHAnsi"/>
          <w:i/>
          <w:sz w:val="24"/>
          <w:szCs w:val="24"/>
          <w:lang w:val="ru-MD" w:eastAsia="ro-MD"/>
        </w:rPr>
      </w:pPr>
      <w:r w:rsidRPr="00E253B9">
        <w:rPr>
          <w:rFonts w:asciiTheme="majorHAnsi" w:eastAsia="Times New Roman" w:hAnsiTheme="majorHAnsi" w:cstheme="majorHAnsi"/>
          <w:sz w:val="24"/>
          <w:szCs w:val="24"/>
          <w:lang w:val="ru-MD" w:eastAsia="ro-MD"/>
        </w:rPr>
        <w:t xml:space="preserve">Отчет аудита предоставляет получателям информацию о соответствии управления публичным имуществом и финансовыми ресурсами ПМСУ Институт Фтизиопульмонологии </w:t>
      </w:r>
      <w:r w:rsidR="001924A7" w:rsidRPr="001924A7">
        <w:rPr>
          <w:rFonts w:asciiTheme="majorHAnsi" w:eastAsia="Times New Roman" w:hAnsiTheme="majorHAnsi" w:cstheme="majorHAnsi"/>
          <w:sz w:val="24"/>
          <w:szCs w:val="24"/>
          <w:lang w:val="ru-RU" w:eastAsia="ro-MD"/>
        </w:rPr>
        <w:t>“</w:t>
      </w:r>
      <w:r w:rsidR="001924A7">
        <w:rPr>
          <w:rFonts w:asciiTheme="majorHAnsi" w:eastAsia="Times New Roman" w:hAnsiTheme="majorHAnsi" w:cstheme="majorHAnsi"/>
          <w:sz w:val="24"/>
          <w:szCs w:val="24"/>
          <w:lang w:val="ru-MD" w:eastAsia="ro-MD"/>
        </w:rPr>
        <w:t>Кирилл Драганюк”</w:t>
      </w:r>
      <w:r w:rsidRPr="00E253B9">
        <w:rPr>
          <w:rFonts w:asciiTheme="majorHAnsi" w:eastAsia="Times New Roman" w:hAnsiTheme="majorHAnsi" w:cstheme="majorHAnsi"/>
          <w:sz w:val="24"/>
          <w:szCs w:val="24"/>
          <w:lang w:val="ru-MD" w:eastAsia="ro-MD"/>
        </w:rPr>
        <w:t>, за 2021-2023 годы (6 месяцев)</w:t>
      </w:r>
      <w:r w:rsidR="009022BC" w:rsidRPr="00E253B9">
        <w:rPr>
          <w:rFonts w:asciiTheme="majorHAnsi" w:hAnsiTheme="majorHAnsi" w:cstheme="majorHAnsi"/>
          <w:sz w:val="24"/>
          <w:szCs w:val="24"/>
          <w:lang w:val="ru-MD"/>
        </w:rPr>
        <w:t>.</w:t>
      </w:r>
    </w:p>
    <w:p w14:paraId="7A5E15D0" w14:textId="4F08CE14" w:rsidR="009359E0" w:rsidRPr="00B13B9A" w:rsidRDefault="00E253B9" w:rsidP="009E7FD2">
      <w:pPr>
        <w:pStyle w:val="a7"/>
        <w:numPr>
          <w:ilvl w:val="0"/>
          <w:numId w:val="1"/>
        </w:numPr>
        <w:tabs>
          <w:tab w:val="left" w:pos="720"/>
          <w:tab w:val="left" w:pos="1710"/>
        </w:tabs>
        <w:spacing w:after="0" w:line="276" w:lineRule="auto"/>
        <w:ind w:left="0" w:firstLine="0"/>
        <w:outlineLvl w:val="0"/>
        <w:rPr>
          <w:rFonts w:asciiTheme="majorHAnsi" w:eastAsia="Times New Roman" w:hAnsiTheme="majorHAnsi" w:cstheme="majorHAnsi"/>
          <w:b/>
          <w:bCs/>
          <w:caps/>
          <w:color w:val="0070C0"/>
          <w:sz w:val="24"/>
          <w:szCs w:val="24"/>
          <w:lang w:val="ro-MD"/>
        </w:rPr>
      </w:pPr>
      <w:bookmarkStart w:id="3" w:name="_Toc158317215"/>
      <w:bookmarkStart w:id="4" w:name="_Toc123116693"/>
      <w:r>
        <w:rPr>
          <w:rFonts w:asciiTheme="majorHAnsi" w:eastAsia="Times New Roman" w:hAnsiTheme="majorHAnsi" w:cstheme="majorHAnsi"/>
          <w:b/>
          <w:bCs/>
          <w:caps/>
          <w:color w:val="0070C0"/>
          <w:sz w:val="24"/>
          <w:szCs w:val="24"/>
          <w:lang w:val="ru-RU"/>
        </w:rPr>
        <w:t>СИНТЕЗ</w:t>
      </w:r>
      <w:bookmarkEnd w:id="3"/>
    </w:p>
    <w:p w14:paraId="3E531D3A" w14:textId="7B3034A4" w:rsidR="00371912" w:rsidRPr="00163C06" w:rsidRDefault="006D2B97" w:rsidP="00371912">
      <w:pPr>
        <w:pStyle w:val="a5"/>
        <w:spacing w:line="276" w:lineRule="auto"/>
        <w:jc w:val="both"/>
        <w:rPr>
          <w:rFonts w:asciiTheme="majorHAnsi" w:hAnsiTheme="majorHAnsi" w:cstheme="majorHAnsi"/>
          <w:color w:val="212121"/>
          <w:sz w:val="24"/>
          <w:szCs w:val="24"/>
          <w:shd w:val="clear" w:color="auto" w:fill="FFFFFF"/>
          <w:vertAlign w:val="baseline"/>
          <w:lang w:val="ru-MD"/>
        </w:rPr>
      </w:pPr>
      <w:r w:rsidRPr="00163C06">
        <w:rPr>
          <w:rFonts w:asciiTheme="majorHAnsi" w:hAnsiTheme="majorHAnsi" w:cstheme="majorHAnsi"/>
          <w:color w:val="212121"/>
          <w:sz w:val="24"/>
          <w:szCs w:val="24"/>
          <w:shd w:val="clear" w:color="auto" w:fill="FFFFFF"/>
          <w:vertAlign w:val="baseline"/>
          <w:lang w:val="ru-MD"/>
        </w:rPr>
        <w:t>ПМСУ ИФП</w:t>
      </w:r>
      <w:r w:rsidR="00E253B9" w:rsidRPr="00163C06">
        <w:rPr>
          <w:rFonts w:asciiTheme="majorHAnsi" w:hAnsiTheme="majorHAnsi" w:cstheme="majorHAnsi"/>
          <w:color w:val="212121"/>
          <w:sz w:val="24"/>
          <w:szCs w:val="24"/>
          <w:shd w:val="clear" w:color="auto" w:fill="FFFFFF"/>
          <w:vertAlign w:val="baseline"/>
          <w:lang w:val="ru-MD"/>
        </w:rPr>
        <w:t xml:space="preserve"> </w:t>
      </w:r>
      <w:r w:rsidR="001924A7" w:rsidRPr="001924A7">
        <w:rPr>
          <w:rFonts w:asciiTheme="majorHAnsi" w:hAnsiTheme="majorHAnsi" w:cstheme="majorHAnsi"/>
          <w:color w:val="212121"/>
          <w:sz w:val="24"/>
          <w:szCs w:val="24"/>
          <w:shd w:val="clear" w:color="auto" w:fill="FFFFFF"/>
          <w:vertAlign w:val="baseline"/>
          <w:lang w:val="ru-RU"/>
        </w:rPr>
        <w:t>“</w:t>
      </w:r>
      <w:r w:rsidR="001924A7" w:rsidRPr="001924A7">
        <w:rPr>
          <w:rFonts w:asciiTheme="majorHAnsi" w:hAnsiTheme="majorHAnsi" w:cstheme="majorHAnsi"/>
          <w:color w:val="212121"/>
          <w:sz w:val="24"/>
          <w:szCs w:val="24"/>
          <w:shd w:val="clear" w:color="auto" w:fill="FFFFFF"/>
          <w:vertAlign w:val="baseline"/>
          <w:lang w:val="ru-MD"/>
        </w:rPr>
        <w:t>Кирилл Драганюк”</w:t>
      </w:r>
      <w:r w:rsidR="00E253B9" w:rsidRPr="00163C06">
        <w:rPr>
          <w:rFonts w:asciiTheme="majorHAnsi" w:hAnsiTheme="majorHAnsi" w:cstheme="majorHAnsi"/>
          <w:color w:val="212121"/>
          <w:sz w:val="24"/>
          <w:szCs w:val="24"/>
          <w:shd w:val="clear" w:color="auto" w:fill="FFFFFF"/>
          <w:vertAlign w:val="baseline"/>
          <w:lang w:val="ru-MD"/>
        </w:rPr>
        <w:t xml:space="preserve"> отвечает за оказание специализированной медицинской помощи, диагностику, лечение больных туберкулезом и специфическими заболеваниями дыхательного аппарата. Кроме того, проводя научные исследования в соответствии со стратегическими и приоритетными направлениями, он на</w:t>
      </w:r>
      <w:r w:rsidRPr="00163C06">
        <w:rPr>
          <w:rFonts w:asciiTheme="majorHAnsi" w:hAnsiTheme="majorHAnsi" w:cstheme="majorHAnsi"/>
          <w:color w:val="212121"/>
          <w:sz w:val="24"/>
          <w:szCs w:val="24"/>
          <w:shd w:val="clear" w:color="auto" w:fill="FFFFFF"/>
          <w:vertAlign w:val="baseline"/>
          <w:lang w:val="ru-MD"/>
        </w:rPr>
        <w:t>це</w:t>
      </w:r>
      <w:r w:rsidR="00E253B9" w:rsidRPr="00163C06">
        <w:rPr>
          <w:rFonts w:asciiTheme="majorHAnsi" w:hAnsiTheme="majorHAnsi" w:cstheme="majorHAnsi"/>
          <w:color w:val="212121"/>
          <w:sz w:val="24"/>
          <w:szCs w:val="24"/>
          <w:shd w:val="clear" w:color="auto" w:fill="FFFFFF"/>
          <w:vertAlign w:val="baseline"/>
          <w:lang w:val="ru-MD"/>
        </w:rPr>
        <w:t xml:space="preserve">лен на повышение качества медицинских услуг, </w:t>
      </w:r>
      <w:r w:rsidRPr="00163C06">
        <w:rPr>
          <w:rFonts w:asciiTheme="majorHAnsi" w:hAnsiTheme="majorHAnsi" w:cstheme="majorHAnsi"/>
          <w:color w:val="212121"/>
          <w:sz w:val="24"/>
          <w:szCs w:val="24"/>
          <w:shd w:val="clear" w:color="auto" w:fill="FFFFFF"/>
          <w:vertAlign w:val="baseline"/>
          <w:lang w:val="ru-MD"/>
        </w:rPr>
        <w:t>призва</w:t>
      </w:r>
      <w:r w:rsidR="00E253B9" w:rsidRPr="00163C06">
        <w:rPr>
          <w:rFonts w:asciiTheme="majorHAnsi" w:hAnsiTheme="majorHAnsi" w:cstheme="majorHAnsi"/>
          <w:color w:val="212121"/>
          <w:sz w:val="24"/>
          <w:szCs w:val="24"/>
          <w:shd w:val="clear" w:color="auto" w:fill="FFFFFF"/>
          <w:vertAlign w:val="baseline"/>
          <w:lang w:val="ru-MD"/>
        </w:rPr>
        <w:t>нных обесп</w:t>
      </w:r>
      <w:r w:rsidR="001063AB">
        <w:rPr>
          <w:rFonts w:asciiTheme="majorHAnsi" w:hAnsiTheme="majorHAnsi" w:cstheme="majorHAnsi"/>
          <w:color w:val="212121"/>
          <w:sz w:val="24"/>
          <w:szCs w:val="24"/>
          <w:shd w:val="clear" w:color="auto" w:fill="FFFFFF"/>
          <w:vertAlign w:val="baseline"/>
          <w:lang w:val="ru-MD"/>
        </w:rPr>
        <w:t>еч</w:t>
      </w:r>
      <w:r w:rsidRPr="00163C06">
        <w:rPr>
          <w:rFonts w:asciiTheme="majorHAnsi" w:hAnsiTheme="majorHAnsi" w:cstheme="majorHAnsi"/>
          <w:color w:val="212121"/>
          <w:sz w:val="24"/>
          <w:szCs w:val="24"/>
          <w:shd w:val="clear" w:color="auto" w:fill="FFFFFF"/>
          <w:vertAlign w:val="baseline"/>
          <w:lang w:val="ru-MD"/>
        </w:rPr>
        <w:t>ить</w:t>
      </w:r>
      <w:r w:rsidR="00E253B9" w:rsidRPr="00163C06">
        <w:rPr>
          <w:rFonts w:asciiTheme="majorHAnsi" w:hAnsiTheme="majorHAnsi" w:cstheme="majorHAnsi"/>
          <w:color w:val="212121"/>
          <w:sz w:val="24"/>
          <w:szCs w:val="24"/>
          <w:shd w:val="clear" w:color="auto" w:fill="FFFFFF"/>
          <w:vertAlign w:val="baseline"/>
          <w:lang w:val="ru-MD"/>
        </w:rPr>
        <w:t xml:space="preserve"> безопасност</w:t>
      </w:r>
      <w:r w:rsidRPr="00163C06">
        <w:rPr>
          <w:rFonts w:asciiTheme="majorHAnsi" w:hAnsiTheme="majorHAnsi" w:cstheme="majorHAnsi"/>
          <w:color w:val="212121"/>
          <w:sz w:val="24"/>
          <w:szCs w:val="24"/>
          <w:shd w:val="clear" w:color="auto" w:fill="FFFFFF"/>
          <w:vertAlign w:val="baseline"/>
          <w:lang w:val="ru-MD"/>
        </w:rPr>
        <w:t>ь</w:t>
      </w:r>
      <w:r w:rsidR="00E253B9" w:rsidRPr="00163C06">
        <w:rPr>
          <w:rFonts w:asciiTheme="majorHAnsi" w:hAnsiTheme="majorHAnsi" w:cstheme="majorHAnsi"/>
          <w:color w:val="212121"/>
          <w:sz w:val="24"/>
          <w:szCs w:val="24"/>
          <w:shd w:val="clear" w:color="auto" w:fill="FFFFFF"/>
          <w:vertAlign w:val="baseline"/>
          <w:lang w:val="ru-MD"/>
        </w:rPr>
        <w:t xml:space="preserve"> пациента и соблюдение его прав</w:t>
      </w:r>
      <w:r w:rsidR="00371912" w:rsidRPr="00163C06">
        <w:rPr>
          <w:rFonts w:asciiTheme="majorHAnsi" w:hAnsiTheme="majorHAnsi" w:cstheme="majorHAnsi"/>
          <w:color w:val="212121"/>
          <w:sz w:val="24"/>
          <w:szCs w:val="24"/>
          <w:shd w:val="clear" w:color="auto" w:fill="FFFFFF"/>
          <w:vertAlign w:val="baseline"/>
          <w:lang w:val="ru-MD"/>
        </w:rPr>
        <w:t>.</w:t>
      </w:r>
      <w:r w:rsidR="00371912" w:rsidRPr="00163C06">
        <w:rPr>
          <w:rFonts w:asciiTheme="majorHAnsi" w:hAnsiTheme="majorHAnsi" w:cstheme="majorHAnsi"/>
          <w:color w:val="212121"/>
          <w:sz w:val="24"/>
          <w:szCs w:val="24"/>
          <w:vertAlign w:val="baseline"/>
          <w:lang w:val="ru-MD"/>
        </w:rPr>
        <w:t xml:space="preserve"> </w:t>
      </w:r>
    </w:p>
    <w:p w14:paraId="1595138A" w14:textId="1FFB2196" w:rsidR="00371912" w:rsidRPr="00163C06" w:rsidRDefault="00E253B9" w:rsidP="00371912">
      <w:pPr>
        <w:pStyle w:val="a5"/>
        <w:spacing w:line="276" w:lineRule="auto"/>
        <w:jc w:val="both"/>
        <w:rPr>
          <w:rFonts w:asciiTheme="majorHAnsi" w:hAnsiTheme="majorHAnsi" w:cstheme="majorHAnsi"/>
          <w:sz w:val="24"/>
          <w:szCs w:val="24"/>
          <w:vertAlign w:val="baseline"/>
          <w:lang w:val="ru-MD"/>
        </w:rPr>
      </w:pPr>
      <w:r w:rsidRPr="00163C06">
        <w:rPr>
          <w:rFonts w:asciiTheme="majorHAnsi" w:hAnsiTheme="majorHAnsi" w:cstheme="majorHAnsi"/>
          <w:sz w:val="24"/>
          <w:szCs w:val="24"/>
          <w:vertAlign w:val="baseline"/>
          <w:lang w:val="ru-MD"/>
        </w:rPr>
        <w:t xml:space="preserve">В этом контексте Счетная палата, </w:t>
      </w:r>
      <w:r w:rsidR="006D2B97" w:rsidRPr="00163C06">
        <w:rPr>
          <w:rFonts w:asciiTheme="majorHAnsi" w:hAnsiTheme="majorHAnsi" w:cstheme="majorHAnsi"/>
          <w:sz w:val="24"/>
          <w:szCs w:val="24"/>
          <w:vertAlign w:val="baseline"/>
          <w:lang w:val="ru-MD"/>
        </w:rPr>
        <w:t>на основан</w:t>
      </w:r>
      <w:r w:rsidRPr="00163C06">
        <w:rPr>
          <w:rFonts w:asciiTheme="majorHAnsi" w:hAnsiTheme="majorHAnsi" w:cstheme="majorHAnsi"/>
          <w:sz w:val="24"/>
          <w:szCs w:val="24"/>
          <w:vertAlign w:val="baseline"/>
          <w:lang w:val="ru-MD"/>
        </w:rPr>
        <w:t xml:space="preserve">ии </w:t>
      </w:r>
      <w:r w:rsidR="006D2B97" w:rsidRPr="00163C06">
        <w:rPr>
          <w:rFonts w:asciiTheme="majorHAnsi" w:hAnsiTheme="majorHAnsi" w:cstheme="majorHAnsi"/>
          <w:sz w:val="24"/>
          <w:szCs w:val="24"/>
          <w:vertAlign w:val="baseline"/>
          <w:lang w:val="ru-MD"/>
        </w:rPr>
        <w:t>З</w:t>
      </w:r>
      <w:r w:rsidRPr="00163C06">
        <w:rPr>
          <w:rFonts w:asciiTheme="majorHAnsi" w:hAnsiTheme="majorHAnsi" w:cstheme="majorHAnsi"/>
          <w:sz w:val="24"/>
          <w:szCs w:val="24"/>
          <w:vertAlign w:val="baseline"/>
          <w:lang w:val="ru-MD"/>
        </w:rPr>
        <w:t>акон</w:t>
      </w:r>
      <w:r w:rsidR="006D2B97" w:rsidRPr="00163C06">
        <w:rPr>
          <w:rFonts w:asciiTheme="majorHAnsi" w:hAnsiTheme="majorHAnsi" w:cstheme="majorHAnsi"/>
          <w:sz w:val="24"/>
          <w:szCs w:val="24"/>
          <w:vertAlign w:val="baseline"/>
          <w:lang w:val="ru-MD"/>
        </w:rPr>
        <w:t>а №</w:t>
      </w:r>
      <w:r w:rsidRPr="00163C06">
        <w:rPr>
          <w:rFonts w:asciiTheme="majorHAnsi" w:hAnsiTheme="majorHAnsi" w:cstheme="majorHAnsi"/>
          <w:sz w:val="24"/>
          <w:szCs w:val="24"/>
          <w:vertAlign w:val="baseline"/>
          <w:lang w:val="ru-MD"/>
        </w:rPr>
        <w:t xml:space="preserve">260 от 07.12.2017 и в соответствии с </w:t>
      </w:r>
      <w:r w:rsidR="006D2B97" w:rsidRPr="00163C06">
        <w:rPr>
          <w:rFonts w:asciiTheme="majorHAnsi" w:hAnsiTheme="majorHAnsi" w:cstheme="majorHAnsi"/>
          <w:sz w:val="24"/>
          <w:szCs w:val="24"/>
          <w:vertAlign w:val="baseline"/>
          <w:lang w:val="ru-MD"/>
        </w:rPr>
        <w:t>Программой</w:t>
      </w:r>
      <w:r w:rsidRPr="00163C06">
        <w:rPr>
          <w:rFonts w:asciiTheme="majorHAnsi" w:hAnsiTheme="majorHAnsi" w:cstheme="majorHAnsi"/>
          <w:sz w:val="24"/>
          <w:szCs w:val="24"/>
          <w:vertAlign w:val="baseline"/>
          <w:lang w:val="ru-MD"/>
        </w:rPr>
        <w:t xml:space="preserve"> аудиторской деятельности на 2023 г</w:t>
      </w:r>
      <w:r w:rsidR="006D2B97" w:rsidRPr="00163C06">
        <w:rPr>
          <w:rFonts w:asciiTheme="majorHAnsi" w:hAnsiTheme="majorHAnsi" w:cstheme="majorHAnsi"/>
          <w:sz w:val="24"/>
          <w:szCs w:val="24"/>
          <w:vertAlign w:val="baseline"/>
          <w:lang w:val="ru-MD"/>
        </w:rPr>
        <w:t>од, провела</w:t>
      </w:r>
      <w:r w:rsidRPr="00163C06">
        <w:rPr>
          <w:rFonts w:asciiTheme="majorHAnsi" w:hAnsiTheme="majorHAnsi" w:cstheme="majorHAnsi"/>
          <w:sz w:val="24"/>
          <w:szCs w:val="24"/>
          <w:vertAlign w:val="baseline"/>
          <w:lang w:val="ru-MD"/>
        </w:rPr>
        <w:t xml:space="preserve"> настоящую аудиторскую миссию с целью оценки соответствия управления </w:t>
      </w:r>
      <w:r w:rsidR="006D2B97" w:rsidRPr="00163C06">
        <w:rPr>
          <w:rFonts w:asciiTheme="majorHAnsi" w:hAnsiTheme="majorHAnsi" w:cstheme="majorHAnsi"/>
          <w:sz w:val="24"/>
          <w:szCs w:val="24"/>
          <w:vertAlign w:val="baseline"/>
          <w:lang w:val="ru-MD"/>
        </w:rPr>
        <w:t>публич</w:t>
      </w:r>
      <w:r w:rsidRPr="00163C06">
        <w:rPr>
          <w:rFonts w:asciiTheme="majorHAnsi" w:hAnsiTheme="majorHAnsi" w:cstheme="majorHAnsi"/>
          <w:sz w:val="24"/>
          <w:szCs w:val="24"/>
          <w:vertAlign w:val="baseline"/>
          <w:lang w:val="ru-MD"/>
        </w:rPr>
        <w:t xml:space="preserve">ным имуществом и финансовыми ресурсами </w:t>
      </w:r>
      <w:r w:rsidR="00EF6D97" w:rsidRPr="00163C06">
        <w:rPr>
          <w:rFonts w:asciiTheme="majorHAnsi" w:hAnsiTheme="majorHAnsi" w:cstheme="majorHAnsi"/>
          <w:sz w:val="24"/>
          <w:szCs w:val="24"/>
          <w:vertAlign w:val="baseline"/>
          <w:lang w:val="ru-MD"/>
        </w:rPr>
        <w:t>ПМСУ ИФП</w:t>
      </w:r>
      <w:r w:rsidRPr="00163C06">
        <w:rPr>
          <w:rFonts w:asciiTheme="majorHAnsi" w:hAnsiTheme="majorHAnsi" w:cstheme="majorHAnsi"/>
          <w:sz w:val="24"/>
          <w:szCs w:val="24"/>
          <w:vertAlign w:val="baseline"/>
          <w:lang w:val="ru-MD"/>
        </w:rPr>
        <w:t xml:space="preserve"> </w:t>
      </w:r>
      <w:r w:rsidR="001924A7" w:rsidRPr="001924A7">
        <w:rPr>
          <w:rFonts w:asciiTheme="majorHAnsi" w:hAnsiTheme="majorHAnsi" w:cstheme="majorHAnsi"/>
          <w:sz w:val="24"/>
          <w:szCs w:val="24"/>
          <w:vertAlign w:val="baseline"/>
          <w:lang w:val="ru-RU"/>
        </w:rPr>
        <w:t>“</w:t>
      </w:r>
      <w:r w:rsidR="001924A7" w:rsidRPr="001924A7">
        <w:rPr>
          <w:rFonts w:asciiTheme="majorHAnsi" w:hAnsiTheme="majorHAnsi" w:cstheme="majorHAnsi"/>
          <w:sz w:val="24"/>
          <w:szCs w:val="24"/>
          <w:vertAlign w:val="baseline"/>
          <w:lang w:val="ru-MD"/>
        </w:rPr>
        <w:t>Кирилл Драганюк”</w:t>
      </w:r>
      <w:r w:rsidRPr="00163C06">
        <w:rPr>
          <w:rFonts w:asciiTheme="majorHAnsi" w:hAnsiTheme="majorHAnsi" w:cstheme="majorHAnsi"/>
          <w:sz w:val="24"/>
          <w:szCs w:val="24"/>
          <w:vertAlign w:val="baseline"/>
          <w:lang w:val="ru-MD"/>
        </w:rPr>
        <w:t xml:space="preserve"> в </w:t>
      </w:r>
      <w:r w:rsidR="00EF6D97" w:rsidRPr="00163C06">
        <w:rPr>
          <w:rFonts w:asciiTheme="majorHAnsi" w:hAnsiTheme="majorHAnsi" w:cstheme="majorHAnsi"/>
          <w:sz w:val="24"/>
          <w:szCs w:val="24"/>
          <w:vertAlign w:val="baseline"/>
          <w:lang w:val="ru-MD"/>
        </w:rPr>
        <w:t xml:space="preserve">период </w:t>
      </w:r>
      <w:r w:rsidRPr="00163C06">
        <w:rPr>
          <w:rFonts w:asciiTheme="majorHAnsi" w:hAnsiTheme="majorHAnsi" w:cstheme="majorHAnsi"/>
          <w:sz w:val="24"/>
          <w:szCs w:val="24"/>
          <w:vertAlign w:val="baseline"/>
          <w:lang w:val="ru-MD"/>
        </w:rPr>
        <w:t>2021-2023 г</w:t>
      </w:r>
      <w:r w:rsidR="00EF6D97" w:rsidRPr="00163C06">
        <w:rPr>
          <w:rFonts w:asciiTheme="majorHAnsi" w:hAnsiTheme="majorHAnsi" w:cstheme="majorHAnsi"/>
          <w:sz w:val="24"/>
          <w:szCs w:val="24"/>
          <w:vertAlign w:val="baseline"/>
          <w:lang w:val="ru-MD"/>
        </w:rPr>
        <w:t>одов</w:t>
      </w:r>
      <w:r w:rsidRPr="00163C06">
        <w:rPr>
          <w:rFonts w:asciiTheme="majorHAnsi" w:hAnsiTheme="majorHAnsi" w:cstheme="majorHAnsi"/>
          <w:sz w:val="24"/>
          <w:szCs w:val="24"/>
          <w:vertAlign w:val="baseline"/>
          <w:lang w:val="ru-MD"/>
        </w:rPr>
        <w:t xml:space="preserve"> (6 месяцев)</w:t>
      </w:r>
      <w:r w:rsidR="00371912" w:rsidRPr="00163C06">
        <w:rPr>
          <w:rFonts w:asciiTheme="majorHAnsi" w:hAnsiTheme="majorHAnsi" w:cstheme="majorHAnsi"/>
          <w:sz w:val="24"/>
          <w:szCs w:val="24"/>
          <w:vertAlign w:val="baseline"/>
          <w:lang w:val="ru-MD"/>
        </w:rPr>
        <w:t>.</w:t>
      </w:r>
    </w:p>
    <w:p w14:paraId="5711263E" w14:textId="4BB51E01" w:rsidR="00E253B9" w:rsidRPr="00163C06" w:rsidRDefault="00E253B9" w:rsidP="00E253B9">
      <w:pPr>
        <w:pStyle w:val="a5"/>
        <w:spacing w:line="276" w:lineRule="auto"/>
        <w:jc w:val="both"/>
        <w:rPr>
          <w:rFonts w:asciiTheme="majorHAnsi" w:hAnsiTheme="majorHAnsi" w:cstheme="majorHAnsi"/>
          <w:sz w:val="24"/>
          <w:szCs w:val="24"/>
          <w:vertAlign w:val="baseline"/>
          <w:lang w:val="ru-MD"/>
        </w:rPr>
      </w:pPr>
      <w:r w:rsidRPr="00163C06">
        <w:rPr>
          <w:rFonts w:asciiTheme="majorHAnsi" w:hAnsiTheme="majorHAnsi" w:cstheme="majorHAnsi"/>
          <w:sz w:val="24"/>
          <w:szCs w:val="24"/>
          <w:vertAlign w:val="baseline"/>
          <w:lang w:val="ru-MD"/>
        </w:rPr>
        <w:t xml:space="preserve">Результаты аудита предоставляют </w:t>
      </w:r>
      <w:r w:rsidR="00EF6D97" w:rsidRPr="00163C06">
        <w:rPr>
          <w:rFonts w:asciiTheme="majorHAnsi" w:hAnsiTheme="majorHAnsi" w:cstheme="majorHAnsi"/>
          <w:sz w:val="24"/>
          <w:szCs w:val="24"/>
          <w:vertAlign w:val="baseline"/>
          <w:lang w:val="ru-MD"/>
        </w:rPr>
        <w:t>важн</w:t>
      </w:r>
      <w:r w:rsidRPr="00163C06">
        <w:rPr>
          <w:rFonts w:asciiTheme="majorHAnsi" w:hAnsiTheme="majorHAnsi" w:cstheme="majorHAnsi"/>
          <w:sz w:val="24"/>
          <w:szCs w:val="24"/>
          <w:vertAlign w:val="baseline"/>
          <w:lang w:val="ru-MD"/>
        </w:rPr>
        <w:t xml:space="preserve">ую </w:t>
      </w:r>
      <w:r w:rsidR="00EF6D97" w:rsidRPr="00163C06">
        <w:rPr>
          <w:rFonts w:asciiTheme="majorHAnsi" w:hAnsiTheme="majorHAnsi" w:cstheme="majorHAnsi"/>
          <w:sz w:val="24"/>
          <w:szCs w:val="24"/>
          <w:vertAlign w:val="baseline"/>
          <w:lang w:val="ru-MD"/>
        </w:rPr>
        <w:t>для вовлеч</w:t>
      </w:r>
      <w:r w:rsidR="001063AB">
        <w:rPr>
          <w:rFonts w:asciiTheme="majorHAnsi" w:hAnsiTheme="majorHAnsi" w:cstheme="majorHAnsi"/>
          <w:sz w:val="24"/>
          <w:szCs w:val="24"/>
          <w:vertAlign w:val="baseline"/>
          <w:lang w:val="ru-MD"/>
        </w:rPr>
        <w:t>е</w:t>
      </w:r>
      <w:r w:rsidRPr="00163C06">
        <w:rPr>
          <w:rFonts w:asciiTheme="majorHAnsi" w:hAnsiTheme="majorHAnsi" w:cstheme="majorHAnsi"/>
          <w:sz w:val="24"/>
          <w:szCs w:val="24"/>
          <w:vertAlign w:val="baseline"/>
          <w:lang w:val="ru-MD"/>
        </w:rPr>
        <w:t>нны</w:t>
      </w:r>
      <w:r w:rsidR="00EF6D97" w:rsidRPr="00163C06">
        <w:rPr>
          <w:rFonts w:asciiTheme="majorHAnsi" w:hAnsiTheme="majorHAnsi" w:cstheme="majorHAnsi"/>
          <w:sz w:val="24"/>
          <w:szCs w:val="24"/>
          <w:vertAlign w:val="baseline"/>
          <w:lang w:val="ru-MD"/>
        </w:rPr>
        <w:t>х</w:t>
      </w:r>
      <w:r w:rsidRPr="00163C06">
        <w:rPr>
          <w:rFonts w:asciiTheme="majorHAnsi" w:hAnsiTheme="majorHAnsi" w:cstheme="majorHAnsi"/>
          <w:sz w:val="24"/>
          <w:szCs w:val="24"/>
          <w:vertAlign w:val="baseline"/>
          <w:lang w:val="ru-MD"/>
        </w:rPr>
        <w:t xml:space="preserve"> с</w:t>
      </w:r>
      <w:r w:rsidR="00EF6D97" w:rsidRPr="00163C06">
        <w:rPr>
          <w:rFonts w:asciiTheme="majorHAnsi" w:hAnsiTheme="majorHAnsi" w:cstheme="majorHAnsi"/>
          <w:sz w:val="24"/>
          <w:szCs w:val="24"/>
          <w:vertAlign w:val="baseline"/>
          <w:lang w:val="ru-MD"/>
        </w:rPr>
        <w:t>убъектов</w:t>
      </w:r>
      <w:r w:rsidRPr="00163C06">
        <w:rPr>
          <w:rFonts w:asciiTheme="majorHAnsi" w:hAnsiTheme="majorHAnsi" w:cstheme="majorHAnsi"/>
          <w:sz w:val="24"/>
          <w:szCs w:val="24"/>
          <w:vertAlign w:val="baseline"/>
          <w:lang w:val="ru-MD"/>
        </w:rPr>
        <w:t xml:space="preserve"> и заинтересованны</w:t>
      </w:r>
      <w:r w:rsidR="00EF6D97" w:rsidRPr="00163C06">
        <w:rPr>
          <w:rFonts w:asciiTheme="majorHAnsi" w:hAnsiTheme="majorHAnsi" w:cstheme="majorHAnsi"/>
          <w:sz w:val="24"/>
          <w:szCs w:val="24"/>
          <w:vertAlign w:val="baseline"/>
          <w:lang w:val="ru-MD"/>
        </w:rPr>
        <w:t>х</w:t>
      </w:r>
      <w:r w:rsidRPr="00163C06">
        <w:rPr>
          <w:rFonts w:asciiTheme="majorHAnsi" w:hAnsiTheme="majorHAnsi" w:cstheme="majorHAnsi"/>
          <w:sz w:val="24"/>
          <w:szCs w:val="24"/>
          <w:vertAlign w:val="baseline"/>
          <w:lang w:val="ru-MD"/>
        </w:rPr>
        <w:t xml:space="preserve"> сторон </w:t>
      </w:r>
      <w:r w:rsidR="00EF6D97" w:rsidRPr="00163C06">
        <w:rPr>
          <w:rFonts w:asciiTheme="majorHAnsi" w:hAnsiTheme="majorHAnsi" w:cstheme="majorHAnsi"/>
          <w:sz w:val="24"/>
          <w:szCs w:val="24"/>
          <w:vertAlign w:val="baseline"/>
          <w:lang w:val="ru-MD"/>
        </w:rPr>
        <w:t xml:space="preserve">информацию, </w:t>
      </w:r>
      <w:r w:rsidRPr="00163C06">
        <w:rPr>
          <w:rFonts w:asciiTheme="majorHAnsi" w:hAnsiTheme="majorHAnsi" w:cstheme="majorHAnsi"/>
          <w:sz w:val="24"/>
          <w:szCs w:val="24"/>
          <w:vertAlign w:val="baseline"/>
          <w:lang w:val="ru-MD"/>
        </w:rPr>
        <w:t>для возможн</w:t>
      </w:r>
      <w:r w:rsidR="00EF6D97" w:rsidRPr="00163C06">
        <w:rPr>
          <w:rFonts w:asciiTheme="majorHAnsi" w:hAnsiTheme="majorHAnsi" w:cstheme="majorHAnsi"/>
          <w:sz w:val="24"/>
          <w:szCs w:val="24"/>
          <w:vertAlign w:val="baseline"/>
          <w:lang w:val="ru-MD"/>
        </w:rPr>
        <w:t>ого принятия</w:t>
      </w:r>
      <w:r w:rsidRPr="00163C06">
        <w:rPr>
          <w:rFonts w:asciiTheme="majorHAnsi" w:hAnsiTheme="majorHAnsi" w:cstheme="majorHAnsi"/>
          <w:sz w:val="24"/>
          <w:szCs w:val="24"/>
          <w:vertAlign w:val="baseline"/>
          <w:lang w:val="ru-MD"/>
        </w:rPr>
        <w:t xml:space="preserve"> необходимых стратегических решений, а также для н</w:t>
      </w:r>
      <w:r w:rsidR="00EF6D97" w:rsidRPr="00163C06">
        <w:rPr>
          <w:rFonts w:asciiTheme="majorHAnsi" w:hAnsiTheme="majorHAnsi" w:cstheme="majorHAnsi"/>
          <w:sz w:val="24"/>
          <w:szCs w:val="24"/>
          <w:vertAlign w:val="baseline"/>
          <w:lang w:val="ru-MD"/>
        </w:rPr>
        <w:t>адлежаще</w:t>
      </w:r>
      <w:r w:rsidRPr="00163C06">
        <w:rPr>
          <w:rFonts w:asciiTheme="majorHAnsi" w:hAnsiTheme="majorHAnsi" w:cstheme="majorHAnsi"/>
          <w:sz w:val="24"/>
          <w:szCs w:val="24"/>
          <w:vertAlign w:val="baseline"/>
          <w:lang w:val="ru-MD"/>
        </w:rPr>
        <w:t xml:space="preserve">го осуществления деятельности, </w:t>
      </w:r>
      <w:r w:rsidR="00EF6D97" w:rsidRPr="00163C06">
        <w:rPr>
          <w:rFonts w:asciiTheme="majorHAnsi" w:hAnsiTheme="majorHAnsi" w:cstheme="majorHAnsi"/>
          <w:sz w:val="24"/>
          <w:szCs w:val="24"/>
          <w:vertAlign w:val="baseline"/>
          <w:lang w:val="ru-MD"/>
        </w:rPr>
        <w:t>относящейся к</w:t>
      </w:r>
      <w:r w:rsidRPr="00163C06">
        <w:rPr>
          <w:rFonts w:asciiTheme="majorHAnsi" w:hAnsiTheme="majorHAnsi" w:cstheme="majorHAnsi"/>
          <w:sz w:val="24"/>
          <w:szCs w:val="24"/>
          <w:vertAlign w:val="baseline"/>
          <w:lang w:val="ru-MD"/>
        </w:rPr>
        <w:t xml:space="preserve"> этой област</w:t>
      </w:r>
      <w:r w:rsidR="00EF6D97" w:rsidRPr="00163C06">
        <w:rPr>
          <w:rFonts w:asciiTheme="majorHAnsi" w:hAnsiTheme="majorHAnsi" w:cstheme="majorHAnsi"/>
          <w:sz w:val="24"/>
          <w:szCs w:val="24"/>
          <w:vertAlign w:val="baseline"/>
          <w:lang w:val="ru-MD"/>
        </w:rPr>
        <w:t>и</w:t>
      </w:r>
      <w:r w:rsidRPr="00163C06">
        <w:rPr>
          <w:rFonts w:asciiTheme="majorHAnsi" w:hAnsiTheme="majorHAnsi" w:cstheme="majorHAnsi"/>
          <w:sz w:val="24"/>
          <w:szCs w:val="24"/>
          <w:vertAlign w:val="baseline"/>
          <w:lang w:val="ru-MD"/>
        </w:rPr>
        <w:t>.</w:t>
      </w:r>
    </w:p>
    <w:p w14:paraId="47F4FBE1" w14:textId="053B6BB9" w:rsidR="00E253B9" w:rsidRPr="00163C06" w:rsidRDefault="00E253B9" w:rsidP="00E253B9">
      <w:pPr>
        <w:pStyle w:val="a5"/>
        <w:spacing w:line="276" w:lineRule="auto"/>
        <w:jc w:val="both"/>
        <w:rPr>
          <w:rFonts w:asciiTheme="majorHAnsi" w:hAnsiTheme="majorHAnsi" w:cstheme="majorHAnsi"/>
          <w:sz w:val="24"/>
          <w:szCs w:val="24"/>
          <w:vertAlign w:val="baseline"/>
          <w:lang w:val="ru-MD"/>
        </w:rPr>
      </w:pPr>
      <w:r w:rsidRPr="00163C06">
        <w:rPr>
          <w:rFonts w:asciiTheme="majorHAnsi" w:hAnsiTheme="majorHAnsi" w:cstheme="majorHAnsi"/>
          <w:sz w:val="24"/>
          <w:szCs w:val="24"/>
          <w:vertAlign w:val="baseline"/>
          <w:lang w:val="ru-MD"/>
        </w:rPr>
        <w:t>Обобщ</w:t>
      </w:r>
      <w:r w:rsidR="00EF6D97" w:rsidRPr="00163C06">
        <w:rPr>
          <w:rFonts w:asciiTheme="majorHAnsi" w:hAnsiTheme="majorHAnsi" w:cstheme="majorHAnsi"/>
          <w:sz w:val="24"/>
          <w:szCs w:val="24"/>
          <w:vertAlign w:val="baseline"/>
          <w:lang w:val="ru-MD"/>
        </w:rPr>
        <w:t>ив</w:t>
      </w:r>
      <w:r w:rsidRPr="00163C06">
        <w:rPr>
          <w:rFonts w:asciiTheme="majorHAnsi" w:hAnsiTheme="majorHAnsi" w:cstheme="majorHAnsi"/>
          <w:sz w:val="24"/>
          <w:szCs w:val="24"/>
          <w:vertAlign w:val="baseline"/>
          <w:lang w:val="ru-MD"/>
        </w:rPr>
        <w:t xml:space="preserve"> </w:t>
      </w:r>
      <w:r w:rsidR="00EF6D97" w:rsidRPr="00163C06">
        <w:rPr>
          <w:rFonts w:asciiTheme="majorHAnsi" w:hAnsiTheme="majorHAnsi" w:cstheme="majorHAnsi"/>
          <w:sz w:val="24"/>
          <w:szCs w:val="24"/>
          <w:vertAlign w:val="baseline"/>
          <w:lang w:val="ru-MD"/>
        </w:rPr>
        <w:t>констатации</w:t>
      </w:r>
      <w:r w:rsidRPr="00163C06">
        <w:rPr>
          <w:rFonts w:asciiTheme="majorHAnsi" w:hAnsiTheme="majorHAnsi" w:cstheme="majorHAnsi"/>
          <w:sz w:val="24"/>
          <w:szCs w:val="24"/>
          <w:vertAlign w:val="baseline"/>
          <w:lang w:val="ru-MD"/>
        </w:rPr>
        <w:t xml:space="preserve"> и </w:t>
      </w:r>
      <w:r w:rsidR="00EF6D97" w:rsidRPr="00163C06">
        <w:rPr>
          <w:rFonts w:asciiTheme="majorHAnsi" w:hAnsiTheme="majorHAnsi" w:cstheme="majorHAnsi"/>
          <w:sz w:val="24"/>
          <w:szCs w:val="24"/>
          <w:vertAlign w:val="baseline"/>
          <w:lang w:val="ru-MD"/>
        </w:rPr>
        <w:t xml:space="preserve">сформулированные </w:t>
      </w:r>
      <w:r w:rsidRPr="00163C06">
        <w:rPr>
          <w:rFonts w:asciiTheme="majorHAnsi" w:hAnsiTheme="majorHAnsi" w:cstheme="majorHAnsi"/>
          <w:sz w:val="24"/>
          <w:szCs w:val="24"/>
          <w:vertAlign w:val="baseline"/>
          <w:lang w:val="ru-MD"/>
        </w:rPr>
        <w:t xml:space="preserve">выводы, аудит представляет их результат через призму фактических несоответствий, а также их причин и </w:t>
      </w:r>
      <w:r w:rsidR="00EF6D97" w:rsidRPr="00163C06">
        <w:rPr>
          <w:rFonts w:asciiTheme="majorHAnsi" w:hAnsiTheme="majorHAnsi" w:cstheme="majorHAnsi"/>
          <w:sz w:val="24"/>
          <w:szCs w:val="24"/>
          <w:vertAlign w:val="baseline"/>
          <w:lang w:val="ru-MD"/>
        </w:rPr>
        <w:t>воздействия</w:t>
      </w:r>
      <w:r w:rsidRPr="00163C06">
        <w:rPr>
          <w:rFonts w:asciiTheme="majorHAnsi" w:hAnsiTheme="majorHAnsi" w:cstheme="majorHAnsi"/>
          <w:sz w:val="24"/>
          <w:szCs w:val="24"/>
          <w:vertAlign w:val="baseline"/>
          <w:lang w:val="ru-MD"/>
        </w:rPr>
        <w:t xml:space="preserve">. </w:t>
      </w:r>
    </w:p>
    <w:p w14:paraId="62881A13" w14:textId="27B58365" w:rsidR="00371912" w:rsidRPr="00163C06" w:rsidRDefault="00EF6D97" w:rsidP="00163C06">
      <w:pPr>
        <w:pStyle w:val="a5"/>
        <w:spacing w:line="276" w:lineRule="auto"/>
        <w:jc w:val="both"/>
        <w:rPr>
          <w:rFonts w:asciiTheme="majorHAnsi" w:hAnsiTheme="majorHAnsi" w:cstheme="majorHAnsi"/>
          <w:b/>
          <w:color w:val="000000" w:themeColor="text1"/>
          <w:sz w:val="24"/>
          <w:szCs w:val="24"/>
          <w:lang w:val="ru-MD"/>
        </w:rPr>
      </w:pPr>
      <w:r w:rsidRPr="00163C06">
        <w:rPr>
          <w:rFonts w:asciiTheme="majorHAnsi" w:hAnsiTheme="majorHAnsi" w:cstheme="majorHAnsi"/>
          <w:sz w:val="24"/>
          <w:szCs w:val="24"/>
          <w:vertAlign w:val="baseline"/>
          <w:lang w:val="ru-MD"/>
        </w:rPr>
        <w:t>За аудируемый</w:t>
      </w:r>
      <w:r w:rsidR="00E253B9" w:rsidRPr="00163C06">
        <w:rPr>
          <w:rFonts w:asciiTheme="majorHAnsi" w:hAnsiTheme="majorHAnsi" w:cstheme="majorHAnsi"/>
          <w:sz w:val="24"/>
          <w:szCs w:val="24"/>
          <w:vertAlign w:val="baseline"/>
          <w:lang w:val="ru-MD"/>
        </w:rPr>
        <w:t xml:space="preserve"> период были выявлены </w:t>
      </w:r>
      <w:r w:rsidRPr="00163C06">
        <w:rPr>
          <w:rFonts w:asciiTheme="majorHAnsi" w:hAnsiTheme="majorHAnsi" w:cstheme="majorHAnsi"/>
          <w:sz w:val="24"/>
          <w:szCs w:val="24"/>
          <w:vertAlign w:val="baseline"/>
          <w:lang w:val="ru-MD"/>
        </w:rPr>
        <w:t>определенн</w:t>
      </w:r>
      <w:r w:rsidR="00E253B9" w:rsidRPr="00163C06">
        <w:rPr>
          <w:rFonts w:asciiTheme="majorHAnsi" w:hAnsiTheme="majorHAnsi" w:cstheme="majorHAnsi"/>
          <w:sz w:val="24"/>
          <w:szCs w:val="24"/>
          <w:vertAlign w:val="baseline"/>
          <w:lang w:val="ru-MD"/>
        </w:rPr>
        <w:t xml:space="preserve">ые недостатки и несоответствия, связанные с управлением доверенным </w:t>
      </w:r>
      <w:r w:rsidRPr="00163C06">
        <w:rPr>
          <w:rFonts w:asciiTheme="majorHAnsi" w:hAnsiTheme="majorHAnsi" w:cstheme="majorHAnsi"/>
          <w:sz w:val="24"/>
          <w:szCs w:val="24"/>
          <w:vertAlign w:val="baseline"/>
          <w:lang w:val="ru-MD"/>
        </w:rPr>
        <w:t>публичным имуществом</w:t>
      </w:r>
      <w:r w:rsidR="00E253B9" w:rsidRPr="00163C06">
        <w:rPr>
          <w:rFonts w:asciiTheme="majorHAnsi" w:hAnsiTheme="majorHAnsi" w:cstheme="majorHAnsi"/>
          <w:sz w:val="24"/>
          <w:szCs w:val="24"/>
          <w:vertAlign w:val="baseline"/>
          <w:lang w:val="ru-MD"/>
        </w:rPr>
        <w:t xml:space="preserve">, </w:t>
      </w:r>
      <w:r w:rsidR="00163C06" w:rsidRPr="00163C06">
        <w:rPr>
          <w:rFonts w:asciiTheme="majorHAnsi" w:hAnsiTheme="majorHAnsi" w:cstheme="majorHAnsi"/>
          <w:sz w:val="24"/>
          <w:szCs w:val="24"/>
          <w:vertAlign w:val="baseline"/>
          <w:lang w:val="ru-MD"/>
        </w:rPr>
        <w:t xml:space="preserve">которые </w:t>
      </w:r>
      <w:r w:rsidR="00E253B9" w:rsidRPr="00163C06">
        <w:rPr>
          <w:rFonts w:asciiTheme="majorHAnsi" w:hAnsiTheme="majorHAnsi" w:cstheme="majorHAnsi"/>
          <w:sz w:val="24"/>
          <w:szCs w:val="24"/>
          <w:vertAlign w:val="baseline"/>
          <w:lang w:val="ru-MD"/>
        </w:rPr>
        <w:t>выраж</w:t>
      </w:r>
      <w:r w:rsidR="00163C06" w:rsidRPr="00163C06">
        <w:rPr>
          <w:rFonts w:asciiTheme="majorHAnsi" w:hAnsiTheme="majorHAnsi" w:cstheme="majorHAnsi"/>
          <w:sz w:val="24"/>
          <w:szCs w:val="24"/>
          <w:vertAlign w:val="baseline"/>
          <w:lang w:val="ru-MD"/>
        </w:rPr>
        <w:t>аются в</w:t>
      </w:r>
      <w:r w:rsidR="00E253B9" w:rsidRPr="00163C06">
        <w:rPr>
          <w:rFonts w:asciiTheme="majorHAnsi" w:hAnsiTheme="majorHAnsi" w:cstheme="majorHAnsi"/>
          <w:sz w:val="24"/>
          <w:szCs w:val="24"/>
          <w:vertAlign w:val="baseline"/>
          <w:lang w:val="ru-MD"/>
        </w:rPr>
        <w:t xml:space="preserve"> следующ</w:t>
      </w:r>
      <w:r w:rsidR="00163C06" w:rsidRPr="00163C06">
        <w:rPr>
          <w:rFonts w:asciiTheme="majorHAnsi" w:hAnsiTheme="majorHAnsi" w:cstheme="majorHAnsi"/>
          <w:sz w:val="24"/>
          <w:szCs w:val="24"/>
          <w:vertAlign w:val="baseline"/>
          <w:lang w:val="ru-MD"/>
        </w:rPr>
        <w:t>е</w:t>
      </w:r>
      <w:r w:rsidR="00E253B9" w:rsidRPr="00163C06">
        <w:rPr>
          <w:rFonts w:asciiTheme="majorHAnsi" w:hAnsiTheme="majorHAnsi" w:cstheme="majorHAnsi"/>
          <w:sz w:val="24"/>
          <w:szCs w:val="24"/>
          <w:vertAlign w:val="baseline"/>
          <w:lang w:val="ru-MD"/>
        </w:rPr>
        <w:t>м</w:t>
      </w:r>
      <w:r w:rsidR="00163C06" w:rsidRPr="00163C06">
        <w:rPr>
          <w:rFonts w:asciiTheme="majorHAnsi" w:hAnsiTheme="majorHAnsi" w:cstheme="majorHAnsi"/>
          <w:sz w:val="24"/>
          <w:szCs w:val="24"/>
          <w:vertAlign w:val="baseline"/>
          <w:lang w:val="ru-MD"/>
        </w:rPr>
        <w:t>:</w:t>
      </w:r>
    </w:p>
    <w:p w14:paraId="1A5D3155" w14:textId="681CF3F6" w:rsidR="00371912" w:rsidRPr="001063AB" w:rsidRDefault="00A72675" w:rsidP="0082109A">
      <w:pPr>
        <w:pStyle w:val="a7"/>
        <w:numPr>
          <w:ilvl w:val="0"/>
          <w:numId w:val="13"/>
        </w:numPr>
        <w:ind w:left="0" w:firstLine="0"/>
        <w:jc w:val="both"/>
        <w:rPr>
          <w:rFonts w:asciiTheme="majorHAnsi" w:hAnsiTheme="majorHAnsi" w:cstheme="majorHAnsi"/>
          <w:sz w:val="24"/>
          <w:szCs w:val="24"/>
          <w:lang w:val="ru-MD"/>
        </w:rPr>
      </w:pPr>
      <w:r w:rsidRPr="001063AB">
        <w:rPr>
          <w:rFonts w:asciiTheme="majorHAnsi" w:hAnsiTheme="majorHAnsi" w:cstheme="majorHAnsi"/>
          <w:color w:val="000000"/>
          <w:sz w:val="24"/>
          <w:szCs w:val="24"/>
          <w:shd w:val="clear" w:color="auto" w:fill="FFFFFF"/>
          <w:lang w:val="ru-MD"/>
        </w:rPr>
        <w:t>процесс разграничения публичной собственности</w:t>
      </w:r>
      <w:r w:rsidR="00163C06" w:rsidRPr="001063AB">
        <w:rPr>
          <w:rFonts w:asciiTheme="majorHAnsi" w:hAnsiTheme="majorHAnsi" w:cstheme="majorHAnsi"/>
          <w:color w:val="000000"/>
          <w:sz w:val="24"/>
          <w:szCs w:val="24"/>
          <w:shd w:val="clear" w:color="auto" w:fill="FFFFFF"/>
          <w:lang w:val="ru-MD"/>
        </w:rPr>
        <w:t xml:space="preserve"> не завершен в надлежащем порядке</w:t>
      </w:r>
      <w:r w:rsidRPr="001063AB">
        <w:rPr>
          <w:rFonts w:asciiTheme="majorHAnsi" w:hAnsiTheme="majorHAnsi" w:cstheme="majorHAnsi"/>
          <w:color w:val="000000"/>
          <w:sz w:val="24"/>
          <w:szCs w:val="24"/>
          <w:shd w:val="clear" w:color="auto" w:fill="FFFFFF"/>
          <w:lang w:val="ru-MD"/>
        </w:rPr>
        <w:t>, а долги по имуществу, полученному в экономическом управлении, и</w:t>
      </w:r>
      <w:r w:rsidR="00163C06" w:rsidRPr="001063AB">
        <w:rPr>
          <w:rFonts w:asciiTheme="majorHAnsi" w:hAnsiTheme="majorHAnsi" w:cstheme="majorHAnsi"/>
          <w:color w:val="000000"/>
          <w:sz w:val="24"/>
          <w:szCs w:val="24"/>
          <w:shd w:val="clear" w:color="auto" w:fill="FFFFFF"/>
          <w:lang w:val="ru-MD"/>
        </w:rPr>
        <w:t>, соответственно,</w:t>
      </w:r>
      <w:r w:rsidRPr="001063AB">
        <w:rPr>
          <w:rFonts w:asciiTheme="majorHAnsi" w:hAnsiTheme="majorHAnsi" w:cstheme="majorHAnsi"/>
          <w:color w:val="000000"/>
          <w:sz w:val="24"/>
          <w:szCs w:val="24"/>
          <w:shd w:val="clear" w:color="auto" w:fill="FFFFFF"/>
          <w:lang w:val="ru-MD"/>
        </w:rPr>
        <w:t xml:space="preserve"> по имуществу, полученному от государства с правом собственности, не отражены в установленном порядке, что </w:t>
      </w:r>
      <w:r w:rsidR="00163C06" w:rsidRPr="001063AB">
        <w:rPr>
          <w:rFonts w:asciiTheme="majorHAnsi" w:hAnsiTheme="majorHAnsi" w:cstheme="majorHAnsi"/>
          <w:color w:val="000000"/>
          <w:sz w:val="24"/>
          <w:szCs w:val="24"/>
          <w:shd w:val="clear" w:color="auto" w:fill="FFFFFF"/>
          <w:lang w:val="ru-MD"/>
        </w:rPr>
        <w:t>создаст</w:t>
      </w:r>
      <w:r w:rsidRPr="001063AB">
        <w:rPr>
          <w:rFonts w:asciiTheme="majorHAnsi" w:hAnsiTheme="majorHAnsi" w:cstheme="majorHAnsi"/>
          <w:color w:val="000000"/>
          <w:sz w:val="24"/>
          <w:szCs w:val="24"/>
          <w:shd w:val="clear" w:color="auto" w:fill="FFFFFF"/>
          <w:lang w:val="ru-MD"/>
        </w:rPr>
        <w:t xml:space="preserve"> определенные недостатки </w:t>
      </w:r>
      <w:r w:rsidR="00163C06" w:rsidRPr="001063AB">
        <w:rPr>
          <w:rFonts w:asciiTheme="majorHAnsi" w:hAnsiTheme="majorHAnsi" w:cstheme="majorHAnsi"/>
          <w:color w:val="000000"/>
          <w:sz w:val="24"/>
          <w:szCs w:val="24"/>
          <w:shd w:val="clear" w:color="auto" w:fill="FFFFFF"/>
          <w:lang w:val="ru-MD"/>
        </w:rPr>
        <w:t>по</w:t>
      </w:r>
      <w:r w:rsidRPr="001063AB">
        <w:rPr>
          <w:rFonts w:asciiTheme="majorHAnsi" w:hAnsiTheme="majorHAnsi" w:cstheme="majorHAnsi"/>
          <w:color w:val="000000"/>
          <w:sz w:val="24"/>
          <w:szCs w:val="24"/>
          <w:shd w:val="clear" w:color="auto" w:fill="FFFFFF"/>
          <w:lang w:val="ru-MD"/>
        </w:rPr>
        <w:t xml:space="preserve"> защите права публичной собственности на него </w:t>
      </w:r>
      <w:r w:rsidR="00371912" w:rsidRPr="001063AB">
        <w:rPr>
          <w:rFonts w:asciiTheme="majorHAnsi" w:hAnsiTheme="majorHAnsi" w:cstheme="majorHAnsi"/>
          <w:color w:val="000000"/>
          <w:sz w:val="24"/>
          <w:szCs w:val="24"/>
          <w:shd w:val="clear" w:color="auto" w:fill="FFFFFF"/>
          <w:lang w:val="ru-MD"/>
        </w:rPr>
        <w:t>(</w:t>
      </w:r>
      <w:r w:rsidR="001063AB" w:rsidRPr="001063AB">
        <w:rPr>
          <w:rFonts w:asciiTheme="majorHAnsi" w:hAnsiTheme="majorHAnsi" w:cstheme="majorHAnsi"/>
          <w:color w:val="000000"/>
          <w:sz w:val="24"/>
          <w:szCs w:val="24"/>
          <w:shd w:val="clear" w:color="auto" w:fill="FFFFFF"/>
          <w:lang w:val="ru-MD"/>
        </w:rPr>
        <w:t>п</w:t>
      </w:r>
      <w:r w:rsidR="00371912" w:rsidRPr="001063AB">
        <w:rPr>
          <w:rFonts w:asciiTheme="majorHAnsi" w:hAnsiTheme="majorHAnsi" w:cstheme="majorHAnsi"/>
          <w:color w:val="000000"/>
          <w:sz w:val="24"/>
          <w:szCs w:val="24"/>
          <w:shd w:val="clear" w:color="auto" w:fill="FFFFFF"/>
          <w:lang w:val="ru-MD"/>
        </w:rPr>
        <w:t>. 4.1.1, 4.1.4, 4.1.8);</w:t>
      </w:r>
    </w:p>
    <w:p w14:paraId="043A48F9" w14:textId="4088BA63" w:rsidR="00371912" w:rsidRPr="001063AB" w:rsidRDefault="00163C06" w:rsidP="00371912">
      <w:pPr>
        <w:pStyle w:val="a7"/>
        <w:numPr>
          <w:ilvl w:val="0"/>
          <w:numId w:val="13"/>
        </w:numPr>
        <w:ind w:left="0" w:firstLine="0"/>
        <w:jc w:val="both"/>
        <w:rPr>
          <w:rFonts w:asciiTheme="majorHAnsi" w:hAnsiTheme="majorHAnsi" w:cstheme="majorHAnsi"/>
          <w:sz w:val="24"/>
          <w:szCs w:val="24"/>
          <w:lang w:val="ru-MD"/>
        </w:rPr>
      </w:pPr>
      <w:r w:rsidRPr="001063AB">
        <w:rPr>
          <w:rFonts w:asciiTheme="majorHAnsi" w:hAnsiTheme="majorHAnsi" w:cstheme="majorHAnsi"/>
          <w:sz w:val="24"/>
          <w:szCs w:val="24"/>
          <w:lang w:val="ru-MD"/>
        </w:rPr>
        <w:t xml:space="preserve">на достоверность финансовых ситуаций отрицательно влияет </w:t>
      </w:r>
      <w:r w:rsidR="00A72675" w:rsidRPr="001063AB">
        <w:rPr>
          <w:rFonts w:asciiTheme="majorHAnsi" w:hAnsiTheme="majorHAnsi" w:cstheme="majorHAnsi"/>
          <w:sz w:val="24"/>
          <w:szCs w:val="24"/>
          <w:lang w:val="ru-MD"/>
        </w:rPr>
        <w:t xml:space="preserve">ненадлежащее отражение информации </w:t>
      </w:r>
      <w:r w:rsidRPr="001063AB">
        <w:rPr>
          <w:rFonts w:asciiTheme="majorHAnsi" w:hAnsiTheme="majorHAnsi" w:cstheme="majorHAnsi"/>
          <w:sz w:val="24"/>
          <w:szCs w:val="24"/>
          <w:lang w:val="ru-MD"/>
        </w:rPr>
        <w:t>по</w:t>
      </w:r>
      <w:r w:rsidR="00A72675" w:rsidRPr="001063AB">
        <w:rPr>
          <w:rFonts w:asciiTheme="majorHAnsi" w:hAnsiTheme="majorHAnsi" w:cstheme="majorHAnsi"/>
          <w:sz w:val="24"/>
          <w:szCs w:val="24"/>
          <w:lang w:val="ru-MD"/>
        </w:rPr>
        <w:t xml:space="preserve"> долгосрочным материальным активам, не использованным в операционной деятельности, а также отсутствие учета приватизированных квартир </w:t>
      </w:r>
      <w:r w:rsidR="00371912" w:rsidRPr="001063AB">
        <w:rPr>
          <w:rFonts w:asciiTheme="majorHAnsi" w:hAnsiTheme="majorHAnsi" w:cstheme="majorHAnsi"/>
          <w:sz w:val="24"/>
          <w:szCs w:val="24"/>
          <w:lang w:val="ru-MD"/>
        </w:rPr>
        <w:t>(</w:t>
      </w:r>
      <w:r w:rsidR="001063AB" w:rsidRPr="001063AB">
        <w:rPr>
          <w:rFonts w:asciiTheme="majorHAnsi" w:hAnsiTheme="majorHAnsi" w:cstheme="majorHAnsi"/>
          <w:sz w:val="24"/>
          <w:szCs w:val="24"/>
          <w:lang w:val="ru-MD"/>
        </w:rPr>
        <w:t>п</w:t>
      </w:r>
      <w:r w:rsidR="00371912" w:rsidRPr="001063AB">
        <w:rPr>
          <w:rFonts w:asciiTheme="majorHAnsi" w:hAnsiTheme="majorHAnsi" w:cstheme="majorHAnsi"/>
          <w:sz w:val="24"/>
          <w:szCs w:val="24"/>
          <w:lang w:val="ru-MD"/>
        </w:rPr>
        <w:t>.4.1.2, 4.1.3);</w:t>
      </w:r>
    </w:p>
    <w:p w14:paraId="4B0E29AF" w14:textId="312C538B" w:rsidR="00371912" w:rsidRPr="001063AB" w:rsidRDefault="00A72675" w:rsidP="00371912">
      <w:pPr>
        <w:pStyle w:val="a7"/>
        <w:numPr>
          <w:ilvl w:val="0"/>
          <w:numId w:val="13"/>
        </w:numPr>
        <w:ind w:left="0" w:firstLine="0"/>
        <w:jc w:val="both"/>
        <w:rPr>
          <w:rFonts w:asciiTheme="majorHAnsi" w:hAnsiTheme="majorHAnsi" w:cstheme="majorHAnsi"/>
          <w:sz w:val="24"/>
          <w:szCs w:val="24"/>
          <w:lang w:val="ru-MD"/>
        </w:rPr>
      </w:pPr>
      <w:r w:rsidRPr="001063AB">
        <w:rPr>
          <w:rFonts w:asciiTheme="majorHAnsi" w:hAnsiTheme="majorHAnsi" w:cstheme="majorHAnsi"/>
          <w:sz w:val="24"/>
          <w:szCs w:val="24"/>
          <w:lang w:val="ru-MD"/>
        </w:rPr>
        <w:t>непринятие своевременных решений относительно изменения назначения некоторых объектов, ввод в эксплуатацию незавершенных долгосрочных материальных активов</w:t>
      </w:r>
      <w:r w:rsidR="00215F7B" w:rsidRPr="001063AB">
        <w:rPr>
          <w:rFonts w:asciiTheme="majorHAnsi" w:hAnsiTheme="majorHAnsi" w:cstheme="majorHAnsi"/>
          <w:sz w:val="24"/>
          <w:szCs w:val="24"/>
          <w:lang w:val="ru-MD"/>
        </w:rPr>
        <w:t>(Корпус 2 Клиники Ворничень)</w:t>
      </w:r>
      <w:r w:rsidRPr="001063AB">
        <w:rPr>
          <w:rFonts w:asciiTheme="majorHAnsi" w:hAnsiTheme="majorHAnsi" w:cstheme="majorHAnsi"/>
          <w:sz w:val="24"/>
          <w:szCs w:val="24"/>
          <w:lang w:val="ru-MD"/>
        </w:rPr>
        <w:t xml:space="preserve">, не способствует надлежащему и эффективному управлению имуществом </w:t>
      </w:r>
      <w:r w:rsidR="00371912" w:rsidRPr="001063AB">
        <w:rPr>
          <w:rFonts w:asciiTheme="majorHAnsi" w:hAnsiTheme="majorHAnsi" w:cstheme="majorHAnsi"/>
          <w:sz w:val="24"/>
          <w:szCs w:val="24"/>
          <w:lang w:val="ru-MD"/>
        </w:rPr>
        <w:t>(</w:t>
      </w:r>
      <w:r w:rsidR="001063AB" w:rsidRPr="001063AB">
        <w:rPr>
          <w:rFonts w:asciiTheme="majorHAnsi" w:hAnsiTheme="majorHAnsi" w:cstheme="majorHAnsi"/>
          <w:sz w:val="24"/>
          <w:szCs w:val="24"/>
          <w:lang w:val="ru-MD"/>
        </w:rPr>
        <w:t>п</w:t>
      </w:r>
      <w:r w:rsidR="00371912" w:rsidRPr="001063AB">
        <w:rPr>
          <w:rFonts w:asciiTheme="majorHAnsi" w:hAnsiTheme="majorHAnsi" w:cstheme="majorHAnsi"/>
          <w:sz w:val="24"/>
          <w:szCs w:val="24"/>
          <w:lang w:val="ru-MD"/>
        </w:rPr>
        <w:t xml:space="preserve">. 4.1.5, </w:t>
      </w:r>
      <w:r w:rsidR="001063AB" w:rsidRPr="001063AB">
        <w:rPr>
          <w:rFonts w:asciiTheme="majorHAnsi" w:hAnsiTheme="majorHAnsi" w:cstheme="majorHAnsi"/>
          <w:sz w:val="24"/>
          <w:szCs w:val="24"/>
          <w:lang w:val="ru-MD"/>
        </w:rPr>
        <w:t>п</w:t>
      </w:r>
      <w:r w:rsidR="00371912" w:rsidRPr="001063AB">
        <w:rPr>
          <w:rFonts w:asciiTheme="majorHAnsi" w:hAnsiTheme="majorHAnsi" w:cstheme="majorHAnsi"/>
          <w:sz w:val="24"/>
          <w:szCs w:val="24"/>
          <w:lang w:val="ru-MD"/>
        </w:rPr>
        <w:t>. 4.1.7);</w:t>
      </w:r>
    </w:p>
    <w:p w14:paraId="7962055F" w14:textId="51840C8A" w:rsidR="00371912" w:rsidRPr="001063AB" w:rsidRDefault="00A72675" w:rsidP="00371912">
      <w:pPr>
        <w:pStyle w:val="a7"/>
        <w:numPr>
          <w:ilvl w:val="0"/>
          <w:numId w:val="13"/>
        </w:numPr>
        <w:ind w:left="0" w:firstLine="0"/>
        <w:jc w:val="both"/>
        <w:rPr>
          <w:rFonts w:asciiTheme="majorHAnsi" w:hAnsiTheme="majorHAnsi" w:cstheme="majorHAnsi"/>
          <w:sz w:val="24"/>
          <w:szCs w:val="24"/>
          <w:lang w:val="ru-MD"/>
        </w:rPr>
      </w:pPr>
      <w:r w:rsidRPr="001063AB">
        <w:rPr>
          <w:rFonts w:asciiTheme="majorHAnsi" w:hAnsiTheme="majorHAnsi" w:cstheme="majorHAnsi"/>
          <w:color w:val="000000" w:themeColor="text1"/>
          <w:sz w:val="24"/>
          <w:szCs w:val="24"/>
          <w:lang w:val="ru-MD"/>
        </w:rPr>
        <w:t>поддержание функциональности Клиники, расположенной в с. Ворничень, при небольшом количестве пациентов (от 78 до 12 пациентов в день), обуславливает экономическое давление на ПМСУ</w:t>
      </w:r>
      <w:r w:rsidR="00215F7B" w:rsidRPr="001063AB">
        <w:rPr>
          <w:rFonts w:asciiTheme="majorHAnsi" w:hAnsiTheme="majorHAnsi" w:cstheme="majorHAnsi"/>
          <w:color w:val="000000" w:themeColor="text1"/>
          <w:sz w:val="24"/>
          <w:szCs w:val="24"/>
          <w:lang w:val="ru-MD"/>
        </w:rPr>
        <w:t xml:space="preserve"> путем несения</w:t>
      </w:r>
      <w:r w:rsidRPr="001063AB">
        <w:rPr>
          <w:rFonts w:asciiTheme="majorHAnsi" w:hAnsiTheme="majorHAnsi" w:cstheme="majorHAnsi"/>
          <w:color w:val="000000" w:themeColor="text1"/>
          <w:sz w:val="24"/>
          <w:szCs w:val="24"/>
          <w:lang w:val="ru-MD"/>
        </w:rPr>
        <w:t xml:space="preserve"> расход</w:t>
      </w:r>
      <w:r w:rsidR="00215F7B" w:rsidRPr="001063AB">
        <w:rPr>
          <w:rFonts w:asciiTheme="majorHAnsi" w:hAnsiTheme="majorHAnsi" w:cstheme="majorHAnsi"/>
          <w:color w:val="000000" w:themeColor="text1"/>
          <w:sz w:val="24"/>
          <w:szCs w:val="24"/>
          <w:lang w:val="ru-MD"/>
        </w:rPr>
        <w:t>ов</w:t>
      </w:r>
      <w:r w:rsidRPr="001063AB">
        <w:rPr>
          <w:rFonts w:asciiTheme="majorHAnsi" w:hAnsiTheme="majorHAnsi" w:cstheme="majorHAnsi"/>
          <w:color w:val="000000" w:themeColor="text1"/>
          <w:sz w:val="24"/>
          <w:szCs w:val="24"/>
          <w:lang w:val="ru-MD"/>
        </w:rPr>
        <w:t xml:space="preserve"> на ее содержание </w:t>
      </w:r>
      <w:r w:rsidR="00215F7B" w:rsidRPr="001063AB">
        <w:rPr>
          <w:rFonts w:asciiTheme="majorHAnsi" w:hAnsiTheme="majorHAnsi" w:cstheme="majorHAnsi"/>
          <w:color w:val="000000" w:themeColor="text1"/>
          <w:sz w:val="24"/>
          <w:szCs w:val="24"/>
          <w:lang w:val="ru-MD"/>
        </w:rPr>
        <w:t>в размере около</w:t>
      </w:r>
      <w:r w:rsidR="00371912" w:rsidRPr="001063AB">
        <w:rPr>
          <w:rFonts w:asciiTheme="majorHAnsi" w:hAnsiTheme="majorHAnsi" w:cstheme="majorHAnsi"/>
          <w:color w:val="000000" w:themeColor="text1"/>
          <w:sz w:val="24"/>
          <w:szCs w:val="24"/>
          <w:lang w:val="ru-MD"/>
        </w:rPr>
        <w:t xml:space="preserve"> 20,0 </w:t>
      </w:r>
      <w:r w:rsidR="00215F7B" w:rsidRPr="001063AB">
        <w:rPr>
          <w:rFonts w:asciiTheme="majorHAnsi" w:hAnsiTheme="majorHAnsi" w:cstheme="majorHAnsi"/>
          <w:color w:val="000000" w:themeColor="text1"/>
          <w:sz w:val="24"/>
          <w:szCs w:val="24"/>
          <w:lang w:val="ru-MD"/>
        </w:rPr>
        <w:t>млн. леев в год</w:t>
      </w:r>
      <w:r w:rsidR="00371912" w:rsidRPr="001063AB">
        <w:rPr>
          <w:rFonts w:asciiTheme="majorHAnsi" w:hAnsiTheme="majorHAnsi" w:cstheme="majorHAnsi"/>
          <w:color w:val="000000" w:themeColor="text1"/>
          <w:sz w:val="24"/>
          <w:szCs w:val="24"/>
          <w:lang w:val="ru-MD"/>
        </w:rPr>
        <w:t xml:space="preserve"> </w:t>
      </w:r>
      <w:r w:rsidR="00371912" w:rsidRPr="001063AB">
        <w:rPr>
          <w:rFonts w:asciiTheme="majorHAnsi" w:hAnsiTheme="majorHAnsi" w:cstheme="majorHAnsi"/>
          <w:sz w:val="24"/>
          <w:szCs w:val="24"/>
          <w:lang w:val="ru-MD"/>
        </w:rPr>
        <w:t>(</w:t>
      </w:r>
      <w:r w:rsidR="001063AB" w:rsidRPr="001063AB">
        <w:rPr>
          <w:rFonts w:asciiTheme="majorHAnsi" w:hAnsiTheme="majorHAnsi" w:cstheme="majorHAnsi"/>
          <w:sz w:val="24"/>
          <w:szCs w:val="24"/>
          <w:lang w:val="ru-MD"/>
        </w:rPr>
        <w:t>п</w:t>
      </w:r>
      <w:r w:rsidR="00371912" w:rsidRPr="001063AB">
        <w:rPr>
          <w:rFonts w:asciiTheme="majorHAnsi" w:hAnsiTheme="majorHAnsi" w:cstheme="majorHAnsi"/>
          <w:sz w:val="24"/>
          <w:szCs w:val="24"/>
          <w:lang w:val="ru-MD"/>
        </w:rPr>
        <w:t xml:space="preserve">.4.1.6); </w:t>
      </w:r>
    </w:p>
    <w:p w14:paraId="407515CE" w14:textId="008A8E06" w:rsidR="00371912" w:rsidRPr="001063AB" w:rsidRDefault="00A72675" w:rsidP="00371912">
      <w:pPr>
        <w:pStyle w:val="a7"/>
        <w:numPr>
          <w:ilvl w:val="0"/>
          <w:numId w:val="13"/>
        </w:numPr>
        <w:ind w:left="0" w:firstLine="0"/>
        <w:jc w:val="both"/>
        <w:rPr>
          <w:rFonts w:asciiTheme="majorHAnsi" w:hAnsiTheme="majorHAnsi" w:cstheme="majorHAnsi"/>
          <w:sz w:val="24"/>
          <w:szCs w:val="24"/>
          <w:lang w:val="ru-MD"/>
        </w:rPr>
      </w:pPr>
      <w:r w:rsidRPr="001063AB">
        <w:rPr>
          <w:rFonts w:asciiTheme="majorHAnsi" w:hAnsiTheme="majorHAnsi" w:cstheme="majorHAnsi"/>
          <w:sz w:val="24"/>
          <w:szCs w:val="24"/>
          <w:lang w:val="ru-MD"/>
        </w:rPr>
        <w:t xml:space="preserve">нефункциональное и изношенное медицинское оборудование, но сохраняющееся в бухгалтерском учете, </w:t>
      </w:r>
      <w:r w:rsidR="00215F7B" w:rsidRPr="001063AB">
        <w:rPr>
          <w:rFonts w:asciiTheme="majorHAnsi" w:hAnsiTheme="majorHAnsi" w:cstheme="majorHAnsi"/>
          <w:sz w:val="24"/>
          <w:szCs w:val="24"/>
          <w:lang w:val="ru-MD"/>
        </w:rPr>
        <w:t>сдача в эксплуатацию других</w:t>
      </w:r>
      <w:r w:rsidRPr="001063AB">
        <w:rPr>
          <w:rFonts w:asciiTheme="majorHAnsi" w:hAnsiTheme="majorHAnsi" w:cstheme="majorHAnsi"/>
          <w:sz w:val="24"/>
          <w:szCs w:val="24"/>
          <w:lang w:val="ru-MD"/>
        </w:rPr>
        <w:t xml:space="preserve"> устройств, которые не используются в деятельности учреждения, а также не</w:t>
      </w:r>
      <w:r w:rsidR="00215F7B" w:rsidRPr="001063AB">
        <w:rPr>
          <w:rFonts w:asciiTheme="majorHAnsi" w:hAnsiTheme="majorHAnsi" w:cstheme="majorHAnsi"/>
          <w:sz w:val="24"/>
          <w:szCs w:val="24"/>
          <w:lang w:val="ru-MD"/>
        </w:rPr>
        <w:t>проведение</w:t>
      </w:r>
      <w:r w:rsidRPr="001063AB">
        <w:rPr>
          <w:rFonts w:asciiTheme="majorHAnsi" w:hAnsiTheme="majorHAnsi" w:cstheme="majorHAnsi"/>
          <w:sz w:val="24"/>
          <w:szCs w:val="24"/>
          <w:lang w:val="ru-MD"/>
        </w:rPr>
        <w:t xml:space="preserve"> </w:t>
      </w:r>
      <w:r w:rsidR="00215F7B" w:rsidRPr="001063AB">
        <w:rPr>
          <w:rFonts w:asciiTheme="majorHAnsi" w:hAnsiTheme="majorHAnsi" w:cstheme="majorHAnsi"/>
          <w:sz w:val="24"/>
          <w:szCs w:val="24"/>
          <w:lang w:val="ru-MD"/>
        </w:rPr>
        <w:t xml:space="preserve">их </w:t>
      </w:r>
      <w:r w:rsidRPr="001063AB">
        <w:rPr>
          <w:rFonts w:asciiTheme="majorHAnsi" w:hAnsiTheme="majorHAnsi" w:cstheme="majorHAnsi"/>
          <w:sz w:val="24"/>
          <w:szCs w:val="24"/>
          <w:lang w:val="ru-MD"/>
        </w:rPr>
        <w:t>обязательн</w:t>
      </w:r>
      <w:r w:rsidR="00215F7B" w:rsidRPr="001063AB">
        <w:rPr>
          <w:rFonts w:asciiTheme="majorHAnsi" w:hAnsiTheme="majorHAnsi" w:cstheme="majorHAnsi"/>
          <w:sz w:val="24"/>
          <w:szCs w:val="24"/>
          <w:lang w:val="ru-MD"/>
        </w:rPr>
        <w:t>ого</w:t>
      </w:r>
      <w:r w:rsidRPr="001063AB">
        <w:rPr>
          <w:rFonts w:asciiTheme="majorHAnsi" w:hAnsiTheme="majorHAnsi" w:cstheme="majorHAnsi"/>
          <w:sz w:val="24"/>
          <w:szCs w:val="24"/>
          <w:lang w:val="ru-MD"/>
        </w:rPr>
        <w:t xml:space="preserve"> периодическ</w:t>
      </w:r>
      <w:r w:rsidR="00215F7B" w:rsidRPr="001063AB">
        <w:rPr>
          <w:rFonts w:asciiTheme="majorHAnsi" w:hAnsiTheme="majorHAnsi" w:cstheme="majorHAnsi"/>
          <w:sz w:val="24"/>
          <w:szCs w:val="24"/>
          <w:lang w:val="ru-MD"/>
        </w:rPr>
        <w:t>ого</w:t>
      </w:r>
      <w:r w:rsidRPr="001063AB">
        <w:rPr>
          <w:rFonts w:asciiTheme="majorHAnsi" w:hAnsiTheme="majorHAnsi" w:cstheme="majorHAnsi"/>
          <w:sz w:val="24"/>
          <w:szCs w:val="24"/>
          <w:lang w:val="ru-MD"/>
        </w:rPr>
        <w:t xml:space="preserve"> </w:t>
      </w:r>
      <w:r w:rsidR="00215F7B" w:rsidRPr="001063AB">
        <w:rPr>
          <w:rFonts w:asciiTheme="majorHAnsi" w:hAnsiTheme="majorHAnsi" w:cstheme="majorHAnsi"/>
          <w:sz w:val="24"/>
          <w:szCs w:val="24"/>
          <w:lang w:val="ru-MD"/>
        </w:rPr>
        <w:t>тестирования</w:t>
      </w:r>
      <w:r w:rsidRPr="001063AB">
        <w:rPr>
          <w:rFonts w:asciiTheme="majorHAnsi" w:hAnsiTheme="majorHAnsi" w:cstheme="majorHAnsi"/>
          <w:sz w:val="24"/>
          <w:szCs w:val="24"/>
          <w:lang w:val="ru-MD"/>
        </w:rPr>
        <w:t>, не обеспечивают надлежаще</w:t>
      </w:r>
      <w:r w:rsidR="00215F7B" w:rsidRPr="001063AB">
        <w:rPr>
          <w:rFonts w:asciiTheme="majorHAnsi" w:hAnsiTheme="majorHAnsi" w:cstheme="majorHAnsi"/>
          <w:sz w:val="24"/>
          <w:szCs w:val="24"/>
          <w:lang w:val="ru-MD"/>
        </w:rPr>
        <w:t>е</w:t>
      </w:r>
      <w:r w:rsidRPr="001063AB">
        <w:rPr>
          <w:rFonts w:asciiTheme="majorHAnsi" w:hAnsiTheme="majorHAnsi" w:cstheme="majorHAnsi"/>
          <w:sz w:val="24"/>
          <w:szCs w:val="24"/>
          <w:lang w:val="ru-MD"/>
        </w:rPr>
        <w:t xml:space="preserve"> владени</w:t>
      </w:r>
      <w:r w:rsidR="00215F7B" w:rsidRPr="001063AB">
        <w:rPr>
          <w:rFonts w:asciiTheme="majorHAnsi" w:hAnsiTheme="majorHAnsi" w:cstheme="majorHAnsi"/>
          <w:sz w:val="24"/>
          <w:szCs w:val="24"/>
          <w:lang w:val="ru-MD"/>
        </w:rPr>
        <w:t>е</w:t>
      </w:r>
      <w:r w:rsidRPr="001063AB">
        <w:rPr>
          <w:rFonts w:asciiTheme="majorHAnsi" w:hAnsiTheme="majorHAnsi" w:cstheme="majorHAnsi"/>
          <w:sz w:val="24"/>
          <w:szCs w:val="24"/>
          <w:lang w:val="ru-MD"/>
        </w:rPr>
        <w:t xml:space="preserve"> и управлени</w:t>
      </w:r>
      <w:r w:rsidR="00215F7B" w:rsidRPr="001063AB">
        <w:rPr>
          <w:rFonts w:asciiTheme="majorHAnsi" w:hAnsiTheme="majorHAnsi" w:cstheme="majorHAnsi"/>
          <w:sz w:val="24"/>
          <w:szCs w:val="24"/>
          <w:lang w:val="ru-MD"/>
        </w:rPr>
        <w:t>е</w:t>
      </w:r>
      <w:r w:rsidRPr="001063AB">
        <w:rPr>
          <w:rFonts w:asciiTheme="majorHAnsi" w:hAnsiTheme="majorHAnsi" w:cstheme="majorHAnsi"/>
          <w:sz w:val="24"/>
          <w:szCs w:val="24"/>
          <w:lang w:val="ru-MD"/>
        </w:rPr>
        <w:t xml:space="preserve"> ими</w:t>
      </w:r>
      <w:r w:rsidR="00215F7B" w:rsidRPr="001063AB">
        <w:rPr>
          <w:rFonts w:asciiTheme="majorHAnsi" w:hAnsiTheme="majorHAnsi" w:cstheme="majorHAnsi"/>
          <w:sz w:val="24"/>
          <w:szCs w:val="24"/>
          <w:lang w:val="ru-MD"/>
        </w:rPr>
        <w:t xml:space="preserve"> </w:t>
      </w:r>
      <w:r w:rsidR="00371912" w:rsidRPr="001063AB">
        <w:rPr>
          <w:rFonts w:asciiTheme="majorHAnsi" w:hAnsiTheme="majorHAnsi" w:cstheme="majorHAnsi"/>
          <w:sz w:val="24"/>
          <w:szCs w:val="24"/>
          <w:lang w:val="ru-MD"/>
        </w:rPr>
        <w:t>(</w:t>
      </w:r>
      <w:r w:rsidR="001063AB" w:rsidRPr="001063AB">
        <w:rPr>
          <w:rFonts w:asciiTheme="majorHAnsi" w:hAnsiTheme="majorHAnsi" w:cstheme="majorHAnsi"/>
          <w:sz w:val="24"/>
          <w:szCs w:val="24"/>
          <w:lang w:val="ru-MD"/>
        </w:rPr>
        <w:t>п</w:t>
      </w:r>
      <w:r w:rsidR="00371912" w:rsidRPr="001063AB">
        <w:rPr>
          <w:rFonts w:asciiTheme="majorHAnsi" w:hAnsiTheme="majorHAnsi" w:cstheme="majorHAnsi"/>
          <w:sz w:val="24"/>
          <w:szCs w:val="24"/>
          <w:lang w:val="ru-MD"/>
        </w:rPr>
        <w:t xml:space="preserve">.4.1.9. 4.1.10, 4.1.11); </w:t>
      </w:r>
    </w:p>
    <w:p w14:paraId="66D26942" w14:textId="7D807167" w:rsidR="00371912" w:rsidRPr="001063AB" w:rsidRDefault="00A72675" w:rsidP="00371912">
      <w:pPr>
        <w:pStyle w:val="a7"/>
        <w:numPr>
          <w:ilvl w:val="0"/>
          <w:numId w:val="14"/>
        </w:numPr>
        <w:ind w:left="0" w:firstLine="0"/>
        <w:jc w:val="both"/>
        <w:rPr>
          <w:rFonts w:asciiTheme="majorHAnsi" w:hAnsiTheme="majorHAnsi" w:cstheme="majorHAnsi"/>
          <w:sz w:val="24"/>
          <w:szCs w:val="24"/>
          <w:lang w:val="ru-MD"/>
        </w:rPr>
      </w:pPr>
      <w:r w:rsidRPr="001063AB">
        <w:rPr>
          <w:rFonts w:asciiTheme="majorHAnsi" w:hAnsiTheme="majorHAnsi" w:cstheme="majorHAnsi"/>
          <w:sz w:val="24"/>
          <w:szCs w:val="24"/>
          <w:lang w:val="ru-MD"/>
        </w:rPr>
        <w:t>недостаточность институциональных механизмов контроля в рамках ПМСУ обусловила незаконное начисление и выплату заработной платы некоторым лицам, не находящимся на территории Республики Молдова и, соответственно, на рабоч</w:t>
      </w:r>
      <w:r w:rsidR="00215F7B" w:rsidRPr="001063AB">
        <w:rPr>
          <w:rFonts w:asciiTheme="majorHAnsi" w:hAnsiTheme="majorHAnsi" w:cstheme="majorHAnsi"/>
          <w:sz w:val="24"/>
          <w:szCs w:val="24"/>
          <w:lang w:val="ru-MD"/>
        </w:rPr>
        <w:t>их</w:t>
      </w:r>
      <w:r w:rsidRPr="001063AB">
        <w:rPr>
          <w:rFonts w:asciiTheme="majorHAnsi" w:hAnsiTheme="majorHAnsi" w:cstheme="majorHAnsi"/>
          <w:sz w:val="24"/>
          <w:szCs w:val="24"/>
          <w:lang w:val="ru-MD"/>
        </w:rPr>
        <w:t xml:space="preserve"> мест</w:t>
      </w:r>
      <w:r w:rsidR="00215F7B" w:rsidRPr="001063AB">
        <w:rPr>
          <w:rFonts w:asciiTheme="majorHAnsi" w:hAnsiTheme="majorHAnsi" w:cstheme="majorHAnsi"/>
          <w:sz w:val="24"/>
          <w:szCs w:val="24"/>
          <w:lang w:val="ru-MD"/>
        </w:rPr>
        <w:t>ах</w:t>
      </w:r>
      <w:r w:rsidRPr="001063AB">
        <w:rPr>
          <w:rFonts w:asciiTheme="majorHAnsi" w:hAnsiTheme="majorHAnsi" w:cstheme="majorHAnsi"/>
          <w:sz w:val="24"/>
          <w:szCs w:val="24"/>
          <w:lang w:val="ru-MD"/>
        </w:rPr>
        <w:t xml:space="preserve"> что сгенерировало необоснованные расходы в размере 47,1 тыс. леев </w:t>
      </w:r>
      <w:r w:rsidR="00371912" w:rsidRPr="001063AB">
        <w:rPr>
          <w:rFonts w:asciiTheme="majorHAnsi" w:hAnsiTheme="majorHAnsi" w:cstheme="majorHAnsi"/>
          <w:sz w:val="24"/>
          <w:szCs w:val="24"/>
          <w:lang w:val="ru-MD"/>
        </w:rPr>
        <w:t>(</w:t>
      </w:r>
      <w:r w:rsidR="001063AB" w:rsidRPr="001063AB">
        <w:rPr>
          <w:rFonts w:asciiTheme="majorHAnsi" w:hAnsiTheme="majorHAnsi" w:cstheme="majorHAnsi"/>
          <w:sz w:val="24"/>
          <w:szCs w:val="24"/>
          <w:lang w:val="ru-MD"/>
        </w:rPr>
        <w:t>п</w:t>
      </w:r>
      <w:r w:rsidR="00371912" w:rsidRPr="001063AB">
        <w:rPr>
          <w:rFonts w:asciiTheme="majorHAnsi" w:hAnsiTheme="majorHAnsi" w:cstheme="majorHAnsi"/>
          <w:sz w:val="24"/>
          <w:szCs w:val="24"/>
          <w:lang w:val="ru-MD"/>
        </w:rPr>
        <w:t>.4.2.1);</w:t>
      </w:r>
    </w:p>
    <w:p w14:paraId="311CF89F" w14:textId="30FAEE2C" w:rsidR="00371912" w:rsidRPr="001063AB" w:rsidRDefault="00A72675" w:rsidP="00371912">
      <w:pPr>
        <w:pStyle w:val="a7"/>
        <w:numPr>
          <w:ilvl w:val="0"/>
          <w:numId w:val="14"/>
        </w:numPr>
        <w:ind w:left="0" w:firstLine="0"/>
        <w:jc w:val="both"/>
        <w:rPr>
          <w:rFonts w:asciiTheme="majorHAnsi" w:hAnsiTheme="majorHAnsi" w:cstheme="majorHAnsi"/>
          <w:sz w:val="24"/>
          <w:szCs w:val="24"/>
          <w:lang w:val="ru-MD"/>
        </w:rPr>
      </w:pPr>
      <w:r w:rsidRPr="001063AB">
        <w:rPr>
          <w:rFonts w:asciiTheme="majorHAnsi" w:hAnsiTheme="majorHAnsi" w:cstheme="majorHAnsi"/>
          <w:sz w:val="24"/>
          <w:szCs w:val="24"/>
          <w:lang w:val="ru-MD"/>
        </w:rPr>
        <w:t xml:space="preserve">ненадлежащее назначение персонала, непосредственно задействованного в лечении пациентов, инфицированных COVID-19, </w:t>
      </w:r>
      <w:r w:rsidR="00215F7B" w:rsidRPr="001063AB">
        <w:rPr>
          <w:rFonts w:asciiTheme="majorHAnsi" w:hAnsiTheme="majorHAnsi" w:cstheme="majorHAnsi"/>
          <w:sz w:val="24"/>
          <w:szCs w:val="24"/>
          <w:lang w:val="ru-MD"/>
        </w:rPr>
        <w:t xml:space="preserve">что </w:t>
      </w:r>
      <w:r w:rsidRPr="001063AB">
        <w:rPr>
          <w:rFonts w:asciiTheme="majorHAnsi" w:hAnsiTheme="majorHAnsi" w:cstheme="majorHAnsi"/>
          <w:sz w:val="24"/>
          <w:szCs w:val="24"/>
          <w:lang w:val="ru-MD"/>
        </w:rPr>
        <w:t xml:space="preserve">обусловило запрос и выделение из ФОМС финансовых средств в размере 110,0 тыс. леев, которые были использованы и отражены неправильно </w:t>
      </w:r>
      <w:r w:rsidR="00371912" w:rsidRPr="001063AB">
        <w:rPr>
          <w:rFonts w:asciiTheme="majorHAnsi" w:hAnsiTheme="majorHAnsi" w:cstheme="majorHAnsi"/>
          <w:sz w:val="24"/>
          <w:szCs w:val="24"/>
          <w:lang w:val="ru-MD"/>
        </w:rPr>
        <w:t>(</w:t>
      </w:r>
      <w:r w:rsidR="001063AB" w:rsidRPr="001063AB">
        <w:rPr>
          <w:rFonts w:asciiTheme="majorHAnsi" w:hAnsiTheme="majorHAnsi" w:cstheme="majorHAnsi"/>
          <w:sz w:val="24"/>
          <w:szCs w:val="24"/>
          <w:lang w:val="ru-MD"/>
        </w:rPr>
        <w:t>п</w:t>
      </w:r>
      <w:r w:rsidR="00371912" w:rsidRPr="001063AB">
        <w:rPr>
          <w:rFonts w:asciiTheme="majorHAnsi" w:hAnsiTheme="majorHAnsi" w:cstheme="majorHAnsi"/>
          <w:sz w:val="24"/>
          <w:szCs w:val="24"/>
          <w:lang w:val="ru-MD"/>
        </w:rPr>
        <w:t>.4.2.2);</w:t>
      </w:r>
    </w:p>
    <w:p w14:paraId="3F7AB7F7" w14:textId="6750E54E" w:rsidR="00371912" w:rsidRPr="001063AB" w:rsidRDefault="00A72675" w:rsidP="00371912">
      <w:pPr>
        <w:pStyle w:val="a7"/>
        <w:numPr>
          <w:ilvl w:val="0"/>
          <w:numId w:val="14"/>
        </w:numPr>
        <w:ind w:left="0" w:firstLine="0"/>
        <w:jc w:val="both"/>
        <w:rPr>
          <w:rFonts w:asciiTheme="majorHAnsi" w:hAnsiTheme="majorHAnsi" w:cstheme="majorHAnsi"/>
          <w:sz w:val="24"/>
          <w:szCs w:val="24"/>
          <w:lang w:val="ru-MD"/>
        </w:rPr>
      </w:pPr>
      <w:r w:rsidRPr="001063AB">
        <w:rPr>
          <w:rFonts w:asciiTheme="majorHAnsi" w:hAnsiTheme="majorHAnsi" w:cstheme="majorHAnsi"/>
          <w:sz w:val="24"/>
          <w:szCs w:val="24"/>
          <w:lang w:val="ru-MD"/>
        </w:rPr>
        <w:t xml:space="preserve">накопление </w:t>
      </w:r>
      <w:r w:rsidR="00D74855" w:rsidRPr="001063AB">
        <w:rPr>
          <w:rFonts w:asciiTheme="majorHAnsi" w:hAnsiTheme="majorHAnsi" w:cstheme="majorHAnsi"/>
          <w:sz w:val="24"/>
          <w:szCs w:val="24"/>
          <w:lang w:val="ru-MD"/>
        </w:rPr>
        <w:t xml:space="preserve">6 770 </w:t>
      </w:r>
      <w:r w:rsidRPr="001063AB">
        <w:rPr>
          <w:rFonts w:asciiTheme="majorHAnsi" w:hAnsiTheme="majorHAnsi" w:cstheme="majorHAnsi"/>
          <w:sz w:val="24"/>
          <w:szCs w:val="24"/>
          <w:lang w:val="ru-MD"/>
        </w:rPr>
        <w:t xml:space="preserve">неиспользованных дней ежегодного отпуска может повлечь возможные дополнительные расходы к запланированным, оцененные аудитом в размере 4 648,5 тыс. леев, и может отразиться на финансовой стабильности учреждения, особенно </w:t>
      </w:r>
      <w:r w:rsidR="00D74855" w:rsidRPr="001063AB">
        <w:rPr>
          <w:rFonts w:asciiTheme="majorHAnsi" w:hAnsiTheme="majorHAnsi" w:cstheme="majorHAnsi"/>
          <w:sz w:val="24"/>
          <w:szCs w:val="24"/>
          <w:lang w:val="ru-MD"/>
        </w:rPr>
        <w:t>из-за</w:t>
      </w:r>
      <w:r w:rsidRPr="001063AB">
        <w:rPr>
          <w:rFonts w:asciiTheme="majorHAnsi" w:hAnsiTheme="majorHAnsi" w:cstheme="majorHAnsi"/>
          <w:sz w:val="24"/>
          <w:szCs w:val="24"/>
          <w:lang w:val="ru-MD"/>
        </w:rPr>
        <w:t xml:space="preserve"> нехватки ресурсов </w:t>
      </w:r>
      <w:r w:rsidR="00D74855" w:rsidRPr="001063AB">
        <w:rPr>
          <w:rFonts w:asciiTheme="majorHAnsi" w:hAnsiTheme="majorHAnsi" w:cstheme="majorHAnsi"/>
          <w:sz w:val="24"/>
          <w:szCs w:val="24"/>
          <w:lang w:val="ru-MD"/>
        </w:rPr>
        <w:t>на</w:t>
      </w:r>
      <w:r w:rsidRPr="001063AB">
        <w:rPr>
          <w:rFonts w:asciiTheme="majorHAnsi" w:hAnsiTheme="majorHAnsi" w:cstheme="majorHAnsi"/>
          <w:sz w:val="24"/>
          <w:szCs w:val="24"/>
          <w:lang w:val="ru-MD"/>
        </w:rPr>
        <w:t xml:space="preserve"> их покрыти</w:t>
      </w:r>
      <w:r w:rsidR="00D74855" w:rsidRPr="001063AB">
        <w:rPr>
          <w:rFonts w:asciiTheme="majorHAnsi" w:hAnsiTheme="majorHAnsi" w:cstheme="majorHAnsi"/>
          <w:sz w:val="24"/>
          <w:szCs w:val="24"/>
          <w:lang w:val="ru-MD"/>
        </w:rPr>
        <w:t>е</w:t>
      </w:r>
      <w:r w:rsidRPr="001063AB">
        <w:rPr>
          <w:rFonts w:asciiTheme="majorHAnsi" w:hAnsiTheme="majorHAnsi" w:cstheme="majorHAnsi"/>
          <w:sz w:val="24"/>
          <w:szCs w:val="24"/>
          <w:lang w:val="ru-MD"/>
        </w:rPr>
        <w:t xml:space="preserve"> </w:t>
      </w:r>
      <w:r w:rsidR="00371912" w:rsidRPr="001063AB">
        <w:rPr>
          <w:rFonts w:asciiTheme="majorHAnsi" w:hAnsiTheme="majorHAnsi" w:cstheme="majorHAnsi"/>
          <w:sz w:val="24"/>
          <w:szCs w:val="24"/>
          <w:lang w:val="ru-MD"/>
        </w:rPr>
        <w:t>(</w:t>
      </w:r>
      <w:r w:rsidR="001063AB" w:rsidRPr="001063AB">
        <w:rPr>
          <w:rFonts w:asciiTheme="majorHAnsi" w:hAnsiTheme="majorHAnsi" w:cstheme="majorHAnsi"/>
          <w:sz w:val="24"/>
          <w:szCs w:val="24"/>
          <w:lang w:val="ru-MD"/>
        </w:rPr>
        <w:t>п</w:t>
      </w:r>
      <w:r w:rsidR="00371912" w:rsidRPr="001063AB">
        <w:rPr>
          <w:rFonts w:asciiTheme="majorHAnsi" w:hAnsiTheme="majorHAnsi" w:cstheme="majorHAnsi"/>
          <w:sz w:val="24"/>
          <w:szCs w:val="24"/>
          <w:lang w:val="ru-MD"/>
        </w:rPr>
        <w:t>. 4.2.3);</w:t>
      </w:r>
    </w:p>
    <w:p w14:paraId="61F04E27" w14:textId="41BD5FB1" w:rsidR="00371912" w:rsidRPr="001063AB" w:rsidRDefault="00A72675" w:rsidP="00371912">
      <w:pPr>
        <w:pStyle w:val="a7"/>
        <w:numPr>
          <w:ilvl w:val="0"/>
          <w:numId w:val="14"/>
        </w:numPr>
        <w:ind w:left="0" w:firstLine="0"/>
        <w:jc w:val="both"/>
        <w:rPr>
          <w:rFonts w:asciiTheme="majorHAnsi" w:hAnsiTheme="majorHAnsi" w:cstheme="majorHAnsi"/>
          <w:sz w:val="24"/>
          <w:szCs w:val="24"/>
          <w:lang w:val="ru-MD"/>
        </w:rPr>
      </w:pPr>
      <w:r w:rsidRPr="001063AB">
        <w:rPr>
          <w:rFonts w:asciiTheme="majorHAnsi" w:hAnsiTheme="majorHAnsi" w:cstheme="majorHAnsi"/>
          <w:sz w:val="24"/>
          <w:szCs w:val="24"/>
          <w:lang w:val="ru-MD"/>
        </w:rPr>
        <w:t>не</w:t>
      </w:r>
      <w:r w:rsidR="00D74855" w:rsidRPr="001063AB">
        <w:rPr>
          <w:rFonts w:asciiTheme="majorHAnsi" w:hAnsiTheme="majorHAnsi" w:cstheme="majorHAnsi"/>
          <w:sz w:val="24"/>
          <w:szCs w:val="24"/>
          <w:lang w:val="ru-MD"/>
        </w:rPr>
        <w:t>надлежаще</w:t>
      </w:r>
      <w:r w:rsidRPr="001063AB">
        <w:rPr>
          <w:rFonts w:asciiTheme="majorHAnsi" w:hAnsiTheme="majorHAnsi" w:cstheme="majorHAnsi"/>
          <w:sz w:val="24"/>
          <w:szCs w:val="24"/>
          <w:lang w:val="ru-MD"/>
        </w:rPr>
        <w:t xml:space="preserve">е планирование реальных потребностей (247,9 тыс. леев), дробление </w:t>
      </w:r>
      <w:r w:rsidR="00D74855" w:rsidRPr="001063AB">
        <w:rPr>
          <w:rFonts w:asciiTheme="majorHAnsi" w:hAnsiTheme="majorHAnsi" w:cstheme="majorHAnsi"/>
          <w:sz w:val="24"/>
          <w:szCs w:val="24"/>
          <w:lang w:val="ru-MD"/>
        </w:rPr>
        <w:t xml:space="preserve">договоров </w:t>
      </w:r>
      <w:r w:rsidRPr="001063AB">
        <w:rPr>
          <w:rFonts w:asciiTheme="majorHAnsi" w:hAnsiTheme="majorHAnsi" w:cstheme="majorHAnsi"/>
          <w:sz w:val="24"/>
          <w:szCs w:val="24"/>
          <w:lang w:val="ru-MD"/>
        </w:rPr>
        <w:t xml:space="preserve">закупок (777,8 тыс. леев), а также неправильное присуждение процедур государственных закупок (960,0 тыс. леев) </w:t>
      </w:r>
      <w:r w:rsidR="00D74855" w:rsidRPr="001063AB">
        <w:rPr>
          <w:rFonts w:asciiTheme="majorHAnsi" w:hAnsiTheme="majorHAnsi" w:cstheme="majorHAnsi"/>
          <w:sz w:val="24"/>
          <w:szCs w:val="24"/>
          <w:lang w:val="ru-MD"/>
        </w:rPr>
        <w:t xml:space="preserve">были обусловлены несоблюдением положений ПМСУ требований нормативных актов в этой области </w:t>
      </w:r>
      <w:r w:rsidR="00371912" w:rsidRPr="001063AB">
        <w:rPr>
          <w:rFonts w:asciiTheme="majorHAnsi" w:hAnsiTheme="majorHAnsi" w:cstheme="majorHAnsi"/>
          <w:sz w:val="24"/>
          <w:szCs w:val="24"/>
          <w:lang w:val="ru-MD"/>
        </w:rPr>
        <w:t>(</w:t>
      </w:r>
      <w:r w:rsidR="001063AB" w:rsidRPr="001063AB">
        <w:rPr>
          <w:rFonts w:asciiTheme="majorHAnsi" w:hAnsiTheme="majorHAnsi" w:cstheme="majorHAnsi"/>
          <w:sz w:val="24"/>
          <w:szCs w:val="24"/>
          <w:lang w:val="ru-MD"/>
        </w:rPr>
        <w:t>п</w:t>
      </w:r>
      <w:r w:rsidR="00371912" w:rsidRPr="001063AB">
        <w:rPr>
          <w:rFonts w:asciiTheme="majorHAnsi" w:hAnsiTheme="majorHAnsi" w:cstheme="majorHAnsi"/>
          <w:sz w:val="24"/>
          <w:szCs w:val="24"/>
          <w:lang w:val="ru-MD"/>
        </w:rPr>
        <w:t>. 4.2.5, 4.2.6, 4.2.7);</w:t>
      </w:r>
    </w:p>
    <w:p w14:paraId="5AF31CB0" w14:textId="6916410D" w:rsidR="00371912" w:rsidRPr="001063AB" w:rsidRDefault="00A72675" w:rsidP="00A72675">
      <w:pPr>
        <w:pStyle w:val="a7"/>
        <w:numPr>
          <w:ilvl w:val="0"/>
          <w:numId w:val="14"/>
        </w:numPr>
        <w:ind w:left="0" w:firstLine="0"/>
        <w:jc w:val="both"/>
        <w:rPr>
          <w:rFonts w:asciiTheme="majorHAnsi" w:hAnsiTheme="majorHAnsi" w:cstheme="majorHAnsi"/>
          <w:sz w:val="24"/>
          <w:szCs w:val="24"/>
          <w:lang w:val="ru-MD"/>
        </w:rPr>
      </w:pPr>
      <w:r w:rsidRPr="001063AB">
        <w:rPr>
          <w:rFonts w:asciiTheme="majorHAnsi" w:hAnsiTheme="majorHAnsi" w:cstheme="majorHAnsi"/>
          <w:sz w:val="24"/>
          <w:szCs w:val="24"/>
          <w:lang w:val="ru-MD"/>
        </w:rPr>
        <w:t xml:space="preserve">процесс питания пациентов не обеспечивается надлежащим образом, путем корреляции фактического количества пациентов с потребностями в пищевых продуктах </w:t>
      </w:r>
      <w:r w:rsidR="00371912" w:rsidRPr="001063AB">
        <w:rPr>
          <w:rFonts w:asciiTheme="majorHAnsi" w:hAnsiTheme="majorHAnsi" w:cstheme="majorHAnsi"/>
          <w:sz w:val="24"/>
          <w:szCs w:val="24"/>
          <w:lang w:val="ru-MD"/>
        </w:rPr>
        <w:t>(</w:t>
      </w:r>
      <w:r w:rsidR="001063AB" w:rsidRPr="001063AB">
        <w:rPr>
          <w:rFonts w:asciiTheme="majorHAnsi" w:hAnsiTheme="majorHAnsi" w:cstheme="majorHAnsi"/>
          <w:sz w:val="24"/>
          <w:szCs w:val="24"/>
          <w:lang w:val="ru-MD"/>
        </w:rPr>
        <w:t>п</w:t>
      </w:r>
      <w:r w:rsidR="00371912" w:rsidRPr="001063AB">
        <w:rPr>
          <w:rFonts w:asciiTheme="majorHAnsi" w:hAnsiTheme="majorHAnsi" w:cstheme="majorHAnsi"/>
          <w:sz w:val="24"/>
          <w:szCs w:val="24"/>
          <w:lang w:val="ru-MD"/>
        </w:rPr>
        <w:t>.4.2.8);</w:t>
      </w:r>
    </w:p>
    <w:p w14:paraId="3BA062B4" w14:textId="185483A6" w:rsidR="00371912" w:rsidRPr="001063AB" w:rsidRDefault="00A72675" w:rsidP="00371912">
      <w:pPr>
        <w:pStyle w:val="a7"/>
        <w:numPr>
          <w:ilvl w:val="0"/>
          <w:numId w:val="14"/>
        </w:numPr>
        <w:ind w:left="0" w:firstLine="0"/>
        <w:jc w:val="both"/>
        <w:rPr>
          <w:rFonts w:asciiTheme="majorHAnsi" w:hAnsiTheme="majorHAnsi" w:cstheme="majorHAnsi"/>
          <w:sz w:val="24"/>
          <w:szCs w:val="24"/>
          <w:lang w:val="ru-MD"/>
        </w:rPr>
      </w:pPr>
      <w:r w:rsidRPr="001063AB">
        <w:rPr>
          <w:rFonts w:asciiTheme="majorHAnsi" w:hAnsiTheme="majorHAnsi" w:cstheme="majorHAnsi"/>
          <w:sz w:val="24"/>
          <w:szCs w:val="24"/>
          <w:lang w:val="ru-MD"/>
        </w:rPr>
        <w:t xml:space="preserve">отсутствие отдельной нормативной базы, регулирующей деятельность ПМСУ на условиях самоуправления и некоммерческой деятельности </w:t>
      </w:r>
      <w:r w:rsidR="00371912" w:rsidRPr="001063AB">
        <w:rPr>
          <w:rFonts w:asciiTheme="majorHAnsi" w:hAnsiTheme="majorHAnsi" w:cstheme="majorHAnsi"/>
          <w:sz w:val="24"/>
          <w:szCs w:val="24"/>
          <w:lang w:val="ru-MD"/>
        </w:rPr>
        <w:t>(</w:t>
      </w:r>
      <w:r w:rsidR="001063AB" w:rsidRPr="001063AB">
        <w:rPr>
          <w:rFonts w:asciiTheme="majorHAnsi" w:hAnsiTheme="majorHAnsi" w:cstheme="majorHAnsi"/>
          <w:sz w:val="24"/>
          <w:szCs w:val="24"/>
          <w:lang w:val="ru-MD"/>
        </w:rPr>
        <w:t>п</w:t>
      </w:r>
      <w:r w:rsidR="00371912" w:rsidRPr="001063AB">
        <w:rPr>
          <w:rFonts w:asciiTheme="majorHAnsi" w:hAnsiTheme="majorHAnsi" w:cstheme="majorHAnsi"/>
          <w:sz w:val="24"/>
          <w:szCs w:val="24"/>
          <w:lang w:val="ru-MD"/>
        </w:rPr>
        <w:t>.4.2.1</w:t>
      </w:r>
      <w:r w:rsidR="00350A1E" w:rsidRPr="001063AB">
        <w:rPr>
          <w:rFonts w:asciiTheme="majorHAnsi" w:hAnsiTheme="majorHAnsi" w:cstheme="majorHAnsi"/>
          <w:sz w:val="24"/>
          <w:szCs w:val="24"/>
          <w:lang w:val="ru-MD"/>
        </w:rPr>
        <w:t>2</w:t>
      </w:r>
      <w:r w:rsidR="00371912" w:rsidRPr="001063AB">
        <w:rPr>
          <w:rFonts w:asciiTheme="majorHAnsi" w:hAnsiTheme="majorHAnsi" w:cstheme="majorHAnsi"/>
          <w:sz w:val="24"/>
          <w:szCs w:val="24"/>
          <w:lang w:val="ru-MD"/>
        </w:rPr>
        <w:t>);</w:t>
      </w:r>
    </w:p>
    <w:p w14:paraId="12F77A45" w14:textId="029AC966" w:rsidR="00371912" w:rsidRPr="001063AB" w:rsidRDefault="00A72675" w:rsidP="00371912">
      <w:pPr>
        <w:pStyle w:val="a7"/>
        <w:numPr>
          <w:ilvl w:val="0"/>
          <w:numId w:val="14"/>
        </w:numPr>
        <w:ind w:left="0" w:firstLine="0"/>
        <w:jc w:val="both"/>
        <w:rPr>
          <w:rFonts w:asciiTheme="majorHAnsi" w:hAnsiTheme="majorHAnsi" w:cstheme="majorHAnsi"/>
          <w:sz w:val="24"/>
          <w:szCs w:val="24"/>
          <w:lang w:val="ru-MD"/>
        </w:rPr>
      </w:pPr>
      <w:r w:rsidRPr="001063AB">
        <w:rPr>
          <w:rFonts w:asciiTheme="majorHAnsi" w:hAnsiTheme="majorHAnsi" w:cstheme="majorHAnsi"/>
          <w:sz w:val="24"/>
          <w:szCs w:val="24"/>
          <w:lang w:val="ru-MD"/>
        </w:rPr>
        <w:t xml:space="preserve">ненадлежащая регистрация в учете доходов, связанных с товарами, полученными на безвозмездной основе, привела к занижению финансовых результатов ПМСУ ИФП за предыдущие периоды, оцениваемых аудитом примерно в 63 млн. леев </w:t>
      </w:r>
      <w:r w:rsidR="00371912" w:rsidRPr="001063AB">
        <w:rPr>
          <w:rFonts w:asciiTheme="majorHAnsi" w:hAnsiTheme="majorHAnsi" w:cstheme="majorHAnsi"/>
          <w:sz w:val="24"/>
          <w:szCs w:val="24"/>
          <w:lang w:val="ru-MD"/>
        </w:rPr>
        <w:t>(</w:t>
      </w:r>
      <w:r w:rsidR="001063AB" w:rsidRPr="001063AB">
        <w:rPr>
          <w:rFonts w:asciiTheme="majorHAnsi" w:hAnsiTheme="majorHAnsi" w:cstheme="majorHAnsi"/>
          <w:sz w:val="24"/>
          <w:szCs w:val="24"/>
          <w:lang w:val="ru-MD"/>
        </w:rPr>
        <w:t>п</w:t>
      </w:r>
      <w:r w:rsidR="00371912" w:rsidRPr="001063AB">
        <w:rPr>
          <w:rFonts w:asciiTheme="majorHAnsi" w:hAnsiTheme="majorHAnsi" w:cstheme="majorHAnsi"/>
          <w:sz w:val="24"/>
          <w:szCs w:val="24"/>
          <w:lang w:val="ru-MD"/>
        </w:rPr>
        <w:t>.4.2.1</w:t>
      </w:r>
      <w:r w:rsidR="00350A1E" w:rsidRPr="001063AB">
        <w:rPr>
          <w:rFonts w:asciiTheme="majorHAnsi" w:hAnsiTheme="majorHAnsi" w:cstheme="majorHAnsi"/>
          <w:sz w:val="24"/>
          <w:szCs w:val="24"/>
          <w:lang w:val="ru-MD"/>
        </w:rPr>
        <w:t>0</w:t>
      </w:r>
      <w:r w:rsidR="00371912" w:rsidRPr="001063AB">
        <w:rPr>
          <w:rFonts w:asciiTheme="majorHAnsi" w:hAnsiTheme="majorHAnsi" w:cstheme="majorHAnsi"/>
          <w:sz w:val="24"/>
          <w:szCs w:val="24"/>
          <w:lang w:val="ru-MD"/>
        </w:rPr>
        <w:t>);</w:t>
      </w:r>
    </w:p>
    <w:p w14:paraId="3B1A6B9A" w14:textId="26BCFC6F" w:rsidR="00371912" w:rsidRPr="001063AB" w:rsidRDefault="00A72675" w:rsidP="00371912">
      <w:pPr>
        <w:pStyle w:val="a7"/>
        <w:numPr>
          <w:ilvl w:val="0"/>
          <w:numId w:val="14"/>
        </w:numPr>
        <w:ind w:left="0" w:firstLine="0"/>
        <w:jc w:val="both"/>
        <w:rPr>
          <w:rFonts w:asciiTheme="majorHAnsi" w:hAnsiTheme="majorHAnsi" w:cstheme="majorHAnsi"/>
          <w:sz w:val="24"/>
          <w:szCs w:val="24"/>
          <w:lang w:val="ru-MD"/>
        </w:rPr>
      </w:pPr>
      <w:r w:rsidRPr="001063AB">
        <w:rPr>
          <w:rFonts w:asciiTheme="majorHAnsi" w:hAnsiTheme="majorHAnsi" w:cstheme="majorHAnsi"/>
          <w:sz w:val="24"/>
          <w:szCs w:val="24"/>
          <w:lang w:val="ru-MD"/>
        </w:rPr>
        <w:t>ненадлежащий учет доходов и расходов, связанных с некоторыми видами оказываемых услуг</w:t>
      </w:r>
      <w:r w:rsidR="00D74855" w:rsidRPr="001063AB">
        <w:rPr>
          <w:rFonts w:asciiTheme="majorHAnsi" w:hAnsiTheme="majorHAnsi" w:cstheme="majorHAnsi"/>
          <w:sz w:val="24"/>
          <w:szCs w:val="24"/>
          <w:lang w:val="ru-MD"/>
        </w:rPr>
        <w:t xml:space="preserve"> (отсутствие их отдельного учета)</w:t>
      </w:r>
      <w:r w:rsidRPr="001063AB">
        <w:rPr>
          <w:rFonts w:asciiTheme="majorHAnsi" w:hAnsiTheme="majorHAnsi" w:cstheme="majorHAnsi"/>
          <w:sz w:val="24"/>
          <w:szCs w:val="24"/>
          <w:lang w:val="ru-MD"/>
        </w:rPr>
        <w:t xml:space="preserve">, необеспечение документального подтверждения некоторых типов доходов и определения связанных с ними расходов, искажает информацию о финансовой эффективности этих услуг, а также информацию, представленную Министерству здравоохранения, используемую при расчете тарифов на медицинские услуги </w:t>
      </w:r>
      <w:r w:rsidR="00371912" w:rsidRPr="001063AB">
        <w:rPr>
          <w:rFonts w:asciiTheme="majorHAnsi" w:hAnsiTheme="majorHAnsi" w:cstheme="majorHAnsi"/>
          <w:sz w:val="24"/>
          <w:szCs w:val="24"/>
          <w:lang w:val="ru-MD"/>
        </w:rPr>
        <w:t>(</w:t>
      </w:r>
      <w:r w:rsidR="001063AB" w:rsidRPr="001063AB">
        <w:rPr>
          <w:rFonts w:asciiTheme="majorHAnsi" w:hAnsiTheme="majorHAnsi" w:cstheme="majorHAnsi"/>
          <w:sz w:val="24"/>
          <w:szCs w:val="24"/>
          <w:lang w:val="ru-MD"/>
        </w:rPr>
        <w:t>п</w:t>
      </w:r>
      <w:r w:rsidR="00371912" w:rsidRPr="001063AB">
        <w:rPr>
          <w:rFonts w:asciiTheme="majorHAnsi" w:hAnsiTheme="majorHAnsi" w:cstheme="majorHAnsi"/>
          <w:sz w:val="24"/>
          <w:szCs w:val="24"/>
          <w:lang w:val="ru-MD"/>
        </w:rPr>
        <w:t>.4.2.1</w:t>
      </w:r>
      <w:r w:rsidR="00350A1E" w:rsidRPr="001063AB">
        <w:rPr>
          <w:rFonts w:asciiTheme="majorHAnsi" w:hAnsiTheme="majorHAnsi" w:cstheme="majorHAnsi"/>
          <w:sz w:val="24"/>
          <w:szCs w:val="24"/>
          <w:lang w:val="ru-MD"/>
        </w:rPr>
        <w:t>0</w:t>
      </w:r>
      <w:r w:rsidR="00371912" w:rsidRPr="001063AB">
        <w:rPr>
          <w:rFonts w:asciiTheme="majorHAnsi" w:hAnsiTheme="majorHAnsi" w:cstheme="majorHAnsi"/>
          <w:sz w:val="24"/>
          <w:szCs w:val="24"/>
          <w:lang w:val="ru-MD"/>
        </w:rPr>
        <w:t>, 4.2.1</w:t>
      </w:r>
      <w:r w:rsidR="00350A1E" w:rsidRPr="001063AB">
        <w:rPr>
          <w:rFonts w:asciiTheme="majorHAnsi" w:hAnsiTheme="majorHAnsi" w:cstheme="majorHAnsi"/>
          <w:sz w:val="24"/>
          <w:szCs w:val="24"/>
          <w:lang w:val="ru-MD"/>
        </w:rPr>
        <w:t>1</w:t>
      </w:r>
      <w:r w:rsidR="00371912" w:rsidRPr="001063AB">
        <w:rPr>
          <w:rFonts w:asciiTheme="majorHAnsi" w:hAnsiTheme="majorHAnsi" w:cstheme="majorHAnsi"/>
          <w:sz w:val="24"/>
          <w:szCs w:val="24"/>
          <w:lang w:val="ru-MD"/>
        </w:rPr>
        <w:t>);</w:t>
      </w:r>
    </w:p>
    <w:p w14:paraId="0BD7F90A" w14:textId="7F1363A9" w:rsidR="00371912" w:rsidRPr="00B13B9A" w:rsidRDefault="00A72675" w:rsidP="00371912">
      <w:pPr>
        <w:spacing w:after="0" w:line="276" w:lineRule="auto"/>
        <w:jc w:val="both"/>
        <w:rPr>
          <w:rFonts w:asciiTheme="majorHAnsi" w:hAnsiTheme="majorHAnsi" w:cstheme="majorHAnsi"/>
          <w:sz w:val="24"/>
          <w:szCs w:val="24"/>
          <w:lang w:val="ro-MD"/>
        </w:rPr>
      </w:pPr>
      <w:r w:rsidRPr="001063AB">
        <w:rPr>
          <w:rFonts w:asciiTheme="majorHAnsi" w:eastAsia="Times New Roman" w:hAnsiTheme="majorHAnsi" w:cstheme="majorHAnsi"/>
          <w:iCs/>
          <w:sz w:val="24"/>
          <w:szCs w:val="24"/>
          <w:lang w:val="ru-MD" w:eastAsia="ro-MD"/>
        </w:rPr>
        <w:t xml:space="preserve">Отмеченные недостатки </w:t>
      </w:r>
      <w:r w:rsidR="00D74855" w:rsidRPr="001063AB">
        <w:rPr>
          <w:rFonts w:asciiTheme="majorHAnsi" w:eastAsia="Times New Roman" w:hAnsiTheme="majorHAnsi" w:cstheme="majorHAnsi"/>
          <w:iCs/>
          <w:sz w:val="24"/>
          <w:szCs w:val="24"/>
          <w:lang w:val="ru-MD" w:eastAsia="ro-MD"/>
        </w:rPr>
        <w:t>обусловле</w:t>
      </w:r>
      <w:r w:rsidRPr="001063AB">
        <w:rPr>
          <w:rFonts w:asciiTheme="majorHAnsi" w:eastAsia="Times New Roman" w:hAnsiTheme="majorHAnsi" w:cstheme="majorHAnsi"/>
          <w:iCs/>
          <w:sz w:val="24"/>
          <w:szCs w:val="24"/>
          <w:lang w:val="ru-MD" w:eastAsia="ro-MD"/>
        </w:rPr>
        <w:t xml:space="preserve">ны как некоторыми пробелами в системе </w:t>
      </w:r>
      <w:r w:rsidR="001063AB" w:rsidRPr="001063AB">
        <w:rPr>
          <w:rFonts w:asciiTheme="majorHAnsi" w:eastAsia="Times New Roman" w:hAnsiTheme="majorHAnsi" w:cstheme="majorHAnsi"/>
          <w:iCs/>
          <w:sz w:val="24"/>
          <w:szCs w:val="24"/>
          <w:lang w:val="ru-MD" w:eastAsia="ro-MD"/>
        </w:rPr>
        <w:t xml:space="preserve">внутреннего </w:t>
      </w:r>
      <w:r w:rsidRPr="001063AB">
        <w:rPr>
          <w:rFonts w:asciiTheme="majorHAnsi" w:eastAsia="Times New Roman" w:hAnsiTheme="majorHAnsi" w:cstheme="majorHAnsi"/>
          <w:iCs/>
          <w:sz w:val="24"/>
          <w:szCs w:val="24"/>
          <w:lang w:val="ru-MD" w:eastAsia="ro-MD"/>
        </w:rPr>
        <w:t>управленческого контроля, так и несоблюдением ответственными лицами</w:t>
      </w:r>
      <w:r w:rsidR="001063AB" w:rsidRPr="001063AB">
        <w:rPr>
          <w:rFonts w:asciiTheme="majorHAnsi" w:eastAsia="Times New Roman" w:hAnsiTheme="majorHAnsi" w:cstheme="majorHAnsi"/>
          <w:iCs/>
          <w:sz w:val="24"/>
          <w:szCs w:val="24"/>
          <w:lang w:val="ru-MD" w:eastAsia="ro-MD"/>
        </w:rPr>
        <w:t xml:space="preserve"> </w:t>
      </w:r>
      <w:r w:rsidRPr="001063AB">
        <w:rPr>
          <w:rFonts w:asciiTheme="majorHAnsi" w:eastAsia="Times New Roman" w:hAnsiTheme="majorHAnsi" w:cstheme="majorHAnsi"/>
          <w:iCs/>
          <w:sz w:val="24"/>
          <w:szCs w:val="24"/>
          <w:lang w:val="ru-MD" w:eastAsia="ro-MD"/>
        </w:rPr>
        <w:t xml:space="preserve">в рамках субъектов законодательных положений. На основании констатаций и выводов внешнего публичного аудита, были </w:t>
      </w:r>
      <w:r w:rsidR="001063AB" w:rsidRPr="001063AB">
        <w:rPr>
          <w:rFonts w:asciiTheme="majorHAnsi" w:eastAsia="Times New Roman" w:hAnsiTheme="majorHAnsi" w:cstheme="majorHAnsi"/>
          <w:iCs/>
          <w:sz w:val="24"/>
          <w:szCs w:val="24"/>
          <w:lang w:val="ru-MD" w:eastAsia="ro-MD"/>
        </w:rPr>
        <w:t>представлены</w:t>
      </w:r>
      <w:r w:rsidRPr="001063AB">
        <w:rPr>
          <w:rFonts w:asciiTheme="majorHAnsi" w:eastAsia="Times New Roman" w:hAnsiTheme="majorHAnsi" w:cstheme="majorHAnsi"/>
          <w:iCs/>
          <w:sz w:val="24"/>
          <w:szCs w:val="24"/>
          <w:lang w:val="ru-MD" w:eastAsia="ro-MD"/>
        </w:rPr>
        <w:t xml:space="preserve"> рекомендации, призванные обеспечить устранение пробелов в установленной системе внутреннего контроля, а также разработку действий с указанием ответственных лиц, в целях решения выявленных проблем и </w:t>
      </w:r>
      <w:r w:rsidR="001063AB" w:rsidRPr="001063AB">
        <w:rPr>
          <w:rFonts w:asciiTheme="majorHAnsi" w:eastAsia="Times New Roman" w:hAnsiTheme="majorHAnsi" w:cstheme="majorHAnsi"/>
          <w:iCs/>
          <w:sz w:val="24"/>
          <w:szCs w:val="24"/>
          <w:lang w:val="ru-MD" w:eastAsia="ro-MD"/>
        </w:rPr>
        <w:t xml:space="preserve">указанных </w:t>
      </w:r>
      <w:r w:rsidRPr="001063AB">
        <w:rPr>
          <w:rFonts w:asciiTheme="majorHAnsi" w:eastAsia="Times New Roman" w:hAnsiTheme="majorHAnsi" w:cstheme="majorHAnsi"/>
          <w:iCs/>
          <w:sz w:val="24"/>
          <w:szCs w:val="24"/>
          <w:lang w:val="ru-MD" w:eastAsia="ro-MD"/>
        </w:rPr>
        <w:t>несоответствий</w:t>
      </w:r>
      <w:r w:rsidR="00371912" w:rsidRPr="00B13B9A">
        <w:rPr>
          <w:rFonts w:asciiTheme="majorHAnsi" w:hAnsiTheme="majorHAnsi" w:cstheme="majorHAnsi"/>
          <w:sz w:val="24"/>
          <w:szCs w:val="24"/>
          <w:lang w:val="ro-MD"/>
        </w:rPr>
        <w:t>.</w:t>
      </w:r>
    </w:p>
    <w:p w14:paraId="77799B38" w14:textId="77777777" w:rsidR="00EC6065" w:rsidRPr="00B13B9A" w:rsidRDefault="00EC6065" w:rsidP="00EC6065">
      <w:pPr>
        <w:pStyle w:val="a7"/>
        <w:ind w:left="0"/>
        <w:jc w:val="both"/>
        <w:rPr>
          <w:rFonts w:asciiTheme="majorHAnsi" w:hAnsiTheme="majorHAnsi" w:cstheme="majorHAnsi"/>
          <w:sz w:val="24"/>
          <w:szCs w:val="24"/>
          <w:lang w:val="ro-MD"/>
        </w:rPr>
      </w:pPr>
    </w:p>
    <w:p w14:paraId="570B11D0" w14:textId="458E15E0" w:rsidR="009E7FD2" w:rsidRPr="00B13B9A" w:rsidRDefault="00E253B9" w:rsidP="009E7FD2">
      <w:pPr>
        <w:pStyle w:val="a7"/>
        <w:numPr>
          <w:ilvl w:val="0"/>
          <w:numId w:val="1"/>
        </w:numPr>
        <w:tabs>
          <w:tab w:val="left" w:pos="720"/>
          <w:tab w:val="left" w:pos="1710"/>
        </w:tabs>
        <w:spacing w:after="0" w:line="276" w:lineRule="auto"/>
        <w:ind w:left="0" w:firstLine="0"/>
        <w:outlineLvl w:val="0"/>
        <w:rPr>
          <w:rFonts w:asciiTheme="majorHAnsi" w:eastAsia="Times New Roman" w:hAnsiTheme="majorHAnsi" w:cstheme="majorHAnsi"/>
          <w:b/>
          <w:bCs/>
          <w:caps/>
          <w:color w:val="0070C0"/>
          <w:sz w:val="24"/>
          <w:szCs w:val="24"/>
          <w:lang w:val="ro-MD"/>
        </w:rPr>
      </w:pPr>
      <w:bookmarkStart w:id="5" w:name="_Toc158317216"/>
      <w:r>
        <w:rPr>
          <w:rFonts w:asciiTheme="majorHAnsi" w:eastAsia="Times New Roman" w:hAnsiTheme="majorHAnsi" w:cstheme="majorHAnsi"/>
          <w:b/>
          <w:bCs/>
          <w:caps/>
          <w:color w:val="0070C0"/>
          <w:sz w:val="24"/>
          <w:szCs w:val="24"/>
          <w:lang w:val="ru-RU"/>
        </w:rPr>
        <w:t>ОБЩЕЕ ПРЕДСТАВЛЕНИЕ</w:t>
      </w:r>
      <w:bookmarkEnd w:id="4"/>
      <w:bookmarkEnd w:id="5"/>
    </w:p>
    <w:p w14:paraId="5EB74103" w14:textId="22E235AE" w:rsidR="009E7FD2" w:rsidRPr="009E2945" w:rsidRDefault="00184562" w:rsidP="0028256D">
      <w:pPr>
        <w:tabs>
          <w:tab w:val="left" w:pos="720"/>
        </w:tabs>
        <w:spacing w:after="0" w:line="276" w:lineRule="auto"/>
        <w:outlineLvl w:val="1"/>
        <w:rPr>
          <w:rFonts w:asciiTheme="majorHAnsi" w:eastAsia="Times New Roman" w:hAnsiTheme="majorHAnsi" w:cstheme="majorHAnsi"/>
          <w:b/>
          <w:bCs/>
          <w:color w:val="00B0F0"/>
          <w:sz w:val="24"/>
          <w:szCs w:val="24"/>
          <w:lang w:val="ru-MD"/>
        </w:rPr>
      </w:pPr>
      <w:bookmarkStart w:id="6" w:name="_Toc158317217"/>
      <w:r w:rsidRPr="009E2945">
        <w:rPr>
          <w:rFonts w:asciiTheme="majorHAnsi" w:hAnsiTheme="majorHAnsi" w:cstheme="majorHAnsi"/>
          <w:b/>
          <w:color w:val="00B0F0"/>
          <w:sz w:val="24"/>
          <w:szCs w:val="24"/>
          <w:lang w:val="ru-MD"/>
        </w:rPr>
        <w:t>Общая информация о роли и деятельности ПМСУ ИФП</w:t>
      </w:r>
      <w:r w:rsidR="00FC0F04" w:rsidRPr="009E2945">
        <w:rPr>
          <w:rFonts w:asciiTheme="majorHAnsi" w:hAnsiTheme="majorHAnsi" w:cstheme="majorHAnsi"/>
          <w:b/>
          <w:color w:val="00B0F0"/>
          <w:sz w:val="24"/>
          <w:szCs w:val="24"/>
          <w:lang w:val="ru-MD"/>
        </w:rPr>
        <w:t xml:space="preserve"> </w:t>
      </w:r>
      <w:r w:rsidR="001924A7" w:rsidRPr="001924A7">
        <w:rPr>
          <w:rFonts w:asciiTheme="majorHAnsi" w:hAnsiTheme="majorHAnsi" w:cstheme="majorHAnsi"/>
          <w:b/>
          <w:color w:val="00B0F0"/>
          <w:sz w:val="24"/>
          <w:szCs w:val="24"/>
          <w:lang w:val="ru-RU"/>
        </w:rPr>
        <w:t>“</w:t>
      </w:r>
      <w:r w:rsidR="001924A7">
        <w:rPr>
          <w:rFonts w:asciiTheme="majorHAnsi" w:hAnsiTheme="majorHAnsi" w:cstheme="majorHAnsi"/>
          <w:b/>
          <w:color w:val="00B0F0"/>
          <w:sz w:val="24"/>
          <w:szCs w:val="24"/>
          <w:lang w:val="ru-MD"/>
        </w:rPr>
        <w:t>Кирилл Драганюк”</w:t>
      </w:r>
      <w:bookmarkEnd w:id="6"/>
    </w:p>
    <w:p w14:paraId="3745F1DF" w14:textId="566C67CD" w:rsidR="006327C5" w:rsidRPr="009E2945" w:rsidRDefault="001063AB" w:rsidP="006327C5">
      <w:pPr>
        <w:tabs>
          <w:tab w:val="left" w:pos="993"/>
        </w:tabs>
        <w:autoSpaceDE w:val="0"/>
        <w:autoSpaceDN w:val="0"/>
        <w:adjustRightInd w:val="0"/>
        <w:spacing w:after="0" w:line="276" w:lineRule="auto"/>
        <w:jc w:val="both"/>
        <w:rPr>
          <w:rFonts w:asciiTheme="majorHAnsi" w:eastAsia="Times New Roman" w:hAnsiTheme="majorHAnsi" w:cstheme="majorHAnsi"/>
          <w:sz w:val="24"/>
          <w:szCs w:val="24"/>
          <w:lang w:val="ru-MD" w:eastAsia="ro-MD"/>
        </w:rPr>
      </w:pPr>
      <w:r w:rsidRPr="009E2945">
        <w:rPr>
          <w:rFonts w:asciiTheme="majorHAnsi" w:eastAsia="Times New Roman" w:hAnsiTheme="majorHAnsi" w:cstheme="majorHAnsi"/>
          <w:sz w:val="24"/>
          <w:szCs w:val="24"/>
          <w:lang w:val="ru-MD" w:eastAsia="ro-MD"/>
        </w:rPr>
        <w:t>ПМСУ И</w:t>
      </w:r>
      <w:r w:rsidR="00184562" w:rsidRPr="009E2945">
        <w:rPr>
          <w:rFonts w:asciiTheme="majorHAnsi" w:eastAsia="Times New Roman" w:hAnsiTheme="majorHAnsi" w:cstheme="majorHAnsi"/>
          <w:sz w:val="24"/>
          <w:szCs w:val="24"/>
          <w:lang w:val="ru-MD" w:eastAsia="ro-MD"/>
        </w:rPr>
        <w:t>нститут Фтизиоп</w:t>
      </w:r>
      <w:r w:rsidRPr="009E2945">
        <w:rPr>
          <w:rFonts w:asciiTheme="majorHAnsi" w:eastAsia="Times New Roman" w:hAnsiTheme="majorHAnsi" w:cstheme="majorHAnsi"/>
          <w:sz w:val="24"/>
          <w:szCs w:val="24"/>
          <w:lang w:val="ru-MD" w:eastAsia="ro-MD"/>
        </w:rPr>
        <w:t>ульмоно</w:t>
      </w:r>
      <w:r w:rsidR="00184562" w:rsidRPr="009E2945">
        <w:rPr>
          <w:rFonts w:asciiTheme="majorHAnsi" w:eastAsia="Times New Roman" w:hAnsiTheme="majorHAnsi" w:cstheme="majorHAnsi"/>
          <w:sz w:val="24"/>
          <w:szCs w:val="24"/>
          <w:lang w:val="ru-MD" w:eastAsia="ro-MD"/>
        </w:rPr>
        <w:t xml:space="preserve">логии </w:t>
      </w:r>
      <w:r w:rsidR="00AC00D0" w:rsidRPr="001924A7">
        <w:rPr>
          <w:rFonts w:asciiTheme="majorHAnsi" w:eastAsia="Times New Roman" w:hAnsiTheme="majorHAnsi" w:cstheme="majorHAnsi"/>
          <w:sz w:val="24"/>
          <w:szCs w:val="24"/>
          <w:lang w:val="ru-RU" w:eastAsia="ro-MD"/>
        </w:rPr>
        <w:t>“</w:t>
      </w:r>
      <w:r w:rsidR="00AC00D0">
        <w:rPr>
          <w:rFonts w:asciiTheme="majorHAnsi" w:hAnsiTheme="majorHAnsi" w:cs="Calibri Light"/>
          <w:sz w:val="24"/>
          <w:szCs w:val="24"/>
          <w:lang w:val="ru-MD" w:eastAsia="ru-RU"/>
        </w:rPr>
        <w:t>Кирилл Драганюк</w:t>
      </w:r>
      <w:r w:rsidR="00AC00D0">
        <w:rPr>
          <w:rFonts w:asciiTheme="majorHAnsi" w:eastAsia="Times New Roman" w:hAnsiTheme="majorHAnsi" w:cstheme="majorHAnsi"/>
          <w:sz w:val="24"/>
          <w:szCs w:val="24"/>
          <w:lang w:val="ru-MD" w:eastAsia="ro-MD"/>
        </w:rPr>
        <w:t>”</w:t>
      </w:r>
      <w:r w:rsidR="00184562" w:rsidRPr="009E2945">
        <w:rPr>
          <w:rFonts w:asciiTheme="majorHAnsi" w:eastAsia="Times New Roman" w:hAnsiTheme="majorHAnsi" w:cstheme="majorHAnsi"/>
          <w:sz w:val="24"/>
          <w:szCs w:val="24"/>
          <w:lang w:val="ru-MD" w:eastAsia="ro-MD"/>
        </w:rPr>
        <w:t xml:space="preserve"> </w:t>
      </w:r>
      <w:r w:rsidRPr="009E2945">
        <w:rPr>
          <w:rFonts w:asciiTheme="majorHAnsi" w:eastAsia="Times New Roman" w:hAnsiTheme="majorHAnsi" w:cstheme="majorHAnsi"/>
          <w:sz w:val="24"/>
          <w:szCs w:val="24"/>
          <w:lang w:val="ru-MD" w:eastAsia="ro-MD"/>
        </w:rPr>
        <w:t>- это</w:t>
      </w:r>
      <w:r w:rsidR="00184562" w:rsidRPr="009E2945">
        <w:rPr>
          <w:rFonts w:asciiTheme="majorHAnsi" w:eastAsia="Times New Roman" w:hAnsiTheme="majorHAnsi" w:cstheme="majorHAnsi"/>
          <w:sz w:val="24"/>
          <w:szCs w:val="24"/>
          <w:lang w:val="ru-MD" w:eastAsia="ro-MD"/>
        </w:rPr>
        <w:t xml:space="preserve"> </w:t>
      </w:r>
      <w:r w:rsidR="006D2B97" w:rsidRPr="009E2945">
        <w:rPr>
          <w:rFonts w:asciiTheme="majorHAnsi" w:eastAsia="Times New Roman" w:hAnsiTheme="majorHAnsi" w:cstheme="majorHAnsi"/>
          <w:sz w:val="24"/>
          <w:szCs w:val="24"/>
          <w:lang w:val="ru-MD" w:eastAsia="ro-MD"/>
        </w:rPr>
        <w:t>публич</w:t>
      </w:r>
      <w:r w:rsidR="00184562" w:rsidRPr="009E2945">
        <w:rPr>
          <w:rFonts w:asciiTheme="majorHAnsi" w:eastAsia="Times New Roman" w:hAnsiTheme="majorHAnsi" w:cstheme="majorHAnsi"/>
          <w:sz w:val="24"/>
          <w:szCs w:val="24"/>
          <w:lang w:val="ru-MD" w:eastAsia="ro-MD"/>
        </w:rPr>
        <w:t xml:space="preserve">ное медико-санитарное учреждение, которое предоставляет медицинские услуги населению в области фтизиопульмонологии, а </w:t>
      </w:r>
      <w:r w:rsidRPr="009E2945">
        <w:rPr>
          <w:rFonts w:asciiTheme="majorHAnsi" w:eastAsia="Times New Roman" w:hAnsiTheme="majorHAnsi" w:cstheme="majorHAnsi"/>
          <w:sz w:val="24"/>
          <w:szCs w:val="24"/>
          <w:lang w:val="ru-MD" w:eastAsia="ro-MD"/>
        </w:rPr>
        <w:t xml:space="preserve">его </w:t>
      </w:r>
      <w:r w:rsidR="00184562" w:rsidRPr="009E2945">
        <w:rPr>
          <w:rFonts w:asciiTheme="majorHAnsi" w:eastAsia="Times New Roman" w:hAnsiTheme="majorHAnsi" w:cstheme="majorHAnsi"/>
          <w:sz w:val="24"/>
          <w:szCs w:val="24"/>
          <w:lang w:val="ru-MD" w:eastAsia="ro-MD"/>
        </w:rPr>
        <w:t xml:space="preserve">основная </w:t>
      </w:r>
      <w:r w:rsidRPr="009E2945">
        <w:rPr>
          <w:rFonts w:asciiTheme="majorHAnsi" w:eastAsia="Times New Roman" w:hAnsiTheme="majorHAnsi" w:cstheme="majorHAnsi"/>
          <w:sz w:val="24"/>
          <w:szCs w:val="24"/>
          <w:lang w:val="ru-MD" w:eastAsia="ro-MD"/>
        </w:rPr>
        <w:t>деятельность</w:t>
      </w:r>
      <w:r w:rsidR="00184562" w:rsidRPr="009E2945">
        <w:rPr>
          <w:rFonts w:asciiTheme="majorHAnsi" w:eastAsia="Times New Roman" w:hAnsiTheme="majorHAnsi" w:cstheme="majorHAnsi"/>
          <w:sz w:val="24"/>
          <w:szCs w:val="24"/>
          <w:lang w:val="ru-MD" w:eastAsia="ro-MD"/>
        </w:rPr>
        <w:t xml:space="preserve"> сосредоточена на доступе пациентов к этим услугам. Следует отметить, что туберкулез является одним из приоритетных вопросов общественного зд</w:t>
      </w:r>
      <w:r w:rsidRPr="009E2945">
        <w:rPr>
          <w:rFonts w:asciiTheme="majorHAnsi" w:eastAsia="Times New Roman" w:hAnsiTheme="majorHAnsi" w:cstheme="majorHAnsi"/>
          <w:sz w:val="24"/>
          <w:szCs w:val="24"/>
          <w:lang w:val="ru-MD" w:eastAsia="ro-MD"/>
        </w:rPr>
        <w:t>оровь</w:t>
      </w:r>
      <w:r w:rsidR="00184562" w:rsidRPr="009E2945">
        <w:rPr>
          <w:rFonts w:asciiTheme="majorHAnsi" w:eastAsia="Times New Roman" w:hAnsiTheme="majorHAnsi" w:cstheme="majorHAnsi"/>
          <w:sz w:val="24"/>
          <w:szCs w:val="24"/>
          <w:lang w:val="ru-MD" w:eastAsia="ro-MD"/>
        </w:rPr>
        <w:t xml:space="preserve">я в </w:t>
      </w:r>
      <w:r w:rsidRPr="009E2945">
        <w:rPr>
          <w:rFonts w:asciiTheme="majorHAnsi" w:eastAsia="Times New Roman" w:hAnsiTheme="majorHAnsi" w:cstheme="majorHAnsi"/>
          <w:sz w:val="24"/>
          <w:szCs w:val="24"/>
          <w:lang w:val="ru-MD" w:eastAsia="ro-MD"/>
        </w:rPr>
        <w:t>н</w:t>
      </w:r>
      <w:r w:rsidR="00184562" w:rsidRPr="009E2945">
        <w:rPr>
          <w:rFonts w:asciiTheme="majorHAnsi" w:eastAsia="Times New Roman" w:hAnsiTheme="majorHAnsi" w:cstheme="majorHAnsi"/>
          <w:sz w:val="24"/>
          <w:szCs w:val="24"/>
          <w:lang w:val="ru-MD" w:eastAsia="ro-MD"/>
        </w:rPr>
        <w:t>ациональном плане</w:t>
      </w:r>
      <w:r w:rsidRPr="009E2945">
        <w:rPr>
          <w:rFonts w:asciiTheme="majorHAnsi" w:eastAsia="Times New Roman" w:hAnsiTheme="majorHAnsi" w:cstheme="majorHAnsi"/>
          <w:sz w:val="24"/>
          <w:szCs w:val="24"/>
          <w:lang w:val="ru-MD" w:eastAsia="ro-MD"/>
        </w:rPr>
        <w:t>, поскольку</w:t>
      </w:r>
      <w:r w:rsidR="00184562" w:rsidRPr="009E2945">
        <w:rPr>
          <w:rFonts w:asciiTheme="majorHAnsi" w:eastAsia="Times New Roman" w:hAnsiTheme="majorHAnsi" w:cstheme="majorHAnsi"/>
          <w:sz w:val="24"/>
          <w:szCs w:val="24"/>
          <w:lang w:val="ru-MD" w:eastAsia="ro-MD"/>
        </w:rPr>
        <w:t xml:space="preserve"> Республика Молдова входит в число 30 стран с высоким бременем туберкулеза с множественной лекарственной устойчивостью в мире, </w:t>
      </w:r>
      <w:r w:rsidRPr="009E2945">
        <w:rPr>
          <w:rFonts w:asciiTheme="majorHAnsi" w:eastAsia="Times New Roman" w:hAnsiTheme="majorHAnsi" w:cstheme="majorHAnsi"/>
          <w:sz w:val="24"/>
          <w:szCs w:val="24"/>
          <w:lang w:val="ru-MD" w:eastAsia="ro-MD"/>
        </w:rPr>
        <w:t xml:space="preserve">а </w:t>
      </w:r>
      <w:r w:rsidR="00184562" w:rsidRPr="009E2945">
        <w:rPr>
          <w:rFonts w:asciiTheme="majorHAnsi" w:eastAsia="Times New Roman" w:hAnsiTheme="majorHAnsi" w:cstheme="majorHAnsi"/>
          <w:sz w:val="24"/>
          <w:szCs w:val="24"/>
          <w:lang w:val="ru-MD" w:eastAsia="ro-MD"/>
        </w:rPr>
        <w:t>стратегические приоритеты, в частности снижение бремени туберкулеза, устан</w:t>
      </w:r>
      <w:r w:rsidRPr="009E2945">
        <w:rPr>
          <w:rFonts w:asciiTheme="majorHAnsi" w:eastAsia="Times New Roman" w:hAnsiTheme="majorHAnsi" w:cstheme="majorHAnsi"/>
          <w:sz w:val="24"/>
          <w:szCs w:val="24"/>
          <w:lang w:val="ru-MD" w:eastAsia="ro-MD"/>
        </w:rPr>
        <w:t>овлены и</w:t>
      </w:r>
      <w:r w:rsidR="00184562" w:rsidRPr="009E2945">
        <w:rPr>
          <w:rFonts w:asciiTheme="majorHAnsi" w:eastAsia="Times New Roman" w:hAnsiTheme="majorHAnsi" w:cstheme="majorHAnsi"/>
          <w:sz w:val="24"/>
          <w:szCs w:val="24"/>
          <w:lang w:val="ru-MD" w:eastAsia="ro-MD"/>
        </w:rPr>
        <w:t xml:space="preserve"> в целях </w:t>
      </w:r>
      <w:r w:rsidR="008108D9" w:rsidRPr="009E2945">
        <w:rPr>
          <w:rFonts w:asciiTheme="majorHAnsi" w:eastAsia="Times New Roman" w:hAnsiTheme="majorHAnsi" w:cstheme="majorHAnsi"/>
          <w:sz w:val="24"/>
          <w:szCs w:val="24"/>
          <w:lang w:val="ru-MD" w:eastAsia="ro-MD"/>
        </w:rPr>
        <w:t>Программы</w:t>
      </w:r>
      <w:r w:rsidR="00184562" w:rsidRPr="009E2945">
        <w:rPr>
          <w:rFonts w:asciiTheme="majorHAnsi" w:eastAsia="Times New Roman" w:hAnsiTheme="majorHAnsi" w:cstheme="majorHAnsi"/>
          <w:sz w:val="24"/>
          <w:szCs w:val="24"/>
          <w:lang w:val="ru-MD" w:eastAsia="ro-MD"/>
        </w:rPr>
        <w:t xml:space="preserve"> устойчивого развития </w:t>
      </w:r>
      <w:r w:rsidR="008108D9" w:rsidRPr="009E2945">
        <w:rPr>
          <w:rFonts w:asciiTheme="majorHAnsi" w:eastAsia="Times New Roman" w:hAnsiTheme="majorHAnsi" w:cstheme="majorHAnsi"/>
          <w:sz w:val="24"/>
          <w:szCs w:val="24"/>
          <w:lang w:val="ru-MD" w:eastAsia="ro-MD"/>
        </w:rPr>
        <w:t>до</w:t>
      </w:r>
      <w:r w:rsidR="00184562" w:rsidRPr="009E2945">
        <w:rPr>
          <w:rFonts w:asciiTheme="majorHAnsi" w:eastAsia="Times New Roman" w:hAnsiTheme="majorHAnsi" w:cstheme="majorHAnsi"/>
          <w:sz w:val="24"/>
          <w:szCs w:val="24"/>
          <w:lang w:val="ru-MD" w:eastAsia="ro-MD"/>
        </w:rPr>
        <w:t xml:space="preserve"> 2030 год</w:t>
      </w:r>
      <w:r w:rsidR="008108D9" w:rsidRPr="009E2945">
        <w:rPr>
          <w:rFonts w:asciiTheme="majorHAnsi" w:eastAsia="Times New Roman" w:hAnsiTheme="majorHAnsi" w:cstheme="majorHAnsi"/>
          <w:sz w:val="24"/>
          <w:szCs w:val="24"/>
          <w:lang w:val="ru-MD" w:eastAsia="ro-MD"/>
        </w:rPr>
        <w:t>а</w:t>
      </w:r>
      <w:r w:rsidR="00184562" w:rsidRPr="009E2945">
        <w:rPr>
          <w:rFonts w:asciiTheme="majorHAnsi" w:eastAsia="Times New Roman" w:hAnsiTheme="majorHAnsi" w:cstheme="majorHAnsi"/>
          <w:sz w:val="24"/>
          <w:szCs w:val="24"/>
          <w:lang w:val="ru-MD" w:eastAsia="ro-MD"/>
        </w:rPr>
        <w:t xml:space="preserve">, адаптированных к </w:t>
      </w:r>
      <w:r w:rsidR="008108D9" w:rsidRPr="009E2945">
        <w:rPr>
          <w:rFonts w:asciiTheme="majorHAnsi" w:eastAsia="Times New Roman" w:hAnsiTheme="majorHAnsi" w:cstheme="majorHAnsi"/>
          <w:sz w:val="24"/>
          <w:szCs w:val="24"/>
          <w:lang w:val="ru-MD" w:eastAsia="ro-MD"/>
        </w:rPr>
        <w:t>усл</w:t>
      </w:r>
      <w:r w:rsidR="009E2945">
        <w:rPr>
          <w:rFonts w:asciiTheme="majorHAnsi" w:eastAsia="Times New Roman" w:hAnsiTheme="majorHAnsi" w:cstheme="majorHAnsi"/>
          <w:sz w:val="24"/>
          <w:szCs w:val="24"/>
          <w:lang w:val="ru-MD" w:eastAsia="ro-MD"/>
        </w:rPr>
        <w:t>о</w:t>
      </w:r>
      <w:r w:rsidR="008108D9" w:rsidRPr="009E2945">
        <w:rPr>
          <w:rFonts w:asciiTheme="majorHAnsi" w:eastAsia="Times New Roman" w:hAnsiTheme="majorHAnsi" w:cstheme="majorHAnsi"/>
          <w:sz w:val="24"/>
          <w:szCs w:val="24"/>
          <w:lang w:val="ru-MD" w:eastAsia="ro-MD"/>
        </w:rPr>
        <w:t>виям</w:t>
      </w:r>
      <w:r w:rsidR="00184562" w:rsidRPr="009E2945">
        <w:rPr>
          <w:rFonts w:asciiTheme="majorHAnsi" w:eastAsia="Times New Roman" w:hAnsiTheme="majorHAnsi" w:cstheme="majorHAnsi"/>
          <w:sz w:val="24"/>
          <w:szCs w:val="24"/>
          <w:lang w:val="ru-MD" w:eastAsia="ro-MD"/>
        </w:rPr>
        <w:t xml:space="preserve"> Республики Молдова</w:t>
      </w:r>
      <w:r w:rsidR="006327C5" w:rsidRPr="009E2945">
        <w:rPr>
          <w:rFonts w:asciiTheme="majorHAnsi" w:eastAsia="Times New Roman" w:hAnsiTheme="majorHAnsi" w:cstheme="majorHAnsi"/>
          <w:sz w:val="24"/>
          <w:szCs w:val="24"/>
          <w:lang w:val="ru-MD" w:eastAsia="ro-MD"/>
        </w:rPr>
        <w:t xml:space="preserve">. </w:t>
      </w:r>
    </w:p>
    <w:p w14:paraId="3F370ED9" w14:textId="475DFE1B" w:rsidR="00184562" w:rsidRPr="009E2945" w:rsidRDefault="008108D9" w:rsidP="0018456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ajorHAnsi" w:eastAsia="Times New Roman" w:hAnsiTheme="majorHAnsi" w:cstheme="majorHAnsi"/>
          <w:sz w:val="24"/>
          <w:szCs w:val="24"/>
          <w:lang w:val="ru-MD"/>
        </w:rPr>
      </w:pPr>
      <w:r w:rsidRPr="009E2945">
        <w:rPr>
          <w:rFonts w:asciiTheme="majorHAnsi" w:eastAsia="Times New Roman" w:hAnsiTheme="majorHAnsi" w:cstheme="majorHAnsi"/>
          <w:sz w:val="24"/>
          <w:szCs w:val="24"/>
          <w:lang w:val="ru-MD"/>
        </w:rPr>
        <w:t>З</w:t>
      </w:r>
      <w:r w:rsidR="00184562" w:rsidRPr="009E2945">
        <w:rPr>
          <w:rFonts w:asciiTheme="majorHAnsi" w:eastAsia="Times New Roman" w:hAnsiTheme="majorHAnsi" w:cstheme="majorHAnsi"/>
          <w:sz w:val="24"/>
          <w:szCs w:val="24"/>
          <w:lang w:val="ru-MD"/>
        </w:rPr>
        <w:t>а период 2001-2025 г</w:t>
      </w:r>
      <w:r w:rsidRPr="009E2945">
        <w:rPr>
          <w:rFonts w:asciiTheme="majorHAnsi" w:eastAsia="Times New Roman" w:hAnsiTheme="majorHAnsi" w:cstheme="majorHAnsi"/>
          <w:sz w:val="24"/>
          <w:szCs w:val="24"/>
          <w:lang w:val="ru-MD"/>
        </w:rPr>
        <w:t>одов</w:t>
      </w:r>
      <w:r w:rsidR="00184562" w:rsidRPr="009E2945">
        <w:rPr>
          <w:rFonts w:asciiTheme="majorHAnsi" w:eastAsia="Times New Roman" w:hAnsiTheme="majorHAnsi" w:cstheme="majorHAnsi"/>
          <w:sz w:val="24"/>
          <w:szCs w:val="24"/>
          <w:lang w:val="ru-MD"/>
        </w:rPr>
        <w:t xml:space="preserve"> были утверждены пять национальных программ по борьбе с туберкулезом, в том числе с сокращением </w:t>
      </w:r>
      <w:r w:rsidRPr="009E2945">
        <w:rPr>
          <w:rFonts w:asciiTheme="majorHAnsi" w:eastAsia="Times New Roman" w:hAnsiTheme="majorHAnsi" w:cstheme="majorHAnsi"/>
          <w:sz w:val="24"/>
          <w:szCs w:val="24"/>
          <w:lang w:val="ru-MD"/>
        </w:rPr>
        <w:t xml:space="preserve">связанных с ним </w:t>
      </w:r>
      <w:r w:rsidR="00184562" w:rsidRPr="009E2945">
        <w:rPr>
          <w:rFonts w:asciiTheme="majorHAnsi" w:eastAsia="Times New Roman" w:hAnsiTheme="majorHAnsi" w:cstheme="majorHAnsi"/>
          <w:sz w:val="24"/>
          <w:szCs w:val="24"/>
          <w:lang w:val="ru-MD"/>
        </w:rPr>
        <w:t xml:space="preserve">значительных затрат, </w:t>
      </w:r>
      <w:r w:rsidRPr="009E2945">
        <w:rPr>
          <w:rFonts w:asciiTheme="majorHAnsi" w:eastAsia="Times New Roman" w:hAnsiTheme="majorHAnsi" w:cstheme="majorHAnsi"/>
          <w:sz w:val="24"/>
          <w:szCs w:val="24"/>
          <w:lang w:val="ru-MD"/>
        </w:rPr>
        <w:t>покрываем</w:t>
      </w:r>
      <w:r w:rsidR="00184562" w:rsidRPr="009E2945">
        <w:rPr>
          <w:rFonts w:asciiTheme="majorHAnsi" w:eastAsia="Times New Roman" w:hAnsiTheme="majorHAnsi" w:cstheme="majorHAnsi"/>
          <w:sz w:val="24"/>
          <w:szCs w:val="24"/>
          <w:lang w:val="ru-MD"/>
        </w:rPr>
        <w:t>ых государством</w:t>
      </w:r>
      <w:r w:rsidRPr="009E2945">
        <w:rPr>
          <w:rStyle w:val="a9"/>
          <w:rFonts w:asciiTheme="majorHAnsi" w:eastAsia="Times New Roman" w:hAnsiTheme="majorHAnsi" w:cs="Calibri Light"/>
          <w:sz w:val="24"/>
          <w:szCs w:val="24"/>
          <w:lang w:val="ru-MD"/>
        </w:rPr>
        <w:footnoteReference w:id="1"/>
      </w:r>
      <w:r w:rsidR="00184562" w:rsidRPr="009E2945">
        <w:rPr>
          <w:rFonts w:asciiTheme="majorHAnsi" w:eastAsia="Times New Roman" w:hAnsiTheme="majorHAnsi" w:cstheme="majorHAnsi"/>
          <w:sz w:val="24"/>
          <w:szCs w:val="24"/>
          <w:lang w:val="ru-MD"/>
        </w:rPr>
        <w:t>.</w:t>
      </w:r>
    </w:p>
    <w:p w14:paraId="10D6C3F1" w14:textId="031418A8" w:rsidR="00184562" w:rsidRPr="009E2945" w:rsidRDefault="008108D9" w:rsidP="0018456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ajorHAnsi" w:eastAsia="Times New Roman" w:hAnsiTheme="majorHAnsi" w:cstheme="majorHAnsi"/>
          <w:sz w:val="24"/>
          <w:szCs w:val="24"/>
          <w:lang w:val="ru-MD"/>
        </w:rPr>
      </w:pPr>
      <w:r w:rsidRPr="009E2945">
        <w:rPr>
          <w:rFonts w:asciiTheme="majorHAnsi" w:eastAsia="Times New Roman" w:hAnsiTheme="majorHAnsi" w:cstheme="majorHAnsi"/>
          <w:sz w:val="24"/>
          <w:szCs w:val="24"/>
          <w:lang w:val="ru-MD"/>
        </w:rPr>
        <w:t>Нынешня</w:t>
      </w:r>
      <w:r w:rsidR="00184562" w:rsidRPr="009E2945">
        <w:rPr>
          <w:rFonts w:asciiTheme="majorHAnsi" w:eastAsia="Times New Roman" w:hAnsiTheme="majorHAnsi" w:cstheme="majorHAnsi"/>
          <w:sz w:val="24"/>
          <w:szCs w:val="24"/>
          <w:lang w:val="ru-MD"/>
        </w:rPr>
        <w:t xml:space="preserve">я </w:t>
      </w:r>
      <w:r w:rsidRPr="009E2945">
        <w:rPr>
          <w:rFonts w:asciiTheme="majorHAnsi" w:eastAsia="Times New Roman" w:hAnsiTheme="majorHAnsi" w:cstheme="majorHAnsi"/>
          <w:sz w:val="24"/>
          <w:szCs w:val="24"/>
          <w:lang w:val="ru-MD"/>
        </w:rPr>
        <w:t>П</w:t>
      </w:r>
      <w:r w:rsidR="00184562" w:rsidRPr="009E2945">
        <w:rPr>
          <w:rFonts w:asciiTheme="majorHAnsi" w:eastAsia="Times New Roman" w:hAnsiTheme="majorHAnsi" w:cstheme="majorHAnsi"/>
          <w:sz w:val="24"/>
          <w:szCs w:val="24"/>
          <w:lang w:val="ru-MD"/>
        </w:rPr>
        <w:t>рограмма является пятой национальной программой по снижению заболеваемости туберкулезом и представляет собой видение</w:t>
      </w:r>
      <w:r w:rsidRPr="009E2945">
        <w:rPr>
          <w:rFonts w:asciiTheme="majorHAnsi" w:eastAsia="Times New Roman" w:hAnsiTheme="majorHAnsi" w:cstheme="majorHAnsi"/>
          <w:sz w:val="24"/>
          <w:szCs w:val="24"/>
          <w:lang w:val="ru-MD"/>
        </w:rPr>
        <w:t xml:space="preserve"> на долгосрочную перспективу</w:t>
      </w:r>
      <w:r w:rsidR="00184562" w:rsidRPr="009E2945">
        <w:rPr>
          <w:rFonts w:asciiTheme="majorHAnsi" w:eastAsia="Times New Roman" w:hAnsiTheme="majorHAnsi" w:cstheme="majorHAnsi"/>
          <w:sz w:val="24"/>
          <w:szCs w:val="24"/>
          <w:lang w:val="ru-MD"/>
        </w:rPr>
        <w:t xml:space="preserve">, которое </w:t>
      </w:r>
      <w:r w:rsidRPr="009E2945">
        <w:rPr>
          <w:rFonts w:asciiTheme="majorHAnsi" w:eastAsia="Times New Roman" w:hAnsiTheme="majorHAnsi" w:cstheme="majorHAnsi"/>
          <w:sz w:val="24"/>
          <w:szCs w:val="24"/>
          <w:lang w:val="ru-MD"/>
        </w:rPr>
        <w:t>призвано</w:t>
      </w:r>
      <w:r w:rsidR="00184562" w:rsidRPr="009E2945">
        <w:rPr>
          <w:rFonts w:asciiTheme="majorHAnsi" w:eastAsia="Times New Roman" w:hAnsiTheme="majorHAnsi" w:cstheme="majorHAnsi"/>
          <w:sz w:val="24"/>
          <w:szCs w:val="24"/>
          <w:lang w:val="ru-MD"/>
        </w:rPr>
        <w:t xml:space="preserve"> способствовать улучшению здоровья населения и укреплению </w:t>
      </w:r>
      <w:r w:rsidRPr="009E2945">
        <w:rPr>
          <w:rFonts w:asciiTheme="majorHAnsi" w:eastAsia="Times New Roman" w:hAnsiTheme="majorHAnsi" w:cstheme="majorHAnsi"/>
          <w:sz w:val="24"/>
          <w:szCs w:val="24"/>
          <w:lang w:val="ru-MD"/>
        </w:rPr>
        <w:t>последователь</w:t>
      </w:r>
      <w:r w:rsidR="00184562" w:rsidRPr="009E2945">
        <w:rPr>
          <w:rFonts w:asciiTheme="majorHAnsi" w:eastAsia="Times New Roman" w:hAnsiTheme="majorHAnsi" w:cstheme="majorHAnsi"/>
          <w:sz w:val="24"/>
          <w:szCs w:val="24"/>
          <w:lang w:val="ru-MD"/>
        </w:rPr>
        <w:t>ности в борьбе с туберкулезом</w:t>
      </w:r>
      <w:r w:rsidRPr="009E2945">
        <w:rPr>
          <w:rFonts w:asciiTheme="majorHAnsi" w:eastAsia="Times New Roman" w:hAnsiTheme="majorHAnsi" w:cstheme="majorHAnsi"/>
          <w:sz w:val="24"/>
          <w:szCs w:val="24"/>
          <w:lang w:val="ru-MD"/>
        </w:rPr>
        <w:t>,</w:t>
      </w:r>
      <w:r w:rsidR="00184562" w:rsidRPr="009E2945">
        <w:rPr>
          <w:rFonts w:asciiTheme="majorHAnsi" w:eastAsia="Times New Roman" w:hAnsiTheme="majorHAnsi" w:cstheme="majorHAnsi"/>
          <w:sz w:val="24"/>
          <w:szCs w:val="24"/>
          <w:lang w:val="ru-MD"/>
        </w:rPr>
        <w:t xml:space="preserve"> путем обеспечения всеобщего доступа к диагностике и лечению всех форм туберкулеза, четко</w:t>
      </w:r>
      <w:r w:rsidRPr="009E2945">
        <w:rPr>
          <w:rFonts w:asciiTheme="majorHAnsi" w:eastAsia="Times New Roman" w:hAnsiTheme="majorHAnsi" w:cstheme="majorHAnsi"/>
          <w:sz w:val="24"/>
          <w:szCs w:val="24"/>
          <w:lang w:val="ru-MD"/>
        </w:rPr>
        <w:t>го</w:t>
      </w:r>
      <w:r w:rsidR="00184562" w:rsidRPr="009E2945">
        <w:rPr>
          <w:rFonts w:asciiTheme="majorHAnsi" w:eastAsia="Times New Roman" w:hAnsiTheme="majorHAnsi" w:cstheme="majorHAnsi"/>
          <w:sz w:val="24"/>
          <w:szCs w:val="24"/>
          <w:lang w:val="ru-MD"/>
        </w:rPr>
        <w:t xml:space="preserve"> определен</w:t>
      </w:r>
      <w:r w:rsidRPr="009E2945">
        <w:rPr>
          <w:rFonts w:asciiTheme="majorHAnsi" w:eastAsia="Times New Roman" w:hAnsiTheme="majorHAnsi" w:cstheme="majorHAnsi"/>
          <w:sz w:val="24"/>
          <w:szCs w:val="24"/>
          <w:lang w:val="ru-MD"/>
        </w:rPr>
        <w:t>ия</w:t>
      </w:r>
      <w:r w:rsidR="00184562" w:rsidRPr="009E2945">
        <w:rPr>
          <w:rFonts w:asciiTheme="majorHAnsi" w:eastAsia="Times New Roman" w:hAnsiTheme="majorHAnsi" w:cstheme="majorHAnsi"/>
          <w:sz w:val="24"/>
          <w:szCs w:val="24"/>
          <w:lang w:val="ru-MD"/>
        </w:rPr>
        <w:t xml:space="preserve"> обязанностей сторон, участвующих в оказании услуг, ориентированных на пациента, а также путем обеспечения надлежащего финансирования и расширения возможностей </w:t>
      </w:r>
      <w:r w:rsidR="009E2945" w:rsidRPr="009E2945">
        <w:rPr>
          <w:rFonts w:asciiTheme="majorHAnsi" w:eastAsia="Times New Roman" w:hAnsiTheme="majorHAnsi" w:cstheme="majorHAnsi"/>
          <w:sz w:val="24"/>
          <w:szCs w:val="24"/>
          <w:lang w:val="ru-MD"/>
        </w:rPr>
        <w:t xml:space="preserve">координационного </w:t>
      </w:r>
      <w:r w:rsidR="00184562" w:rsidRPr="009E2945">
        <w:rPr>
          <w:rFonts w:asciiTheme="majorHAnsi" w:eastAsia="Times New Roman" w:hAnsiTheme="majorHAnsi" w:cstheme="majorHAnsi"/>
          <w:sz w:val="24"/>
          <w:szCs w:val="24"/>
          <w:lang w:val="ru-MD"/>
        </w:rPr>
        <w:t xml:space="preserve">подразделения </w:t>
      </w:r>
      <w:r w:rsidR="009E2945" w:rsidRPr="009E2945">
        <w:rPr>
          <w:rFonts w:asciiTheme="majorHAnsi" w:eastAsia="Times New Roman" w:hAnsiTheme="majorHAnsi" w:cstheme="majorHAnsi"/>
          <w:sz w:val="24"/>
          <w:szCs w:val="24"/>
          <w:lang w:val="ru-MD"/>
        </w:rPr>
        <w:t>П</w:t>
      </w:r>
      <w:r w:rsidR="00184562" w:rsidRPr="009E2945">
        <w:rPr>
          <w:rFonts w:asciiTheme="majorHAnsi" w:eastAsia="Times New Roman" w:hAnsiTheme="majorHAnsi" w:cstheme="majorHAnsi"/>
          <w:sz w:val="24"/>
          <w:szCs w:val="24"/>
          <w:lang w:val="ru-MD"/>
        </w:rPr>
        <w:t>рограммы.</w:t>
      </w:r>
    </w:p>
    <w:p w14:paraId="5E0FF2BE" w14:textId="06F02B66" w:rsidR="006327C5" w:rsidRPr="009E2945" w:rsidRDefault="006327C5" w:rsidP="006327C5">
      <w:pPr>
        <w:spacing w:after="0" w:line="276" w:lineRule="auto"/>
        <w:jc w:val="both"/>
        <w:rPr>
          <w:rFonts w:asciiTheme="majorHAnsi" w:hAnsiTheme="majorHAnsi" w:cs="Calibri Light"/>
          <w:sz w:val="24"/>
          <w:szCs w:val="24"/>
          <w:lang w:val="ru-MD" w:eastAsia="ru-RU"/>
        </w:rPr>
      </w:pPr>
    </w:p>
    <w:p w14:paraId="24E0391E" w14:textId="7002A4B6" w:rsidR="006327C5" w:rsidRPr="001472C4" w:rsidRDefault="00673893" w:rsidP="006327C5">
      <w:pPr>
        <w:tabs>
          <w:tab w:val="left" w:pos="993"/>
        </w:tabs>
        <w:autoSpaceDE w:val="0"/>
        <w:autoSpaceDN w:val="0"/>
        <w:adjustRightInd w:val="0"/>
        <w:spacing w:after="0" w:line="276" w:lineRule="auto"/>
        <w:jc w:val="both"/>
        <w:rPr>
          <w:rFonts w:asciiTheme="majorHAnsi" w:hAnsiTheme="majorHAnsi" w:cs="Calibri Light"/>
          <w:sz w:val="24"/>
          <w:szCs w:val="28"/>
          <w:lang w:val="ru-MD"/>
        </w:rPr>
      </w:pPr>
      <w:r w:rsidRPr="001472C4">
        <w:rPr>
          <w:rFonts w:asciiTheme="majorHAnsi" w:hAnsiTheme="majorHAnsi" w:cs="Calibri Light"/>
          <w:sz w:val="24"/>
          <w:szCs w:val="24"/>
          <w:lang w:val="ru-MD" w:eastAsia="ru-RU"/>
        </w:rPr>
        <w:t>ПМСУ ИФР</w:t>
      </w:r>
      <w:r w:rsidR="006327C5" w:rsidRPr="001472C4">
        <w:rPr>
          <w:rFonts w:asciiTheme="majorHAnsi" w:hAnsiTheme="majorHAnsi" w:cs="Calibri Light"/>
          <w:sz w:val="24"/>
          <w:szCs w:val="24"/>
          <w:lang w:val="ru-MD" w:eastAsia="ru-RU"/>
        </w:rPr>
        <w:t xml:space="preserve"> </w:t>
      </w:r>
      <w:r w:rsidR="001924A7" w:rsidRPr="001924A7">
        <w:rPr>
          <w:rFonts w:asciiTheme="majorHAnsi" w:hAnsiTheme="majorHAnsi" w:cs="Calibri Light"/>
          <w:sz w:val="24"/>
          <w:szCs w:val="24"/>
          <w:lang w:val="ru-RU" w:eastAsia="ru-RU"/>
        </w:rPr>
        <w:t>“</w:t>
      </w:r>
      <w:r w:rsidR="001924A7">
        <w:rPr>
          <w:rFonts w:asciiTheme="majorHAnsi" w:hAnsiTheme="majorHAnsi" w:cs="Calibri Light"/>
          <w:sz w:val="24"/>
          <w:szCs w:val="24"/>
          <w:lang w:val="ru-MD" w:eastAsia="ru-RU"/>
        </w:rPr>
        <w:t>Кирилл Драганюк”</w:t>
      </w:r>
      <w:r w:rsidR="006327C5" w:rsidRPr="001472C4">
        <w:rPr>
          <w:rFonts w:asciiTheme="majorHAnsi" w:hAnsiTheme="majorHAnsi" w:cs="Calibri Light"/>
          <w:sz w:val="24"/>
          <w:szCs w:val="24"/>
          <w:lang w:val="ru-MD" w:eastAsia="ru-RU"/>
        </w:rPr>
        <w:t xml:space="preserve"> </w:t>
      </w:r>
      <w:r w:rsidR="00453C51" w:rsidRPr="001472C4">
        <w:rPr>
          <w:rFonts w:asciiTheme="majorHAnsi" w:hAnsiTheme="majorHAnsi" w:cs="Calibri Light"/>
          <w:sz w:val="24"/>
          <w:szCs w:val="24"/>
          <w:lang w:val="ru-MD" w:eastAsia="ru-RU"/>
        </w:rPr>
        <w:t>является</w:t>
      </w:r>
      <w:r w:rsidR="00184562" w:rsidRPr="001472C4">
        <w:rPr>
          <w:rFonts w:asciiTheme="majorHAnsi" w:hAnsiTheme="majorHAnsi" w:cs="Calibri Light"/>
          <w:sz w:val="24"/>
          <w:szCs w:val="24"/>
          <w:lang w:val="ru-MD" w:eastAsia="ru-RU"/>
        </w:rPr>
        <w:t xml:space="preserve"> учреждение</w:t>
      </w:r>
      <w:r w:rsidR="00453C51" w:rsidRPr="001472C4">
        <w:rPr>
          <w:rFonts w:asciiTheme="majorHAnsi" w:hAnsiTheme="majorHAnsi" w:cs="Calibri Light"/>
          <w:sz w:val="24"/>
          <w:szCs w:val="24"/>
          <w:lang w:val="ru-MD" w:eastAsia="ru-RU"/>
        </w:rPr>
        <w:t>м</w:t>
      </w:r>
      <w:r w:rsidR="00184562" w:rsidRPr="001472C4">
        <w:rPr>
          <w:rFonts w:asciiTheme="majorHAnsi" w:hAnsiTheme="majorHAnsi" w:cs="Calibri Light"/>
          <w:sz w:val="24"/>
          <w:szCs w:val="24"/>
          <w:lang w:val="ru-MD" w:eastAsia="ru-RU"/>
        </w:rPr>
        <w:t>, отвечающ</w:t>
      </w:r>
      <w:r w:rsidR="00453C51" w:rsidRPr="001472C4">
        <w:rPr>
          <w:rFonts w:asciiTheme="majorHAnsi" w:hAnsiTheme="majorHAnsi" w:cs="Calibri Light"/>
          <w:sz w:val="24"/>
          <w:szCs w:val="24"/>
          <w:lang w:val="ru-MD" w:eastAsia="ru-RU"/>
        </w:rPr>
        <w:t>им</w:t>
      </w:r>
      <w:r w:rsidR="00184562" w:rsidRPr="001472C4">
        <w:rPr>
          <w:rFonts w:asciiTheme="majorHAnsi" w:hAnsiTheme="majorHAnsi" w:cs="Calibri Light"/>
          <w:sz w:val="24"/>
          <w:szCs w:val="24"/>
          <w:lang w:val="ru-MD" w:eastAsia="ru-RU"/>
        </w:rPr>
        <w:t xml:space="preserve"> за координацию, реализацию и мониторинг реализации Национальной программы </w:t>
      </w:r>
      <w:r w:rsidR="005145B6" w:rsidRPr="001472C4">
        <w:rPr>
          <w:rFonts w:asciiTheme="majorHAnsi" w:hAnsiTheme="majorHAnsi" w:cs="Calibri Light"/>
          <w:sz w:val="24"/>
          <w:szCs w:val="24"/>
          <w:lang w:val="ru-MD" w:eastAsia="ru-RU"/>
        </w:rPr>
        <w:t xml:space="preserve">по </w:t>
      </w:r>
      <w:r w:rsidR="00184562" w:rsidRPr="001472C4">
        <w:rPr>
          <w:rFonts w:asciiTheme="majorHAnsi" w:hAnsiTheme="majorHAnsi" w:cs="Calibri Light"/>
          <w:sz w:val="24"/>
          <w:szCs w:val="24"/>
          <w:lang w:val="ru-MD" w:eastAsia="ru-RU"/>
        </w:rPr>
        <w:t>борьб</w:t>
      </w:r>
      <w:r w:rsidR="005145B6" w:rsidRPr="001472C4">
        <w:rPr>
          <w:rFonts w:asciiTheme="majorHAnsi" w:hAnsiTheme="majorHAnsi" w:cs="Calibri Light"/>
          <w:sz w:val="24"/>
          <w:szCs w:val="24"/>
          <w:lang w:val="ru-MD" w:eastAsia="ru-RU"/>
        </w:rPr>
        <w:t>е</w:t>
      </w:r>
      <w:r w:rsidR="00184562" w:rsidRPr="001472C4">
        <w:rPr>
          <w:rFonts w:asciiTheme="majorHAnsi" w:hAnsiTheme="majorHAnsi" w:cs="Calibri Light"/>
          <w:sz w:val="24"/>
          <w:szCs w:val="24"/>
          <w:lang w:val="ru-MD" w:eastAsia="ru-RU"/>
        </w:rPr>
        <w:t xml:space="preserve"> с туберкулезом на 2022-2025 годы. Финансирование </w:t>
      </w:r>
      <w:r w:rsidR="005145B6" w:rsidRPr="001472C4">
        <w:rPr>
          <w:rFonts w:asciiTheme="majorHAnsi" w:hAnsiTheme="majorHAnsi" w:cs="Calibri Light"/>
          <w:sz w:val="24"/>
          <w:szCs w:val="24"/>
          <w:lang w:val="ru-MD" w:eastAsia="ru-RU"/>
        </w:rPr>
        <w:t>П</w:t>
      </w:r>
      <w:r w:rsidR="00184562" w:rsidRPr="001472C4">
        <w:rPr>
          <w:rFonts w:asciiTheme="majorHAnsi" w:hAnsiTheme="majorHAnsi" w:cs="Calibri Light"/>
          <w:sz w:val="24"/>
          <w:szCs w:val="24"/>
          <w:lang w:val="ru-MD" w:eastAsia="ru-RU"/>
        </w:rPr>
        <w:t xml:space="preserve">рограммы осуществляется за счет и в пределах средств, ежегодно утверждаемых в Национальном </w:t>
      </w:r>
      <w:r w:rsidR="006D2B97" w:rsidRPr="001472C4">
        <w:rPr>
          <w:rFonts w:asciiTheme="majorHAnsi" w:hAnsiTheme="majorHAnsi" w:cs="Calibri Light"/>
          <w:sz w:val="24"/>
          <w:szCs w:val="24"/>
          <w:lang w:val="ru-MD" w:eastAsia="ru-RU"/>
        </w:rPr>
        <w:t>публич</w:t>
      </w:r>
      <w:r w:rsidR="00184562" w:rsidRPr="001472C4">
        <w:rPr>
          <w:rFonts w:asciiTheme="majorHAnsi" w:hAnsiTheme="majorHAnsi" w:cs="Calibri Light"/>
          <w:sz w:val="24"/>
          <w:szCs w:val="24"/>
          <w:lang w:val="ru-MD" w:eastAsia="ru-RU"/>
        </w:rPr>
        <w:t xml:space="preserve">ном бюджете, а также из других источников в соответствии с законодательством. Таким образом, </w:t>
      </w:r>
      <w:r w:rsidR="005145B6" w:rsidRPr="001472C4">
        <w:rPr>
          <w:rFonts w:asciiTheme="majorHAnsi" w:hAnsiTheme="majorHAnsi" w:cs="Calibri Light"/>
          <w:sz w:val="24"/>
          <w:szCs w:val="24"/>
          <w:lang w:val="ru-MD" w:eastAsia="ru-RU"/>
        </w:rPr>
        <w:t>ПМСУ Ин</w:t>
      </w:r>
      <w:r w:rsidR="00184562" w:rsidRPr="001472C4">
        <w:rPr>
          <w:rFonts w:asciiTheme="majorHAnsi" w:hAnsiTheme="majorHAnsi" w:cs="Calibri Light"/>
          <w:sz w:val="24"/>
          <w:szCs w:val="24"/>
          <w:lang w:val="ru-MD" w:eastAsia="ru-RU"/>
        </w:rPr>
        <w:t>ститут Фтизиоп</w:t>
      </w:r>
      <w:r w:rsidR="00453C51" w:rsidRPr="001472C4">
        <w:rPr>
          <w:rFonts w:asciiTheme="majorHAnsi" w:hAnsiTheme="majorHAnsi" w:cs="Calibri Light"/>
          <w:sz w:val="24"/>
          <w:szCs w:val="24"/>
          <w:lang w:val="ru-MD" w:eastAsia="ru-RU"/>
        </w:rPr>
        <w:t>ульмон</w:t>
      </w:r>
      <w:r w:rsidR="00184562" w:rsidRPr="001472C4">
        <w:rPr>
          <w:rFonts w:asciiTheme="majorHAnsi" w:hAnsiTheme="majorHAnsi" w:cs="Calibri Light"/>
          <w:sz w:val="24"/>
          <w:szCs w:val="24"/>
          <w:lang w:val="ru-MD" w:eastAsia="ru-RU"/>
        </w:rPr>
        <w:t>ологии им.</w:t>
      </w:r>
      <w:r w:rsidR="00453C51" w:rsidRPr="001472C4">
        <w:rPr>
          <w:rFonts w:asciiTheme="majorHAnsi" w:hAnsiTheme="majorHAnsi" w:cs="Calibri Light"/>
          <w:sz w:val="24"/>
          <w:szCs w:val="24"/>
          <w:lang w:val="ru-MD" w:eastAsia="ru-RU"/>
        </w:rPr>
        <w:t xml:space="preserve"> </w:t>
      </w:r>
      <w:r w:rsidR="00184562" w:rsidRPr="001472C4">
        <w:rPr>
          <w:rFonts w:asciiTheme="majorHAnsi" w:hAnsiTheme="majorHAnsi" w:cs="Calibri Light"/>
          <w:sz w:val="24"/>
          <w:szCs w:val="24"/>
          <w:lang w:val="ru-MD" w:eastAsia="ru-RU"/>
        </w:rPr>
        <w:t xml:space="preserve">Кирилла Драганюка предоставляет услуги </w:t>
      </w:r>
      <w:r w:rsidR="005145B6" w:rsidRPr="001472C4">
        <w:rPr>
          <w:rFonts w:asciiTheme="majorHAnsi" w:hAnsiTheme="majorHAnsi" w:cs="Calibri Light"/>
          <w:sz w:val="24"/>
          <w:szCs w:val="24"/>
          <w:lang w:val="ru-MD" w:eastAsia="ru-RU"/>
        </w:rPr>
        <w:t>для</w:t>
      </w:r>
      <w:r w:rsidR="00184562" w:rsidRPr="001472C4">
        <w:rPr>
          <w:rFonts w:asciiTheme="majorHAnsi" w:hAnsiTheme="majorHAnsi" w:cs="Calibri Light"/>
          <w:sz w:val="24"/>
          <w:szCs w:val="24"/>
          <w:lang w:val="ru-MD" w:eastAsia="ru-RU"/>
        </w:rPr>
        <w:t xml:space="preserve"> всех форм </w:t>
      </w:r>
      <w:r w:rsidR="005145B6" w:rsidRPr="001472C4">
        <w:rPr>
          <w:rFonts w:asciiTheme="majorHAnsi" w:hAnsiTheme="majorHAnsi" w:cs="Calibri Light"/>
          <w:sz w:val="24"/>
          <w:szCs w:val="24"/>
          <w:lang w:val="ru-MD" w:eastAsia="ru-RU"/>
        </w:rPr>
        <w:t>медицинской помощи</w:t>
      </w:r>
      <w:r w:rsidR="00184562" w:rsidRPr="001472C4">
        <w:rPr>
          <w:rFonts w:asciiTheme="majorHAnsi" w:hAnsiTheme="majorHAnsi" w:cs="Calibri Light"/>
          <w:sz w:val="24"/>
          <w:szCs w:val="24"/>
          <w:lang w:val="ru-MD" w:eastAsia="ru-RU"/>
        </w:rPr>
        <w:t xml:space="preserve"> в области фтизиоп</w:t>
      </w:r>
      <w:r w:rsidR="005145B6" w:rsidRPr="001472C4">
        <w:rPr>
          <w:rFonts w:asciiTheme="majorHAnsi" w:hAnsiTheme="majorHAnsi" w:cs="Calibri Light"/>
          <w:sz w:val="24"/>
          <w:szCs w:val="24"/>
          <w:lang w:val="ru-MD" w:eastAsia="ru-RU"/>
        </w:rPr>
        <w:t>ульмон</w:t>
      </w:r>
      <w:r w:rsidR="00184562" w:rsidRPr="001472C4">
        <w:rPr>
          <w:rFonts w:asciiTheme="majorHAnsi" w:hAnsiTheme="majorHAnsi" w:cs="Calibri Light"/>
          <w:sz w:val="24"/>
          <w:szCs w:val="24"/>
          <w:lang w:val="ru-MD" w:eastAsia="ru-RU"/>
        </w:rPr>
        <w:t>ологии и пневмологии, специализированн</w:t>
      </w:r>
      <w:r w:rsidR="00453C51" w:rsidRPr="001472C4">
        <w:rPr>
          <w:rFonts w:asciiTheme="majorHAnsi" w:hAnsiTheme="majorHAnsi" w:cs="Calibri Light"/>
          <w:sz w:val="24"/>
          <w:szCs w:val="24"/>
          <w:lang w:val="ru-MD" w:eastAsia="ru-RU"/>
        </w:rPr>
        <w:t>ую</w:t>
      </w:r>
      <w:r w:rsidR="00184562" w:rsidRPr="001472C4">
        <w:rPr>
          <w:rFonts w:asciiTheme="majorHAnsi" w:hAnsiTheme="majorHAnsi" w:cs="Calibri Light"/>
          <w:sz w:val="24"/>
          <w:szCs w:val="24"/>
          <w:lang w:val="ru-MD" w:eastAsia="ru-RU"/>
        </w:rPr>
        <w:t xml:space="preserve"> амбулаторн</w:t>
      </w:r>
      <w:r w:rsidR="00453C51" w:rsidRPr="001472C4">
        <w:rPr>
          <w:rFonts w:asciiTheme="majorHAnsi" w:hAnsiTheme="majorHAnsi" w:cs="Calibri Light"/>
          <w:sz w:val="24"/>
          <w:szCs w:val="24"/>
          <w:lang w:val="ru-MD" w:eastAsia="ru-RU"/>
        </w:rPr>
        <w:t>ую</w:t>
      </w:r>
      <w:r w:rsidR="00184562" w:rsidRPr="001472C4">
        <w:rPr>
          <w:rFonts w:asciiTheme="majorHAnsi" w:hAnsiTheme="majorHAnsi" w:cs="Calibri Light"/>
          <w:sz w:val="24"/>
          <w:szCs w:val="24"/>
          <w:lang w:val="ru-MD" w:eastAsia="ru-RU"/>
        </w:rPr>
        <w:t xml:space="preserve"> и больничн</w:t>
      </w:r>
      <w:r w:rsidR="00453C51" w:rsidRPr="001472C4">
        <w:rPr>
          <w:rFonts w:asciiTheme="majorHAnsi" w:hAnsiTheme="majorHAnsi" w:cs="Calibri Light"/>
          <w:sz w:val="24"/>
          <w:szCs w:val="24"/>
          <w:lang w:val="ru-MD" w:eastAsia="ru-RU"/>
        </w:rPr>
        <w:t>ую</w:t>
      </w:r>
      <w:r w:rsidR="00184562" w:rsidRPr="001472C4">
        <w:rPr>
          <w:rFonts w:asciiTheme="majorHAnsi" w:hAnsiTheme="majorHAnsi" w:cs="Calibri Light"/>
          <w:sz w:val="24"/>
          <w:szCs w:val="24"/>
          <w:lang w:val="ru-MD" w:eastAsia="ru-RU"/>
        </w:rPr>
        <w:t xml:space="preserve"> помощ</w:t>
      </w:r>
      <w:r w:rsidR="00453C51" w:rsidRPr="001472C4">
        <w:rPr>
          <w:rFonts w:asciiTheme="majorHAnsi" w:hAnsiTheme="majorHAnsi" w:cs="Calibri Light"/>
          <w:sz w:val="24"/>
          <w:szCs w:val="24"/>
          <w:lang w:val="ru-MD" w:eastAsia="ru-RU"/>
        </w:rPr>
        <w:t>ь</w:t>
      </w:r>
      <w:r w:rsidR="00184562" w:rsidRPr="001472C4">
        <w:rPr>
          <w:rFonts w:asciiTheme="majorHAnsi" w:hAnsiTheme="majorHAnsi" w:cs="Calibri Light"/>
          <w:sz w:val="24"/>
          <w:szCs w:val="24"/>
          <w:lang w:val="ru-MD" w:eastAsia="ru-RU"/>
        </w:rPr>
        <w:t>, консультировани</w:t>
      </w:r>
      <w:r w:rsidR="00453C51" w:rsidRPr="001472C4">
        <w:rPr>
          <w:rFonts w:asciiTheme="majorHAnsi" w:hAnsiTheme="majorHAnsi" w:cs="Calibri Light"/>
          <w:sz w:val="24"/>
          <w:szCs w:val="24"/>
          <w:lang w:val="ru-MD" w:eastAsia="ru-RU"/>
        </w:rPr>
        <w:t>е</w:t>
      </w:r>
      <w:r w:rsidR="00184562" w:rsidRPr="001472C4">
        <w:rPr>
          <w:rFonts w:asciiTheme="majorHAnsi" w:hAnsiTheme="majorHAnsi" w:cs="Calibri Light"/>
          <w:sz w:val="24"/>
          <w:szCs w:val="24"/>
          <w:lang w:val="ru-MD" w:eastAsia="ru-RU"/>
        </w:rPr>
        <w:t>, диагностик</w:t>
      </w:r>
      <w:r w:rsidR="00453C51" w:rsidRPr="001472C4">
        <w:rPr>
          <w:rFonts w:asciiTheme="majorHAnsi" w:hAnsiTheme="majorHAnsi" w:cs="Calibri Light"/>
          <w:sz w:val="24"/>
          <w:szCs w:val="24"/>
          <w:lang w:val="ru-MD" w:eastAsia="ru-RU"/>
        </w:rPr>
        <w:t>у</w:t>
      </w:r>
      <w:r w:rsidR="00184562" w:rsidRPr="001472C4">
        <w:rPr>
          <w:rFonts w:asciiTheme="majorHAnsi" w:hAnsiTheme="majorHAnsi" w:cs="Calibri Light"/>
          <w:sz w:val="24"/>
          <w:szCs w:val="24"/>
          <w:lang w:val="ru-MD" w:eastAsia="ru-RU"/>
        </w:rPr>
        <w:t xml:space="preserve">, путем </w:t>
      </w:r>
      <w:r w:rsidR="00453C51" w:rsidRPr="001472C4">
        <w:rPr>
          <w:rFonts w:asciiTheme="majorHAnsi" w:hAnsiTheme="majorHAnsi" w:cs="Calibri Light"/>
          <w:sz w:val="24"/>
          <w:szCs w:val="24"/>
          <w:lang w:val="ru-MD" w:eastAsia="ru-RU"/>
        </w:rPr>
        <w:t>провед</w:t>
      </w:r>
      <w:r w:rsidR="00184562" w:rsidRPr="001472C4">
        <w:rPr>
          <w:rFonts w:asciiTheme="majorHAnsi" w:hAnsiTheme="majorHAnsi" w:cs="Calibri Light"/>
          <w:sz w:val="24"/>
          <w:szCs w:val="24"/>
          <w:lang w:val="ru-MD" w:eastAsia="ru-RU"/>
        </w:rPr>
        <w:t xml:space="preserve">ения консультаций, </w:t>
      </w:r>
      <w:r w:rsidR="005145B6" w:rsidRPr="001472C4">
        <w:rPr>
          <w:rFonts w:asciiTheme="majorHAnsi" w:hAnsiTheme="majorHAnsi" w:cs="Calibri Light"/>
          <w:sz w:val="24"/>
          <w:szCs w:val="24"/>
          <w:lang w:val="ru-MD" w:eastAsia="ru-RU"/>
        </w:rPr>
        <w:t>и</w:t>
      </w:r>
      <w:r w:rsidR="00184562" w:rsidRPr="001472C4">
        <w:rPr>
          <w:rFonts w:asciiTheme="majorHAnsi" w:hAnsiTheme="majorHAnsi" w:cs="Calibri Light"/>
          <w:sz w:val="24"/>
          <w:szCs w:val="24"/>
          <w:lang w:val="ru-MD" w:eastAsia="ru-RU"/>
        </w:rPr>
        <w:t xml:space="preserve">сследований, лечения, транспортировки и другой медицинской помощи больным. Кроме того, </w:t>
      </w:r>
      <w:r w:rsidRPr="001472C4">
        <w:rPr>
          <w:rFonts w:asciiTheme="majorHAnsi" w:hAnsiTheme="majorHAnsi" w:cs="Calibri Light"/>
          <w:sz w:val="24"/>
          <w:szCs w:val="24"/>
          <w:lang w:val="ru-MD" w:eastAsia="ru-RU"/>
        </w:rPr>
        <w:t>ПМСУ ИФР</w:t>
      </w:r>
      <w:r w:rsidR="00184562" w:rsidRPr="001472C4">
        <w:rPr>
          <w:rFonts w:asciiTheme="majorHAnsi" w:hAnsiTheme="majorHAnsi" w:cs="Calibri Light"/>
          <w:sz w:val="24"/>
          <w:szCs w:val="24"/>
          <w:lang w:val="ru-MD" w:eastAsia="ru-RU"/>
        </w:rPr>
        <w:t xml:space="preserve"> </w:t>
      </w:r>
      <w:r w:rsidR="001924A7" w:rsidRPr="001924A7">
        <w:rPr>
          <w:rFonts w:asciiTheme="majorHAnsi" w:hAnsiTheme="majorHAnsi" w:cs="Calibri Light"/>
          <w:sz w:val="24"/>
          <w:szCs w:val="24"/>
          <w:lang w:val="ru-RU" w:eastAsia="ru-RU"/>
        </w:rPr>
        <w:t>“</w:t>
      </w:r>
      <w:r w:rsidR="00AC00D0">
        <w:rPr>
          <w:rFonts w:asciiTheme="majorHAnsi" w:hAnsiTheme="majorHAnsi" w:cs="Calibri Light"/>
          <w:sz w:val="24"/>
          <w:szCs w:val="24"/>
          <w:lang w:val="ru-MD" w:eastAsia="ru-RU"/>
        </w:rPr>
        <w:t>Кирилл Драганюк</w:t>
      </w:r>
      <w:r w:rsidR="00F56EC1">
        <w:rPr>
          <w:rFonts w:asciiTheme="majorHAnsi" w:hAnsiTheme="majorHAnsi" w:cs="Calibri Light"/>
          <w:sz w:val="24"/>
          <w:szCs w:val="24"/>
          <w:lang w:val="ru-MD" w:eastAsia="ru-RU"/>
        </w:rPr>
        <w:t>”</w:t>
      </w:r>
      <w:r w:rsidR="00184562" w:rsidRPr="001472C4">
        <w:rPr>
          <w:rFonts w:asciiTheme="majorHAnsi" w:hAnsiTheme="majorHAnsi" w:cs="Calibri Light"/>
          <w:sz w:val="24"/>
          <w:szCs w:val="24"/>
          <w:lang w:val="ru-MD" w:eastAsia="ru-RU"/>
        </w:rPr>
        <w:t xml:space="preserve"> обеспечивает противотуберкулезны</w:t>
      </w:r>
      <w:r w:rsidR="00453C51" w:rsidRPr="001472C4">
        <w:rPr>
          <w:rFonts w:asciiTheme="majorHAnsi" w:hAnsiTheme="majorHAnsi" w:cs="Calibri Light"/>
          <w:sz w:val="24"/>
          <w:szCs w:val="24"/>
          <w:lang w:val="ru-MD" w:eastAsia="ru-RU"/>
        </w:rPr>
        <w:t>ми</w:t>
      </w:r>
      <w:r w:rsidR="00184562" w:rsidRPr="001472C4">
        <w:rPr>
          <w:rFonts w:asciiTheme="majorHAnsi" w:hAnsiTheme="majorHAnsi" w:cs="Calibri Light"/>
          <w:sz w:val="24"/>
          <w:szCs w:val="24"/>
          <w:lang w:val="ru-MD" w:eastAsia="ru-RU"/>
        </w:rPr>
        <w:t xml:space="preserve"> препарат</w:t>
      </w:r>
      <w:r w:rsidR="00453C51" w:rsidRPr="001472C4">
        <w:rPr>
          <w:rFonts w:asciiTheme="majorHAnsi" w:hAnsiTheme="majorHAnsi" w:cs="Calibri Light"/>
          <w:sz w:val="24"/>
          <w:szCs w:val="24"/>
          <w:lang w:val="ru-MD" w:eastAsia="ru-RU"/>
        </w:rPr>
        <w:t>ами</w:t>
      </w:r>
      <w:r w:rsidR="00184562" w:rsidRPr="001472C4">
        <w:rPr>
          <w:rFonts w:asciiTheme="majorHAnsi" w:hAnsiTheme="majorHAnsi" w:cs="Calibri Light"/>
          <w:sz w:val="24"/>
          <w:szCs w:val="24"/>
          <w:lang w:val="ru-MD" w:eastAsia="ru-RU"/>
        </w:rPr>
        <w:t xml:space="preserve"> и медицински</w:t>
      </w:r>
      <w:r w:rsidR="00453C51" w:rsidRPr="001472C4">
        <w:rPr>
          <w:rFonts w:asciiTheme="majorHAnsi" w:hAnsiTheme="majorHAnsi" w:cs="Calibri Light"/>
          <w:sz w:val="24"/>
          <w:szCs w:val="24"/>
          <w:lang w:val="ru-MD" w:eastAsia="ru-RU"/>
        </w:rPr>
        <w:t>ми</w:t>
      </w:r>
      <w:r w:rsidR="00184562" w:rsidRPr="001472C4">
        <w:rPr>
          <w:rFonts w:asciiTheme="majorHAnsi" w:hAnsiTheme="majorHAnsi" w:cs="Calibri Light"/>
          <w:sz w:val="24"/>
          <w:szCs w:val="24"/>
          <w:lang w:val="ru-MD" w:eastAsia="ru-RU"/>
        </w:rPr>
        <w:t xml:space="preserve"> устройств</w:t>
      </w:r>
      <w:r w:rsidR="00453C51" w:rsidRPr="001472C4">
        <w:rPr>
          <w:rFonts w:asciiTheme="majorHAnsi" w:hAnsiTheme="majorHAnsi" w:cs="Calibri Light"/>
          <w:sz w:val="24"/>
          <w:szCs w:val="24"/>
          <w:lang w:val="ru-MD" w:eastAsia="ru-RU"/>
        </w:rPr>
        <w:t>ами</w:t>
      </w:r>
      <w:r w:rsidR="00184562" w:rsidRPr="001472C4">
        <w:rPr>
          <w:rFonts w:asciiTheme="majorHAnsi" w:hAnsiTheme="majorHAnsi" w:cs="Calibri Light"/>
          <w:sz w:val="24"/>
          <w:szCs w:val="24"/>
          <w:lang w:val="ru-MD" w:eastAsia="ru-RU"/>
        </w:rPr>
        <w:t xml:space="preserve"> </w:t>
      </w:r>
      <w:r w:rsidR="00453C51" w:rsidRPr="001472C4">
        <w:rPr>
          <w:rFonts w:asciiTheme="majorHAnsi" w:hAnsiTheme="majorHAnsi" w:cs="Calibri Light"/>
          <w:sz w:val="24"/>
          <w:szCs w:val="24"/>
          <w:lang w:val="ru-MD" w:eastAsia="ru-RU"/>
        </w:rPr>
        <w:t xml:space="preserve">для установления </w:t>
      </w:r>
      <w:r w:rsidR="00184562" w:rsidRPr="001472C4">
        <w:rPr>
          <w:rFonts w:asciiTheme="majorHAnsi" w:hAnsiTheme="majorHAnsi" w:cs="Calibri Light"/>
          <w:sz w:val="24"/>
          <w:szCs w:val="24"/>
          <w:lang w:val="ru-MD" w:eastAsia="ru-RU"/>
        </w:rPr>
        <w:t>диагно</w:t>
      </w:r>
      <w:r w:rsidR="00453C51" w:rsidRPr="001472C4">
        <w:rPr>
          <w:rFonts w:asciiTheme="majorHAnsi" w:hAnsiTheme="majorHAnsi" w:cs="Calibri Light"/>
          <w:sz w:val="24"/>
          <w:szCs w:val="24"/>
          <w:lang w:val="ru-MD" w:eastAsia="ru-RU"/>
        </w:rPr>
        <w:t>за</w:t>
      </w:r>
      <w:r w:rsidR="00184562" w:rsidRPr="001472C4">
        <w:rPr>
          <w:rFonts w:asciiTheme="majorHAnsi" w:hAnsiTheme="majorHAnsi" w:cs="Calibri Light"/>
          <w:sz w:val="24"/>
          <w:szCs w:val="24"/>
          <w:lang w:val="ru-MD" w:eastAsia="ru-RU"/>
        </w:rPr>
        <w:t xml:space="preserve"> туберкулез</w:t>
      </w:r>
      <w:r w:rsidR="00453C51" w:rsidRPr="001472C4">
        <w:rPr>
          <w:rFonts w:asciiTheme="majorHAnsi" w:hAnsiTheme="majorHAnsi" w:cs="Calibri Light"/>
          <w:sz w:val="24"/>
          <w:szCs w:val="24"/>
          <w:lang w:val="ru-MD" w:eastAsia="ru-RU"/>
        </w:rPr>
        <w:t>ы</w:t>
      </w:r>
      <w:r w:rsidR="00184562" w:rsidRPr="001472C4">
        <w:rPr>
          <w:rFonts w:asciiTheme="majorHAnsi" w:hAnsiTheme="majorHAnsi" w:cs="Calibri Light"/>
          <w:sz w:val="24"/>
          <w:szCs w:val="24"/>
          <w:lang w:val="ru-MD" w:eastAsia="ru-RU"/>
        </w:rPr>
        <w:t xml:space="preserve"> и </w:t>
      </w:r>
      <w:r w:rsidR="00453C51" w:rsidRPr="001472C4">
        <w:rPr>
          <w:rFonts w:asciiTheme="majorHAnsi" w:hAnsiTheme="majorHAnsi" w:cs="Calibri Light"/>
          <w:sz w:val="24"/>
          <w:szCs w:val="24"/>
          <w:lang w:val="ru-MD" w:eastAsia="ru-RU"/>
        </w:rPr>
        <w:t xml:space="preserve">обеспечения </w:t>
      </w:r>
      <w:r w:rsidR="00184562" w:rsidRPr="001472C4">
        <w:rPr>
          <w:rFonts w:asciiTheme="majorHAnsi" w:hAnsiTheme="majorHAnsi" w:cs="Calibri Light"/>
          <w:sz w:val="24"/>
          <w:szCs w:val="24"/>
          <w:lang w:val="ru-MD" w:eastAsia="ru-RU"/>
        </w:rPr>
        <w:t>мониторинг</w:t>
      </w:r>
      <w:r w:rsidR="00453C51" w:rsidRPr="001472C4">
        <w:rPr>
          <w:rFonts w:asciiTheme="majorHAnsi" w:hAnsiTheme="majorHAnsi" w:cs="Calibri Light"/>
          <w:sz w:val="24"/>
          <w:szCs w:val="24"/>
          <w:lang w:val="ru-MD" w:eastAsia="ru-RU"/>
        </w:rPr>
        <w:t>а</w:t>
      </w:r>
      <w:r w:rsidR="00184562" w:rsidRPr="001472C4">
        <w:rPr>
          <w:rFonts w:asciiTheme="majorHAnsi" w:hAnsiTheme="majorHAnsi" w:cs="Calibri Light"/>
          <w:sz w:val="24"/>
          <w:szCs w:val="24"/>
          <w:lang w:val="ru-MD" w:eastAsia="ru-RU"/>
        </w:rPr>
        <w:t xml:space="preserve"> эффективности лечения</w:t>
      </w:r>
      <w:r w:rsidR="006327C5" w:rsidRPr="001472C4">
        <w:rPr>
          <w:rFonts w:asciiTheme="majorHAnsi" w:hAnsiTheme="majorHAnsi" w:cs="Calibri Light"/>
          <w:sz w:val="24"/>
          <w:szCs w:val="28"/>
          <w:lang w:val="ru-MD"/>
        </w:rPr>
        <w:t>.</w:t>
      </w:r>
    </w:p>
    <w:p w14:paraId="48FC026C" w14:textId="353E6679" w:rsidR="006A58F1" w:rsidRPr="001472C4" w:rsidRDefault="00453C51" w:rsidP="002418A9">
      <w:pPr>
        <w:spacing w:line="276" w:lineRule="auto"/>
        <w:jc w:val="both"/>
        <w:rPr>
          <w:rFonts w:asciiTheme="majorHAnsi" w:eastAsia="Times New Roman" w:hAnsiTheme="majorHAnsi" w:cstheme="majorHAnsi"/>
          <w:sz w:val="24"/>
          <w:szCs w:val="24"/>
          <w:lang w:val="ru-MD" w:eastAsia="ro-MD"/>
        </w:rPr>
      </w:pPr>
      <w:r w:rsidRPr="001472C4">
        <w:rPr>
          <w:rFonts w:asciiTheme="majorHAnsi" w:hAnsiTheme="majorHAnsi" w:cs="Calibri Light"/>
          <w:sz w:val="24"/>
          <w:szCs w:val="24"/>
          <w:lang w:val="ru-MD" w:eastAsia="ru-RU"/>
        </w:rPr>
        <w:t>ПМСУ Институт Фтизиопульмонологии</w:t>
      </w:r>
      <w:r w:rsidR="006A58F1" w:rsidRPr="001472C4">
        <w:rPr>
          <w:rFonts w:asciiTheme="majorHAnsi" w:eastAsia="Times New Roman" w:hAnsiTheme="majorHAnsi" w:cstheme="majorHAnsi"/>
          <w:sz w:val="24"/>
          <w:szCs w:val="24"/>
          <w:lang w:val="ru-MD" w:eastAsia="ro-MD"/>
        </w:rPr>
        <w:t xml:space="preserve"> </w:t>
      </w:r>
      <w:r w:rsidR="00AC00D0" w:rsidRPr="00AC00D0">
        <w:rPr>
          <w:rFonts w:asciiTheme="majorHAnsi" w:eastAsia="Times New Roman" w:hAnsiTheme="majorHAnsi" w:cstheme="majorHAnsi"/>
          <w:sz w:val="24"/>
          <w:szCs w:val="24"/>
          <w:lang w:val="ru-RU" w:eastAsia="ro-MD"/>
        </w:rPr>
        <w:t>"</w:t>
      </w:r>
      <w:r w:rsidR="001924A7">
        <w:rPr>
          <w:rFonts w:asciiTheme="majorHAnsi" w:eastAsia="Times New Roman" w:hAnsiTheme="majorHAnsi" w:cstheme="majorHAnsi"/>
          <w:sz w:val="24"/>
          <w:szCs w:val="24"/>
          <w:lang w:val="ru-MD" w:eastAsia="ro-MD"/>
        </w:rPr>
        <w:t>Кирилл Драганюк”</w:t>
      </w:r>
      <w:r w:rsidR="006A58F1" w:rsidRPr="001472C4">
        <w:rPr>
          <w:rFonts w:asciiTheme="majorHAnsi" w:eastAsia="Times New Roman" w:hAnsiTheme="majorHAnsi" w:cstheme="majorHAnsi"/>
          <w:sz w:val="24"/>
          <w:szCs w:val="24"/>
          <w:lang w:val="ru-MD" w:eastAsia="ro-MD"/>
        </w:rPr>
        <w:t xml:space="preserve"> </w:t>
      </w:r>
      <w:r w:rsidRPr="001472C4">
        <w:rPr>
          <w:rFonts w:asciiTheme="majorHAnsi" w:eastAsia="Times New Roman" w:hAnsiTheme="majorHAnsi" w:cstheme="majorHAnsi"/>
          <w:sz w:val="24"/>
          <w:szCs w:val="24"/>
          <w:lang w:val="ru-MD" w:eastAsia="ro-MD"/>
        </w:rPr>
        <w:t xml:space="preserve">осуществояет свою деятельность </w:t>
      </w:r>
      <w:r w:rsidR="00184562" w:rsidRPr="001472C4">
        <w:rPr>
          <w:rFonts w:asciiTheme="majorHAnsi" w:eastAsia="Times New Roman" w:hAnsiTheme="majorHAnsi" w:cstheme="majorHAnsi"/>
          <w:sz w:val="24"/>
          <w:szCs w:val="24"/>
          <w:lang w:val="ru-MD" w:eastAsia="ro-MD"/>
        </w:rPr>
        <w:t xml:space="preserve">по принципу финансовой </w:t>
      </w:r>
      <w:r w:rsidRPr="001472C4">
        <w:rPr>
          <w:rFonts w:asciiTheme="majorHAnsi" w:eastAsia="Times New Roman" w:hAnsiTheme="majorHAnsi" w:cstheme="majorHAnsi"/>
          <w:sz w:val="24"/>
          <w:szCs w:val="24"/>
          <w:lang w:val="ru-MD" w:eastAsia="ro-MD"/>
        </w:rPr>
        <w:t xml:space="preserve">автономии </w:t>
      </w:r>
      <w:r w:rsidR="00184562" w:rsidRPr="001472C4">
        <w:rPr>
          <w:rFonts w:asciiTheme="majorHAnsi" w:eastAsia="Times New Roman" w:hAnsiTheme="majorHAnsi" w:cstheme="majorHAnsi"/>
          <w:sz w:val="24"/>
          <w:szCs w:val="24"/>
          <w:lang w:val="ru-MD" w:eastAsia="ro-MD"/>
        </w:rPr>
        <w:t>и некоммерческой</w:t>
      </w:r>
      <w:r w:rsidRPr="001472C4">
        <w:rPr>
          <w:rFonts w:asciiTheme="majorHAnsi" w:eastAsia="Times New Roman" w:hAnsiTheme="majorHAnsi" w:cstheme="majorHAnsi"/>
          <w:sz w:val="24"/>
          <w:szCs w:val="24"/>
          <w:lang w:val="ru-MD" w:eastAsia="ro-MD"/>
        </w:rPr>
        <w:t xml:space="preserve"> деятельности</w:t>
      </w:r>
      <w:r w:rsidR="00184562" w:rsidRPr="001472C4">
        <w:rPr>
          <w:rFonts w:asciiTheme="majorHAnsi" w:eastAsia="Times New Roman" w:hAnsiTheme="majorHAnsi" w:cstheme="majorHAnsi"/>
          <w:sz w:val="24"/>
          <w:szCs w:val="24"/>
          <w:lang w:val="ru-MD" w:eastAsia="ro-MD"/>
        </w:rPr>
        <w:t xml:space="preserve">. Финансовые средства поступают из фондов обязательного медицинского страхования, по </w:t>
      </w:r>
      <w:r w:rsidRPr="001472C4">
        <w:rPr>
          <w:rFonts w:asciiTheme="majorHAnsi" w:eastAsia="Times New Roman" w:hAnsiTheme="majorHAnsi" w:cstheme="majorHAnsi"/>
          <w:sz w:val="24"/>
          <w:szCs w:val="24"/>
          <w:lang w:val="ru-MD" w:eastAsia="ro-MD"/>
        </w:rPr>
        <w:t>договор</w:t>
      </w:r>
      <w:r w:rsidR="00184562" w:rsidRPr="001472C4">
        <w:rPr>
          <w:rFonts w:asciiTheme="majorHAnsi" w:eastAsia="Times New Roman" w:hAnsiTheme="majorHAnsi" w:cstheme="majorHAnsi"/>
          <w:sz w:val="24"/>
          <w:szCs w:val="24"/>
          <w:lang w:val="ru-MD" w:eastAsia="ro-MD"/>
        </w:rPr>
        <w:t>ам, заключенным с Национальной медицинской страховой компанией, из источников государственного бюджета и местных бюджетов, из доходов, собранных учреждением, а также из других источников, разрешенных законодательством (пожертвования, спонсорство и т. д.)</w:t>
      </w:r>
      <w:r w:rsidR="00111DD0" w:rsidRPr="001472C4">
        <w:rPr>
          <w:rFonts w:asciiTheme="majorHAnsi" w:eastAsia="Times New Roman" w:hAnsiTheme="majorHAnsi" w:cstheme="majorHAnsi"/>
          <w:sz w:val="24"/>
          <w:szCs w:val="24"/>
          <w:lang w:val="ru-MD" w:eastAsia="ro-MD"/>
        </w:rPr>
        <w:t>.</w:t>
      </w:r>
      <w:r w:rsidR="00184562" w:rsidRPr="001472C4">
        <w:rPr>
          <w:rFonts w:asciiTheme="majorHAnsi" w:eastAsia="Times New Roman" w:hAnsiTheme="majorHAnsi" w:cstheme="majorHAnsi"/>
          <w:sz w:val="24"/>
          <w:szCs w:val="24"/>
          <w:lang w:val="ru-MD" w:eastAsia="ro-MD"/>
        </w:rPr>
        <w:t xml:space="preserve"> </w:t>
      </w:r>
    </w:p>
    <w:p w14:paraId="06F5D0DD" w14:textId="750B404C" w:rsidR="006A58F1" w:rsidRPr="00B13B9A" w:rsidRDefault="00184562" w:rsidP="002418A9">
      <w:pPr>
        <w:pStyle w:val="cn"/>
        <w:spacing w:line="276" w:lineRule="auto"/>
        <w:ind w:right="71"/>
        <w:jc w:val="both"/>
        <w:rPr>
          <w:rFonts w:asciiTheme="majorHAnsi" w:hAnsiTheme="majorHAnsi" w:cstheme="majorHAnsi"/>
          <w:bCs/>
          <w:color w:val="000000" w:themeColor="text1"/>
          <w:lang w:val="ro-MD"/>
        </w:rPr>
      </w:pPr>
      <w:r w:rsidRPr="001472C4">
        <w:rPr>
          <w:rFonts w:asciiTheme="majorHAnsi" w:hAnsiTheme="majorHAnsi" w:cstheme="majorHAnsi"/>
          <w:bCs/>
          <w:color w:val="000000" w:themeColor="text1"/>
          <w:lang w:val="ru-MD"/>
        </w:rPr>
        <w:t>Миссия аудита была сосредоточена на целенаправленном анализе не</w:t>
      </w:r>
      <w:r w:rsidR="00053BC3" w:rsidRPr="001472C4">
        <w:rPr>
          <w:rFonts w:asciiTheme="majorHAnsi" w:hAnsiTheme="majorHAnsi" w:cstheme="majorHAnsi"/>
          <w:bCs/>
          <w:color w:val="000000" w:themeColor="text1"/>
          <w:lang w:val="ru-MD"/>
        </w:rPr>
        <w:t>которы</w:t>
      </w:r>
      <w:r w:rsidRPr="001472C4">
        <w:rPr>
          <w:rFonts w:asciiTheme="majorHAnsi" w:hAnsiTheme="majorHAnsi" w:cstheme="majorHAnsi"/>
          <w:bCs/>
          <w:color w:val="000000" w:themeColor="text1"/>
          <w:lang w:val="ru-MD"/>
        </w:rPr>
        <w:t>х процессов/</w:t>
      </w:r>
      <w:r w:rsidR="00053BC3" w:rsidRPr="001472C4">
        <w:rPr>
          <w:rFonts w:asciiTheme="majorHAnsi" w:hAnsiTheme="majorHAnsi" w:cstheme="majorHAnsi"/>
          <w:bCs/>
          <w:color w:val="000000" w:themeColor="text1"/>
          <w:lang w:val="ru-MD"/>
        </w:rPr>
        <w:t>видов деятельности</w:t>
      </w:r>
      <w:r w:rsidRPr="001472C4">
        <w:rPr>
          <w:rFonts w:asciiTheme="majorHAnsi" w:hAnsiTheme="majorHAnsi" w:cstheme="majorHAnsi"/>
          <w:bCs/>
          <w:color w:val="000000" w:themeColor="text1"/>
          <w:lang w:val="ru-MD"/>
        </w:rPr>
        <w:t xml:space="preserve"> в рамках </w:t>
      </w:r>
      <w:r w:rsidR="00053BC3" w:rsidRPr="001472C4">
        <w:rPr>
          <w:rFonts w:asciiTheme="majorHAnsi" w:hAnsiTheme="majorHAnsi" w:cstheme="majorHAnsi"/>
          <w:bCs/>
          <w:color w:val="000000" w:themeColor="text1"/>
          <w:lang w:val="ru-MD"/>
        </w:rPr>
        <w:t>ПМСУ</w:t>
      </w:r>
      <w:r w:rsidRPr="001472C4">
        <w:rPr>
          <w:rFonts w:asciiTheme="majorHAnsi" w:hAnsiTheme="majorHAnsi" w:cstheme="majorHAnsi"/>
          <w:bCs/>
          <w:color w:val="000000" w:themeColor="text1"/>
          <w:lang w:val="ru-MD"/>
        </w:rPr>
        <w:t xml:space="preserve"> Институт Фтизиоп</w:t>
      </w:r>
      <w:r w:rsidR="001472C4">
        <w:rPr>
          <w:rFonts w:asciiTheme="majorHAnsi" w:hAnsiTheme="majorHAnsi" w:cstheme="majorHAnsi"/>
          <w:bCs/>
          <w:color w:val="000000" w:themeColor="text1"/>
          <w:lang w:val="ru-MD"/>
        </w:rPr>
        <w:t>ульмон</w:t>
      </w:r>
      <w:r w:rsidRPr="001472C4">
        <w:rPr>
          <w:rFonts w:asciiTheme="majorHAnsi" w:hAnsiTheme="majorHAnsi" w:cstheme="majorHAnsi"/>
          <w:bCs/>
          <w:color w:val="000000" w:themeColor="text1"/>
          <w:lang w:val="ru-MD"/>
        </w:rPr>
        <w:t xml:space="preserve">ологии им. Кирилла Драганюка, </w:t>
      </w:r>
      <w:r w:rsidR="00053BC3" w:rsidRPr="001472C4">
        <w:rPr>
          <w:rFonts w:asciiTheme="majorHAnsi" w:hAnsiTheme="majorHAnsi" w:cstheme="majorHAnsi"/>
          <w:bCs/>
          <w:color w:val="000000" w:themeColor="text1"/>
          <w:lang w:val="ru-MD"/>
        </w:rPr>
        <w:t>реализова</w:t>
      </w:r>
      <w:r w:rsidRPr="001472C4">
        <w:rPr>
          <w:rFonts w:asciiTheme="majorHAnsi" w:hAnsiTheme="majorHAnsi" w:cstheme="majorHAnsi"/>
          <w:bCs/>
          <w:color w:val="000000" w:themeColor="text1"/>
          <w:lang w:val="ru-MD"/>
        </w:rPr>
        <w:t>нных в период с 2021 по 2023 год (6 месяцев), таких</w:t>
      </w:r>
      <w:r w:rsidR="00053BC3" w:rsidRPr="001472C4">
        <w:rPr>
          <w:rFonts w:asciiTheme="majorHAnsi" w:hAnsiTheme="majorHAnsi" w:cstheme="majorHAnsi"/>
          <w:bCs/>
          <w:color w:val="000000" w:themeColor="text1"/>
          <w:lang w:val="ru-MD"/>
        </w:rPr>
        <w:t>,</w:t>
      </w:r>
      <w:r w:rsidRPr="001472C4">
        <w:rPr>
          <w:rFonts w:asciiTheme="majorHAnsi" w:hAnsiTheme="majorHAnsi" w:cstheme="majorHAnsi"/>
          <w:bCs/>
          <w:color w:val="000000" w:themeColor="text1"/>
          <w:lang w:val="ru-MD"/>
        </w:rPr>
        <w:t xml:space="preserve"> как: процесс управления </w:t>
      </w:r>
      <w:r w:rsidR="00053BC3" w:rsidRPr="001472C4">
        <w:rPr>
          <w:rFonts w:asciiTheme="majorHAnsi" w:hAnsiTheme="majorHAnsi" w:cstheme="majorHAnsi"/>
          <w:bCs/>
          <w:color w:val="000000" w:themeColor="text1"/>
          <w:lang w:val="ru-MD"/>
        </w:rPr>
        <w:t>публичными средствами и имуществом</w:t>
      </w:r>
      <w:r w:rsidRPr="001472C4">
        <w:rPr>
          <w:rFonts w:asciiTheme="majorHAnsi" w:hAnsiTheme="majorHAnsi" w:cstheme="majorHAnsi"/>
          <w:bCs/>
          <w:color w:val="000000" w:themeColor="text1"/>
          <w:lang w:val="ru-MD"/>
        </w:rPr>
        <w:t xml:space="preserve">; соблюдение условий при проведении процесса государственных закупок; администрирование </w:t>
      </w:r>
      <w:r w:rsidR="00053BC3" w:rsidRPr="001472C4">
        <w:rPr>
          <w:rFonts w:asciiTheme="majorHAnsi" w:hAnsiTheme="majorHAnsi" w:cstheme="majorHAnsi"/>
          <w:bCs/>
          <w:color w:val="000000" w:themeColor="text1"/>
          <w:lang w:val="ru-MD"/>
        </w:rPr>
        <w:t>публич</w:t>
      </w:r>
      <w:r w:rsidRPr="001472C4">
        <w:rPr>
          <w:rFonts w:asciiTheme="majorHAnsi" w:hAnsiTheme="majorHAnsi" w:cstheme="majorHAnsi"/>
          <w:bCs/>
          <w:color w:val="000000" w:themeColor="text1"/>
          <w:lang w:val="ru-MD"/>
        </w:rPr>
        <w:t xml:space="preserve">ных и собственных доходов; соблюдение </w:t>
      </w:r>
      <w:r w:rsidR="00053BC3" w:rsidRPr="001472C4">
        <w:rPr>
          <w:rFonts w:asciiTheme="majorHAnsi" w:hAnsiTheme="majorHAnsi" w:cstheme="majorHAnsi"/>
          <w:bCs/>
          <w:color w:val="000000" w:themeColor="text1"/>
          <w:lang w:val="ru-MD"/>
        </w:rPr>
        <w:t>законодательн</w:t>
      </w:r>
      <w:r w:rsidRPr="001472C4">
        <w:rPr>
          <w:rFonts w:asciiTheme="majorHAnsi" w:hAnsiTheme="majorHAnsi" w:cstheme="majorHAnsi"/>
          <w:bCs/>
          <w:color w:val="000000" w:themeColor="text1"/>
          <w:lang w:val="ru-MD"/>
        </w:rPr>
        <w:t xml:space="preserve">ых положений при осуществлении расходов, особенно в процессе начисления заработной платы </w:t>
      </w:r>
      <w:r w:rsidR="00053BC3" w:rsidRPr="001472C4">
        <w:rPr>
          <w:rFonts w:asciiTheme="majorHAnsi" w:hAnsiTheme="majorHAnsi" w:cstheme="majorHAnsi"/>
          <w:bCs/>
          <w:color w:val="000000" w:themeColor="text1"/>
          <w:lang w:val="ru-MD"/>
        </w:rPr>
        <w:t>сотруд</w:t>
      </w:r>
      <w:r w:rsidRPr="001472C4">
        <w:rPr>
          <w:rFonts w:asciiTheme="majorHAnsi" w:hAnsiTheme="majorHAnsi" w:cstheme="majorHAnsi"/>
          <w:bCs/>
          <w:color w:val="000000" w:themeColor="text1"/>
          <w:lang w:val="ru-MD"/>
        </w:rPr>
        <w:t xml:space="preserve">никам, на питание, лекарства и т. д., </w:t>
      </w:r>
      <w:r w:rsidR="00053BC3" w:rsidRPr="001472C4">
        <w:rPr>
          <w:rFonts w:asciiTheme="majorHAnsi" w:hAnsiTheme="majorHAnsi" w:cstheme="majorHAnsi"/>
          <w:bCs/>
          <w:color w:val="000000" w:themeColor="text1"/>
          <w:lang w:val="ru-MD"/>
        </w:rPr>
        <w:t xml:space="preserve">с </w:t>
      </w:r>
      <w:r w:rsidRPr="001472C4">
        <w:rPr>
          <w:rFonts w:asciiTheme="majorHAnsi" w:hAnsiTheme="majorHAnsi" w:cstheme="majorHAnsi"/>
          <w:bCs/>
          <w:color w:val="000000" w:themeColor="text1"/>
          <w:lang w:val="ru-MD"/>
        </w:rPr>
        <w:t>обеспечение</w:t>
      </w:r>
      <w:r w:rsidR="00053BC3" w:rsidRPr="001472C4">
        <w:rPr>
          <w:rFonts w:asciiTheme="majorHAnsi" w:hAnsiTheme="majorHAnsi" w:cstheme="majorHAnsi"/>
          <w:bCs/>
          <w:color w:val="000000" w:themeColor="text1"/>
          <w:lang w:val="ru-MD"/>
        </w:rPr>
        <w:t>м</w:t>
      </w:r>
      <w:r w:rsidRPr="001472C4">
        <w:rPr>
          <w:rFonts w:asciiTheme="majorHAnsi" w:hAnsiTheme="majorHAnsi" w:cstheme="majorHAnsi"/>
          <w:bCs/>
          <w:color w:val="000000" w:themeColor="text1"/>
          <w:lang w:val="ru-MD"/>
        </w:rPr>
        <w:t xml:space="preserve"> ограниченно</w:t>
      </w:r>
      <w:r w:rsidR="00053BC3" w:rsidRPr="001472C4">
        <w:rPr>
          <w:rFonts w:asciiTheme="majorHAnsi" w:hAnsiTheme="majorHAnsi" w:cstheme="majorHAnsi"/>
          <w:bCs/>
          <w:color w:val="000000" w:themeColor="text1"/>
          <w:lang w:val="ru-MD"/>
        </w:rPr>
        <w:t>й уверенности</w:t>
      </w:r>
      <w:r w:rsidR="002418A9" w:rsidRPr="00B13B9A">
        <w:rPr>
          <w:rFonts w:asciiTheme="majorHAnsi" w:hAnsiTheme="majorHAnsi" w:cstheme="majorHAnsi"/>
          <w:color w:val="000000" w:themeColor="text1"/>
          <w:lang w:val="ro-MD"/>
        </w:rPr>
        <w:t>.</w:t>
      </w:r>
    </w:p>
    <w:p w14:paraId="1F5A69C8" w14:textId="77777777" w:rsidR="009359E0" w:rsidRPr="00B13B9A" w:rsidRDefault="009359E0" w:rsidP="00DA7A12">
      <w:pPr>
        <w:pStyle w:val="cn"/>
        <w:spacing w:line="276" w:lineRule="auto"/>
        <w:jc w:val="both"/>
        <w:rPr>
          <w:rFonts w:asciiTheme="majorHAnsi" w:hAnsiTheme="majorHAnsi" w:cstheme="majorHAnsi"/>
          <w:lang w:val="ro-MD" w:eastAsia="ro-MD"/>
        </w:rPr>
      </w:pPr>
    </w:p>
    <w:p w14:paraId="6A98D9AC" w14:textId="3B0BCF09" w:rsidR="006354E6" w:rsidRPr="00770882" w:rsidRDefault="00053BC3" w:rsidP="006354E6">
      <w:pPr>
        <w:tabs>
          <w:tab w:val="left" w:pos="720"/>
        </w:tabs>
        <w:spacing w:after="0" w:line="276" w:lineRule="auto"/>
        <w:outlineLvl w:val="1"/>
        <w:rPr>
          <w:rFonts w:asciiTheme="majorHAnsi" w:hAnsiTheme="majorHAnsi" w:cstheme="majorHAnsi"/>
          <w:b/>
          <w:color w:val="00B0F0"/>
          <w:sz w:val="24"/>
          <w:szCs w:val="24"/>
          <w:lang w:val="ru-MD"/>
        </w:rPr>
      </w:pPr>
      <w:bookmarkStart w:id="7" w:name="_Toc158317218"/>
      <w:r w:rsidRPr="00770882">
        <w:rPr>
          <w:rFonts w:asciiTheme="majorHAnsi" w:hAnsiTheme="majorHAnsi" w:cstheme="majorHAnsi"/>
          <w:b/>
          <w:bCs/>
          <w:color w:val="00B0F0"/>
          <w:sz w:val="24"/>
          <w:szCs w:val="24"/>
          <w:lang w:val="ru-MD"/>
        </w:rPr>
        <w:t>Управляемое имущество</w:t>
      </w:r>
      <w:bookmarkEnd w:id="7"/>
      <w:r w:rsidRPr="00770882">
        <w:rPr>
          <w:rFonts w:asciiTheme="majorHAnsi" w:hAnsiTheme="majorHAnsi" w:cstheme="majorHAnsi"/>
          <w:b/>
          <w:color w:val="00B0F0"/>
          <w:sz w:val="24"/>
          <w:szCs w:val="24"/>
          <w:lang w:val="ru-MD"/>
        </w:rPr>
        <w:t xml:space="preserve"> </w:t>
      </w:r>
    </w:p>
    <w:p w14:paraId="04E38849" w14:textId="452D41E2" w:rsidR="006354E6" w:rsidRPr="00770882" w:rsidRDefault="00053BC3" w:rsidP="006354E6">
      <w:pPr>
        <w:spacing w:line="276" w:lineRule="auto"/>
        <w:jc w:val="both"/>
        <w:rPr>
          <w:rFonts w:asciiTheme="majorHAnsi" w:hAnsiTheme="majorHAnsi" w:cstheme="majorHAnsi"/>
          <w:color w:val="000000" w:themeColor="text1"/>
          <w:sz w:val="24"/>
          <w:szCs w:val="24"/>
          <w:lang w:val="ru-MD"/>
        </w:rPr>
      </w:pPr>
      <w:r w:rsidRPr="00770882">
        <w:rPr>
          <w:rFonts w:asciiTheme="majorHAnsi" w:hAnsiTheme="majorHAnsi" w:cstheme="majorHAnsi"/>
          <w:color w:val="000000" w:themeColor="text1"/>
          <w:sz w:val="24"/>
          <w:szCs w:val="24"/>
          <w:lang w:val="ru-MD"/>
        </w:rPr>
        <w:t xml:space="preserve">Имущество, которым управляет </w:t>
      </w:r>
      <w:r w:rsidR="00944374" w:rsidRPr="00770882">
        <w:rPr>
          <w:rFonts w:asciiTheme="majorHAnsi" w:hAnsiTheme="majorHAnsi" w:cstheme="majorHAnsi"/>
          <w:color w:val="000000" w:themeColor="text1"/>
          <w:sz w:val="24"/>
          <w:szCs w:val="24"/>
          <w:lang w:val="ru-MD"/>
        </w:rPr>
        <w:t>ПМСУ</w:t>
      </w:r>
      <w:r w:rsidRPr="00770882">
        <w:rPr>
          <w:rFonts w:asciiTheme="majorHAnsi" w:hAnsiTheme="majorHAnsi" w:cstheme="majorHAnsi"/>
          <w:color w:val="000000" w:themeColor="text1"/>
          <w:sz w:val="24"/>
          <w:szCs w:val="24"/>
          <w:lang w:val="ru-MD"/>
        </w:rPr>
        <w:t xml:space="preserve">, полностью принадлежит государству, а </w:t>
      </w:r>
      <w:r w:rsidR="00944374" w:rsidRPr="00770882">
        <w:rPr>
          <w:rFonts w:asciiTheme="majorHAnsi" w:hAnsiTheme="majorHAnsi" w:cstheme="majorHAnsi"/>
          <w:color w:val="000000" w:themeColor="text1"/>
          <w:sz w:val="24"/>
          <w:szCs w:val="24"/>
          <w:lang w:val="ru-MD"/>
        </w:rPr>
        <w:t>в</w:t>
      </w:r>
      <w:r w:rsidRPr="00770882">
        <w:rPr>
          <w:rFonts w:asciiTheme="majorHAnsi" w:hAnsiTheme="majorHAnsi" w:cstheme="majorHAnsi"/>
          <w:color w:val="000000" w:themeColor="text1"/>
          <w:sz w:val="24"/>
          <w:szCs w:val="24"/>
          <w:lang w:val="ru-MD"/>
        </w:rPr>
        <w:t xml:space="preserve"> аспект</w:t>
      </w:r>
      <w:r w:rsidR="00944374" w:rsidRPr="00770882">
        <w:rPr>
          <w:rFonts w:asciiTheme="majorHAnsi" w:hAnsiTheme="majorHAnsi" w:cstheme="majorHAnsi"/>
          <w:color w:val="000000" w:themeColor="text1"/>
          <w:sz w:val="24"/>
          <w:szCs w:val="24"/>
          <w:lang w:val="ru-MD"/>
        </w:rPr>
        <w:t>е</w:t>
      </w:r>
      <w:r w:rsidRPr="00770882">
        <w:rPr>
          <w:rFonts w:asciiTheme="majorHAnsi" w:hAnsiTheme="majorHAnsi" w:cstheme="majorHAnsi"/>
          <w:color w:val="000000" w:themeColor="text1"/>
          <w:sz w:val="24"/>
          <w:szCs w:val="24"/>
          <w:lang w:val="ru-MD"/>
        </w:rPr>
        <w:t xml:space="preserve"> </w:t>
      </w:r>
      <w:r w:rsidR="00944374" w:rsidRPr="00770882">
        <w:rPr>
          <w:rFonts w:asciiTheme="majorHAnsi" w:hAnsiTheme="majorHAnsi" w:cstheme="majorHAnsi"/>
          <w:color w:val="000000" w:themeColor="text1"/>
          <w:sz w:val="24"/>
          <w:szCs w:val="24"/>
          <w:lang w:val="ru-MD"/>
        </w:rPr>
        <w:t>налич</w:t>
      </w:r>
      <w:r w:rsidRPr="00770882">
        <w:rPr>
          <w:rFonts w:asciiTheme="majorHAnsi" w:hAnsiTheme="majorHAnsi" w:cstheme="majorHAnsi"/>
          <w:color w:val="000000" w:themeColor="text1"/>
          <w:sz w:val="24"/>
          <w:szCs w:val="24"/>
          <w:lang w:val="ru-MD"/>
        </w:rPr>
        <w:t>ия и материального состава</w:t>
      </w:r>
      <w:r w:rsidR="00944374" w:rsidRPr="00770882">
        <w:rPr>
          <w:rFonts w:asciiTheme="majorHAnsi" w:hAnsiTheme="majorHAnsi" w:cstheme="majorHAnsi"/>
          <w:color w:val="000000" w:themeColor="text1"/>
          <w:sz w:val="24"/>
          <w:szCs w:val="24"/>
          <w:lang w:val="ru-MD"/>
        </w:rPr>
        <w:t>,</w:t>
      </w:r>
      <w:r w:rsidRPr="00770882">
        <w:rPr>
          <w:rFonts w:asciiTheme="majorHAnsi" w:hAnsiTheme="majorHAnsi" w:cstheme="majorHAnsi"/>
          <w:color w:val="000000" w:themeColor="text1"/>
          <w:sz w:val="24"/>
          <w:szCs w:val="24"/>
          <w:lang w:val="ru-MD"/>
        </w:rPr>
        <w:t xml:space="preserve"> на конец 2022 года составило 273 131,9 тыс. леев (см. Приложение </w:t>
      </w:r>
      <w:r w:rsidR="00944374" w:rsidRPr="00770882">
        <w:rPr>
          <w:rFonts w:asciiTheme="majorHAnsi" w:hAnsiTheme="majorHAnsi" w:cstheme="majorHAnsi"/>
          <w:color w:val="000000" w:themeColor="text1"/>
          <w:sz w:val="24"/>
          <w:szCs w:val="24"/>
          <w:lang w:val="ru-MD"/>
        </w:rPr>
        <w:t>№</w:t>
      </w:r>
      <w:r w:rsidRPr="00770882">
        <w:rPr>
          <w:rFonts w:asciiTheme="majorHAnsi" w:hAnsiTheme="majorHAnsi" w:cstheme="majorHAnsi"/>
          <w:color w:val="000000" w:themeColor="text1"/>
          <w:sz w:val="24"/>
          <w:szCs w:val="24"/>
          <w:lang w:val="ru-MD"/>
        </w:rPr>
        <w:t xml:space="preserve">5 к настоящему </w:t>
      </w:r>
      <w:r w:rsidR="00944374" w:rsidRPr="00770882">
        <w:rPr>
          <w:rFonts w:asciiTheme="majorHAnsi" w:hAnsiTheme="majorHAnsi" w:cstheme="majorHAnsi"/>
          <w:color w:val="000000" w:themeColor="text1"/>
          <w:sz w:val="24"/>
          <w:szCs w:val="24"/>
          <w:lang w:val="ru-MD"/>
        </w:rPr>
        <w:t>Отчету аудита</w:t>
      </w:r>
      <w:r w:rsidRPr="00770882">
        <w:rPr>
          <w:rFonts w:asciiTheme="majorHAnsi" w:hAnsiTheme="majorHAnsi" w:cstheme="majorHAnsi"/>
          <w:color w:val="000000" w:themeColor="text1"/>
          <w:sz w:val="24"/>
          <w:szCs w:val="24"/>
          <w:lang w:val="ru-MD"/>
        </w:rPr>
        <w:t xml:space="preserve">), с </w:t>
      </w:r>
      <w:r w:rsidR="00944374" w:rsidRPr="00770882">
        <w:rPr>
          <w:rFonts w:asciiTheme="majorHAnsi" w:hAnsiTheme="majorHAnsi" w:cstheme="majorHAnsi"/>
          <w:color w:val="000000" w:themeColor="text1"/>
          <w:sz w:val="24"/>
          <w:szCs w:val="24"/>
          <w:lang w:val="ru-MD"/>
        </w:rPr>
        <w:t>уменьш</w:t>
      </w:r>
      <w:r w:rsidRPr="00770882">
        <w:rPr>
          <w:rFonts w:asciiTheme="majorHAnsi" w:hAnsiTheme="majorHAnsi" w:cstheme="majorHAnsi"/>
          <w:color w:val="000000" w:themeColor="text1"/>
          <w:sz w:val="24"/>
          <w:szCs w:val="24"/>
          <w:lang w:val="ru-MD"/>
        </w:rPr>
        <w:t xml:space="preserve">ением по сравнению с предыдущим периодом на 11 557,5 тыс. леев. </w:t>
      </w:r>
      <w:r w:rsidR="00944374" w:rsidRPr="00770882">
        <w:rPr>
          <w:rFonts w:asciiTheme="majorHAnsi" w:hAnsiTheme="majorHAnsi" w:cstheme="majorHAnsi"/>
          <w:color w:val="000000" w:themeColor="text1"/>
          <w:sz w:val="24"/>
          <w:szCs w:val="24"/>
          <w:lang w:val="ru-MD"/>
        </w:rPr>
        <w:t>Одновременно,</w:t>
      </w:r>
      <w:r w:rsidRPr="00770882">
        <w:rPr>
          <w:rFonts w:asciiTheme="majorHAnsi" w:hAnsiTheme="majorHAnsi" w:cstheme="majorHAnsi"/>
          <w:color w:val="000000" w:themeColor="text1"/>
          <w:sz w:val="24"/>
          <w:szCs w:val="24"/>
          <w:lang w:val="ru-MD"/>
        </w:rPr>
        <w:t xml:space="preserve"> наибольш</w:t>
      </w:r>
      <w:r w:rsidR="00944374" w:rsidRPr="00770882">
        <w:rPr>
          <w:rFonts w:asciiTheme="majorHAnsi" w:hAnsiTheme="majorHAnsi" w:cstheme="majorHAnsi"/>
          <w:color w:val="000000" w:themeColor="text1"/>
          <w:sz w:val="24"/>
          <w:szCs w:val="24"/>
          <w:lang w:val="ru-MD"/>
        </w:rPr>
        <w:t>ий</w:t>
      </w:r>
      <w:r w:rsidRPr="00770882">
        <w:rPr>
          <w:rFonts w:asciiTheme="majorHAnsi" w:hAnsiTheme="majorHAnsi" w:cstheme="majorHAnsi"/>
          <w:color w:val="000000" w:themeColor="text1"/>
          <w:sz w:val="24"/>
          <w:szCs w:val="24"/>
          <w:lang w:val="ru-MD"/>
        </w:rPr>
        <w:t xml:space="preserve"> </w:t>
      </w:r>
      <w:r w:rsidR="00944374" w:rsidRPr="00770882">
        <w:rPr>
          <w:rFonts w:asciiTheme="majorHAnsi" w:hAnsiTheme="majorHAnsi" w:cstheme="majorHAnsi"/>
          <w:color w:val="000000" w:themeColor="text1"/>
          <w:sz w:val="24"/>
          <w:szCs w:val="24"/>
          <w:lang w:val="ru-MD"/>
        </w:rPr>
        <w:t>удельный вес</w:t>
      </w:r>
      <w:r w:rsidRPr="00770882">
        <w:rPr>
          <w:rFonts w:asciiTheme="majorHAnsi" w:hAnsiTheme="majorHAnsi" w:cstheme="majorHAnsi"/>
          <w:color w:val="000000" w:themeColor="text1"/>
          <w:sz w:val="24"/>
          <w:szCs w:val="24"/>
          <w:lang w:val="ru-MD"/>
        </w:rPr>
        <w:t xml:space="preserve"> в имущественно-финансовой ситуации приходится на </w:t>
      </w:r>
      <w:r w:rsidR="00944374" w:rsidRPr="00770882">
        <w:rPr>
          <w:rFonts w:asciiTheme="majorHAnsi" w:hAnsiTheme="majorHAnsi" w:cstheme="majorHAnsi"/>
          <w:color w:val="000000" w:themeColor="text1"/>
          <w:sz w:val="24"/>
          <w:szCs w:val="24"/>
          <w:lang w:val="ru-MD"/>
        </w:rPr>
        <w:t>раздел</w:t>
      </w:r>
      <w:r w:rsidRPr="00770882">
        <w:rPr>
          <w:rFonts w:asciiTheme="majorHAnsi" w:hAnsiTheme="majorHAnsi" w:cstheme="majorHAnsi"/>
          <w:color w:val="000000" w:themeColor="text1"/>
          <w:sz w:val="24"/>
          <w:szCs w:val="24"/>
          <w:lang w:val="ru-MD"/>
        </w:rPr>
        <w:t xml:space="preserve"> "</w:t>
      </w:r>
      <w:r w:rsidR="00944374" w:rsidRPr="00770882">
        <w:rPr>
          <w:rFonts w:asciiTheme="majorHAnsi" w:hAnsiTheme="majorHAnsi" w:cstheme="majorHAnsi"/>
          <w:color w:val="000000" w:themeColor="text1"/>
          <w:sz w:val="24"/>
          <w:szCs w:val="24"/>
          <w:lang w:val="ru-MD"/>
        </w:rPr>
        <w:t>М</w:t>
      </w:r>
      <w:r w:rsidRPr="00770882">
        <w:rPr>
          <w:rFonts w:asciiTheme="majorHAnsi" w:hAnsiTheme="majorHAnsi" w:cstheme="majorHAnsi"/>
          <w:color w:val="000000" w:themeColor="text1"/>
          <w:sz w:val="24"/>
          <w:szCs w:val="24"/>
          <w:lang w:val="ru-MD"/>
        </w:rPr>
        <w:t>атериальные активы"</w:t>
      </w:r>
      <w:r w:rsidR="00944374" w:rsidRPr="00770882">
        <w:rPr>
          <w:rFonts w:asciiTheme="majorHAnsi" w:hAnsiTheme="majorHAnsi" w:cstheme="majorHAnsi"/>
          <w:color w:val="000000" w:themeColor="text1"/>
          <w:sz w:val="24"/>
          <w:szCs w:val="24"/>
          <w:lang w:val="ru-MD"/>
        </w:rPr>
        <w:t>,</w:t>
      </w:r>
      <w:r w:rsidRPr="00770882">
        <w:rPr>
          <w:rFonts w:asciiTheme="majorHAnsi" w:hAnsiTheme="majorHAnsi" w:cstheme="majorHAnsi"/>
          <w:color w:val="000000" w:themeColor="text1"/>
          <w:sz w:val="24"/>
          <w:szCs w:val="24"/>
          <w:lang w:val="ru-MD"/>
        </w:rPr>
        <w:t xml:space="preserve"> в размере 216 130,4 тыс. леев </w:t>
      </w:r>
      <w:r w:rsidR="00944374" w:rsidRPr="00770882">
        <w:rPr>
          <w:rFonts w:asciiTheme="majorHAnsi" w:hAnsiTheme="majorHAnsi" w:cstheme="majorHAnsi"/>
          <w:color w:val="000000" w:themeColor="text1"/>
          <w:sz w:val="24"/>
          <w:szCs w:val="24"/>
          <w:lang w:val="ru-MD"/>
        </w:rPr>
        <w:t>по части</w:t>
      </w:r>
      <w:r w:rsidRPr="00770882">
        <w:rPr>
          <w:rFonts w:asciiTheme="majorHAnsi" w:hAnsiTheme="majorHAnsi" w:cstheme="majorHAnsi"/>
          <w:color w:val="000000" w:themeColor="text1"/>
          <w:sz w:val="24"/>
          <w:szCs w:val="24"/>
          <w:lang w:val="ru-MD"/>
        </w:rPr>
        <w:t xml:space="preserve"> актив</w:t>
      </w:r>
      <w:r w:rsidR="00944374" w:rsidRPr="00770882">
        <w:rPr>
          <w:rFonts w:asciiTheme="majorHAnsi" w:hAnsiTheme="majorHAnsi" w:cstheme="majorHAnsi"/>
          <w:color w:val="000000" w:themeColor="text1"/>
          <w:sz w:val="24"/>
          <w:szCs w:val="24"/>
          <w:lang w:val="ru-MD"/>
        </w:rPr>
        <w:t>ов,</w:t>
      </w:r>
      <w:r w:rsidRPr="00770882">
        <w:rPr>
          <w:rFonts w:asciiTheme="majorHAnsi" w:hAnsiTheme="majorHAnsi" w:cstheme="majorHAnsi"/>
          <w:color w:val="000000" w:themeColor="text1"/>
          <w:sz w:val="24"/>
          <w:szCs w:val="24"/>
          <w:lang w:val="ru-MD"/>
        </w:rPr>
        <w:t xml:space="preserve"> и 228 124,3 тыс. леев </w:t>
      </w:r>
      <w:r w:rsidR="00944374" w:rsidRPr="00770882">
        <w:rPr>
          <w:rFonts w:asciiTheme="majorHAnsi" w:hAnsiTheme="majorHAnsi" w:cstheme="majorHAnsi"/>
          <w:color w:val="000000" w:themeColor="text1"/>
          <w:sz w:val="24"/>
          <w:szCs w:val="24"/>
          <w:lang w:val="ru-MD"/>
        </w:rPr>
        <w:t>по части</w:t>
      </w:r>
      <w:r w:rsidRPr="00770882">
        <w:rPr>
          <w:rFonts w:asciiTheme="majorHAnsi" w:hAnsiTheme="majorHAnsi" w:cstheme="majorHAnsi"/>
          <w:color w:val="000000" w:themeColor="text1"/>
          <w:sz w:val="24"/>
          <w:szCs w:val="24"/>
          <w:lang w:val="ru-MD"/>
        </w:rPr>
        <w:t xml:space="preserve"> пассив</w:t>
      </w:r>
      <w:r w:rsidR="00944374" w:rsidRPr="00770882">
        <w:rPr>
          <w:rFonts w:asciiTheme="majorHAnsi" w:hAnsiTheme="majorHAnsi" w:cstheme="majorHAnsi"/>
          <w:color w:val="000000" w:themeColor="text1"/>
          <w:sz w:val="24"/>
          <w:szCs w:val="24"/>
          <w:lang w:val="ru-MD"/>
        </w:rPr>
        <w:t>а</w:t>
      </w:r>
      <w:r w:rsidRPr="00770882">
        <w:rPr>
          <w:rFonts w:asciiTheme="majorHAnsi" w:hAnsiTheme="majorHAnsi" w:cstheme="majorHAnsi"/>
          <w:color w:val="000000" w:themeColor="text1"/>
          <w:sz w:val="24"/>
          <w:szCs w:val="24"/>
          <w:lang w:val="ru-MD"/>
        </w:rPr>
        <w:t xml:space="preserve">. Анализируя </w:t>
      </w:r>
      <w:r w:rsidR="00944374" w:rsidRPr="00770882">
        <w:rPr>
          <w:rFonts w:asciiTheme="majorHAnsi" w:hAnsiTheme="majorHAnsi" w:cstheme="majorHAnsi"/>
          <w:color w:val="000000" w:themeColor="text1"/>
          <w:sz w:val="24"/>
          <w:szCs w:val="24"/>
          <w:lang w:val="ru-MD"/>
        </w:rPr>
        <w:t>представлен</w:t>
      </w:r>
      <w:r w:rsidRPr="00770882">
        <w:rPr>
          <w:rFonts w:asciiTheme="majorHAnsi" w:hAnsiTheme="majorHAnsi" w:cstheme="majorHAnsi"/>
          <w:color w:val="000000" w:themeColor="text1"/>
          <w:sz w:val="24"/>
          <w:szCs w:val="24"/>
          <w:lang w:val="ru-MD"/>
        </w:rPr>
        <w:t>ную финансовую отчетность за 2022 и 2021 годы, о</w:t>
      </w:r>
      <w:r w:rsidR="00944374" w:rsidRPr="00770882">
        <w:rPr>
          <w:rFonts w:asciiTheme="majorHAnsi" w:hAnsiTheme="majorHAnsi" w:cstheme="majorHAnsi"/>
          <w:color w:val="000000" w:themeColor="text1"/>
          <w:sz w:val="24"/>
          <w:szCs w:val="24"/>
          <w:lang w:val="ru-MD"/>
        </w:rPr>
        <w:t>тмеч</w:t>
      </w:r>
      <w:r w:rsidRPr="00770882">
        <w:rPr>
          <w:rFonts w:asciiTheme="majorHAnsi" w:hAnsiTheme="majorHAnsi" w:cstheme="majorHAnsi"/>
          <w:color w:val="000000" w:themeColor="text1"/>
          <w:sz w:val="24"/>
          <w:szCs w:val="24"/>
          <w:lang w:val="ru-MD"/>
        </w:rPr>
        <w:t xml:space="preserve">ается следующее: </w:t>
      </w:r>
      <w:r w:rsidR="00944374" w:rsidRPr="00770882">
        <w:rPr>
          <w:rFonts w:asciiTheme="majorHAnsi" w:hAnsiTheme="majorHAnsi" w:cstheme="majorHAnsi"/>
          <w:color w:val="000000" w:themeColor="text1"/>
          <w:sz w:val="24"/>
          <w:szCs w:val="24"/>
          <w:lang w:val="ru-MD"/>
        </w:rPr>
        <w:t>долгосроч</w:t>
      </w:r>
      <w:r w:rsidRPr="00770882">
        <w:rPr>
          <w:rFonts w:asciiTheme="majorHAnsi" w:hAnsiTheme="majorHAnsi" w:cstheme="majorHAnsi"/>
          <w:color w:val="000000" w:themeColor="text1"/>
          <w:sz w:val="24"/>
          <w:szCs w:val="24"/>
          <w:lang w:val="ru-MD"/>
        </w:rPr>
        <w:t xml:space="preserve">ные </w:t>
      </w:r>
      <w:r w:rsidR="00944374" w:rsidRPr="00770882">
        <w:rPr>
          <w:rFonts w:asciiTheme="majorHAnsi" w:hAnsiTheme="majorHAnsi" w:cstheme="majorHAnsi"/>
          <w:color w:val="000000" w:themeColor="text1"/>
          <w:sz w:val="24"/>
          <w:szCs w:val="24"/>
          <w:lang w:val="ru-MD"/>
        </w:rPr>
        <w:t xml:space="preserve">материальные </w:t>
      </w:r>
      <w:r w:rsidRPr="00770882">
        <w:rPr>
          <w:rFonts w:asciiTheme="majorHAnsi" w:hAnsiTheme="majorHAnsi" w:cstheme="majorHAnsi"/>
          <w:color w:val="000000" w:themeColor="text1"/>
          <w:sz w:val="24"/>
          <w:szCs w:val="24"/>
          <w:lang w:val="ru-MD"/>
        </w:rPr>
        <w:t xml:space="preserve">активы в 2022 году составили 216 130,4 тыс. леев, сократившись на 1 200,1 тыс. леев, или на 0,6%. Оборотные активы на конец 2022 года составили 57 001,5 тыс. леев, сократившись на 10 357,3 тыс. леев, или на 15,4% по сравнению с предыдущим годом. </w:t>
      </w:r>
      <w:r w:rsidR="00E97FAE" w:rsidRPr="00770882">
        <w:rPr>
          <w:rFonts w:asciiTheme="majorHAnsi" w:hAnsiTheme="majorHAnsi" w:cstheme="majorHAnsi"/>
          <w:color w:val="000000" w:themeColor="text1"/>
          <w:sz w:val="24"/>
          <w:szCs w:val="24"/>
          <w:lang w:val="ru-MD"/>
        </w:rPr>
        <w:t>По</w:t>
      </w:r>
      <w:r w:rsidR="00944374" w:rsidRPr="00770882">
        <w:rPr>
          <w:rFonts w:asciiTheme="majorHAnsi" w:hAnsiTheme="majorHAnsi" w:cstheme="majorHAnsi"/>
          <w:color w:val="000000" w:themeColor="text1"/>
          <w:sz w:val="24"/>
          <w:szCs w:val="24"/>
          <w:lang w:val="ru-MD"/>
        </w:rPr>
        <w:t xml:space="preserve"> части пассива на</w:t>
      </w:r>
      <w:r w:rsidRPr="00770882">
        <w:rPr>
          <w:rFonts w:asciiTheme="majorHAnsi" w:hAnsiTheme="majorHAnsi" w:cstheme="majorHAnsi"/>
          <w:color w:val="000000" w:themeColor="text1"/>
          <w:sz w:val="24"/>
          <w:szCs w:val="24"/>
          <w:lang w:val="ru-MD"/>
        </w:rPr>
        <w:t xml:space="preserve"> кон</w:t>
      </w:r>
      <w:r w:rsidR="00944374" w:rsidRPr="00770882">
        <w:rPr>
          <w:rFonts w:asciiTheme="majorHAnsi" w:hAnsiTheme="majorHAnsi" w:cstheme="majorHAnsi"/>
          <w:color w:val="000000" w:themeColor="text1"/>
          <w:sz w:val="24"/>
          <w:szCs w:val="24"/>
          <w:lang w:val="ru-MD"/>
        </w:rPr>
        <w:t>е</w:t>
      </w:r>
      <w:r w:rsidRPr="00770882">
        <w:rPr>
          <w:rFonts w:asciiTheme="majorHAnsi" w:hAnsiTheme="majorHAnsi" w:cstheme="majorHAnsi"/>
          <w:color w:val="000000" w:themeColor="text1"/>
          <w:sz w:val="24"/>
          <w:szCs w:val="24"/>
          <w:lang w:val="ru-MD"/>
        </w:rPr>
        <w:t xml:space="preserve">ц года собственный капитал составил 228 124,3 тыс. леев, </w:t>
      </w:r>
      <w:r w:rsidR="00944374" w:rsidRPr="00770882">
        <w:rPr>
          <w:rFonts w:asciiTheme="majorHAnsi" w:hAnsiTheme="majorHAnsi" w:cstheme="majorHAnsi"/>
          <w:color w:val="000000" w:themeColor="text1"/>
          <w:sz w:val="24"/>
          <w:szCs w:val="24"/>
          <w:lang w:val="ru-MD"/>
        </w:rPr>
        <w:t>и также сократился</w:t>
      </w:r>
      <w:r w:rsidRPr="00770882">
        <w:rPr>
          <w:rFonts w:asciiTheme="majorHAnsi" w:hAnsiTheme="majorHAnsi" w:cstheme="majorHAnsi"/>
          <w:color w:val="000000" w:themeColor="text1"/>
          <w:sz w:val="24"/>
          <w:szCs w:val="24"/>
          <w:lang w:val="ru-MD"/>
        </w:rPr>
        <w:t xml:space="preserve"> на 1 605,5 тыс. леев, п</w:t>
      </w:r>
      <w:r w:rsidR="00944374" w:rsidRPr="00770882">
        <w:rPr>
          <w:rFonts w:asciiTheme="majorHAnsi" w:hAnsiTheme="majorHAnsi" w:cstheme="majorHAnsi"/>
          <w:color w:val="000000" w:themeColor="text1"/>
          <w:sz w:val="24"/>
          <w:szCs w:val="24"/>
          <w:lang w:val="ru-MD"/>
        </w:rPr>
        <w:t>о</w:t>
      </w:r>
      <w:r w:rsidRPr="00770882">
        <w:rPr>
          <w:rFonts w:asciiTheme="majorHAnsi" w:hAnsiTheme="majorHAnsi" w:cstheme="majorHAnsi"/>
          <w:color w:val="000000" w:themeColor="text1"/>
          <w:sz w:val="24"/>
          <w:szCs w:val="24"/>
          <w:lang w:val="ru-MD"/>
        </w:rPr>
        <w:t xml:space="preserve"> долгосрочн</w:t>
      </w:r>
      <w:r w:rsidR="00E97FAE" w:rsidRPr="00770882">
        <w:rPr>
          <w:rFonts w:asciiTheme="majorHAnsi" w:hAnsiTheme="majorHAnsi" w:cstheme="majorHAnsi"/>
          <w:color w:val="000000" w:themeColor="text1"/>
          <w:sz w:val="24"/>
          <w:szCs w:val="24"/>
          <w:lang w:val="ru-MD"/>
        </w:rPr>
        <w:t>ым</w:t>
      </w:r>
      <w:r w:rsidRPr="00770882">
        <w:rPr>
          <w:rFonts w:asciiTheme="majorHAnsi" w:hAnsiTheme="majorHAnsi" w:cstheme="majorHAnsi"/>
          <w:color w:val="000000" w:themeColor="text1"/>
          <w:sz w:val="24"/>
          <w:szCs w:val="24"/>
          <w:lang w:val="ru-MD"/>
        </w:rPr>
        <w:t xml:space="preserve"> </w:t>
      </w:r>
      <w:r w:rsidR="00E97FAE" w:rsidRPr="00770882">
        <w:rPr>
          <w:rFonts w:asciiTheme="majorHAnsi" w:hAnsiTheme="majorHAnsi" w:cstheme="majorHAnsi"/>
          <w:color w:val="000000" w:themeColor="text1"/>
          <w:sz w:val="24"/>
          <w:szCs w:val="24"/>
          <w:lang w:val="ru-MD"/>
        </w:rPr>
        <w:t>обязательствам зарегистрировано</w:t>
      </w:r>
      <w:r w:rsidRPr="00770882">
        <w:rPr>
          <w:rFonts w:asciiTheme="majorHAnsi" w:hAnsiTheme="majorHAnsi" w:cstheme="majorHAnsi"/>
          <w:color w:val="000000" w:themeColor="text1"/>
          <w:sz w:val="24"/>
          <w:szCs w:val="24"/>
          <w:lang w:val="ru-MD"/>
        </w:rPr>
        <w:t xml:space="preserve"> сокра</w:t>
      </w:r>
      <w:r w:rsidR="00E97FAE" w:rsidRPr="00770882">
        <w:rPr>
          <w:rFonts w:asciiTheme="majorHAnsi" w:hAnsiTheme="majorHAnsi" w:cstheme="majorHAnsi"/>
          <w:color w:val="000000" w:themeColor="text1"/>
          <w:sz w:val="24"/>
          <w:szCs w:val="24"/>
          <w:lang w:val="ru-MD"/>
        </w:rPr>
        <w:t>щение</w:t>
      </w:r>
      <w:r w:rsidRPr="00770882">
        <w:rPr>
          <w:rFonts w:asciiTheme="majorHAnsi" w:hAnsiTheme="majorHAnsi" w:cstheme="majorHAnsi"/>
          <w:color w:val="000000" w:themeColor="text1"/>
          <w:sz w:val="24"/>
          <w:szCs w:val="24"/>
          <w:lang w:val="ru-MD"/>
        </w:rPr>
        <w:t xml:space="preserve"> примерно </w:t>
      </w:r>
      <w:r w:rsidR="00E97FAE" w:rsidRPr="00770882">
        <w:rPr>
          <w:rFonts w:asciiTheme="majorHAnsi" w:hAnsiTheme="majorHAnsi" w:cstheme="majorHAnsi"/>
          <w:color w:val="000000" w:themeColor="text1"/>
          <w:sz w:val="24"/>
          <w:szCs w:val="24"/>
          <w:lang w:val="ru-MD"/>
        </w:rPr>
        <w:t>равное текущим обязательствам в размере</w:t>
      </w:r>
      <w:r w:rsidRPr="00770882">
        <w:rPr>
          <w:rFonts w:asciiTheme="majorHAnsi" w:hAnsiTheme="majorHAnsi" w:cstheme="majorHAnsi"/>
          <w:color w:val="000000" w:themeColor="text1"/>
          <w:sz w:val="24"/>
          <w:szCs w:val="24"/>
          <w:lang w:val="ru-MD"/>
        </w:rPr>
        <w:t xml:space="preserve"> 4 513,0 тыс. леев и</w:t>
      </w:r>
      <w:r w:rsidR="00E97FAE" w:rsidRPr="00770882">
        <w:rPr>
          <w:rFonts w:asciiTheme="majorHAnsi" w:hAnsiTheme="majorHAnsi" w:cstheme="majorHAnsi"/>
          <w:color w:val="000000" w:themeColor="text1"/>
          <w:sz w:val="24"/>
          <w:szCs w:val="24"/>
          <w:lang w:val="ru-MD"/>
        </w:rPr>
        <w:t>,</w:t>
      </w:r>
      <w:r w:rsidRPr="00770882">
        <w:rPr>
          <w:rFonts w:asciiTheme="majorHAnsi" w:hAnsiTheme="majorHAnsi" w:cstheme="majorHAnsi"/>
          <w:color w:val="000000" w:themeColor="text1"/>
          <w:sz w:val="24"/>
          <w:szCs w:val="24"/>
          <w:lang w:val="ru-MD"/>
        </w:rPr>
        <w:t xml:space="preserve"> </w:t>
      </w:r>
      <w:r w:rsidR="00E97FAE" w:rsidRPr="00770882">
        <w:rPr>
          <w:rFonts w:asciiTheme="majorHAnsi" w:hAnsiTheme="majorHAnsi" w:cstheme="majorHAnsi"/>
          <w:color w:val="000000" w:themeColor="text1"/>
          <w:sz w:val="24"/>
          <w:szCs w:val="24"/>
          <w:lang w:val="ru-MD"/>
        </w:rPr>
        <w:t xml:space="preserve">соответственно, </w:t>
      </w:r>
      <w:r w:rsidRPr="00770882">
        <w:rPr>
          <w:rFonts w:asciiTheme="majorHAnsi" w:hAnsiTheme="majorHAnsi" w:cstheme="majorHAnsi"/>
          <w:color w:val="000000" w:themeColor="text1"/>
          <w:sz w:val="24"/>
          <w:szCs w:val="24"/>
          <w:lang w:val="ru-MD"/>
        </w:rPr>
        <w:t>5 438,9 тыс. леев</w:t>
      </w:r>
      <w:r w:rsidR="006354E6" w:rsidRPr="00770882">
        <w:rPr>
          <w:rFonts w:asciiTheme="majorHAnsi" w:hAnsiTheme="majorHAnsi" w:cstheme="majorHAnsi"/>
          <w:color w:val="000000" w:themeColor="text1"/>
          <w:sz w:val="24"/>
          <w:szCs w:val="24"/>
          <w:lang w:val="ru-MD"/>
        </w:rPr>
        <w:t xml:space="preserve">. </w:t>
      </w:r>
    </w:p>
    <w:p w14:paraId="27F0021B" w14:textId="5AEF1108" w:rsidR="006354E6" w:rsidRPr="00770882" w:rsidRDefault="00053BC3" w:rsidP="00077FEE">
      <w:pPr>
        <w:spacing w:line="276" w:lineRule="auto"/>
        <w:jc w:val="both"/>
        <w:rPr>
          <w:rFonts w:asciiTheme="majorHAnsi" w:eastAsia="Times New Roman" w:hAnsiTheme="majorHAnsi" w:cstheme="majorHAnsi"/>
          <w:sz w:val="24"/>
          <w:szCs w:val="24"/>
          <w:lang w:val="ru-MD" w:eastAsia="ro-MD"/>
        </w:rPr>
      </w:pPr>
      <w:r w:rsidRPr="00770882">
        <w:rPr>
          <w:rFonts w:asciiTheme="majorHAnsi" w:hAnsiTheme="majorHAnsi" w:cstheme="majorHAnsi"/>
          <w:sz w:val="24"/>
          <w:szCs w:val="24"/>
          <w:lang w:val="ru-MD"/>
        </w:rPr>
        <w:t xml:space="preserve">Бухгалтерский учет учреждения ведется в соответствии с </w:t>
      </w:r>
      <w:r w:rsidR="00E97FAE" w:rsidRPr="00770882">
        <w:rPr>
          <w:rFonts w:asciiTheme="majorHAnsi" w:hAnsiTheme="majorHAnsi" w:cstheme="majorHAnsi"/>
          <w:sz w:val="24"/>
          <w:szCs w:val="24"/>
          <w:lang w:val="ru-MD"/>
        </w:rPr>
        <w:t>З</w:t>
      </w:r>
      <w:r w:rsidRPr="00770882">
        <w:rPr>
          <w:rFonts w:asciiTheme="majorHAnsi" w:hAnsiTheme="majorHAnsi" w:cstheme="majorHAnsi"/>
          <w:sz w:val="24"/>
          <w:szCs w:val="24"/>
          <w:lang w:val="ru-MD"/>
        </w:rPr>
        <w:t xml:space="preserve">аконом </w:t>
      </w:r>
      <w:r w:rsidR="00E97FAE" w:rsidRPr="00770882">
        <w:rPr>
          <w:rFonts w:asciiTheme="majorHAnsi" w:hAnsiTheme="majorHAnsi" w:cstheme="majorHAnsi"/>
          <w:sz w:val="24"/>
          <w:szCs w:val="24"/>
          <w:lang w:val="ru-MD"/>
        </w:rPr>
        <w:t>о</w:t>
      </w:r>
      <w:r w:rsidRPr="00770882">
        <w:rPr>
          <w:rFonts w:asciiTheme="majorHAnsi" w:hAnsiTheme="majorHAnsi" w:cstheme="majorHAnsi"/>
          <w:sz w:val="24"/>
          <w:szCs w:val="24"/>
          <w:lang w:val="ru-MD"/>
        </w:rPr>
        <w:t xml:space="preserve"> бухгалтерском учете и финансовой отчетности</w:t>
      </w:r>
      <w:r w:rsidR="00E97FAE" w:rsidRPr="00770882">
        <w:rPr>
          <w:rStyle w:val="a9"/>
          <w:rFonts w:asciiTheme="majorHAnsi" w:hAnsiTheme="majorHAnsi" w:cstheme="majorHAnsi"/>
          <w:sz w:val="24"/>
          <w:szCs w:val="24"/>
          <w:lang w:val="ru-MD"/>
        </w:rPr>
        <w:footnoteReference w:id="2"/>
      </w:r>
      <w:r w:rsidRPr="00770882">
        <w:rPr>
          <w:rFonts w:asciiTheme="majorHAnsi" w:hAnsiTheme="majorHAnsi" w:cstheme="majorHAnsi"/>
          <w:sz w:val="24"/>
          <w:szCs w:val="24"/>
          <w:lang w:val="ru-MD"/>
        </w:rPr>
        <w:t xml:space="preserve">, а также </w:t>
      </w:r>
      <w:r w:rsidR="00E97FAE" w:rsidRPr="00770882">
        <w:rPr>
          <w:rFonts w:asciiTheme="majorHAnsi" w:hAnsiTheme="majorHAnsi" w:cstheme="majorHAnsi"/>
          <w:sz w:val="24"/>
          <w:szCs w:val="24"/>
          <w:lang w:val="ru-MD"/>
        </w:rPr>
        <w:t>согласно</w:t>
      </w:r>
      <w:r w:rsidRPr="00770882">
        <w:rPr>
          <w:rFonts w:asciiTheme="majorHAnsi" w:hAnsiTheme="majorHAnsi" w:cstheme="majorHAnsi"/>
          <w:sz w:val="24"/>
          <w:szCs w:val="24"/>
          <w:lang w:val="ru-MD"/>
        </w:rPr>
        <w:t xml:space="preserve"> </w:t>
      </w:r>
      <w:r w:rsidR="00E97FAE" w:rsidRPr="00770882">
        <w:rPr>
          <w:rFonts w:asciiTheme="majorHAnsi" w:hAnsiTheme="majorHAnsi" w:cstheme="majorHAnsi"/>
          <w:sz w:val="24"/>
          <w:szCs w:val="24"/>
          <w:lang w:val="ru-MD"/>
        </w:rPr>
        <w:t>Н</w:t>
      </w:r>
      <w:r w:rsidRPr="00770882">
        <w:rPr>
          <w:rFonts w:asciiTheme="majorHAnsi" w:hAnsiTheme="majorHAnsi" w:cstheme="majorHAnsi"/>
          <w:sz w:val="24"/>
          <w:szCs w:val="24"/>
          <w:lang w:val="ru-MD"/>
        </w:rPr>
        <w:t>ациональны</w:t>
      </w:r>
      <w:r w:rsidR="00E97FAE" w:rsidRPr="00770882">
        <w:rPr>
          <w:rFonts w:asciiTheme="majorHAnsi" w:hAnsiTheme="majorHAnsi" w:cstheme="majorHAnsi"/>
          <w:sz w:val="24"/>
          <w:szCs w:val="24"/>
          <w:lang w:val="ru-MD"/>
        </w:rPr>
        <w:t>м</w:t>
      </w:r>
      <w:r w:rsidRPr="00770882">
        <w:rPr>
          <w:rFonts w:asciiTheme="majorHAnsi" w:hAnsiTheme="majorHAnsi" w:cstheme="majorHAnsi"/>
          <w:sz w:val="24"/>
          <w:szCs w:val="24"/>
          <w:lang w:val="ru-MD"/>
        </w:rPr>
        <w:t xml:space="preserve"> стандарт</w:t>
      </w:r>
      <w:r w:rsidR="00E97FAE" w:rsidRPr="00770882">
        <w:rPr>
          <w:rFonts w:asciiTheme="majorHAnsi" w:hAnsiTheme="majorHAnsi" w:cstheme="majorHAnsi"/>
          <w:sz w:val="24"/>
          <w:szCs w:val="24"/>
          <w:lang w:val="ru-MD"/>
        </w:rPr>
        <w:t>ам</w:t>
      </w:r>
      <w:r w:rsidRPr="00770882">
        <w:rPr>
          <w:rFonts w:asciiTheme="majorHAnsi" w:hAnsiTheme="majorHAnsi" w:cstheme="majorHAnsi"/>
          <w:sz w:val="24"/>
          <w:szCs w:val="24"/>
          <w:lang w:val="ru-MD"/>
        </w:rPr>
        <w:t xml:space="preserve"> бухгалтерского учета</w:t>
      </w:r>
      <w:r w:rsidR="006354E6" w:rsidRPr="00770882">
        <w:rPr>
          <w:rStyle w:val="a9"/>
          <w:rFonts w:asciiTheme="majorHAnsi" w:hAnsiTheme="majorHAnsi" w:cstheme="majorHAnsi"/>
          <w:sz w:val="24"/>
          <w:szCs w:val="24"/>
          <w:lang w:val="ru-MD"/>
        </w:rPr>
        <w:footnoteReference w:id="3"/>
      </w:r>
      <w:r w:rsidR="006354E6" w:rsidRPr="00770882">
        <w:rPr>
          <w:rFonts w:asciiTheme="majorHAnsi" w:hAnsiTheme="majorHAnsi" w:cstheme="majorHAnsi"/>
          <w:sz w:val="24"/>
          <w:szCs w:val="24"/>
          <w:lang w:val="ru-MD"/>
        </w:rPr>
        <w:t>.</w:t>
      </w:r>
    </w:p>
    <w:p w14:paraId="3D8D9861" w14:textId="612D48F3" w:rsidR="006354E6" w:rsidRPr="00770882" w:rsidRDefault="00053BC3" w:rsidP="00077FEE">
      <w:pPr>
        <w:pStyle w:val="a7"/>
        <w:spacing w:after="0" w:line="276" w:lineRule="auto"/>
        <w:ind w:left="0"/>
        <w:jc w:val="both"/>
        <w:rPr>
          <w:rFonts w:asciiTheme="majorHAnsi" w:eastAsia="Times New Roman" w:hAnsiTheme="majorHAnsi" w:cstheme="majorHAnsi"/>
          <w:sz w:val="24"/>
          <w:szCs w:val="24"/>
          <w:lang w:val="ru-MD" w:eastAsia="ro-MD"/>
        </w:rPr>
      </w:pPr>
      <w:r w:rsidRPr="00770882">
        <w:rPr>
          <w:rFonts w:asciiTheme="majorHAnsi" w:eastAsia="Times New Roman" w:hAnsiTheme="majorHAnsi" w:cstheme="majorHAnsi"/>
          <w:sz w:val="24"/>
          <w:szCs w:val="24"/>
          <w:lang w:val="ru-MD" w:eastAsia="ro-MD"/>
        </w:rPr>
        <w:t xml:space="preserve">Подробная информация о структуре доходов и расходов МСП ИФП „Кирилл Драганюк” за 2021-2022 годы изложена в </w:t>
      </w:r>
      <w:r w:rsidR="00E97FAE" w:rsidRPr="00770882">
        <w:rPr>
          <w:rFonts w:asciiTheme="majorHAnsi" w:eastAsia="Times New Roman" w:hAnsiTheme="majorHAnsi" w:cstheme="majorHAnsi"/>
          <w:sz w:val="24"/>
          <w:szCs w:val="24"/>
          <w:lang w:val="ru-MD" w:eastAsia="ro-MD"/>
        </w:rPr>
        <w:t>П</w:t>
      </w:r>
      <w:r w:rsidRPr="00770882">
        <w:rPr>
          <w:rFonts w:asciiTheme="majorHAnsi" w:eastAsia="Times New Roman" w:hAnsiTheme="majorHAnsi" w:cstheme="majorHAnsi"/>
          <w:sz w:val="24"/>
          <w:szCs w:val="24"/>
          <w:lang w:val="ru-MD" w:eastAsia="ro-MD"/>
        </w:rPr>
        <w:t xml:space="preserve">риложении №3 к настоящему </w:t>
      </w:r>
      <w:r w:rsidR="00944374" w:rsidRPr="00770882">
        <w:rPr>
          <w:rFonts w:asciiTheme="majorHAnsi" w:eastAsia="Times New Roman" w:hAnsiTheme="majorHAnsi" w:cstheme="majorHAnsi"/>
          <w:sz w:val="24"/>
          <w:szCs w:val="24"/>
          <w:lang w:val="ru-MD" w:eastAsia="ro-MD"/>
        </w:rPr>
        <w:t>Отчету аудита</w:t>
      </w:r>
      <w:r w:rsidRPr="00770882">
        <w:rPr>
          <w:rFonts w:asciiTheme="majorHAnsi" w:eastAsia="Times New Roman" w:hAnsiTheme="majorHAnsi" w:cstheme="majorHAnsi"/>
          <w:sz w:val="24"/>
          <w:szCs w:val="24"/>
          <w:lang w:val="ru-MD" w:eastAsia="ro-MD"/>
        </w:rPr>
        <w:t xml:space="preserve">. Анализ доходов </w:t>
      </w:r>
      <w:r w:rsidR="00E97FAE" w:rsidRPr="00770882">
        <w:rPr>
          <w:rFonts w:asciiTheme="majorHAnsi" w:eastAsia="Times New Roman" w:hAnsiTheme="majorHAnsi" w:cstheme="majorHAnsi"/>
          <w:sz w:val="24"/>
          <w:szCs w:val="24"/>
          <w:lang w:val="ru-MD" w:eastAsia="ro-MD"/>
        </w:rPr>
        <w:t>указыва</w:t>
      </w:r>
      <w:r w:rsidRPr="00770882">
        <w:rPr>
          <w:rFonts w:asciiTheme="majorHAnsi" w:eastAsia="Times New Roman" w:hAnsiTheme="majorHAnsi" w:cstheme="majorHAnsi"/>
          <w:sz w:val="24"/>
          <w:szCs w:val="24"/>
          <w:lang w:val="ru-MD" w:eastAsia="ro-MD"/>
        </w:rPr>
        <w:t xml:space="preserve">ет </w:t>
      </w:r>
      <w:r w:rsidR="00E97FAE" w:rsidRPr="00770882">
        <w:rPr>
          <w:rFonts w:asciiTheme="majorHAnsi" w:eastAsia="Times New Roman" w:hAnsiTheme="majorHAnsi" w:cstheme="majorHAnsi"/>
          <w:sz w:val="24"/>
          <w:szCs w:val="24"/>
          <w:lang w:val="ru-MD" w:eastAsia="ro-MD"/>
        </w:rPr>
        <w:t>на</w:t>
      </w:r>
      <w:r w:rsidRPr="00770882">
        <w:rPr>
          <w:rFonts w:asciiTheme="majorHAnsi" w:eastAsia="Times New Roman" w:hAnsiTheme="majorHAnsi" w:cstheme="majorHAnsi"/>
          <w:sz w:val="24"/>
          <w:szCs w:val="24"/>
          <w:lang w:val="ru-MD" w:eastAsia="ro-MD"/>
        </w:rPr>
        <w:t xml:space="preserve"> то, что </w:t>
      </w:r>
      <w:r w:rsidR="00E97FAE" w:rsidRPr="00770882">
        <w:rPr>
          <w:rFonts w:asciiTheme="majorHAnsi" w:eastAsia="Times New Roman" w:hAnsiTheme="majorHAnsi" w:cstheme="majorHAnsi"/>
          <w:sz w:val="24"/>
          <w:szCs w:val="24"/>
          <w:lang w:val="ru-MD" w:eastAsia="ro-MD"/>
        </w:rPr>
        <w:t xml:space="preserve">их </w:t>
      </w:r>
      <w:r w:rsidRPr="00770882">
        <w:rPr>
          <w:rFonts w:asciiTheme="majorHAnsi" w:eastAsia="Times New Roman" w:hAnsiTheme="majorHAnsi" w:cstheme="majorHAnsi"/>
          <w:sz w:val="24"/>
          <w:szCs w:val="24"/>
          <w:lang w:val="ru-MD" w:eastAsia="ro-MD"/>
        </w:rPr>
        <w:t>наибольш</w:t>
      </w:r>
      <w:r w:rsidR="00E97FAE" w:rsidRPr="00770882">
        <w:rPr>
          <w:rFonts w:asciiTheme="majorHAnsi" w:eastAsia="Times New Roman" w:hAnsiTheme="majorHAnsi" w:cstheme="majorHAnsi"/>
          <w:sz w:val="24"/>
          <w:szCs w:val="24"/>
          <w:lang w:val="ru-MD" w:eastAsia="ro-MD"/>
        </w:rPr>
        <w:t>ий</w:t>
      </w:r>
      <w:r w:rsidRPr="00770882">
        <w:rPr>
          <w:rFonts w:asciiTheme="majorHAnsi" w:eastAsia="Times New Roman" w:hAnsiTheme="majorHAnsi" w:cstheme="majorHAnsi"/>
          <w:sz w:val="24"/>
          <w:szCs w:val="24"/>
          <w:lang w:val="ru-MD" w:eastAsia="ro-MD"/>
        </w:rPr>
        <w:t xml:space="preserve"> </w:t>
      </w:r>
      <w:r w:rsidR="00E97FAE" w:rsidRPr="00770882">
        <w:rPr>
          <w:rFonts w:asciiTheme="majorHAnsi" w:eastAsia="Times New Roman" w:hAnsiTheme="majorHAnsi" w:cstheme="majorHAnsi"/>
          <w:sz w:val="24"/>
          <w:szCs w:val="24"/>
          <w:lang w:val="ru-MD" w:eastAsia="ro-MD"/>
        </w:rPr>
        <w:t>удельный вес приходится на</w:t>
      </w:r>
      <w:r w:rsidRPr="00770882">
        <w:rPr>
          <w:rFonts w:asciiTheme="majorHAnsi" w:eastAsia="Times New Roman" w:hAnsiTheme="majorHAnsi" w:cstheme="majorHAnsi"/>
          <w:sz w:val="24"/>
          <w:szCs w:val="24"/>
          <w:lang w:val="ru-MD" w:eastAsia="ro-MD"/>
        </w:rPr>
        <w:t xml:space="preserve"> финансовые средства, полученные от НКМ</w:t>
      </w:r>
      <w:r w:rsidR="00E97FAE" w:rsidRPr="00770882">
        <w:rPr>
          <w:rFonts w:asciiTheme="majorHAnsi" w:eastAsia="Times New Roman" w:hAnsiTheme="majorHAnsi" w:cstheme="majorHAnsi"/>
          <w:sz w:val="24"/>
          <w:szCs w:val="24"/>
          <w:lang w:val="ru-MD" w:eastAsia="ro-MD"/>
        </w:rPr>
        <w:t>С,</w:t>
      </w:r>
      <w:r w:rsidRPr="00770882">
        <w:rPr>
          <w:rFonts w:asciiTheme="majorHAnsi" w:eastAsia="Times New Roman" w:hAnsiTheme="majorHAnsi" w:cstheme="majorHAnsi"/>
          <w:sz w:val="24"/>
          <w:szCs w:val="24"/>
          <w:lang w:val="ru-MD" w:eastAsia="ro-MD"/>
        </w:rPr>
        <w:t xml:space="preserve"> </w:t>
      </w:r>
      <w:r w:rsidR="00E97FAE" w:rsidRPr="00770882">
        <w:rPr>
          <w:rFonts w:asciiTheme="majorHAnsi" w:eastAsia="Times New Roman" w:hAnsiTheme="majorHAnsi" w:cstheme="majorHAnsi"/>
          <w:sz w:val="24"/>
          <w:szCs w:val="24"/>
          <w:lang w:val="ru-MD" w:eastAsia="ro-MD"/>
        </w:rPr>
        <w:t>на базе</w:t>
      </w:r>
      <w:r w:rsidRPr="00770882">
        <w:rPr>
          <w:rFonts w:asciiTheme="majorHAnsi" w:eastAsia="Times New Roman" w:hAnsiTheme="majorHAnsi" w:cstheme="majorHAnsi"/>
          <w:sz w:val="24"/>
          <w:szCs w:val="24"/>
          <w:lang w:val="ru-MD" w:eastAsia="ro-MD"/>
        </w:rPr>
        <w:t xml:space="preserve"> договор</w:t>
      </w:r>
      <w:r w:rsidR="00E97FAE" w:rsidRPr="00770882">
        <w:rPr>
          <w:rFonts w:asciiTheme="majorHAnsi" w:eastAsia="Times New Roman" w:hAnsiTheme="majorHAnsi" w:cstheme="majorHAnsi"/>
          <w:sz w:val="24"/>
          <w:szCs w:val="24"/>
          <w:lang w:val="ru-MD" w:eastAsia="ro-MD"/>
        </w:rPr>
        <w:t>ов</w:t>
      </w:r>
      <w:r w:rsidRPr="00770882">
        <w:rPr>
          <w:rFonts w:asciiTheme="majorHAnsi" w:eastAsia="Times New Roman" w:hAnsiTheme="majorHAnsi" w:cstheme="majorHAnsi"/>
          <w:sz w:val="24"/>
          <w:szCs w:val="24"/>
          <w:lang w:val="ru-MD" w:eastAsia="ro-MD"/>
        </w:rPr>
        <w:t xml:space="preserve"> </w:t>
      </w:r>
      <w:r w:rsidR="00E97FAE" w:rsidRPr="00770882">
        <w:rPr>
          <w:rFonts w:asciiTheme="majorHAnsi" w:eastAsia="Times New Roman" w:hAnsiTheme="majorHAnsi" w:cstheme="majorHAnsi"/>
          <w:sz w:val="24"/>
          <w:szCs w:val="24"/>
          <w:lang w:val="ru-MD" w:eastAsia="ro-MD"/>
        </w:rPr>
        <w:t xml:space="preserve">о </w:t>
      </w:r>
      <w:r w:rsidRPr="00770882">
        <w:rPr>
          <w:rFonts w:asciiTheme="majorHAnsi" w:eastAsia="Times New Roman" w:hAnsiTheme="majorHAnsi" w:cstheme="majorHAnsi"/>
          <w:sz w:val="24"/>
          <w:szCs w:val="24"/>
          <w:lang w:val="ru-MD" w:eastAsia="ro-MD"/>
        </w:rPr>
        <w:t>предоставлени</w:t>
      </w:r>
      <w:r w:rsidR="00E97FAE" w:rsidRPr="00770882">
        <w:rPr>
          <w:rFonts w:asciiTheme="majorHAnsi" w:eastAsia="Times New Roman" w:hAnsiTheme="majorHAnsi" w:cstheme="majorHAnsi"/>
          <w:sz w:val="24"/>
          <w:szCs w:val="24"/>
          <w:lang w:val="ru-MD" w:eastAsia="ro-MD"/>
        </w:rPr>
        <w:t>и</w:t>
      </w:r>
      <w:r w:rsidRPr="00770882">
        <w:rPr>
          <w:rFonts w:asciiTheme="majorHAnsi" w:eastAsia="Times New Roman" w:hAnsiTheme="majorHAnsi" w:cstheme="majorHAnsi"/>
          <w:sz w:val="24"/>
          <w:szCs w:val="24"/>
          <w:lang w:val="ru-MD" w:eastAsia="ro-MD"/>
        </w:rPr>
        <w:t xml:space="preserve"> услуг </w:t>
      </w:r>
      <w:r w:rsidR="00E97FAE" w:rsidRPr="00770882">
        <w:rPr>
          <w:rFonts w:asciiTheme="majorHAnsi" w:eastAsia="Times New Roman" w:hAnsiTheme="majorHAnsi" w:cstheme="majorHAnsi"/>
          <w:sz w:val="24"/>
          <w:szCs w:val="24"/>
          <w:lang w:val="ru-MD" w:eastAsia="ro-MD"/>
        </w:rPr>
        <w:t>на сумму</w:t>
      </w:r>
      <w:r w:rsidRPr="00770882">
        <w:rPr>
          <w:rFonts w:asciiTheme="majorHAnsi" w:eastAsia="Times New Roman" w:hAnsiTheme="majorHAnsi" w:cstheme="majorHAnsi"/>
          <w:sz w:val="24"/>
          <w:szCs w:val="24"/>
          <w:lang w:val="ru-MD" w:eastAsia="ro-MD"/>
        </w:rPr>
        <w:t xml:space="preserve"> 115 657,7 тыс. леев в 2021 году</w:t>
      </w:r>
      <w:r w:rsidR="00E97FAE" w:rsidRPr="00770882">
        <w:rPr>
          <w:rFonts w:asciiTheme="majorHAnsi" w:eastAsia="Times New Roman" w:hAnsiTheme="majorHAnsi" w:cstheme="majorHAnsi"/>
          <w:sz w:val="24"/>
          <w:szCs w:val="24"/>
          <w:lang w:val="ru-MD" w:eastAsia="ro-MD"/>
        </w:rPr>
        <w:t>,</w:t>
      </w:r>
      <w:r w:rsidRPr="00770882">
        <w:rPr>
          <w:rFonts w:asciiTheme="majorHAnsi" w:eastAsia="Times New Roman" w:hAnsiTheme="majorHAnsi" w:cstheme="majorHAnsi"/>
          <w:sz w:val="24"/>
          <w:szCs w:val="24"/>
          <w:lang w:val="ru-MD" w:eastAsia="ro-MD"/>
        </w:rPr>
        <w:t xml:space="preserve"> и 117 890,4 тыс. леев в 2022 году, или около 73,4% от общего объема доходов. За ними следуют гуманитарная помощь в размере 25 837,3 тыс. леев в 2021 году и 28 785,2 тыс. леев в 2022 году, что составляет около 17,2%. Ассигнования от проектов с иностранным финансированием составили 11 212,4 тыс. леев в 2021 году и 9 558,3 тыс. леев в 2022 году, или около 6,5%. Доходы от научной деятельности, платных услуг и других доходов в совокупности составляют около 3% от общего дохода</w:t>
      </w:r>
      <w:r w:rsidR="006354E6" w:rsidRPr="00770882">
        <w:rPr>
          <w:rFonts w:asciiTheme="majorHAnsi" w:eastAsia="Times New Roman" w:hAnsiTheme="majorHAnsi" w:cstheme="majorHAnsi"/>
          <w:sz w:val="24"/>
          <w:szCs w:val="24"/>
          <w:lang w:val="ru-MD" w:eastAsia="ro-MD"/>
        </w:rPr>
        <w:t xml:space="preserve">. </w:t>
      </w:r>
    </w:p>
    <w:p w14:paraId="0BA83BA8" w14:textId="16471CE6" w:rsidR="00337CCA" w:rsidRPr="00D868DB" w:rsidRDefault="00053BC3" w:rsidP="00873798">
      <w:pPr>
        <w:spacing w:line="276" w:lineRule="auto"/>
        <w:jc w:val="both"/>
        <w:rPr>
          <w:rFonts w:asciiTheme="majorHAnsi" w:eastAsia="Times New Roman" w:hAnsiTheme="majorHAnsi" w:cstheme="majorHAnsi"/>
          <w:sz w:val="24"/>
          <w:szCs w:val="24"/>
          <w:lang w:val="ru-MD" w:eastAsia="ro-MD"/>
        </w:rPr>
      </w:pPr>
      <w:r w:rsidRPr="00D868DB">
        <w:rPr>
          <w:rFonts w:asciiTheme="majorHAnsi" w:eastAsia="Times New Roman" w:hAnsiTheme="majorHAnsi" w:cstheme="majorHAnsi"/>
          <w:sz w:val="24"/>
          <w:szCs w:val="24"/>
          <w:lang w:val="ru-MD" w:eastAsia="ro-MD"/>
        </w:rPr>
        <w:t xml:space="preserve">Расходы </w:t>
      </w:r>
      <w:r w:rsidR="00D868DB" w:rsidRPr="00D868DB">
        <w:rPr>
          <w:rFonts w:asciiTheme="majorHAnsi" w:eastAsia="Times New Roman" w:hAnsiTheme="majorHAnsi" w:cstheme="majorHAnsi"/>
          <w:sz w:val="24"/>
          <w:szCs w:val="24"/>
          <w:lang w:val="ru-MD" w:eastAsia="ro-MD"/>
        </w:rPr>
        <w:t>ПМСУ</w:t>
      </w:r>
      <w:r w:rsidRPr="00D868DB">
        <w:rPr>
          <w:rFonts w:asciiTheme="majorHAnsi" w:eastAsia="Times New Roman" w:hAnsiTheme="majorHAnsi" w:cstheme="majorHAnsi"/>
          <w:sz w:val="24"/>
          <w:szCs w:val="24"/>
          <w:lang w:val="ru-MD" w:eastAsia="ro-MD"/>
        </w:rPr>
        <w:t xml:space="preserve"> за ауди</w:t>
      </w:r>
      <w:r w:rsidR="00D868DB" w:rsidRPr="00D868DB">
        <w:rPr>
          <w:rFonts w:asciiTheme="majorHAnsi" w:eastAsia="Times New Roman" w:hAnsiTheme="majorHAnsi" w:cstheme="majorHAnsi"/>
          <w:sz w:val="24"/>
          <w:szCs w:val="24"/>
          <w:lang w:val="ru-MD" w:eastAsia="ro-MD"/>
        </w:rPr>
        <w:t>руемый период</w:t>
      </w:r>
      <w:r w:rsidRPr="00D868DB">
        <w:rPr>
          <w:rFonts w:asciiTheme="majorHAnsi" w:eastAsia="Times New Roman" w:hAnsiTheme="majorHAnsi" w:cstheme="majorHAnsi"/>
          <w:sz w:val="24"/>
          <w:szCs w:val="24"/>
          <w:lang w:val="ru-MD" w:eastAsia="ro-MD"/>
        </w:rPr>
        <w:t xml:space="preserve"> увеличились на 3 199,2 тыс. леев, с 157 401,2 тыс. леев в 2021 году до 160 600,4 тыс. леев в 2022 году, а за первый семестр 2023 года</w:t>
      </w:r>
      <w:r w:rsidR="00D868DB" w:rsidRPr="00D868DB">
        <w:rPr>
          <w:rFonts w:asciiTheme="majorHAnsi" w:eastAsia="Times New Roman" w:hAnsiTheme="majorHAnsi" w:cstheme="majorHAnsi"/>
          <w:sz w:val="24"/>
          <w:szCs w:val="24"/>
          <w:lang w:val="ru-MD" w:eastAsia="ro-MD"/>
        </w:rPr>
        <w:t xml:space="preserve"> </w:t>
      </w:r>
      <w:r w:rsidRPr="00D868DB">
        <w:rPr>
          <w:rFonts w:asciiTheme="majorHAnsi" w:eastAsia="Times New Roman" w:hAnsiTheme="majorHAnsi" w:cstheme="majorHAnsi"/>
          <w:sz w:val="24"/>
          <w:szCs w:val="24"/>
          <w:lang w:val="ru-MD" w:eastAsia="ro-MD"/>
        </w:rPr>
        <w:t>-</w:t>
      </w:r>
      <w:r w:rsidR="00D868DB" w:rsidRPr="00D868DB">
        <w:rPr>
          <w:rFonts w:asciiTheme="majorHAnsi" w:eastAsia="Times New Roman" w:hAnsiTheme="majorHAnsi" w:cstheme="majorHAnsi"/>
          <w:sz w:val="24"/>
          <w:szCs w:val="24"/>
          <w:lang w:val="ru-MD" w:eastAsia="ro-MD"/>
        </w:rPr>
        <w:t xml:space="preserve"> </w:t>
      </w:r>
      <w:r w:rsidRPr="00D868DB">
        <w:rPr>
          <w:rFonts w:asciiTheme="majorHAnsi" w:eastAsia="Times New Roman" w:hAnsiTheme="majorHAnsi" w:cstheme="majorHAnsi"/>
          <w:sz w:val="24"/>
          <w:szCs w:val="24"/>
          <w:lang w:val="ru-MD" w:eastAsia="ro-MD"/>
        </w:rPr>
        <w:t xml:space="preserve">на сумму 84 990,8 тыс. леев. Большинство расходов было связано с </w:t>
      </w:r>
      <w:r w:rsidR="00D868DB" w:rsidRPr="00D868DB">
        <w:rPr>
          <w:rFonts w:asciiTheme="majorHAnsi" w:eastAsia="Times New Roman" w:hAnsiTheme="majorHAnsi" w:cstheme="majorHAnsi"/>
          <w:sz w:val="24"/>
          <w:szCs w:val="24"/>
          <w:lang w:val="ru-MD" w:eastAsia="ro-MD"/>
        </w:rPr>
        <w:t>оплато</w:t>
      </w:r>
      <w:r w:rsidRPr="00D868DB">
        <w:rPr>
          <w:rFonts w:asciiTheme="majorHAnsi" w:eastAsia="Times New Roman" w:hAnsiTheme="majorHAnsi" w:cstheme="majorHAnsi"/>
          <w:sz w:val="24"/>
          <w:szCs w:val="24"/>
          <w:lang w:val="ru-MD" w:eastAsia="ro-MD"/>
        </w:rPr>
        <w:t xml:space="preserve">й </w:t>
      </w:r>
      <w:r w:rsidR="00D868DB" w:rsidRPr="00D868DB">
        <w:rPr>
          <w:rFonts w:asciiTheme="majorHAnsi" w:eastAsia="Times New Roman" w:hAnsiTheme="majorHAnsi" w:cstheme="majorHAnsi"/>
          <w:sz w:val="24"/>
          <w:szCs w:val="24"/>
          <w:lang w:val="ru-MD" w:eastAsia="ro-MD"/>
        </w:rPr>
        <w:t>труда</w:t>
      </w:r>
      <w:r w:rsidRPr="00D868DB">
        <w:rPr>
          <w:rFonts w:asciiTheme="majorHAnsi" w:eastAsia="Times New Roman" w:hAnsiTheme="majorHAnsi" w:cstheme="majorHAnsi"/>
          <w:sz w:val="24"/>
          <w:szCs w:val="24"/>
          <w:lang w:val="ru-MD" w:eastAsia="ro-MD"/>
        </w:rPr>
        <w:t>, которые в 2021 году составили 86 529,0 тыс. леев, а в 2022 году</w:t>
      </w:r>
      <w:r w:rsidR="00D868DB" w:rsidRPr="00D868DB">
        <w:rPr>
          <w:rFonts w:asciiTheme="majorHAnsi" w:eastAsia="Times New Roman" w:hAnsiTheme="majorHAnsi" w:cstheme="majorHAnsi"/>
          <w:sz w:val="24"/>
          <w:szCs w:val="24"/>
          <w:lang w:val="ru-MD" w:eastAsia="ro-MD"/>
        </w:rPr>
        <w:t xml:space="preserve"> </w:t>
      </w:r>
      <w:r w:rsidRPr="00D868DB">
        <w:rPr>
          <w:rFonts w:asciiTheme="majorHAnsi" w:eastAsia="Times New Roman" w:hAnsiTheme="majorHAnsi" w:cstheme="majorHAnsi"/>
          <w:sz w:val="24"/>
          <w:szCs w:val="24"/>
          <w:lang w:val="ru-MD" w:eastAsia="ro-MD"/>
        </w:rPr>
        <w:t>-</w:t>
      </w:r>
      <w:r w:rsidR="00D868DB" w:rsidRPr="00D868DB">
        <w:rPr>
          <w:rFonts w:asciiTheme="majorHAnsi" w:eastAsia="Times New Roman" w:hAnsiTheme="majorHAnsi" w:cstheme="majorHAnsi"/>
          <w:sz w:val="24"/>
          <w:szCs w:val="24"/>
          <w:lang w:val="ru-MD" w:eastAsia="ro-MD"/>
        </w:rPr>
        <w:t xml:space="preserve"> </w:t>
      </w:r>
      <w:r w:rsidRPr="00D868DB">
        <w:rPr>
          <w:rFonts w:asciiTheme="majorHAnsi" w:eastAsia="Times New Roman" w:hAnsiTheme="majorHAnsi" w:cstheme="majorHAnsi"/>
          <w:sz w:val="24"/>
          <w:szCs w:val="24"/>
          <w:lang w:val="ru-MD" w:eastAsia="ro-MD"/>
        </w:rPr>
        <w:t xml:space="preserve">79 092,8 тыс. леев, или около 52,1%, </w:t>
      </w:r>
      <w:r w:rsidR="00D868DB" w:rsidRPr="00D868DB">
        <w:rPr>
          <w:rFonts w:asciiTheme="majorHAnsi" w:eastAsia="Times New Roman" w:hAnsiTheme="majorHAnsi" w:cstheme="majorHAnsi"/>
          <w:sz w:val="24"/>
          <w:szCs w:val="24"/>
          <w:lang w:val="ru-MD" w:eastAsia="ro-MD"/>
        </w:rPr>
        <w:t>одновременно</w:t>
      </w:r>
      <w:r w:rsidRPr="00D868DB">
        <w:rPr>
          <w:rFonts w:asciiTheme="majorHAnsi" w:eastAsia="Times New Roman" w:hAnsiTheme="majorHAnsi" w:cstheme="majorHAnsi"/>
          <w:sz w:val="24"/>
          <w:szCs w:val="24"/>
          <w:lang w:val="ru-MD" w:eastAsia="ro-MD"/>
        </w:rPr>
        <w:t xml:space="preserve"> сократи</w:t>
      </w:r>
      <w:r w:rsidR="00D868DB" w:rsidRPr="00D868DB">
        <w:rPr>
          <w:rFonts w:asciiTheme="majorHAnsi" w:eastAsia="Times New Roman" w:hAnsiTheme="majorHAnsi" w:cstheme="majorHAnsi"/>
          <w:sz w:val="24"/>
          <w:szCs w:val="24"/>
          <w:lang w:val="ru-MD" w:eastAsia="ro-MD"/>
        </w:rPr>
        <w:t>вш</w:t>
      </w:r>
      <w:r w:rsidRPr="00D868DB">
        <w:rPr>
          <w:rFonts w:asciiTheme="majorHAnsi" w:eastAsia="Times New Roman" w:hAnsiTheme="majorHAnsi" w:cstheme="majorHAnsi"/>
          <w:sz w:val="24"/>
          <w:szCs w:val="24"/>
          <w:lang w:val="ru-MD" w:eastAsia="ro-MD"/>
        </w:rPr>
        <w:t xml:space="preserve">ись в 2022 году по сравнению с 2021 годом из-за </w:t>
      </w:r>
      <w:r w:rsidR="00D868DB" w:rsidRPr="00D868DB">
        <w:rPr>
          <w:rFonts w:asciiTheme="majorHAnsi" w:eastAsia="Times New Roman" w:hAnsiTheme="majorHAnsi" w:cstheme="majorHAnsi"/>
          <w:sz w:val="24"/>
          <w:szCs w:val="24"/>
          <w:lang w:val="ru-MD" w:eastAsia="ro-MD"/>
        </w:rPr>
        <w:t>нехватки кадров</w:t>
      </w:r>
      <w:r w:rsidRPr="00D868DB">
        <w:rPr>
          <w:rFonts w:asciiTheme="majorHAnsi" w:eastAsia="Times New Roman" w:hAnsiTheme="majorHAnsi" w:cstheme="majorHAnsi"/>
          <w:sz w:val="24"/>
          <w:szCs w:val="24"/>
          <w:lang w:val="ru-MD" w:eastAsia="ro-MD"/>
        </w:rPr>
        <w:t xml:space="preserve"> и </w:t>
      </w:r>
      <w:r w:rsidR="00D868DB" w:rsidRPr="00D868DB">
        <w:rPr>
          <w:rFonts w:asciiTheme="majorHAnsi" w:eastAsia="Times New Roman" w:hAnsiTheme="majorHAnsi" w:cstheme="majorHAnsi"/>
          <w:sz w:val="24"/>
          <w:szCs w:val="24"/>
          <w:lang w:val="ru-MD" w:eastAsia="ro-MD"/>
        </w:rPr>
        <w:t>текучести персонала</w:t>
      </w:r>
      <w:r w:rsidR="006354E6" w:rsidRPr="00D868DB">
        <w:rPr>
          <w:rFonts w:asciiTheme="majorHAnsi" w:eastAsia="Times New Roman" w:hAnsiTheme="majorHAnsi" w:cstheme="majorHAnsi"/>
          <w:sz w:val="24"/>
          <w:szCs w:val="24"/>
          <w:lang w:val="ru-MD" w:eastAsia="ro-MD"/>
        </w:rPr>
        <w:t xml:space="preserve">. </w:t>
      </w:r>
    </w:p>
    <w:p w14:paraId="7C1BA185" w14:textId="5FE8F8F9" w:rsidR="00602543" w:rsidRPr="00D868DB" w:rsidRDefault="00053BC3" w:rsidP="00873798">
      <w:pPr>
        <w:spacing w:line="276" w:lineRule="auto"/>
        <w:jc w:val="both"/>
        <w:rPr>
          <w:rFonts w:asciiTheme="majorHAnsi" w:eastAsia="Times New Roman" w:hAnsiTheme="majorHAnsi" w:cstheme="majorHAnsi"/>
          <w:sz w:val="24"/>
          <w:szCs w:val="24"/>
          <w:lang w:val="ru-MD" w:eastAsia="ro-MD"/>
        </w:rPr>
      </w:pPr>
      <w:r w:rsidRPr="00D868DB">
        <w:rPr>
          <w:rFonts w:asciiTheme="majorHAnsi" w:eastAsia="Times New Roman" w:hAnsiTheme="majorHAnsi" w:cstheme="majorHAnsi"/>
          <w:sz w:val="24"/>
          <w:szCs w:val="24"/>
          <w:lang w:val="ru-MD" w:eastAsia="ro-MD"/>
        </w:rPr>
        <w:t xml:space="preserve">Следующим существенным компонентом расходов являются лекарства </w:t>
      </w:r>
      <w:r w:rsidR="00D868DB" w:rsidRPr="00D868DB">
        <w:rPr>
          <w:rFonts w:asciiTheme="majorHAnsi" w:eastAsia="Times New Roman" w:hAnsiTheme="majorHAnsi" w:cstheme="majorHAnsi"/>
          <w:sz w:val="24"/>
          <w:szCs w:val="24"/>
          <w:lang w:val="ru-MD" w:eastAsia="ro-MD"/>
        </w:rPr>
        <w:t>на сумму</w:t>
      </w:r>
      <w:r w:rsidRPr="00D868DB">
        <w:rPr>
          <w:rFonts w:asciiTheme="majorHAnsi" w:eastAsia="Times New Roman" w:hAnsiTheme="majorHAnsi" w:cstheme="majorHAnsi"/>
          <w:sz w:val="24"/>
          <w:szCs w:val="24"/>
          <w:lang w:val="ru-MD" w:eastAsia="ro-MD"/>
        </w:rPr>
        <w:t xml:space="preserve"> 23 546,3 тыс. леев </w:t>
      </w:r>
      <w:r w:rsidR="00D868DB" w:rsidRPr="00D868DB">
        <w:rPr>
          <w:rFonts w:asciiTheme="majorHAnsi" w:eastAsia="Times New Roman" w:hAnsiTheme="majorHAnsi" w:cstheme="majorHAnsi"/>
          <w:sz w:val="24"/>
          <w:szCs w:val="24"/>
          <w:lang w:val="ru-MD" w:eastAsia="ro-MD"/>
        </w:rPr>
        <w:t>з</w:t>
      </w:r>
      <w:r w:rsidRPr="00D868DB">
        <w:rPr>
          <w:rFonts w:asciiTheme="majorHAnsi" w:eastAsia="Times New Roman" w:hAnsiTheme="majorHAnsi" w:cstheme="majorHAnsi"/>
          <w:sz w:val="24"/>
          <w:szCs w:val="24"/>
          <w:lang w:val="ru-MD" w:eastAsia="ro-MD"/>
        </w:rPr>
        <w:t>а 2021 год</w:t>
      </w:r>
      <w:r w:rsidR="00D868DB" w:rsidRPr="00D868DB">
        <w:rPr>
          <w:rFonts w:asciiTheme="majorHAnsi" w:eastAsia="Times New Roman" w:hAnsiTheme="majorHAnsi" w:cstheme="majorHAnsi"/>
          <w:sz w:val="24"/>
          <w:szCs w:val="24"/>
          <w:lang w:val="ru-MD" w:eastAsia="ro-MD"/>
        </w:rPr>
        <w:t>,</w:t>
      </w:r>
      <w:r w:rsidRPr="00D868DB">
        <w:rPr>
          <w:rFonts w:asciiTheme="majorHAnsi" w:eastAsia="Times New Roman" w:hAnsiTheme="majorHAnsi" w:cstheme="majorHAnsi"/>
          <w:sz w:val="24"/>
          <w:szCs w:val="24"/>
          <w:lang w:val="ru-MD" w:eastAsia="ro-MD"/>
        </w:rPr>
        <w:t xml:space="preserve"> и 31 772,9 тыс. леев </w:t>
      </w:r>
      <w:r w:rsidR="00D868DB" w:rsidRPr="00D868DB">
        <w:rPr>
          <w:rFonts w:asciiTheme="majorHAnsi" w:eastAsia="Times New Roman" w:hAnsiTheme="majorHAnsi" w:cstheme="majorHAnsi"/>
          <w:sz w:val="24"/>
          <w:szCs w:val="24"/>
          <w:lang w:val="ru-MD" w:eastAsia="ro-MD"/>
        </w:rPr>
        <w:t>з</w:t>
      </w:r>
      <w:r w:rsidRPr="00D868DB">
        <w:rPr>
          <w:rFonts w:asciiTheme="majorHAnsi" w:eastAsia="Times New Roman" w:hAnsiTheme="majorHAnsi" w:cstheme="majorHAnsi"/>
          <w:sz w:val="24"/>
          <w:szCs w:val="24"/>
          <w:lang w:val="ru-MD" w:eastAsia="ro-MD"/>
        </w:rPr>
        <w:t>а 2022 год, или около 14,96% и</w:t>
      </w:r>
      <w:r w:rsidR="00D868DB" w:rsidRPr="00D868DB">
        <w:rPr>
          <w:rFonts w:asciiTheme="majorHAnsi" w:eastAsia="Times New Roman" w:hAnsiTheme="majorHAnsi" w:cstheme="majorHAnsi"/>
          <w:sz w:val="24"/>
          <w:szCs w:val="24"/>
          <w:lang w:val="ru-MD" w:eastAsia="ro-MD"/>
        </w:rPr>
        <w:t>,</w:t>
      </w:r>
      <w:r w:rsidRPr="00D868DB">
        <w:rPr>
          <w:rFonts w:asciiTheme="majorHAnsi" w:eastAsia="Times New Roman" w:hAnsiTheme="majorHAnsi" w:cstheme="majorHAnsi"/>
          <w:sz w:val="24"/>
          <w:szCs w:val="24"/>
          <w:lang w:val="ru-MD" w:eastAsia="ro-MD"/>
        </w:rPr>
        <w:t xml:space="preserve"> </w:t>
      </w:r>
      <w:r w:rsidR="00D868DB" w:rsidRPr="00D868DB">
        <w:rPr>
          <w:rFonts w:asciiTheme="majorHAnsi" w:eastAsia="Times New Roman" w:hAnsiTheme="majorHAnsi" w:cstheme="majorHAnsi"/>
          <w:sz w:val="24"/>
          <w:szCs w:val="24"/>
          <w:lang w:val="ru-MD" w:eastAsia="ro-MD"/>
        </w:rPr>
        <w:t xml:space="preserve">соответственно, </w:t>
      </w:r>
      <w:r w:rsidRPr="00D868DB">
        <w:rPr>
          <w:rFonts w:asciiTheme="majorHAnsi" w:eastAsia="Times New Roman" w:hAnsiTheme="majorHAnsi" w:cstheme="majorHAnsi"/>
          <w:sz w:val="24"/>
          <w:szCs w:val="24"/>
          <w:lang w:val="ru-MD" w:eastAsia="ro-MD"/>
        </w:rPr>
        <w:t xml:space="preserve">19,78%. Остальные расходы были ниже 10% и позиционировались следующим образом: амортизация, износ около 5%; тепловая энергия и другие расходы около 2,2%; газ, электричество, инвентарь </w:t>
      </w:r>
      <w:r w:rsidR="00D868DB" w:rsidRPr="00D868DB">
        <w:rPr>
          <w:rFonts w:asciiTheme="majorHAnsi" w:eastAsia="Times New Roman" w:hAnsiTheme="majorHAnsi" w:cstheme="majorHAnsi"/>
          <w:sz w:val="24"/>
          <w:szCs w:val="24"/>
          <w:lang w:val="ru-MD" w:eastAsia="ro-MD"/>
        </w:rPr>
        <w:t>МБП</w:t>
      </w:r>
      <w:r w:rsidRPr="00D868DB">
        <w:rPr>
          <w:rFonts w:asciiTheme="majorHAnsi" w:eastAsia="Times New Roman" w:hAnsiTheme="majorHAnsi" w:cstheme="majorHAnsi"/>
          <w:sz w:val="24"/>
          <w:szCs w:val="24"/>
          <w:lang w:val="ru-MD" w:eastAsia="ro-MD"/>
        </w:rPr>
        <w:t>O</w:t>
      </w:r>
      <w:r w:rsidR="00D868DB" w:rsidRPr="00D868DB">
        <w:rPr>
          <w:rFonts w:asciiTheme="majorHAnsi" w:eastAsia="Times New Roman" w:hAnsiTheme="majorHAnsi" w:cstheme="majorHAnsi"/>
          <w:sz w:val="24"/>
          <w:szCs w:val="24"/>
          <w:lang w:val="ru-MD" w:eastAsia="ro-MD"/>
        </w:rPr>
        <w:t xml:space="preserve"> около</w:t>
      </w:r>
      <w:r w:rsidR="006354E6" w:rsidRPr="00D868DB">
        <w:rPr>
          <w:rFonts w:asciiTheme="majorHAnsi" w:eastAsia="Times New Roman" w:hAnsiTheme="majorHAnsi" w:cstheme="majorHAnsi"/>
          <w:sz w:val="24"/>
          <w:szCs w:val="24"/>
          <w:lang w:val="ru-MD" w:eastAsia="ro-MD"/>
        </w:rPr>
        <w:t xml:space="preserve"> 1,1%</w:t>
      </w:r>
      <w:r w:rsidR="00D868DB" w:rsidRPr="00D868DB">
        <w:rPr>
          <w:rFonts w:asciiTheme="majorHAnsi" w:eastAsia="Times New Roman" w:hAnsiTheme="majorHAnsi" w:cstheme="majorHAnsi"/>
          <w:sz w:val="24"/>
          <w:szCs w:val="24"/>
          <w:lang w:val="ru-MD" w:eastAsia="ro-MD"/>
        </w:rPr>
        <w:t>,</w:t>
      </w:r>
      <w:r w:rsidR="006354E6" w:rsidRPr="00D868DB">
        <w:rPr>
          <w:rFonts w:asciiTheme="majorHAnsi" w:eastAsia="Times New Roman" w:hAnsiTheme="majorHAnsi" w:cstheme="majorHAnsi"/>
          <w:sz w:val="24"/>
          <w:szCs w:val="24"/>
          <w:lang w:val="ru-MD" w:eastAsia="ro-MD"/>
        </w:rPr>
        <w:t xml:space="preserve"> </w:t>
      </w:r>
      <w:r w:rsidR="00D868DB" w:rsidRPr="00D868DB">
        <w:rPr>
          <w:rFonts w:asciiTheme="majorHAnsi" w:eastAsia="Times New Roman" w:hAnsiTheme="majorHAnsi" w:cstheme="majorHAnsi"/>
          <w:sz w:val="24"/>
          <w:szCs w:val="24"/>
          <w:lang w:val="ru-MD" w:eastAsia="ro-MD"/>
        </w:rPr>
        <w:t>и усовершенс</w:t>
      </w:r>
      <w:r w:rsidR="00D868DB">
        <w:rPr>
          <w:rFonts w:asciiTheme="majorHAnsi" w:eastAsia="Times New Roman" w:hAnsiTheme="majorHAnsi" w:cstheme="majorHAnsi"/>
          <w:sz w:val="24"/>
          <w:szCs w:val="24"/>
          <w:lang w:val="ru-MD" w:eastAsia="ro-MD"/>
        </w:rPr>
        <w:t>т</w:t>
      </w:r>
      <w:r w:rsidR="00D868DB" w:rsidRPr="00D868DB">
        <w:rPr>
          <w:rFonts w:asciiTheme="majorHAnsi" w:eastAsia="Times New Roman" w:hAnsiTheme="majorHAnsi" w:cstheme="majorHAnsi"/>
          <w:sz w:val="24"/>
          <w:szCs w:val="24"/>
          <w:lang w:val="ru-MD" w:eastAsia="ro-MD"/>
        </w:rPr>
        <w:t>в</w:t>
      </w:r>
      <w:r w:rsidR="00D868DB">
        <w:rPr>
          <w:rFonts w:asciiTheme="majorHAnsi" w:eastAsia="Times New Roman" w:hAnsiTheme="majorHAnsi" w:cstheme="majorHAnsi"/>
          <w:sz w:val="24"/>
          <w:szCs w:val="24"/>
          <w:lang w:val="ru-MD" w:eastAsia="ro-MD"/>
        </w:rPr>
        <w:t>ова</w:t>
      </w:r>
      <w:r w:rsidR="00D868DB" w:rsidRPr="00D868DB">
        <w:rPr>
          <w:rFonts w:asciiTheme="majorHAnsi" w:eastAsia="Times New Roman" w:hAnsiTheme="majorHAnsi" w:cstheme="majorHAnsi"/>
          <w:sz w:val="24"/>
          <w:szCs w:val="24"/>
          <w:lang w:val="ru-MD" w:eastAsia="ro-MD"/>
        </w:rPr>
        <w:t>ние кадров, нефтепродукты, вода, канализация, связь и почта и т. д. примерно 0,1 – 0,2% от общего объема расходов субъекта</w:t>
      </w:r>
      <w:r w:rsidR="00B34D84" w:rsidRPr="00D868DB">
        <w:rPr>
          <w:rFonts w:asciiTheme="majorHAnsi" w:hAnsiTheme="majorHAnsi" w:cs="Times New Roman"/>
          <w:sz w:val="24"/>
          <w:szCs w:val="24"/>
          <w:lang w:val="ru-MD"/>
        </w:rPr>
        <w:t>.</w:t>
      </w:r>
      <w:r w:rsidR="00602543" w:rsidRPr="00D868DB">
        <w:rPr>
          <w:rFonts w:asciiTheme="majorHAnsi" w:hAnsiTheme="majorHAnsi" w:cs="Times New Roman"/>
          <w:sz w:val="24"/>
          <w:szCs w:val="24"/>
          <w:lang w:val="ru-MD"/>
        </w:rPr>
        <w:t xml:space="preserve"> </w:t>
      </w:r>
    </w:p>
    <w:p w14:paraId="4B1054D1" w14:textId="2AF9413C" w:rsidR="001D7055" w:rsidRPr="001472C4" w:rsidRDefault="00053BC3" w:rsidP="00A7014D">
      <w:pPr>
        <w:tabs>
          <w:tab w:val="left" w:pos="720"/>
        </w:tabs>
        <w:spacing w:after="0" w:line="276" w:lineRule="auto"/>
        <w:outlineLvl w:val="1"/>
        <w:rPr>
          <w:rFonts w:asciiTheme="majorHAnsi" w:hAnsiTheme="majorHAnsi" w:cstheme="majorHAnsi"/>
          <w:b/>
          <w:color w:val="00B0F0"/>
          <w:sz w:val="24"/>
          <w:szCs w:val="24"/>
          <w:lang w:val="ru-MD"/>
        </w:rPr>
      </w:pPr>
      <w:bookmarkStart w:id="8" w:name="_Toc158317219"/>
      <w:bookmarkStart w:id="9" w:name="_Toc123116696"/>
      <w:r w:rsidRPr="001472C4">
        <w:rPr>
          <w:rFonts w:asciiTheme="majorHAnsi" w:hAnsiTheme="majorHAnsi" w:cstheme="majorHAnsi"/>
          <w:b/>
          <w:color w:val="00B0F0"/>
          <w:sz w:val="24"/>
          <w:szCs w:val="24"/>
          <w:lang w:val="ru-MD"/>
        </w:rPr>
        <w:t>Обязанности руководства в рамках аудита соответствия</w:t>
      </w:r>
      <w:bookmarkEnd w:id="8"/>
      <w:r w:rsidRPr="001472C4">
        <w:rPr>
          <w:rFonts w:asciiTheme="majorHAnsi" w:hAnsiTheme="majorHAnsi" w:cstheme="majorHAnsi"/>
          <w:b/>
          <w:color w:val="00B0F0"/>
          <w:sz w:val="24"/>
          <w:szCs w:val="24"/>
          <w:lang w:val="ru-MD"/>
        </w:rPr>
        <w:t xml:space="preserve"> </w:t>
      </w:r>
      <w:bookmarkEnd w:id="9"/>
    </w:p>
    <w:p w14:paraId="55D0F62C" w14:textId="50E2B880" w:rsidR="00053BC3" w:rsidRPr="001472C4" w:rsidRDefault="00053BC3" w:rsidP="00053BC3">
      <w:pPr>
        <w:pStyle w:val="a7"/>
        <w:tabs>
          <w:tab w:val="left" w:pos="0"/>
        </w:tabs>
        <w:spacing w:after="0" w:line="276" w:lineRule="auto"/>
        <w:ind w:left="0"/>
        <w:jc w:val="both"/>
        <w:rPr>
          <w:rFonts w:asciiTheme="majorHAnsi" w:hAnsiTheme="majorHAnsi" w:cstheme="majorHAnsi"/>
          <w:b/>
          <w:color w:val="000000"/>
          <w:spacing w:val="-3"/>
          <w:sz w:val="24"/>
          <w:szCs w:val="24"/>
          <w:lang w:val="ru-MD"/>
        </w:rPr>
      </w:pPr>
      <w:r w:rsidRPr="001472C4">
        <w:rPr>
          <w:rFonts w:asciiTheme="majorHAnsi" w:hAnsiTheme="majorHAnsi" w:cstheme="majorHAnsi"/>
          <w:b/>
          <w:color w:val="000000"/>
          <w:spacing w:val="-3"/>
          <w:sz w:val="24"/>
          <w:szCs w:val="24"/>
          <w:lang w:val="ru-MD"/>
        </w:rPr>
        <w:t xml:space="preserve">Учредитель </w:t>
      </w:r>
      <w:r w:rsidRPr="001472C4">
        <w:rPr>
          <w:rFonts w:asciiTheme="majorHAnsi" w:hAnsiTheme="majorHAnsi" w:cstheme="majorHAnsi"/>
          <w:color w:val="000000"/>
          <w:spacing w:val="-3"/>
          <w:sz w:val="24"/>
          <w:szCs w:val="24"/>
          <w:lang w:val="ru-MD"/>
        </w:rPr>
        <w:t xml:space="preserve">осуществляет контроль за текущей деятельностью учреждения, вопросами, касающимися его </w:t>
      </w:r>
      <w:r w:rsidR="001472C4" w:rsidRPr="001472C4">
        <w:rPr>
          <w:rFonts w:asciiTheme="majorHAnsi" w:hAnsiTheme="majorHAnsi" w:cstheme="majorHAnsi"/>
          <w:color w:val="000000"/>
          <w:spacing w:val="-3"/>
          <w:sz w:val="24"/>
          <w:szCs w:val="24"/>
          <w:lang w:val="ru-MD"/>
        </w:rPr>
        <w:t>полномочи</w:t>
      </w:r>
      <w:r w:rsidRPr="001472C4">
        <w:rPr>
          <w:rFonts w:asciiTheme="majorHAnsi" w:hAnsiTheme="majorHAnsi" w:cstheme="majorHAnsi"/>
          <w:color w:val="000000"/>
          <w:spacing w:val="-3"/>
          <w:sz w:val="24"/>
          <w:szCs w:val="24"/>
          <w:lang w:val="ru-MD"/>
        </w:rPr>
        <w:t xml:space="preserve">й, в том числе путем запроса информации, </w:t>
      </w:r>
      <w:r w:rsidR="001472C4" w:rsidRPr="001472C4">
        <w:rPr>
          <w:rFonts w:asciiTheme="majorHAnsi" w:hAnsiTheme="majorHAnsi" w:cstheme="majorHAnsi"/>
          <w:color w:val="000000"/>
          <w:spacing w:val="-3"/>
          <w:sz w:val="24"/>
          <w:szCs w:val="24"/>
          <w:lang w:val="ru-MD"/>
        </w:rPr>
        <w:t>документ</w:t>
      </w:r>
      <w:r w:rsidRPr="001472C4">
        <w:rPr>
          <w:rFonts w:asciiTheme="majorHAnsi" w:hAnsiTheme="majorHAnsi" w:cstheme="majorHAnsi"/>
          <w:color w:val="000000"/>
          <w:spacing w:val="-3"/>
          <w:sz w:val="24"/>
          <w:szCs w:val="24"/>
          <w:lang w:val="ru-MD"/>
        </w:rPr>
        <w:t>ов, пояснений, отчетов о деятельности и т. д.</w:t>
      </w:r>
    </w:p>
    <w:p w14:paraId="30FDD46E" w14:textId="15B7286C" w:rsidR="00381BAC" w:rsidRPr="001472C4" w:rsidRDefault="00053BC3" w:rsidP="001472C4">
      <w:pPr>
        <w:pStyle w:val="a7"/>
        <w:tabs>
          <w:tab w:val="left" w:pos="0"/>
        </w:tabs>
        <w:spacing w:after="0" w:line="276" w:lineRule="auto"/>
        <w:ind w:left="0"/>
        <w:jc w:val="both"/>
        <w:rPr>
          <w:rFonts w:asciiTheme="majorHAnsi" w:hAnsiTheme="majorHAnsi" w:cstheme="majorHAnsi"/>
          <w:color w:val="000000"/>
          <w:spacing w:val="-3"/>
          <w:sz w:val="24"/>
          <w:szCs w:val="24"/>
          <w:lang w:val="ru-MD"/>
        </w:rPr>
      </w:pPr>
      <w:r w:rsidRPr="001472C4">
        <w:rPr>
          <w:rFonts w:asciiTheme="majorHAnsi" w:hAnsiTheme="majorHAnsi" w:cstheme="majorHAnsi"/>
          <w:color w:val="000000"/>
          <w:spacing w:val="-3"/>
          <w:sz w:val="24"/>
          <w:szCs w:val="24"/>
          <w:lang w:val="ru-MD"/>
        </w:rPr>
        <w:t xml:space="preserve">Решения </w:t>
      </w:r>
      <w:r w:rsidR="001472C4" w:rsidRPr="001472C4">
        <w:rPr>
          <w:rFonts w:asciiTheme="majorHAnsi" w:hAnsiTheme="majorHAnsi" w:cstheme="majorHAnsi"/>
          <w:color w:val="000000"/>
          <w:spacing w:val="-3"/>
          <w:sz w:val="24"/>
          <w:szCs w:val="24"/>
          <w:lang w:val="ru-MD"/>
        </w:rPr>
        <w:t>У</w:t>
      </w:r>
      <w:r w:rsidRPr="001472C4">
        <w:rPr>
          <w:rFonts w:asciiTheme="majorHAnsi" w:hAnsiTheme="majorHAnsi" w:cstheme="majorHAnsi"/>
          <w:color w:val="000000"/>
          <w:spacing w:val="-3"/>
          <w:sz w:val="24"/>
          <w:szCs w:val="24"/>
          <w:lang w:val="ru-MD"/>
        </w:rPr>
        <w:t xml:space="preserve">чредителя по вопросам, связанным с его </w:t>
      </w:r>
      <w:r w:rsidR="001472C4" w:rsidRPr="001472C4">
        <w:rPr>
          <w:rFonts w:asciiTheme="majorHAnsi" w:hAnsiTheme="majorHAnsi" w:cstheme="majorHAnsi"/>
          <w:color w:val="000000"/>
          <w:spacing w:val="-3"/>
          <w:sz w:val="24"/>
          <w:szCs w:val="24"/>
          <w:lang w:val="ru-MD"/>
        </w:rPr>
        <w:t>полномочи</w:t>
      </w:r>
      <w:r w:rsidRPr="001472C4">
        <w:rPr>
          <w:rFonts w:asciiTheme="majorHAnsi" w:hAnsiTheme="majorHAnsi" w:cstheme="majorHAnsi"/>
          <w:color w:val="000000"/>
          <w:spacing w:val="-3"/>
          <w:sz w:val="24"/>
          <w:szCs w:val="24"/>
          <w:lang w:val="ru-MD"/>
        </w:rPr>
        <w:t xml:space="preserve">ями, являются обязательными для руководства и </w:t>
      </w:r>
      <w:r w:rsidR="001472C4" w:rsidRPr="001472C4">
        <w:rPr>
          <w:rFonts w:asciiTheme="majorHAnsi" w:hAnsiTheme="majorHAnsi" w:cstheme="majorHAnsi"/>
          <w:color w:val="000000"/>
          <w:spacing w:val="-3"/>
          <w:sz w:val="24"/>
          <w:szCs w:val="24"/>
          <w:lang w:val="ru-MD"/>
        </w:rPr>
        <w:t xml:space="preserve">должностных </w:t>
      </w:r>
      <w:r w:rsidRPr="001472C4">
        <w:rPr>
          <w:rFonts w:asciiTheme="majorHAnsi" w:hAnsiTheme="majorHAnsi" w:cstheme="majorHAnsi"/>
          <w:color w:val="000000"/>
          <w:spacing w:val="-3"/>
          <w:sz w:val="24"/>
          <w:szCs w:val="24"/>
          <w:lang w:val="ru-MD"/>
        </w:rPr>
        <w:t>лиц</w:t>
      </w:r>
      <w:r w:rsidR="001472C4" w:rsidRPr="001472C4">
        <w:rPr>
          <w:rFonts w:asciiTheme="majorHAnsi" w:hAnsiTheme="majorHAnsi" w:cstheme="majorHAnsi"/>
          <w:color w:val="000000"/>
          <w:spacing w:val="-3"/>
          <w:sz w:val="24"/>
          <w:szCs w:val="24"/>
          <w:lang w:val="ru-MD"/>
        </w:rPr>
        <w:t xml:space="preserve"> публич</w:t>
      </w:r>
      <w:r w:rsidRPr="001472C4">
        <w:rPr>
          <w:rFonts w:asciiTheme="majorHAnsi" w:hAnsiTheme="majorHAnsi" w:cstheme="majorHAnsi"/>
          <w:color w:val="000000"/>
          <w:spacing w:val="-3"/>
          <w:sz w:val="24"/>
          <w:szCs w:val="24"/>
          <w:lang w:val="ru-MD"/>
        </w:rPr>
        <w:t>но</w:t>
      </w:r>
      <w:r w:rsidR="001472C4">
        <w:rPr>
          <w:rFonts w:asciiTheme="majorHAnsi" w:hAnsiTheme="majorHAnsi" w:cstheme="majorHAnsi"/>
          <w:color w:val="000000"/>
          <w:spacing w:val="-3"/>
          <w:sz w:val="24"/>
          <w:szCs w:val="24"/>
          <w:lang w:val="ru-MD"/>
        </w:rPr>
        <w:t>го медико-санитарного учреждения</w:t>
      </w:r>
      <w:r w:rsidR="001D7055" w:rsidRPr="00B13B9A">
        <w:rPr>
          <w:rStyle w:val="a9"/>
          <w:rFonts w:asciiTheme="majorHAnsi" w:eastAsia="Times New Roman" w:hAnsiTheme="majorHAnsi" w:cstheme="majorHAnsi"/>
          <w:sz w:val="24"/>
          <w:szCs w:val="24"/>
          <w:lang w:val="ro-MD"/>
        </w:rPr>
        <w:footnoteReference w:id="4"/>
      </w:r>
      <w:r w:rsidR="001D7055" w:rsidRPr="00B13B9A">
        <w:rPr>
          <w:rFonts w:asciiTheme="majorHAnsi" w:eastAsia="Times New Roman" w:hAnsiTheme="majorHAnsi" w:cstheme="majorHAnsi"/>
          <w:sz w:val="24"/>
          <w:szCs w:val="24"/>
          <w:lang w:val="ro-MD"/>
        </w:rPr>
        <w:t>.</w:t>
      </w:r>
      <w:r w:rsidR="0065779B" w:rsidRPr="00B13B9A">
        <w:rPr>
          <w:rFonts w:asciiTheme="majorHAnsi" w:hAnsiTheme="majorHAnsi" w:cstheme="majorHAnsi"/>
          <w:color w:val="000000"/>
          <w:spacing w:val="-3"/>
          <w:sz w:val="24"/>
          <w:szCs w:val="24"/>
          <w:lang w:val="ro-MD"/>
        </w:rPr>
        <w:t xml:space="preserve"> </w:t>
      </w:r>
    </w:p>
    <w:p w14:paraId="23520535" w14:textId="452C16E5" w:rsidR="00053BC3" w:rsidRPr="001472C4" w:rsidRDefault="00053BC3" w:rsidP="00053BC3">
      <w:pPr>
        <w:tabs>
          <w:tab w:val="left" w:pos="720"/>
        </w:tabs>
        <w:spacing w:after="0" w:line="276" w:lineRule="auto"/>
        <w:jc w:val="both"/>
        <w:rPr>
          <w:rFonts w:asciiTheme="majorHAnsi" w:hAnsiTheme="majorHAnsi" w:cstheme="majorHAnsi"/>
          <w:b/>
          <w:color w:val="000000"/>
          <w:spacing w:val="-3"/>
          <w:sz w:val="24"/>
          <w:szCs w:val="24"/>
          <w:lang w:val="ru-MD"/>
        </w:rPr>
      </w:pPr>
      <w:r w:rsidRPr="001472C4">
        <w:rPr>
          <w:rFonts w:asciiTheme="majorHAnsi" w:hAnsiTheme="majorHAnsi" w:cstheme="majorHAnsi"/>
          <w:b/>
          <w:color w:val="000000"/>
          <w:spacing w:val="-3"/>
          <w:sz w:val="24"/>
          <w:szCs w:val="24"/>
          <w:lang w:val="ru-MD"/>
        </w:rPr>
        <w:t xml:space="preserve">Административный Совет </w:t>
      </w:r>
      <w:r w:rsidRPr="001472C4">
        <w:rPr>
          <w:rFonts w:asciiTheme="majorHAnsi" w:hAnsiTheme="majorHAnsi" w:cstheme="majorHAnsi"/>
          <w:color w:val="000000"/>
          <w:spacing w:val="-3"/>
          <w:sz w:val="24"/>
          <w:szCs w:val="24"/>
          <w:lang w:val="ru-MD"/>
        </w:rPr>
        <w:t xml:space="preserve">рассматривает отчеты Счетной палаты, </w:t>
      </w:r>
      <w:r w:rsidR="001472C4" w:rsidRPr="001472C4">
        <w:rPr>
          <w:rFonts w:asciiTheme="majorHAnsi" w:hAnsiTheme="majorHAnsi" w:cstheme="majorHAnsi"/>
          <w:color w:val="000000"/>
          <w:spacing w:val="-3"/>
          <w:sz w:val="24"/>
          <w:szCs w:val="24"/>
          <w:lang w:val="ru-MD"/>
        </w:rPr>
        <w:t>Ф</w:t>
      </w:r>
      <w:r w:rsidRPr="001472C4">
        <w:rPr>
          <w:rFonts w:asciiTheme="majorHAnsi" w:hAnsiTheme="majorHAnsi" w:cstheme="majorHAnsi"/>
          <w:color w:val="000000"/>
          <w:spacing w:val="-3"/>
          <w:sz w:val="24"/>
          <w:szCs w:val="24"/>
          <w:lang w:val="ru-MD"/>
        </w:rPr>
        <w:t xml:space="preserve">инансовой инспекции, </w:t>
      </w:r>
      <w:r w:rsidR="001472C4" w:rsidRPr="001472C4">
        <w:rPr>
          <w:rFonts w:asciiTheme="majorHAnsi" w:hAnsiTheme="majorHAnsi" w:cstheme="majorHAnsi"/>
          <w:color w:val="000000"/>
          <w:spacing w:val="-3"/>
          <w:sz w:val="24"/>
          <w:szCs w:val="24"/>
          <w:lang w:val="ru-MD"/>
        </w:rPr>
        <w:t>НМСК</w:t>
      </w:r>
      <w:r w:rsidRPr="001472C4">
        <w:rPr>
          <w:rFonts w:asciiTheme="majorHAnsi" w:hAnsiTheme="majorHAnsi" w:cstheme="majorHAnsi"/>
          <w:color w:val="000000"/>
          <w:spacing w:val="-3"/>
          <w:sz w:val="24"/>
          <w:szCs w:val="24"/>
          <w:lang w:val="ru-MD"/>
        </w:rPr>
        <w:t xml:space="preserve">, других органов </w:t>
      </w:r>
      <w:r w:rsidR="001472C4" w:rsidRPr="001472C4">
        <w:rPr>
          <w:rFonts w:asciiTheme="majorHAnsi" w:hAnsiTheme="majorHAnsi" w:cstheme="majorHAnsi"/>
          <w:color w:val="000000"/>
          <w:spacing w:val="-3"/>
          <w:sz w:val="24"/>
          <w:szCs w:val="24"/>
          <w:lang w:val="ru-MD"/>
        </w:rPr>
        <w:t xml:space="preserve">контроля </w:t>
      </w:r>
      <w:r w:rsidRPr="001472C4">
        <w:rPr>
          <w:rFonts w:asciiTheme="majorHAnsi" w:hAnsiTheme="majorHAnsi" w:cstheme="majorHAnsi"/>
          <w:color w:val="000000"/>
          <w:spacing w:val="-3"/>
          <w:sz w:val="24"/>
          <w:szCs w:val="24"/>
          <w:lang w:val="ru-MD"/>
        </w:rPr>
        <w:t xml:space="preserve">и утверждает </w:t>
      </w:r>
      <w:r w:rsidR="001472C4" w:rsidRPr="001472C4">
        <w:rPr>
          <w:rFonts w:asciiTheme="majorHAnsi" w:hAnsiTheme="majorHAnsi" w:cstheme="majorHAnsi"/>
          <w:color w:val="000000"/>
          <w:spacing w:val="-3"/>
          <w:sz w:val="24"/>
          <w:szCs w:val="24"/>
          <w:lang w:val="ru-MD"/>
        </w:rPr>
        <w:t>П</w:t>
      </w:r>
      <w:r w:rsidRPr="001472C4">
        <w:rPr>
          <w:rFonts w:asciiTheme="majorHAnsi" w:hAnsiTheme="majorHAnsi" w:cstheme="majorHAnsi"/>
          <w:color w:val="000000"/>
          <w:spacing w:val="-3"/>
          <w:sz w:val="24"/>
          <w:szCs w:val="24"/>
          <w:lang w:val="ru-MD"/>
        </w:rPr>
        <w:t>лан действий по устранению выявленных нарушений</w:t>
      </w:r>
      <w:r w:rsidR="001472C4" w:rsidRPr="001472C4">
        <w:rPr>
          <w:rStyle w:val="a9"/>
          <w:rFonts w:asciiTheme="majorHAnsi" w:hAnsiTheme="majorHAnsi" w:cstheme="majorBidi"/>
          <w:sz w:val="24"/>
          <w:szCs w:val="24"/>
          <w:lang w:val="ru-MD"/>
        </w:rPr>
        <w:footnoteReference w:id="5"/>
      </w:r>
      <w:r w:rsidRPr="001472C4">
        <w:rPr>
          <w:rFonts w:asciiTheme="majorHAnsi" w:hAnsiTheme="majorHAnsi" w:cstheme="majorHAnsi"/>
          <w:color w:val="000000"/>
          <w:spacing w:val="-3"/>
          <w:sz w:val="24"/>
          <w:szCs w:val="24"/>
          <w:lang w:val="ru-MD"/>
        </w:rPr>
        <w:t>.</w:t>
      </w:r>
    </w:p>
    <w:p w14:paraId="56BFB079" w14:textId="4141366F" w:rsidR="009E7FD2" w:rsidRPr="001472C4" w:rsidRDefault="00053BC3" w:rsidP="001472C4">
      <w:pPr>
        <w:tabs>
          <w:tab w:val="left" w:pos="720"/>
        </w:tabs>
        <w:spacing w:after="0" w:line="276" w:lineRule="auto"/>
        <w:jc w:val="both"/>
        <w:rPr>
          <w:rFonts w:asciiTheme="majorHAnsi" w:hAnsiTheme="majorHAnsi" w:cstheme="majorHAnsi"/>
          <w:b/>
          <w:color w:val="000000"/>
          <w:spacing w:val="-3"/>
          <w:sz w:val="24"/>
          <w:szCs w:val="24"/>
          <w:lang w:val="ru-MD"/>
        </w:rPr>
      </w:pPr>
      <w:r w:rsidRPr="001472C4">
        <w:rPr>
          <w:rFonts w:asciiTheme="majorHAnsi" w:hAnsiTheme="majorHAnsi" w:cstheme="majorHAnsi"/>
          <w:b/>
          <w:color w:val="000000"/>
          <w:spacing w:val="-3"/>
          <w:sz w:val="24"/>
          <w:szCs w:val="24"/>
          <w:lang w:val="ru-MD"/>
        </w:rPr>
        <w:t xml:space="preserve">Руководство учреждения </w:t>
      </w:r>
      <w:r w:rsidRPr="001472C4">
        <w:rPr>
          <w:rFonts w:asciiTheme="majorHAnsi" w:hAnsiTheme="majorHAnsi" w:cstheme="majorHAnsi"/>
          <w:color w:val="000000"/>
          <w:spacing w:val="-3"/>
          <w:sz w:val="24"/>
          <w:szCs w:val="24"/>
          <w:lang w:val="ru-MD"/>
        </w:rPr>
        <w:t>отвечает за осуществление обязанностей, установленных в соответствующ</w:t>
      </w:r>
      <w:r w:rsidR="001472C4" w:rsidRPr="001472C4">
        <w:rPr>
          <w:rFonts w:asciiTheme="majorHAnsi" w:hAnsiTheme="majorHAnsi" w:cstheme="majorHAnsi"/>
          <w:color w:val="000000"/>
          <w:spacing w:val="-3"/>
          <w:sz w:val="24"/>
          <w:szCs w:val="24"/>
          <w:lang w:val="ru-MD"/>
        </w:rPr>
        <w:t>ей</w:t>
      </w:r>
      <w:r w:rsidRPr="001472C4">
        <w:rPr>
          <w:rFonts w:asciiTheme="majorHAnsi" w:hAnsiTheme="majorHAnsi" w:cstheme="majorHAnsi"/>
          <w:color w:val="000000"/>
          <w:spacing w:val="-3"/>
          <w:sz w:val="24"/>
          <w:szCs w:val="24"/>
          <w:lang w:val="ru-MD"/>
        </w:rPr>
        <w:t xml:space="preserve"> нормативн</w:t>
      </w:r>
      <w:r w:rsidR="001472C4" w:rsidRPr="001472C4">
        <w:rPr>
          <w:rFonts w:asciiTheme="majorHAnsi" w:hAnsiTheme="majorHAnsi" w:cstheme="majorHAnsi"/>
          <w:color w:val="000000"/>
          <w:spacing w:val="-3"/>
          <w:sz w:val="24"/>
          <w:szCs w:val="24"/>
          <w:lang w:val="ru-MD"/>
        </w:rPr>
        <w:t>ой</w:t>
      </w:r>
      <w:r w:rsidRPr="001472C4">
        <w:rPr>
          <w:rFonts w:asciiTheme="majorHAnsi" w:hAnsiTheme="majorHAnsi" w:cstheme="majorHAnsi"/>
          <w:color w:val="000000"/>
          <w:spacing w:val="-3"/>
          <w:sz w:val="24"/>
          <w:szCs w:val="24"/>
          <w:lang w:val="ru-MD"/>
        </w:rPr>
        <w:t xml:space="preserve"> </w:t>
      </w:r>
      <w:r w:rsidR="001472C4" w:rsidRPr="001472C4">
        <w:rPr>
          <w:rFonts w:asciiTheme="majorHAnsi" w:hAnsiTheme="majorHAnsi" w:cstheme="majorHAnsi"/>
          <w:color w:val="000000"/>
          <w:spacing w:val="-3"/>
          <w:sz w:val="24"/>
          <w:szCs w:val="24"/>
          <w:lang w:val="ru-MD"/>
        </w:rPr>
        <w:t>базе</w:t>
      </w:r>
      <w:r w:rsidR="001472C4" w:rsidRPr="001472C4">
        <w:rPr>
          <w:rStyle w:val="a9"/>
          <w:rFonts w:asciiTheme="majorHAnsi" w:eastAsia="Times New Roman" w:hAnsiTheme="majorHAnsi" w:cstheme="majorHAnsi"/>
          <w:sz w:val="24"/>
          <w:szCs w:val="24"/>
          <w:lang w:val="ru-MD"/>
        </w:rPr>
        <w:footnoteReference w:id="6"/>
      </w:r>
      <w:r w:rsidRPr="001472C4">
        <w:rPr>
          <w:rFonts w:asciiTheme="majorHAnsi" w:hAnsiTheme="majorHAnsi" w:cstheme="majorHAnsi"/>
          <w:color w:val="000000"/>
          <w:spacing w:val="-3"/>
          <w:sz w:val="24"/>
          <w:szCs w:val="24"/>
          <w:lang w:val="ru-MD"/>
        </w:rPr>
        <w:t xml:space="preserve">, в том числе за организацию системы </w:t>
      </w:r>
      <w:r w:rsidR="001472C4" w:rsidRPr="001472C4">
        <w:rPr>
          <w:rFonts w:asciiTheme="majorHAnsi" w:hAnsiTheme="majorHAnsi" w:cstheme="majorHAnsi"/>
          <w:color w:val="000000"/>
          <w:spacing w:val="-3"/>
          <w:sz w:val="24"/>
          <w:szCs w:val="24"/>
          <w:lang w:val="ru-MD"/>
        </w:rPr>
        <w:t>менеджмента</w:t>
      </w:r>
      <w:r w:rsidRPr="001472C4">
        <w:rPr>
          <w:rFonts w:asciiTheme="majorHAnsi" w:hAnsiTheme="majorHAnsi" w:cstheme="majorHAnsi"/>
          <w:color w:val="000000"/>
          <w:spacing w:val="-3"/>
          <w:sz w:val="24"/>
          <w:szCs w:val="24"/>
          <w:lang w:val="ru-MD"/>
        </w:rPr>
        <w:t xml:space="preserve"> в соответствии с нормативными актами, регулирующими эту область, обеспечива</w:t>
      </w:r>
      <w:r w:rsidR="001472C4" w:rsidRPr="001472C4">
        <w:rPr>
          <w:rFonts w:asciiTheme="majorHAnsi" w:hAnsiTheme="majorHAnsi" w:cstheme="majorHAnsi"/>
          <w:color w:val="000000"/>
          <w:spacing w:val="-3"/>
          <w:sz w:val="24"/>
          <w:szCs w:val="24"/>
          <w:lang w:val="ru-MD"/>
        </w:rPr>
        <w:t>ющую</w:t>
      </w:r>
      <w:r w:rsidRPr="001472C4">
        <w:rPr>
          <w:rFonts w:asciiTheme="majorHAnsi" w:hAnsiTheme="majorHAnsi" w:cstheme="majorHAnsi"/>
          <w:color w:val="000000"/>
          <w:spacing w:val="-3"/>
          <w:sz w:val="24"/>
          <w:szCs w:val="24"/>
          <w:lang w:val="ru-MD"/>
        </w:rPr>
        <w:t xml:space="preserve"> управление финансовыми средствами и </w:t>
      </w:r>
      <w:r w:rsidR="001472C4" w:rsidRPr="001472C4">
        <w:rPr>
          <w:rFonts w:asciiTheme="majorHAnsi" w:hAnsiTheme="majorHAnsi" w:cstheme="majorHAnsi"/>
          <w:color w:val="000000"/>
          <w:spacing w:val="-3"/>
          <w:sz w:val="24"/>
          <w:szCs w:val="24"/>
          <w:lang w:val="ru-MD"/>
        </w:rPr>
        <w:t>администрирова</w:t>
      </w:r>
      <w:r w:rsidRPr="001472C4">
        <w:rPr>
          <w:rFonts w:asciiTheme="majorHAnsi" w:hAnsiTheme="majorHAnsi" w:cstheme="majorHAnsi"/>
          <w:color w:val="000000"/>
          <w:spacing w:val="-3"/>
          <w:sz w:val="24"/>
          <w:szCs w:val="24"/>
          <w:lang w:val="ru-MD"/>
        </w:rPr>
        <w:t xml:space="preserve">ние </w:t>
      </w:r>
      <w:r w:rsidR="001472C4" w:rsidRPr="001472C4">
        <w:rPr>
          <w:rFonts w:asciiTheme="majorHAnsi" w:hAnsiTheme="majorHAnsi" w:cstheme="majorHAnsi"/>
          <w:color w:val="000000"/>
          <w:spacing w:val="-3"/>
          <w:sz w:val="24"/>
          <w:szCs w:val="24"/>
          <w:lang w:val="ru-MD"/>
        </w:rPr>
        <w:t>публичного</w:t>
      </w:r>
      <w:r w:rsidRPr="001472C4">
        <w:rPr>
          <w:rFonts w:asciiTheme="majorHAnsi" w:hAnsiTheme="majorHAnsi" w:cstheme="majorHAnsi"/>
          <w:color w:val="000000"/>
          <w:spacing w:val="-3"/>
          <w:sz w:val="24"/>
          <w:szCs w:val="24"/>
          <w:lang w:val="ru-MD"/>
        </w:rPr>
        <w:t xml:space="preserve"> имуществ</w:t>
      </w:r>
      <w:r w:rsidR="001472C4" w:rsidRPr="001472C4">
        <w:rPr>
          <w:rFonts w:asciiTheme="majorHAnsi" w:hAnsiTheme="majorHAnsi" w:cstheme="majorHAnsi"/>
          <w:color w:val="000000"/>
          <w:spacing w:val="-3"/>
          <w:sz w:val="24"/>
          <w:szCs w:val="24"/>
          <w:lang w:val="ru-MD"/>
        </w:rPr>
        <w:t>а</w:t>
      </w:r>
      <w:r w:rsidRPr="001472C4">
        <w:rPr>
          <w:rFonts w:asciiTheme="majorHAnsi" w:hAnsiTheme="majorHAnsi" w:cstheme="majorHAnsi"/>
          <w:color w:val="000000"/>
          <w:spacing w:val="-3"/>
          <w:sz w:val="24"/>
          <w:szCs w:val="24"/>
          <w:lang w:val="ru-MD"/>
        </w:rPr>
        <w:t xml:space="preserve"> в соответствии с принципами надлежащего управления</w:t>
      </w:r>
      <w:r w:rsidR="0053013B" w:rsidRPr="001472C4">
        <w:rPr>
          <w:rFonts w:asciiTheme="majorHAnsi" w:hAnsiTheme="majorHAnsi" w:cstheme="majorHAnsi"/>
          <w:sz w:val="24"/>
          <w:szCs w:val="24"/>
          <w:lang w:val="ru-MD"/>
        </w:rPr>
        <w:t xml:space="preserve">. </w:t>
      </w:r>
    </w:p>
    <w:p w14:paraId="02532970" w14:textId="77777777" w:rsidR="00D43BEF" w:rsidRPr="00B13B9A" w:rsidRDefault="00D43BEF" w:rsidP="009E7FD2">
      <w:pPr>
        <w:pStyle w:val="a7"/>
        <w:tabs>
          <w:tab w:val="left" w:pos="720"/>
        </w:tabs>
        <w:spacing w:after="0" w:line="276" w:lineRule="auto"/>
        <w:ind w:left="0" w:firstLine="709"/>
        <w:jc w:val="both"/>
        <w:rPr>
          <w:rFonts w:asciiTheme="majorHAnsi" w:eastAsia="Times New Roman" w:hAnsiTheme="majorHAnsi" w:cstheme="majorHAnsi"/>
          <w:sz w:val="24"/>
          <w:szCs w:val="24"/>
          <w:lang w:val="ro-MD"/>
        </w:rPr>
      </w:pPr>
    </w:p>
    <w:p w14:paraId="4B695E9E" w14:textId="3F3A6363" w:rsidR="001159D9" w:rsidRPr="00B13B9A" w:rsidRDefault="00053BC3" w:rsidP="00D90992">
      <w:pPr>
        <w:pStyle w:val="a7"/>
        <w:keepNext/>
        <w:keepLines/>
        <w:numPr>
          <w:ilvl w:val="0"/>
          <w:numId w:val="1"/>
        </w:numPr>
        <w:spacing w:line="276" w:lineRule="auto"/>
        <w:ind w:left="0" w:firstLine="0"/>
        <w:outlineLvl w:val="0"/>
        <w:rPr>
          <w:rFonts w:asciiTheme="majorHAnsi" w:hAnsiTheme="majorHAnsi" w:cstheme="minorHAnsi"/>
          <w:b/>
          <w:color w:val="1F4E79" w:themeColor="accent1" w:themeShade="80"/>
          <w:sz w:val="28"/>
          <w:szCs w:val="28"/>
          <w:shd w:val="clear" w:color="auto" w:fill="FFFFFF"/>
          <w:lang w:val="ro-MD"/>
        </w:rPr>
      </w:pPr>
      <w:bookmarkStart w:id="10" w:name="_Toc128640803"/>
      <w:bookmarkStart w:id="11" w:name="_Toc158317220"/>
      <w:r>
        <w:rPr>
          <w:rFonts w:asciiTheme="majorHAnsi" w:hAnsiTheme="majorHAnsi" w:cstheme="minorHAnsi"/>
          <w:b/>
          <w:color w:val="1F4E79" w:themeColor="accent1" w:themeShade="80"/>
          <w:sz w:val="28"/>
          <w:szCs w:val="28"/>
          <w:shd w:val="clear" w:color="auto" w:fill="FFFFFF"/>
          <w:lang w:val="ru-RU"/>
        </w:rPr>
        <w:t>СФЕРА И ПОДХОД К АУДИТУ</w:t>
      </w:r>
      <w:bookmarkEnd w:id="10"/>
      <w:bookmarkEnd w:id="11"/>
    </w:p>
    <w:p w14:paraId="245F9E55" w14:textId="0F075DF1" w:rsidR="001159D9" w:rsidRPr="00B13B9A" w:rsidRDefault="001159D9" w:rsidP="001159D9">
      <w:pPr>
        <w:pStyle w:val="3"/>
        <w:spacing w:line="276" w:lineRule="auto"/>
        <w:rPr>
          <w:rFonts w:cstheme="minorHAnsi"/>
          <w:b/>
          <w:color w:val="2E74B5" w:themeColor="accent1" w:themeShade="BF"/>
          <w:shd w:val="clear" w:color="auto" w:fill="FFFFFF"/>
        </w:rPr>
      </w:pPr>
      <w:bookmarkStart w:id="12" w:name="_Toc158317221"/>
      <w:r w:rsidRPr="00B13B9A">
        <w:rPr>
          <w:rFonts w:cstheme="minorHAnsi"/>
          <w:b/>
          <w:color w:val="2E74B5" w:themeColor="accent1" w:themeShade="BF"/>
          <w:shd w:val="clear" w:color="auto" w:fill="FFFFFF"/>
        </w:rPr>
        <w:t xml:space="preserve">3.1. </w:t>
      </w:r>
      <w:r w:rsidR="00053BC3" w:rsidRPr="001472C4">
        <w:rPr>
          <w:rFonts w:cstheme="minorHAnsi"/>
          <w:b/>
          <w:color w:val="2E74B5" w:themeColor="accent1" w:themeShade="BF"/>
          <w:shd w:val="clear" w:color="auto" w:fill="FFFFFF"/>
          <w:lang w:val="ru-MD"/>
        </w:rPr>
        <w:t>Законный мандат и цель аудита</w:t>
      </w:r>
      <w:bookmarkEnd w:id="12"/>
      <w:r w:rsidR="00053BC3" w:rsidRPr="00053BC3">
        <w:rPr>
          <w:rFonts w:cstheme="minorHAnsi"/>
          <w:b/>
          <w:color w:val="2E74B5" w:themeColor="accent1" w:themeShade="BF"/>
          <w:shd w:val="clear" w:color="auto" w:fill="FFFFFF"/>
        </w:rPr>
        <w:t xml:space="preserve"> </w:t>
      </w:r>
    </w:p>
    <w:p w14:paraId="0349DF93" w14:textId="5BE65870" w:rsidR="001159D9" w:rsidRPr="001472C4" w:rsidRDefault="006D55C4" w:rsidP="001159D9">
      <w:pPr>
        <w:spacing w:line="276" w:lineRule="auto"/>
        <w:jc w:val="both"/>
        <w:rPr>
          <w:rFonts w:asciiTheme="majorHAnsi" w:hAnsiTheme="majorHAnsi" w:cstheme="minorHAnsi"/>
          <w:color w:val="000000"/>
          <w:sz w:val="24"/>
          <w:szCs w:val="24"/>
          <w:shd w:val="clear" w:color="auto" w:fill="FFFFFF"/>
          <w:lang w:val="ru-MD"/>
        </w:rPr>
      </w:pPr>
      <w:r w:rsidRPr="001472C4">
        <w:rPr>
          <w:rFonts w:asciiTheme="majorHAnsi" w:hAnsiTheme="majorHAnsi" w:cstheme="minorHAnsi"/>
          <w:sz w:val="24"/>
          <w:szCs w:val="24"/>
          <w:shd w:val="clear" w:color="auto" w:fill="FFFFFF"/>
          <w:lang w:val="ru-MD"/>
        </w:rPr>
        <w:t xml:space="preserve">Миссия внешнего публичного аудита проводилась на основании ст.5, ст.31 и ст.32 Закона об организации и функционировании Счетной палаты Республики Молдова №260 от 07.12.2017, и в соответствии с Программой аудиторской деятельности на 2023 год, с целью оценки соответствия управления публичным имуществом и финансовыми средствами </w:t>
      </w:r>
      <w:r w:rsidR="00D557B4" w:rsidRPr="001472C4">
        <w:rPr>
          <w:rFonts w:asciiTheme="majorHAnsi" w:hAnsiTheme="majorHAnsi" w:cstheme="minorHAnsi"/>
          <w:sz w:val="24"/>
          <w:szCs w:val="24"/>
          <w:shd w:val="clear" w:color="auto" w:fill="FFFFFF"/>
          <w:lang w:val="ru-MD"/>
        </w:rPr>
        <w:t>ПМСУ И</w:t>
      </w:r>
      <w:r w:rsidRPr="001472C4">
        <w:rPr>
          <w:rFonts w:asciiTheme="majorHAnsi" w:hAnsiTheme="majorHAnsi" w:cstheme="minorHAnsi"/>
          <w:sz w:val="24"/>
          <w:szCs w:val="24"/>
          <w:shd w:val="clear" w:color="auto" w:fill="FFFFFF"/>
          <w:lang w:val="ru-MD"/>
        </w:rPr>
        <w:t>нститут Фтизиоп</w:t>
      </w:r>
      <w:r w:rsidR="001472C4" w:rsidRPr="001472C4">
        <w:rPr>
          <w:rFonts w:asciiTheme="majorHAnsi" w:hAnsiTheme="majorHAnsi" w:cstheme="minorHAnsi"/>
          <w:sz w:val="24"/>
          <w:szCs w:val="24"/>
          <w:shd w:val="clear" w:color="auto" w:fill="FFFFFF"/>
          <w:lang w:val="ru-MD"/>
        </w:rPr>
        <w:t>ульмоно</w:t>
      </w:r>
      <w:r w:rsidRPr="001472C4">
        <w:rPr>
          <w:rFonts w:asciiTheme="majorHAnsi" w:hAnsiTheme="majorHAnsi" w:cstheme="minorHAnsi"/>
          <w:sz w:val="24"/>
          <w:szCs w:val="24"/>
          <w:shd w:val="clear" w:color="auto" w:fill="FFFFFF"/>
          <w:lang w:val="ru-MD"/>
        </w:rPr>
        <w:t xml:space="preserve">логии им. Кирилла Драганюка, по отношению к положениям </w:t>
      </w:r>
      <w:r w:rsidR="001472C4" w:rsidRPr="001472C4">
        <w:rPr>
          <w:rFonts w:asciiTheme="majorHAnsi" w:hAnsiTheme="majorHAnsi" w:cstheme="minorHAnsi"/>
          <w:sz w:val="24"/>
          <w:szCs w:val="24"/>
          <w:shd w:val="clear" w:color="auto" w:fill="FFFFFF"/>
          <w:lang w:val="ru-MD"/>
        </w:rPr>
        <w:t>применяемо</w:t>
      </w:r>
      <w:r w:rsidRPr="001472C4">
        <w:rPr>
          <w:rFonts w:asciiTheme="majorHAnsi" w:hAnsiTheme="majorHAnsi" w:cstheme="minorHAnsi"/>
          <w:sz w:val="24"/>
          <w:szCs w:val="24"/>
          <w:shd w:val="clear" w:color="auto" w:fill="FFFFFF"/>
          <w:lang w:val="ru-MD"/>
        </w:rPr>
        <w:t>й нормативной базы</w:t>
      </w:r>
      <w:r w:rsidR="001159D9" w:rsidRPr="001472C4">
        <w:rPr>
          <w:rFonts w:asciiTheme="majorHAnsi" w:hAnsiTheme="majorHAnsi" w:cstheme="minorHAnsi"/>
          <w:color w:val="000000"/>
          <w:sz w:val="24"/>
          <w:szCs w:val="24"/>
          <w:shd w:val="clear" w:color="auto" w:fill="FFFFFF"/>
          <w:lang w:val="ru-MD"/>
        </w:rPr>
        <w:t>.</w:t>
      </w:r>
    </w:p>
    <w:p w14:paraId="4412C2D3" w14:textId="46D6DA57" w:rsidR="001159D9" w:rsidRPr="00D557B4" w:rsidRDefault="00BF2A2F" w:rsidP="001159D9">
      <w:pPr>
        <w:spacing w:after="80" w:line="276" w:lineRule="auto"/>
        <w:jc w:val="both"/>
        <w:rPr>
          <w:rFonts w:asciiTheme="majorHAnsi" w:hAnsiTheme="majorHAnsi" w:cstheme="minorHAnsi"/>
          <w:color w:val="000000"/>
          <w:sz w:val="24"/>
          <w:szCs w:val="24"/>
          <w:shd w:val="clear" w:color="auto" w:fill="FFFFFF"/>
          <w:lang w:val="ru-MD"/>
        </w:rPr>
      </w:pPr>
      <w:r w:rsidRPr="00D557B4">
        <w:rPr>
          <w:rFonts w:asciiTheme="majorHAnsi" w:hAnsiTheme="majorHAnsi" w:cstheme="minorHAnsi"/>
          <w:color w:val="000000"/>
          <w:sz w:val="24"/>
          <w:szCs w:val="24"/>
          <w:shd w:val="clear" w:color="auto" w:fill="FFFFFF"/>
          <w:lang w:val="ru-MD"/>
        </w:rPr>
        <w:t>В этой связи, были определены следующие конкретные задачи</w:t>
      </w:r>
      <w:r w:rsidR="001159D9" w:rsidRPr="00D557B4">
        <w:rPr>
          <w:rFonts w:asciiTheme="majorHAnsi" w:hAnsiTheme="majorHAnsi" w:cstheme="minorHAnsi"/>
          <w:color w:val="000000"/>
          <w:sz w:val="24"/>
          <w:szCs w:val="24"/>
          <w:shd w:val="clear" w:color="auto" w:fill="FFFFFF"/>
          <w:lang w:val="ru-MD"/>
        </w:rPr>
        <w:t>:</w:t>
      </w:r>
    </w:p>
    <w:p w14:paraId="1EC8E9E1" w14:textId="6BD6CA63" w:rsidR="00DA4EE2" w:rsidRPr="00D557B4" w:rsidRDefault="00BF2A2F" w:rsidP="00DA4EE2">
      <w:pPr>
        <w:rPr>
          <w:rFonts w:asciiTheme="majorHAnsi" w:hAnsiTheme="majorHAnsi" w:cstheme="majorHAnsi"/>
          <w:b/>
          <w:i/>
          <w:color w:val="2E74B5" w:themeColor="accent1" w:themeShade="BF"/>
          <w:sz w:val="24"/>
          <w:u w:val="single"/>
          <w:lang w:val="ru-MD"/>
        </w:rPr>
      </w:pPr>
      <w:r w:rsidRPr="00D557B4">
        <w:rPr>
          <w:rFonts w:asciiTheme="majorHAnsi" w:hAnsiTheme="majorHAnsi" w:cstheme="majorHAnsi"/>
          <w:b/>
          <w:i/>
          <w:color w:val="2E74B5" w:themeColor="accent1" w:themeShade="BF"/>
          <w:sz w:val="24"/>
          <w:u w:val="single"/>
          <w:lang w:val="ru-MD"/>
        </w:rPr>
        <w:t>Задача аудита №</w:t>
      </w:r>
      <w:r w:rsidR="00DA4EE2" w:rsidRPr="00D557B4">
        <w:rPr>
          <w:rFonts w:asciiTheme="majorHAnsi" w:hAnsiTheme="majorHAnsi" w:cstheme="majorHAnsi"/>
          <w:b/>
          <w:i/>
          <w:color w:val="2E74B5" w:themeColor="accent1" w:themeShade="BF"/>
          <w:sz w:val="24"/>
          <w:u w:val="single"/>
          <w:lang w:val="ru-MD"/>
        </w:rPr>
        <w:t>1</w:t>
      </w:r>
    </w:p>
    <w:p w14:paraId="1CC12353" w14:textId="3F7A9FBE" w:rsidR="00DA4EE2" w:rsidRPr="00D557B4" w:rsidRDefault="00BF2A2F" w:rsidP="00DA4EE2">
      <w:pPr>
        <w:shd w:val="clear" w:color="auto" w:fill="FFFFFF"/>
        <w:spacing w:line="240" w:lineRule="auto"/>
        <w:jc w:val="both"/>
        <w:rPr>
          <w:rFonts w:asciiTheme="majorHAnsi" w:hAnsiTheme="majorHAnsi" w:cstheme="majorHAnsi"/>
          <w:b/>
          <w:i/>
          <w:color w:val="000000" w:themeColor="text1"/>
          <w:sz w:val="24"/>
          <w:lang w:val="ru-MD"/>
        </w:rPr>
      </w:pPr>
      <w:r w:rsidRPr="00D557B4">
        <w:rPr>
          <w:rFonts w:asciiTheme="majorHAnsi" w:hAnsiTheme="majorHAnsi" w:cstheme="majorHAnsi"/>
          <w:b/>
          <w:i/>
          <w:color w:val="000000" w:themeColor="text1"/>
          <w:sz w:val="24"/>
          <w:lang w:val="ru-MD"/>
        </w:rPr>
        <w:t xml:space="preserve">Было ли обеспечено надлежащее управление, регистрация и учет </w:t>
      </w:r>
      <w:r w:rsidR="00682D36">
        <w:rPr>
          <w:rFonts w:asciiTheme="majorHAnsi" w:hAnsiTheme="majorHAnsi" w:cstheme="majorHAnsi"/>
          <w:b/>
          <w:i/>
          <w:color w:val="000000" w:themeColor="text1"/>
          <w:sz w:val="24"/>
          <w:lang w:val="ru-MD"/>
        </w:rPr>
        <w:t>публич</w:t>
      </w:r>
      <w:r w:rsidRPr="00D557B4">
        <w:rPr>
          <w:rFonts w:asciiTheme="majorHAnsi" w:hAnsiTheme="majorHAnsi" w:cstheme="majorHAnsi"/>
          <w:b/>
          <w:i/>
          <w:color w:val="000000" w:themeColor="text1"/>
          <w:sz w:val="24"/>
          <w:lang w:val="ru-MD"/>
        </w:rPr>
        <w:t xml:space="preserve">ного имущества, переданного в экономическое управление ПМСУ ИФП „Кирилл Драганюк”? </w:t>
      </w:r>
    </w:p>
    <w:p w14:paraId="3874DEAD" w14:textId="42FE7B7F" w:rsidR="00DA4EE2" w:rsidRPr="00D557B4" w:rsidRDefault="00BF2A2F" w:rsidP="00DA4EE2">
      <w:pPr>
        <w:rPr>
          <w:rFonts w:asciiTheme="majorHAnsi" w:hAnsiTheme="majorHAnsi" w:cstheme="majorHAnsi"/>
          <w:b/>
          <w:i/>
          <w:color w:val="2E74B5" w:themeColor="accent1" w:themeShade="BF"/>
          <w:sz w:val="24"/>
          <w:u w:val="single"/>
          <w:lang w:val="ru-MD"/>
        </w:rPr>
      </w:pPr>
      <w:r w:rsidRPr="00D557B4">
        <w:rPr>
          <w:rFonts w:asciiTheme="majorHAnsi" w:hAnsiTheme="majorHAnsi" w:cstheme="majorHAnsi"/>
          <w:b/>
          <w:i/>
          <w:color w:val="2E74B5" w:themeColor="accent1" w:themeShade="BF"/>
          <w:sz w:val="24"/>
          <w:u w:val="single"/>
          <w:lang w:val="ru-MD"/>
        </w:rPr>
        <w:t>Задача аудита №</w:t>
      </w:r>
      <w:r w:rsidR="00DA4EE2" w:rsidRPr="00D557B4">
        <w:rPr>
          <w:rFonts w:asciiTheme="majorHAnsi" w:hAnsiTheme="majorHAnsi" w:cstheme="majorHAnsi"/>
          <w:b/>
          <w:i/>
          <w:color w:val="2E74B5" w:themeColor="accent1" w:themeShade="BF"/>
          <w:sz w:val="24"/>
          <w:u w:val="single"/>
          <w:lang w:val="ru-MD"/>
        </w:rPr>
        <w:t>2</w:t>
      </w:r>
    </w:p>
    <w:p w14:paraId="768F5D2C" w14:textId="0F1BF537" w:rsidR="001159D9" w:rsidRPr="00D557B4" w:rsidRDefault="00D32634" w:rsidP="00810C0B">
      <w:pPr>
        <w:jc w:val="both"/>
        <w:rPr>
          <w:rFonts w:asciiTheme="majorHAnsi" w:hAnsiTheme="majorHAnsi" w:cstheme="majorHAnsi"/>
          <w:b/>
          <w:i/>
          <w:color w:val="2E74B5" w:themeColor="accent1" w:themeShade="BF"/>
          <w:sz w:val="24"/>
          <w:lang w:val="ru-MD"/>
        </w:rPr>
      </w:pPr>
      <w:r w:rsidRPr="00D32634">
        <w:rPr>
          <w:rFonts w:asciiTheme="majorHAnsi" w:hAnsiTheme="majorHAnsi" w:cstheme="majorHAnsi"/>
          <w:b/>
          <w:i/>
          <w:color w:val="000000" w:themeColor="text1"/>
          <w:sz w:val="24"/>
          <w:lang w:val="ro-MD"/>
        </w:rPr>
        <w:t xml:space="preserve">Управлялись ли полученные и имеющиеся финансовые ресурсы ПМСУ ИФП </w:t>
      </w:r>
      <w:r w:rsidR="00AC00D0">
        <w:rPr>
          <w:rFonts w:asciiTheme="majorHAnsi" w:hAnsiTheme="majorHAnsi" w:cstheme="majorHAnsi"/>
          <w:b/>
          <w:i/>
          <w:color w:val="000000" w:themeColor="text1"/>
          <w:sz w:val="24"/>
          <w:lang w:val="ro-MD"/>
        </w:rPr>
        <w:t>„</w:t>
      </w:r>
      <w:r w:rsidR="00AC00D0" w:rsidRPr="00AC00D0">
        <w:rPr>
          <w:rFonts w:asciiTheme="majorHAnsi" w:hAnsiTheme="majorHAnsi" w:cstheme="majorHAnsi"/>
          <w:b/>
          <w:i/>
          <w:color w:val="000000" w:themeColor="text1"/>
          <w:sz w:val="24"/>
          <w:lang w:val="ru-MD"/>
        </w:rPr>
        <w:t>Кирилл Драганюк</w:t>
      </w:r>
      <w:r w:rsidR="00F56EC1">
        <w:rPr>
          <w:rFonts w:asciiTheme="majorHAnsi" w:hAnsiTheme="majorHAnsi" w:cstheme="majorHAnsi"/>
          <w:b/>
          <w:i/>
          <w:color w:val="000000" w:themeColor="text1"/>
          <w:sz w:val="24"/>
          <w:lang w:val="ro-MD"/>
        </w:rPr>
        <w:t>”</w:t>
      </w:r>
      <w:r w:rsidRPr="00D32634">
        <w:rPr>
          <w:rFonts w:asciiTheme="majorHAnsi" w:hAnsiTheme="majorHAnsi" w:cstheme="majorHAnsi"/>
          <w:b/>
          <w:i/>
          <w:color w:val="000000" w:themeColor="text1"/>
          <w:sz w:val="24"/>
          <w:lang w:val="ro-MD"/>
        </w:rPr>
        <w:t xml:space="preserve"> надлежащим образом, в соответствии с применяемой законодательной базой</w:t>
      </w:r>
      <w:r w:rsidR="00BF2A2F" w:rsidRPr="00D557B4">
        <w:rPr>
          <w:rFonts w:asciiTheme="majorHAnsi" w:hAnsiTheme="majorHAnsi" w:cstheme="majorHAnsi"/>
          <w:b/>
          <w:i/>
          <w:color w:val="000000" w:themeColor="text1"/>
          <w:sz w:val="24"/>
          <w:lang w:val="ru-MD"/>
        </w:rPr>
        <w:t xml:space="preserve">? </w:t>
      </w:r>
    </w:p>
    <w:p w14:paraId="74F66860" w14:textId="37A73DC4" w:rsidR="00F2304D" w:rsidRPr="00B13B9A" w:rsidRDefault="00F2304D" w:rsidP="001159D9">
      <w:pPr>
        <w:spacing w:after="80" w:line="276" w:lineRule="auto"/>
        <w:jc w:val="both"/>
        <w:rPr>
          <w:rFonts w:asciiTheme="majorHAnsi" w:hAnsiTheme="majorHAnsi" w:cstheme="minorHAnsi"/>
          <w:color w:val="000000"/>
          <w:sz w:val="24"/>
          <w:szCs w:val="24"/>
          <w:shd w:val="clear" w:color="auto" w:fill="FFFFFF"/>
          <w:lang w:val="ro-MD"/>
        </w:rPr>
      </w:pPr>
    </w:p>
    <w:p w14:paraId="2C0F33C5" w14:textId="6BA56C31" w:rsidR="001159D9" w:rsidRPr="00B13B9A" w:rsidRDefault="001159D9" w:rsidP="001159D9">
      <w:pPr>
        <w:pStyle w:val="3"/>
        <w:spacing w:after="120" w:line="276" w:lineRule="auto"/>
        <w:rPr>
          <w:rFonts w:cstheme="minorHAnsi"/>
          <w:b/>
          <w:color w:val="2E74B5" w:themeColor="accent1" w:themeShade="BF"/>
          <w:shd w:val="clear" w:color="auto" w:fill="FFFFFF"/>
        </w:rPr>
      </w:pPr>
      <w:bookmarkStart w:id="13" w:name="_Toc128640805"/>
      <w:bookmarkStart w:id="14" w:name="_Toc158317222"/>
      <w:r w:rsidRPr="00B13B9A">
        <w:rPr>
          <w:rFonts w:cstheme="minorHAnsi"/>
          <w:b/>
          <w:color w:val="2E74B5" w:themeColor="accent1" w:themeShade="BF"/>
          <w:shd w:val="clear" w:color="auto" w:fill="FFFFFF"/>
        </w:rPr>
        <w:t xml:space="preserve">3.2. </w:t>
      </w:r>
      <w:r w:rsidR="00BF2A2F">
        <w:rPr>
          <w:rFonts w:cstheme="minorHAnsi"/>
          <w:b/>
          <w:color w:val="2E74B5" w:themeColor="accent1" w:themeShade="BF"/>
          <w:shd w:val="clear" w:color="auto" w:fill="FFFFFF"/>
          <w:lang w:val="ru-RU"/>
        </w:rPr>
        <w:t>Подход к аудиту</w:t>
      </w:r>
      <w:bookmarkEnd w:id="13"/>
      <w:bookmarkEnd w:id="14"/>
    </w:p>
    <w:p w14:paraId="5E41E102" w14:textId="2170F09A" w:rsidR="0090136A" w:rsidRPr="00D557B4" w:rsidRDefault="009E660F" w:rsidP="00415D9E">
      <w:pPr>
        <w:tabs>
          <w:tab w:val="left" w:pos="270"/>
          <w:tab w:val="left" w:pos="993"/>
        </w:tabs>
        <w:spacing w:after="0" w:line="276" w:lineRule="auto"/>
        <w:jc w:val="both"/>
        <w:rPr>
          <w:rFonts w:asciiTheme="majorHAnsi" w:eastAsia="Times New Roman" w:hAnsiTheme="majorHAnsi" w:cstheme="majorHAnsi"/>
          <w:i/>
          <w:sz w:val="24"/>
          <w:szCs w:val="24"/>
          <w:lang w:val="ru-MD"/>
        </w:rPr>
      </w:pPr>
      <w:r w:rsidRPr="00D557B4">
        <w:rPr>
          <w:rFonts w:asciiTheme="majorHAnsi" w:hAnsiTheme="majorHAnsi" w:cstheme="majorHAnsi"/>
          <w:sz w:val="24"/>
          <w:szCs w:val="24"/>
          <w:lang w:val="ru-MD"/>
        </w:rPr>
        <w:t>Миссия внешнего публичного аудита проводилась в соответствии с Международными стандартами Высших органов аудита (ISSAI 100, ISSAI 400 и ISSAI 4000)</w:t>
      </w:r>
      <w:r w:rsidR="0090136A" w:rsidRPr="00D557B4">
        <w:rPr>
          <w:rStyle w:val="a9"/>
          <w:rFonts w:asciiTheme="majorHAnsi" w:eastAsia="Times New Roman" w:hAnsiTheme="majorHAnsi" w:cstheme="majorHAnsi"/>
          <w:sz w:val="24"/>
          <w:szCs w:val="24"/>
          <w:lang w:val="ru-MD"/>
        </w:rPr>
        <w:footnoteReference w:id="7"/>
      </w:r>
      <w:r w:rsidR="0090136A" w:rsidRPr="00D557B4">
        <w:rPr>
          <w:rFonts w:asciiTheme="majorHAnsi" w:eastAsia="Times New Roman" w:hAnsiTheme="majorHAnsi" w:cstheme="majorHAnsi"/>
          <w:i/>
          <w:sz w:val="24"/>
          <w:szCs w:val="24"/>
          <w:lang w:val="ru-MD"/>
        </w:rPr>
        <w:t xml:space="preserve">. </w:t>
      </w:r>
    </w:p>
    <w:p w14:paraId="6A777466" w14:textId="62653614" w:rsidR="0090136A" w:rsidRPr="00D557B4" w:rsidRDefault="009E660F" w:rsidP="00415D9E">
      <w:pPr>
        <w:spacing w:after="0" w:line="276" w:lineRule="auto"/>
        <w:jc w:val="both"/>
        <w:rPr>
          <w:rFonts w:asciiTheme="majorHAnsi" w:eastAsia="Times New Roman" w:hAnsiTheme="majorHAnsi" w:cstheme="majorHAnsi"/>
          <w:sz w:val="24"/>
          <w:szCs w:val="24"/>
          <w:lang w:val="ru-MD" w:eastAsia="ro-MD"/>
        </w:rPr>
      </w:pPr>
      <w:r w:rsidRPr="00D557B4">
        <w:rPr>
          <w:rFonts w:asciiTheme="majorHAnsi" w:eastAsia="Times New Roman" w:hAnsiTheme="majorHAnsi" w:cstheme="majorHAnsi"/>
          <w:sz w:val="24"/>
          <w:szCs w:val="24"/>
          <w:lang w:val="ru-MD" w:eastAsia="ro-MD"/>
        </w:rPr>
        <w:t>Методология внешнего публичного аудита состояла из мероприятий по сбору доказательств на мест</w:t>
      </w:r>
      <w:r w:rsidR="00D557B4" w:rsidRPr="00D557B4">
        <w:rPr>
          <w:rFonts w:asciiTheme="majorHAnsi" w:eastAsia="Times New Roman" w:hAnsiTheme="majorHAnsi" w:cstheme="majorHAnsi"/>
          <w:sz w:val="24"/>
          <w:szCs w:val="24"/>
          <w:lang w:val="ru-MD" w:eastAsia="ro-MD"/>
        </w:rPr>
        <w:t>ах</w:t>
      </w:r>
      <w:r w:rsidRPr="00D557B4">
        <w:rPr>
          <w:rFonts w:asciiTheme="majorHAnsi" w:eastAsia="Times New Roman" w:hAnsiTheme="majorHAnsi" w:cstheme="majorHAnsi"/>
          <w:sz w:val="24"/>
          <w:szCs w:val="24"/>
          <w:lang w:val="ru-MD" w:eastAsia="ro-MD"/>
        </w:rPr>
        <w:t xml:space="preserve">, проверке операций и документов, связанных с управлением имуществом ПМСУ и его финансовыми ресурсами, сопоставлением и </w:t>
      </w:r>
      <w:r w:rsidR="00D557B4" w:rsidRPr="00D557B4">
        <w:rPr>
          <w:rFonts w:asciiTheme="majorHAnsi" w:eastAsia="Times New Roman" w:hAnsiTheme="majorHAnsi" w:cstheme="majorHAnsi"/>
          <w:sz w:val="24"/>
          <w:szCs w:val="24"/>
          <w:lang w:val="ru-MD" w:eastAsia="ro-MD"/>
        </w:rPr>
        <w:t>извл</w:t>
      </w:r>
      <w:r w:rsidR="00D557B4">
        <w:rPr>
          <w:rFonts w:asciiTheme="majorHAnsi" w:eastAsia="Times New Roman" w:hAnsiTheme="majorHAnsi" w:cstheme="majorHAnsi"/>
          <w:sz w:val="24"/>
          <w:szCs w:val="24"/>
          <w:lang w:val="ru-MD" w:eastAsia="ro-MD"/>
        </w:rPr>
        <w:t>е</w:t>
      </w:r>
      <w:r w:rsidRPr="00D557B4">
        <w:rPr>
          <w:rFonts w:asciiTheme="majorHAnsi" w:eastAsia="Times New Roman" w:hAnsiTheme="majorHAnsi" w:cstheme="majorHAnsi"/>
          <w:sz w:val="24"/>
          <w:szCs w:val="24"/>
          <w:lang w:val="ru-MD" w:eastAsia="ro-MD"/>
        </w:rPr>
        <w:t>чением информации из различных информационных систем, используемых для эт</w:t>
      </w:r>
      <w:r w:rsidR="00D557B4" w:rsidRPr="00D557B4">
        <w:rPr>
          <w:rFonts w:asciiTheme="majorHAnsi" w:eastAsia="Times New Roman" w:hAnsiTheme="majorHAnsi" w:cstheme="majorHAnsi"/>
          <w:sz w:val="24"/>
          <w:szCs w:val="24"/>
          <w:lang w:val="ru-MD" w:eastAsia="ro-MD"/>
        </w:rPr>
        <w:t>их</w:t>
      </w:r>
      <w:r w:rsidRPr="00D557B4">
        <w:rPr>
          <w:rFonts w:asciiTheme="majorHAnsi" w:eastAsia="Times New Roman" w:hAnsiTheme="majorHAnsi" w:cstheme="majorHAnsi"/>
          <w:sz w:val="24"/>
          <w:szCs w:val="24"/>
          <w:lang w:val="ru-MD" w:eastAsia="ro-MD"/>
        </w:rPr>
        <w:t xml:space="preserve"> цел</w:t>
      </w:r>
      <w:r w:rsidR="00D557B4" w:rsidRPr="00D557B4">
        <w:rPr>
          <w:rFonts w:asciiTheme="majorHAnsi" w:eastAsia="Times New Roman" w:hAnsiTheme="majorHAnsi" w:cstheme="majorHAnsi"/>
          <w:sz w:val="24"/>
          <w:szCs w:val="24"/>
          <w:lang w:val="ru-MD" w:eastAsia="ro-MD"/>
        </w:rPr>
        <w:t>ей</w:t>
      </w:r>
      <w:r w:rsidRPr="00D557B4">
        <w:rPr>
          <w:rFonts w:asciiTheme="majorHAnsi" w:eastAsia="Times New Roman" w:hAnsiTheme="majorHAnsi" w:cstheme="majorHAnsi"/>
          <w:sz w:val="24"/>
          <w:szCs w:val="24"/>
          <w:lang w:val="ru-MD" w:eastAsia="ro-MD"/>
        </w:rPr>
        <w:t>, посредством наблюдений, исследований, интервью и подтверждений, (повторных)</w:t>
      </w:r>
      <w:r w:rsidR="00D557B4" w:rsidRPr="00D557B4">
        <w:rPr>
          <w:rFonts w:asciiTheme="majorHAnsi" w:eastAsia="Times New Roman" w:hAnsiTheme="majorHAnsi" w:cstheme="majorHAnsi"/>
          <w:sz w:val="24"/>
          <w:szCs w:val="24"/>
          <w:lang w:val="ru-MD" w:eastAsia="ro-MD"/>
        </w:rPr>
        <w:t xml:space="preserve"> </w:t>
      </w:r>
      <w:r w:rsidRPr="00D557B4">
        <w:rPr>
          <w:rFonts w:asciiTheme="majorHAnsi" w:eastAsia="Times New Roman" w:hAnsiTheme="majorHAnsi" w:cstheme="majorHAnsi"/>
          <w:sz w:val="24"/>
          <w:szCs w:val="24"/>
          <w:lang w:val="ru-MD" w:eastAsia="ro-MD"/>
        </w:rPr>
        <w:t>расчетов. Подход внешнего публичного аудита был ориентирован на риски, связанные с существенными процессами в рамках ПМСУ ИФП „Кирилл Драганюк”, и был нацелен на оценку внутренн</w:t>
      </w:r>
      <w:r w:rsidR="00D557B4" w:rsidRPr="00D557B4">
        <w:rPr>
          <w:rFonts w:asciiTheme="majorHAnsi" w:eastAsia="Times New Roman" w:hAnsiTheme="majorHAnsi" w:cstheme="majorHAnsi"/>
          <w:sz w:val="24"/>
          <w:szCs w:val="24"/>
          <w:lang w:val="ru-MD" w:eastAsia="ro-MD"/>
        </w:rPr>
        <w:t>их</w:t>
      </w:r>
      <w:r w:rsidRPr="00D557B4">
        <w:rPr>
          <w:rFonts w:asciiTheme="majorHAnsi" w:eastAsia="Times New Roman" w:hAnsiTheme="majorHAnsi" w:cstheme="majorHAnsi"/>
          <w:sz w:val="24"/>
          <w:szCs w:val="24"/>
          <w:lang w:val="ru-MD" w:eastAsia="ro-MD"/>
        </w:rPr>
        <w:t xml:space="preserve"> контрол</w:t>
      </w:r>
      <w:r w:rsidR="00D557B4" w:rsidRPr="00D557B4">
        <w:rPr>
          <w:rFonts w:asciiTheme="majorHAnsi" w:eastAsia="Times New Roman" w:hAnsiTheme="majorHAnsi" w:cstheme="majorHAnsi"/>
          <w:sz w:val="24"/>
          <w:szCs w:val="24"/>
          <w:lang w:val="ru-MD" w:eastAsia="ro-MD"/>
        </w:rPr>
        <w:t>ей</w:t>
      </w:r>
      <w:r w:rsidRPr="00D557B4">
        <w:rPr>
          <w:rFonts w:asciiTheme="majorHAnsi" w:eastAsia="Times New Roman" w:hAnsiTheme="majorHAnsi" w:cstheme="majorHAnsi"/>
          <w:sz w:val="24"/>
          <w:szCs w:val="24"/>
          <w:lang w:val="ru-MD" w:eastAsia="ro-MD"/>
        </w:rPr>
        <w:t>, а также на тестирования по существу, применяемые для тестирования/оценки аудируемых элементов/областей</w:t>
      </w:r>
      <w:r w:rsidR="0090136A" w:rsidRPr="00D557B4">
        <w:rPr>
          <w:rFonts w:asciiTheme="majorHAnsi" w:hAnsiTheme="majorHAnsi" w:cstheme="majorHAnsi"/>
          <w:sz w:val="24"/>
          <w:szCs w:val="24"/>
          <w:lang w:val="ru-MD"/>
        </w:rPr>
        <w:t xml:space="preserve">. </w:t>
      </w:r>
    </w:p>
    <w:p w14:paraId="03B96D09" w14:textId="5614BD46" w:rsidR="0090136A" w:rsidRPr="00B13B9A" w:rsidRDefault="009E660F" w:rsidP="00415D9E">
      <w:pPr>
        <w:spacing w:after="0" w:line="276" w:lineRule="auto"/>
        <w:jc w:val="both"/>
        <w:rPr>
          <w:rFonts w:asciiTheme="majorHAnsi" w:hAnsiTheme="majorHAnsi" w:cstheme="majorHAnsi"/>
          <w:sz w:val="24"/>
          <w:szCs w:val="24"/>
          <w:lang w:val="ro-MD"/>
        </w:rPr>
      </w:pPr>
      <w:r w:rsidRPr="009E660F">
        <w:rPr>
          <w:rFonts w:asciiTheme="majorHAnsi" w:hAnsiTheme="majorHAnsi" w:cstheme="majorHAnsi"/>
          <w:noProof/>
          <w:sz w:val="24"/>
          <w:szCs w:val="24"/>
          <w:shd w:val="clear" w:color="auto" w:fill="FFFFFF"/>
          <w:lang w:val="ro-MD"/>
        </w:rPr>
        <w:t>В качестве источников критериев послужили нормативные акты, относящиеся к тематике аудиторской миссии. Полученные аудиторские доказательства являются достаточными и адекватными для подтверждения выводов, сформулированных в настоящем Отчете аудита</w:t>
      </w:r>
      <w:r w:rsidR="0090136A" w:rsidRPr="00B13B9A">
        <w:rPr>
          <w:rFonts w:asciiTheme="majorHAnsi" w:hAnsiTheme="majorHAnsi" w:cstheme="majorHAnsi"/>
          <w:sz w:val="24"/>
          <w:szCs w:val="24"/>
          <w:lang w:val="ro-MD"/>
        </w:rPr>
        <w:t>.</w:t>
      </w:r>
      <w:r w:rsidR="0090136A" w:rsidRPr="00B13B9A">
        <w:rPr>
          <w:rFonts w:asciiTheme="majorHAnsi" w:hAnsiTheme="majorHAnsi" w:cstheme="majorHAnsi"/>
          <w:color w:val="FF0000"/>
          <w:sz w:val="24"/>
          <w:szCs w:val="24"/>
          <w:lang w:val="ro-MD"/>
        </w:rPr>
        <w:t xml:space="preserve"> </w:t>
      </w:r>
    </w:p>
    <w:p w14:paraId="7B98AF08" w14:textId="0C3DCC5A" w:rsidR="0090136A" w:rsidRPr="00B13B9A" w:rsidRDefault="008226F8" w:rsidP="00415D9E">
      <w:pPr>
        <w:spacing w:after="0" w:line="276" w:lineRule="auto"/>
        <w:jc w:val="both"/>
        <w:rPr>
          <w:rFonts w:asciiTheme="majorHAnsi" w:hAnsiTheme="majorHAnsi" w:cstheme="majorHAnsi"/>
          <w:sz w:val="24"/>
          <w:szCs w:val="24"/>
          <w:lang w:val="ro-MD"/>
        </w:rPr>
      </w:pPr>
      <w:r w:rsidRPr="00D557B4">
        <w:rPr>
          <w:rFonts w:asciiTheme="majorHAnsi" w:hAnsiTheme="majorHAnsi" w:cstheme="majorHAnsi"/>
          <w:color w:val="000000"/>
          <w:sz w:val="24"/>
          <w:szCs w:val="24"/>
          <w:lang w:val="ru-MD"/>
        </w:rPr>
        <w:t>Источник критериев аудита и критерии аудита, лежащие в основе констатаций и применяемых процедур аудита, представлены в Приложении №8 к настоящему Отчету аудита</w:t>
      </w:r>
      <w:r w:rsidR="0090136A" w:rsidRPr="00B13B9A">
        <w:rPr>
          <w:rFonts w:asciiTheme="majorHAnsi" w:hAnsiTheme="majorHAnsi" w:cstheme="majorHAnsi"/>
          <w:sz w:val="24"/>
          <w:szCs w:val="24"/>
          <w:lang w:val="ro-MD"/>
        </w:rPr>
        <w:t>.</w:t>
      </w:r>
    </w:p>
    <w:p w14:paraId="2B7FD206" w14:textId="77777777" w:rsidR="001159D9" w:rsidRPr="00B13B9A" w:rsidRDefault="001159D9" w:rsidP="001159D9">
      <w:pPr>
        <w:rPr>
          <w:lang w:val="ro-MD"/>
        </w:rPr>
      </w:pPr>
    </w:p>
    <w:p w14:paraId="61A8FD6E" w14:textId="24ED7250" w:rsidR="001159D9" w:rsidRPr="00D557B4" w:rsidRDefault="001159D9" w:rsidP="001159D9">
      <w:pPr>
        <w:pStyle w:val="3"/>
        <w:spacing w:line="276" w:lineRule="auto"/>
        <w:rPr>
          <w:rFonts w:eastAsiaTheme="minorHAnsi" w:cstheme="minorHAnsi"/>
          <w:b/>
          <w:color w:val="2E74B5" w:themeColor="accent1" w:themeShade="BF"/>
          <w:shd w:val="clear" w:color="auto" w:fill="FFFFFF"/>
          <w:lang w:val="ru-RU"/>
        </w:rPr>
      </w:pPr>
      <w:bookmarkStart w:id="15" w:name="_Toc128640806"/>
      <w:bookmarkStart w:id="16" w:name="_Toc158317223"/>
      <w:r w:rsidRPr="00B13B9A">
        <w:rPr>
          <w:rFonts w:eastAsiaTheme="minorHAnsi" w:cstheme="minorHAnsi"/>
          <w:b/>
          <w:color w:val="2E74B5" w:themeColor="accent1" w:themeShade="BF"/>
          <w:shd w:val="clear" w:color="auto" w:fill="FFFFFF"/>
        </w:rPr>
        <w:t xml:space="preserve">3.3. </w:t>
      </w:r>
      <w:r w:rsidR="008226F8">
        <w:rPr>
          <w:rFonts w:eastAsiaTheme="minorHAnsi" w:cstheme="minorHAnsi"/>
          <w:b/>
          <w:color w:val="2E74B5" w:themeColor="accent1" w:themeShade="BF"/>
          <w:shd w:val="clear" w:color="auto" w:fill="FFFFFF"/>
          <w:lang w:val="ru-RU"/>
        </w:rPr>
        <w:t>Ответственность аудиторской группы</w:t>
      </w:r>
      <w:bookmarkEnd w:id="15"/>
      <w:bookmarkEnd w:id="16"/>
    </w:p>
    <w:p w14:paraId="2B0F4937" w14:textId="3A5DB7F3" w:rsidR="001159D9" w:rsidRPr="00B13B9A" w:rsidRDefault="00D557B4" w:rsidP="00105B68">
      <w:pPr>
        <w:spacing w:line="276" w:lineRule="auto"/>
        <w:jc w:val="both"/>
        <w:rPr>
          <w:rFonts w:asciiTheme="majorHAnsi" w:eastAsia="Times New Roman" w:hAnsiTheme="majorHAnsi" w:cstheme="minorHAnsi"/>
          <w:sz w:val="24"/>
          <w:szCs w:val="24"/>
          <w:lang w:val="ro-MD"/>
        </w:rPr>
      </w:pPr>
      <w:r w:rsidRPr="00D557B4">
        <w:rPr>
          <w:rFonts w:asciiTheme="majorHAnsi" w:hAnsiTheme="majorHAnsi" w:cstheme="minorHAnsi"/>
          <w:color w:val="000000"/>
          <w:sz w:val="24"/>
          <w:szCs w:val="24"/>
          <w:shd w:val="clear" w:color="auto" w:fill="FFFFFF"/>
          <w:lang w:val="ru-MD"/>
        </w:rPr>
        <w:t>Ответственность публичного аудитора заключается в планировании и реализации аудиторской миссии согласно стандартам внешнего публичного аудита и соответствующей институциональной нормативно-методологической базой, с получением достаточных и адекватных доказательств, выражением сформулированного заключения о соответствии управления публичным имуществом и использования финансовых ресурсов ПМСУ ИФП „Кирилл Драганюк”. Публичный аудитор не несет ответственности за предотвращение фактов мошенничества и ошибок, является независимым от аудируемого субъекта, а также выполнял обязанности по этике в соответствии с требованиями Кодекса этики Счетной палаты</w:t>
      </w:r>
      <w:r w:rsidR="001159D9" w:rsidRPr="00B13B9A">
        <w:rPr>
          <w:rStyle w:val="a9"/>
          <w:rFonts w:asciiTheme="majorHAnsi" w:eastAsia="Times New Roman" w:hAnsiTheme="majorHAnsi" w:cstheme="minorHAnsi"/>
          <w:sz w:val="24"/>
          <w:szCs w:val="24"/>
          <w:lang w:val="ro-MD"/>
        </w:rPr>
        <w:footnoteReference w:id="8"/>
      </w:r>
      <w:r w:rsidR="001159D9" w:rsidRPr="00B13B9A">
        <w:rPr>
          <w:rFonts w:asciiTheme="majorHAnsi" w:eastAsia="Times New Roman" w:hAnsiTheme="majorHAnsi" w:cstheme="minorHAnsi"/>
          <w:sz w:val="24"/>
          <w:szCs w:val="24"/>
          <w:lang w:val="ro-MD"/>
        </w:rPr>
        <w:t>.</w:t>
      </w:r>
    </w:p>
    <w:p w14:paraId="04789E2C" w14:textId="1A72E970" w:rsidR="00DA4EE2" w:rsidRPr="00B13B9A" w:rsidRDefault="00582C70" w:rsidP="00DA4EE2">
      <w:pPr>
        <w:pStyle w:val="a7"/>
        <w:numPr>
          <w:ilvl w:val="0"/>
          <w:numId w:val="1"/>
        </w:numPr>
        <w:tabs>
          <w:tab w:val="left" w:pos="720"/>
          <w:tab w:val="left" w:pos="1710"/>
        </w:tabs>
        <w:spacing w:after="0" w:line="276" w:lineRule="auto"/>
        <w:ind w:hanging="5940"/>
        <w:outlineLvl w:val="0"/>
        <w:rPr>
          <w:rFonts w:ascii="Calibri Light" w:eastAsia="Times New Roman" w:hAnsi="Calibri Light" w:cs="Calibri Light"/>
          <w:b/>
          <w:bCs/>
          <w:caps/>
          <w:color w:val="0070C0"/>
          <w:sz w:val="24"/>
          <w:szCs w:val="24"/>
          <w:lang w:val="ro-MD"/>
        </w:rPr>
      </w:pPr>
      <w:bookmarkStart w:id="17" w:name="_Toc123116703"/>
      <w:bookmarkStart w:id="18" w:name="_Toc158317224"/>
      <w:r>
        <w:rPr>
          <w:rFonts w:ascii="Calibri Light" w:eastAsia="Times New Roman" w:hAnsi="Calibri Light" w:cs="Calibri Light"/>
          <w:b/>
          <w:bCs/>
          <w:caps/>
          <w:color w:val="0070C0"/>
          <w:sz w:val="24"/>
          <w:szCs w:val="24"/>
          <w:lang w:val="ru-RU"/>
        </w:rPr>
        <w:t>КОНСТАТАЦИИ</w:t>
      </w:r>
      <w:bookmarkEnd w:id="17"/>
      <w:bookmarkEnd w:id="18"/>
    </w:p>
    <w:p w14:paraId="09B02393" w14:textId="77777777" w:rsidR="00582C70" w:rsidRDefault="00582C70" w:rsidP="00582C70">
      <w:pPr>
        <w:rPr>
          <w:rFonts w:asciiTheme="majorHAnsi" w:hAnsiTheme="majorHAnsi" w:cstheme="majorHAnsi"/>
          <w:b/>
          <w:i/>
          <w:color w:val="2E74B5" w:themeColor="accent1" w:themeShade="BF"/>
          <w:sz w:val="24"/>
          <w:u w:val="single"/>
          <w:lang w:val="ru-MD"/>
        </w:rPr>
      </w:pPr>
    </w:p>
    <w:p w14:paraId="3A14E40D" w14:textId="0391C145" w:rsidR="00582C70" w:rsidRPr="00582C70" w:rsidRDefault="00582C70" w:rsidP="00582C70">
      <w:pPr>
        <w:rPr>
          <w:rFonts w:asciiTheme="majorHAnsi" w:hAnsiTheme="majorHAnsi" w:cstheme="majorHAnsi"/>
          <w:b/>
          <w:i/>
          <w:color w:val="2E74B5" w:themeColor="accent1" w:themeShade="BF"/>
          <w:sz w:val="24"/>
          <w:u w:val="single"/>
          <w:lang w:val="ru-MD"/>
        </w:rPr>
      </w:pPr>
      <w:r w:rsidRPr="00582C70">
        <w:rPr>
          <w:rFonts w:asciiTheme="majorHAnsi" w:hAnsiTheme="majorHAnsi" w:cstheme="majorHAnsi"/>
          <w:b/>
          <w:i/>
          <w:color w:val="2E74B5" w:themeColor="accent1" w:themeShade="BF"/>
          <w:sz w:val="24"/>
          <w:u w:val="single"/>
          <w:lang w:val="ru-MD"/>
        </w:rPr>
        <w:t>Задача аудита №1</w:t>
      </w:r>
    </w:p>
    <w:p w14:paraId="3FF029CA" w14:textId="40879BE4" w:rsidR="00F2304D" w:rsidRPr="00582C70" w:rsidRDefault="00582C70" w:rsidP="003B51A0">
      <w:pPr>
        <w:shd w:val="clear" w:color="auto" w:fill="FFFFFF"/>
        <w:spacing w:line="276" w:lineRule="auto"/>
        <w:jc w:val="both"/>
        <w:rPr>
          <w:rFonts w:asciiTheme="majorHAnsi" w:hAnsiTheme="majorHAnsi" w:cstheme="majorHAnsi"/>
          <w:b/>
          <w:i/>
          <w:color w:val="000000" w:themeColor="text1"/>
          <w:sz w:val="24"/>
          <w:lang w:val="ru-MD"/>
        </w:rPr>
      </w:pPr>
      <w:r w:rsidRPr="00582C70">
        <w:rPr>
          <w:rFonts w:asciiTheme="majorHAnsi" w:hAnsiTheme="majorHAnsi" w:cstheme="majorHAnsi"/>
          <w:b/>
          <w:i/>
          <w:color w:val="000000" w:themeColor="text1"/>
          <w:sz w:val="24"/>
          <w:lang w:val="ru-MD"/>
        </w:rPr>
        <w:t>Было ли обеспечено надлежащее управление, регистрация и учет государственного имущества, переданного в экономическое управление ПМСУ ИФП „Кирилл Драганюк”</w:t>
      </w:r>
      <w:r w:rsidR="00903EDE" w:rsidRPr="00582C70">
        <w:rPr>
          <w:rFonts w:asciiTheme="majorHAnsi" w:hAnsiTheme="majorHAnsi" w:cstheme="majorHAnsi"/>
          <w:b/>
          <w:i/>
          <w:color w:val="000000" w:themeColor="text1"/>
          <w:sz w:val="24"/>
          <w:lang w:val="ru-MD"/>
        </w:rPr>
        <w:t>?</w:t>
      </w:r>
    </w:p>
    <w:p w14:paraId="7B7FFF59" w14:textId="78BF0BFB" w:rsidR="00351522" w:rsidRPr="00B13B9A" w:rsidRDefault="00A456FB" w:rsidP="003B51A0">
      <w:pPr>
        <w:pStyle w:val="a7"/>
        <w:spacing w:line="276" w:lineRule="auto"/>
        <w:ind w:left="0"/>
        <w:jc w:val="both"/>
        <w:outlineLvl w:val="1"/>
        <w:rPr>
          <w:rFonts w:asciiTheme="majorHAnsi" w:hAnsiTheme="majorHAnsi" w:cstheme="majorHAnsi"/>
          <w:b/>
          <w:color w:val="000000" w:themeColor="text1"/>
          <w:sz w:val="24"/>
          <w:lang w:val="ro-MD"/>
        </w:rPr>
      </w:pPr>
      <w:bookmarkStart w:id="19" w:name="_Toc158317225"/>
      <w:r w:rsidRPr="00582C70">
        <w:rPr>
          <w:rFonts w:asciiTheme="majorHAnsi" w:hAnsiTheme="majorHAnsi" w:cstheme="majorHAnsi"/>
          <w:b/>
          <w:color w:val="000000" w:themeColor="text1"/>
          <w:sz w:val="24"/>
          <w:szCs w:val="24"/>
          <w:lang w:val="ru-MD"/>
        </w:rPr>
        <w:t xml:space="preserve">4.1. </w:t>
      </w:r>
      <w:r w:rsidR="00582C70" w:rsidRPr="00582C70">
        <w:rPr>
          <w:rFonts w:asciiTheme="majorHAnsi" w:hAnsiTheme="majorHAnsi" w:cstheme="majorHAnsi"/>
          <w:b/>
          <w:color w:val="000000" w:themeColor="text1"/>
          <w:sz w:val="24"/>
          <w:szCs w:val="24"/>
          <w:lang w:val="ru-MD"/>
        </w:rPr>
        <w:t>Управление публичным имуществом требует консолидации, чтобы обеспечить надлежащую регистрацию в бухгалтерском учете всех имущественных элементов, а также укрепления деятельности, связанной с надлежащим управлением медицинским оборудованием</w:t>
      </w:r>
      <w:r w:rsidR="004F6612" w:rsidRPr="00B13B9A">
        <w:rPr>
          <w:rFonts w:asciiTheme="majorHAnsi" w:hAnsiTheme="majorHAnsi"/>
          <w:b/>
          <w:sz w:val="24"/>
          <w:szCs w:val="24"/>
          <w:lang w:val="ro-MD"/>
        </w:rPr>
        <w:t>.</w:t>
      </w:r>
      <w:bookmarkEnd w:id="19"/>
      <w:r w:rsidR="00351522" w:rsidRPr="00B13B9A">
        <w:rPr>
          <w:rFonts w:asciiTheme="majorHAnsi" w:hAnsiTheme="majorHAnsi"/>
          <w:b/>
          <w:sz w:val="24"/>
          <w:szCs w:val="24"/>
          <w:lang w:val="ro-MD"/>
        </w:rPr>
        <w:t xml:space="preserve"> </w:t>
      </w:r>
    </w:p>
    <w:p w14:paraId="7873F8C8" w14:textId="103F1383" w:rsidR="007D147F" w:rsidRPr="00C24358" w:rsidRDefault="00582C70" w:rsidP="004B4356">
      <w:pPr>
        <w:pStyle w:val="cn"/>
        <w:spacing w:line="276" w:lineRule="auto"/>
        <w:ind w:right="71"/>
        <w:jc w:val="both"/>
        <w:rPr>
          <w:rFonts w:asciiTheme="majorHAnsi" w:eastAsiaTheme="minorHAnsi" w:hAnsiTheme="majorHAnsi" w:cstheme="majorHAnsi"/>
          <w:b/>
          <w:lang w:val="ru-MD" w:eastAsia="en-US"/>
        </w:rPr>
      </w:pPr>
      <w:r w:rsidRPr="00C24358">
        <w:rPr>
          <w:rFonts w:asciiTheme="majorHAnsi" w:hAnsiTheme="majorHAnsi" w:cstheme="majorHAnsi"/>
          <w:color w:val="000000" w:themeColor="text1"/>
          <w:lang w:val="ru-MD"/>
        </w:rPr>
        <w:t>Учредитель ПМСУ ИФП (МЗ) и Менеджмент ПМСУ ИФП „Кирилл Драганюк” не позаботились о надлежащей регистрации прав на государственное имущество, переданное в хозяйственное управление и с правом собственности, а также о его надлежащей регистрации. Эти обстоятельства привели к допущению несоответствий на значительные суммы, которые были вызваны ненадлежащей регистрацией прав управления имуществом, отсутствием документов на некоторые имущественные активы, незавершением процессов разграничения имущества и передачи земли, что приводит к искажению имущественной и финансовой отчетности ПМСУ и создает риски его потери</w:t>
      </w:r>
      <w:r w:rsidR="007D147F" w:rsidRPr="00C24358">
        <w:rPr>
          <w:rFonts w:asciiTheme="majorHAnsi" w:hAnsiTheme="majorHAnsi" w:cstheme="majorHAnsi"/>
          <w:color w:val="000000" w:themeColor="text1"/>
          <w:lang w:val="ru-MD"/>
        </w:rPr>
        <w:t>.</w:t>
      </w:r>
    </w:p>
    <w:p w14:paraId="141C0FD0" w14:textId="6D55E891" w:rsidR="00792BD5" w:rsidRPr="00B13B9A" w:rsidRDefault="00C24358" w:rsidP="003914B9">
      <w:pPr>
        <w:pStyle w:val="ae"/>
        <w:shd w:val="clear" w:color="auto" w:fill="FFFFFF"/>
        <w:spacing w:before="0" w:beforeAutospacing="0" w:after="0" w:afterAutospacing="0" w:line="276" w:lineRule="auto"/>
        <w:jc w:val="both"/>
        <w:rPr>
          <w:rFonts w:asciiTheme="majorHAnsi" w:hAnsiTheme="majorHAnsi" w:cstheme="majorHAnsi"/>
          <w:color w:val="000000" w:themeColor="text1"/>
          <w:lang w:val="ro-MD"/>
        </w:rPr>
      </w:pPr>
      <w:r w:rsidRPr="00C24358">
        <w:rPr>
          <w:rFonts w:asciiTheme="majorHAnsi" w:hAnsiTheme="majorHAnsi" w:cstheme="majorHAnsi"/>
          <w:color w:val="000000" w:themeColor="text1"/>
          <w:lang w:val="ro-MD"/>
        </w:rPr>
        <w:t xml:space="preserve">Институт </w:t>
      </w:r>
      <w:r w:rsidR="0045040C">
        <w:rPr>
          <w:rFonts w:asciiTheme="majorHAnsi" w:hAnsiTheme="majorHAnsi" w:cstheme="majorHAnsi"/>
          <w:color w:val="000000" w:themeColor="text1"/>
          <w:lang w:val="ro-MD"/>
        </w:rPr>
        <w:t>Фтизиопульмонологии</w:t>
      </w:r>
      <w:r w:rsidR="0045040C" w:rsidRPr="00B13B9A">
        <w:rPr>
          <w:color w:val="000000" w:themeColor="text1"/>
          <w:vertAlign w:val="superscript"/>
          <w:lang w:val="ro-MD"/>
        </w:rPr>
        <w:footnoteReference w:id="9"/>
      </w:r>
      <w:r w:rsidRPr="00C24358">
        <w:rPr>
          <w:rFonts w:asciiTheme="majorHAnsi" w:hAnsiTheme="majorHAnsi" w:cstheme="majorHAnsi"/>
          <w:color w:val="000000" w:themeColor="text1"/>
          <w:lang w:val="ro-MD"/>
        </w:rPr>
        <w:t xml:space="preserve"> был создан в 2004 году и </w:t>
      </w:r>
      <w:r w:rsidR="0045040C">
        <w:rPr>
          <w:rFonts w:asciiTheme="majorHAnsi" w:hAnsiTheme="majorHAnsi" w:cstheme="majorHAnsi"/>
          <w:color w:val="000000" w:themeColor="text1"/>
          <w:lang w:val="ru-RU"/>
        </w:rPr>
        <w:t>функциониру</w:t>
      </w:r>
      <w:r w:rsidRPr="00C24358">
        <w:rPr>
          <w:rFonts w:asciiTheme="majorHAnsi" w:hAnsiTheme="majorHAnsi" w:cstheme="majorHAnsi"/>
          <w:color w:val="000000" w:themeColor="text1"/>
          <w:lang w:val="ro-MD"/>
        </w:rPr>
        <w:t xml:space="preserve">ет </w:t>
      </w:r>
      <w:r w:rsidR="0045040C">
        <w:rPr>
          <w:rFonts w:asciiTheme="majorHAnsi" w:hAnsiTheme="majorHAnsi" w:cstheme="majorHAnsi"/>
          <w:color w:val="000000" w:themeColor="text1"/>
          <w:lang w:val="ru-RU"/>
        </w:rPr>
        <w:t>на</w:t>
      </w:r>
      <w:r w:rsidRPr="00C24358">
        <w:rPr>
          <w:rFonts w:asciiTheme="majorHAnsi" w:hAnsiTheme="majorHAnsi" w:cstheme="majorHAnsi"/>
          <w:color w:val="000000" w:themeColor="text1"/>
          <w:lang w:val="ro-MD"/>
        </w:rPr>
        <w:t xml:space="preserve"> принцип</w:t>
      </w:r>
      <w:r w:rsidR="0045040C">
        <w:rPr>
          <w:rFonts w:asciiTheme="majorHAnsi" w:hAnsiTheme="majorHAnsi" w:cstheme="majorHAnsi"/>
          <w:color w:val="000000" w:themeColor="text1"/>
          <w:lang w:val="ru-RU"/>
        </w:rPr>
        <w:t>ах</w:t>
      </w:r>
      <w:r w:rsidRPr="00C24358">
        <w:rPr>
          <w:rFonts w:asciiTheme="majorHAnsi" w:hAnsiTheme="majorHAnsi" w:cstheme="majorHAnsi"/>
          <w:color w:val="000000" w:themeColor="text1"/>
          <w:lang w:val="ro-MD"/>
        </w:rPr>
        <w:t xml:space="preserve"> самофинансирования, некоммерческой деятельности. </w:t>
      </w:r>
      <w:r w:rsidR="0045040C">
        <w:rPr>
          <w:rFonts w:asciiTheme="majorHAnsi" w:hAnsiTheme="majorHAnsi" w:cstheme="majorHAnsi"/>
          <w:color w:val="000000" w:themeColor="text1"/>
          <w:lang w:val="ru-RU"/>
        </w:rPr>
        <w:t>Позже</w:t>
      </w:r>
      <w:r w:rsidRPr="00C24358">
        <w:rPr>
          <w:rFonts w:asciiTheme="majorHAnsi" w:hAnsiTheme="majorHAnsi" w:cstheme="majorHAnsi"/>
          <w:color w:val="000000" w:themeColor="text1"/>
          <w:lang w:val="ro-MD"/>
        </w:rPr>
        <w:t xml:space="preserve">, начиная с 01.06.2005, </w:t>
      </w:r>
      <w:r w:rsidR="0045040C">
        <w:rPr>
          <w:rFonts w:asciiTheme="majorHAnsi" w:hAnsiTheme="majorHAnsi" w:cstheme="majorHAnsi"/>
          <w:color w:val="000000" w:themeColor="text1"/>
          <w:lang w:val="ru-RU"/>
        </w:rPr>
        <w:t>П</w:t>
      </w:r>
      <w:r w:rsidRPr="00C24358">
        <w:rPr>
          <w:rFonts w:asciiTheme="majorHAnsi" w:hAnsiTheme="majorHAnsi" w:cstheme="majorHAnsi"/>
          <w:color w:val="000000" w:themeColor="text1"/>
          <w:lang w:val="ro-MD"/>
        </w:rPr>
        <w:t>риказом Мин</w:t>
      </w:r>
      <w:r w:rsidR="0045040C">
        <w:rPr>
          <w:rFonts w:asciiTheme="majorHAnsi" w:hAnsiTheme="majorHAnsi" w:cstheme="majorHAnsi"/>
          <w:color w:val="000000" w:themeColor="text1"/>
          <w:lang w:val="ru-RU"/>
        </w:rPr>
        <w:t xml:space="preserve">истерства </w:t>
      </w:r>
      <w:r w:rsidRPr="00C24358">
        <w:rPr>
          <w:rFonts w:asciiTheme="majorHAnsi" w:hAnsiTheme="majorHAnsi" w:cstheme="majorHAnsi"/>
          <w:color w:val="000000" w:themeColor="text1"/>
          <w:lang w:val="ro-MD"/>
        </w:rPr>
        <w:t>здрав</w:t>
      </w:r>
      <w:r w:rsidR="0045040C">
        <w:rPr>
          <w:rFonts w:asciiTheme="majorHAnsi" w:hAnsiTheme="majorHAnsi" w:cstheme="majorHAnsi"/>
          <w:color w:val="000000" w:themeColor="text1"/>
          <w:lang w:val="ru-RU"/>
        </w:rPr>
        <w:t>оохранения</w:t>
      </w:r>
      <w:r w:rsidRPr="00C24358">
        <w:rPr>
          <w:rFonts w:asciiTheme="majorHAnsi" w:hAnsiTheme="majorHAnsi" w:cstheme="majorHAnsi"/>
          <w:color w:val="000000" w:themeColor="text1"/>
          <w:lang w:val="ro-MD"/>
        </w:rPr>
        <w:t xml:space="preserve"> было при</w:t>
      </w:r>
      <w:r w:rsidR="0045040C">
        <w:rPr>
          <w:rFonts w:asciiTheme="majorHAnsi" w:hAnsiTheme="majorHAnsi" w:cstheme="majorHAnsi"/>
          <w:color w:val="000000" w:themeColor="text1"/>
          <w:lang w:val="ru-RU"/>
        </w:rPr>
        <w:t>нято решение</w:t>
      </w:r>
      <w:r w:rsidRPr="00C24358">
        <w:rPr>
          <w:rFonts w:asciiTheme="majorHAnsi" w:hAnsiTheme="majorHAnsi" w:cstheme="majorHAnsi"/>
          <w:color w:val="000000" w:themeColor="text1"/>
          <w:lang w:val="ro-MD"/>
        </w:rPr>
        <w:t xml:space="preserve"> объединить </w:t>
      </w:r>
      <w:r w:rsidR="0045040C">
        <w:rPr>
          <w:rFonts w:asciiTheme="majorHAnsi" w:hAnsiTheme="majorHAnsi" w:cstheme="majorHAnsi"/>
          <w:color w:val="000000" w:themeColor="text1"/>
          <w:lang w:val="ru-RU"/>
        </w:rPr>
        <w:t>Т</w:t>
      </w:r>
      <w:r w:rsidRPr="00C24358">
        <w:rPr>
          <w:rFonts w:asciiTheme="majorHAnsi" w:hAnsiTheme="majorHAnsi" w:cstheme="majorHAnsi"/>
          <w:color w:val="000000" w:themeColor="text1"/>
          <w:lang w:val="ro-MD"/>
        </w:rPr>
        <w:t>уберкулезн</w:t>
      </w:r>
      <w:r w:rsidR="0045040C">
        <w:rPr>
          <w:rFonts w:asciiTheme="majorHAnsi" w:hAnsiTheme="majorHAnsi" w:cstheme="majorHAnsi"/>
          <w:color w:val="000000" w:themeColor="text1"/>
          <w:lang w:val="ru-RU"/>
        </w:rPr>
        <w:t>ую б</w:t>
      </w:r>
      <w:r w:rsidR="0045040C" w:rsidRPr="00C24358">
        <w:rPr>
          <w:rFonts w:asciiTheme="majorHAnsi" w:hAnsiTheme="majorHAnsi" w:cstheme="majorHAnsi"/>
          <w:color w:val="000000" w:themeColor="text1"/>
          <w:lang w:val="ro-MD"/>
        </w:rPr>
        <w:t xml:space="preserve">ольницу </w:t>
      </w:r>
      <w:r w:rsidR="0045040C">
        <w:rPr>
          <w:rFonts w:asciiTheme="majorHAnsi" w:hAnsiTheme="majorHAnsi" w:cstheme="majorHAnsi"/>
          <w:color w:val="000000" w:themeColor="text1"/>
          <w:lang w:val="ru-RU"/>
        </w:rPr>
        <w:t>с.</w:t>
      </w:r>
      <w:r w:rsidRPr="00C24358">
        <w:rPr>
          <w:rFonts w:asciiTheme="majorHAnsi" w:hAnsiTheme="majorHAnsi" w:cstheme="majorHAnsi"/>
          <w:color w:val="000000" w:themeColor="text1"/>
          <w:lang w:val="ro-MD"/>
        </w:rPr>
        <w:t xml:space="preserve"> Ворничень с </w:t>
      </w:r>
      <w:r w:rsidR="0045040C">
        <w:rPr>
          <w:rFonts w:asciiTheme="majorHAnsi" w:hAnsiTheme="majorHAnsi" w:cstheme="majorHAnsi"/>
          <w:color w:val="000000" w:themeColor="text1"/>
          <w:lang w:val="ro-MD"/>
        </w:rPr>
        <w:t>ПМСУ ИФП</w:t>
      </w:r>
      <w:r w:rsidRPr="00C24358">
        <w:rPr>
          <w:rFonts w:asciiTheme="majorHAnsi" w:hAnsiTheme="majorHAnsi" w:cstheme="majorHAnsi"/>
          <w:color w:val="000000" w:themeColor="text1"/>
          <w:lang w:val="ro-MD"/>
        </w:rPr>
        <w:t xml:space="preserve"> „Кирилл Драганюк”, которая стала филиалом Института, получившего название клиник</w:t>
      </w:r>
      <w:r w:rsidR="0045040C">
        <w:rPr>
          <w:rFonts w:asciiTheme="majorHAnsi" w:hAnsiTheme="majorHAnsi" w:cstheme="majorHAnsi"/>
          <w:color w:val="000000" w:themeColor="text1"/>
          <w:lang w:val="ru-RU"/>
        </w:rPr>
        <w:t>и</w:t>
      </w:r>
      <w:r w:rsidRPr="00C24358">
        <w:rPr>
          <w:rFonts w:asciiTheme="majorHAnsi" w:hAnsiTheme="majorHAnsi" w:cstheme="majorHAnsi"/>
          <w:color w:val="000000" w:themeColor="text1"/>
          <w:lang w:val="ro-MD"/>
        </w:rPr>
        <w:t xml:space="preserve"> №2. </w:t>
      </w:r>
      <w:r w:rsidR="0045040C">
        <w:rPr>
          <w:rFonts w:asciiTheme="majorHAnsi" w:hAnsiTheme="majorHAnsi" w:cstheme="majorHAnsi"/>
          <w:color w:val="000000" w:themeColor="text1"/>
          <w:lang w:val="ru-RU"/>
        </w:rPr>
        <w:t>Однако</w:t>
      </w:r>
      <w:r w:rsidRPr="00C24358">
        <w:rPr>
          <w:rFonts w:asciiTheme="majorHAnsi" w:hAnsiTheme="majorHAnsi" w:cstheme="majorHAnsi"/>
          <w:color w:val="000000" w:themeColor="text1"/>
          <w:lang w:val="ro-MD"/>
        </w:rPr>
        <w:t xml:space="preserve"> </w:t>
      </w:r>
      <w:r w:rsidR="0045040C">
        <w:rPr>
          <w:rFonts w:asciiTheme="majorHAnsi" w:hAnsiTheme="majorHAnsi" w:cstheme="majorHAnsi"/>
          <w:color w:val="000000" w:themeColor="text1"/>
          <w:lang w:val="ru-RU"/>
        </w:rPr>
        <w:t xml:space="preserve">в </w:t>
      </w:r>
      <w:r w:rsidRPr="00C24358">
        <w:rPr>
          <w:rFonts w:asciiTheme="majorHAnsi" w:hAnsiTheme="majorHAnsi" w:cstheme="majorHAnsi"/>
          <w:color w:val="000000" w:themeColor="text1"/>
          <w:lang w:val="ro-MD"/>
        </w:rPr>
        <w:t>статус</w:t>
      </w:r>
      <w:r w:rsidR="0045040C">
        <w:rPr>
          <w:rFonts w:asciiTheme="majorHAnsi" w:hAnsiTheme="majorHAnsi" w:cstheme="majorHAnsi"/>
          <w:color w:val="000000" w:themeColor="text1"/>
          <w:lang w:val="ru-RU"/>
        </w:rPr>
        <w:t>е</w:t>
      </w:r>
      <w:r w:rsidRPr="00C24358">
        <w:rPr>
          <w:rFonts w:asciiTheme="majorHAnsi" w:hAnsiTheme="majorHAnsi" w:cstheme="majorHAnsi"/>
          <w:color w:val="000000" w:themeColor="text1"/>
          <w:lang w:val="ro-MD"/>
        </w:rPr>
        <w:t xml:space="preserve"> клиники </w:t>
      </w:r>
      <w:r w:rsidR="0045040C">
        <w:rPr>
          <w:rFonts w:asciiTheme="majorHAnsi" w:hAnsiTheme="majorHAnsi" w:cstheme="majorHAnsi"/>
          <w:color w:val="000000" w:themeColor="text1"/>
          <w:lang w:val="ru-RU"/>
        </w:rPr>
        <w:t>она находилась</w:t>
      </w:r>
      <w:r w:rsidRPr="00C24358">
        <w:rPr>
          <w:rFonts w:asciiTheme="majorHAnsi" w:hAnsiTheme="majorHAnsi" w:cstheme="majorHAnsi"/>
          <w:color w:val="000000" w:themeColor="text1"/>
          <w:lang w:val="ro-MD"/>
        </w:rPr>
        <w:t xml:space="preserve"> недолг</w:t>
      </w:r>
      <w:r w:rsidR="0045040C">
        <w:rPr>
          <w:rFonts w:asciiTheme="majorHAnsi" w:hAnsiTheme="majorHAnsi" w:cstheme="majorHAnsi"/>
          <w:color w:val="000000" w:themeColor="text1"/>
          <w:lang w:val="ru-RU"/>
        </w:rPr>
        <w:t>о</w:t>
      </w:r>
      <w:r w:rsidRPr="00C24358">
        <w:rPr>
          <w:rFonts w:asciiTheme="majorHAnsi" w:hAnsiTheme="majorHAnsi" w:cstheme="majorHAnsi"/>
          <w:color w:val="000000" w:themeColor="text1"/>
          <w:lang w:val="ro-MD"/>
        </w:rPr>
        <w:t>, по</w:t>
      </w:r>
      <w:r w:rsidR="0045040C">
        <w:rPr>
          <w:rFonts w:asciiTheme="majorHAnsi" w:hAnsiTheme="majorHAnsi" w:cstheme="majorHAnsi"/>
          <w:color w:val="000000" w:themeColor="text1"/>
          <w:lang w:val="ru-RU"/>
        </w:rPr>
        <w:t>скольк</w:t>
      </w:r>
      <w:r w:rsidRPr="00C24358">
        <w:rPr>
          <w:rFonts w:asciiTheme="majorHAnsi" w:hAnsiTheme="majorHAnsi" w:cstheme="majorHAnsi"/>
          <w:color w:val="000000" w:themeColor="text1"/>
          <w:lang w:val="ro-MD"/>
        </w:rPr>
        <w:t xml:space="preserve">у </w:t>
      </w:r>
      <w:r w:rsidR="0045040C">
        <w:rPr>
          <w:rFonts w:asciiTheme="majorHAnsi" w:hAnsiTheme="majorHAnsi" w:cstheme="majorHAnsi"/>
          <w:color w:val="000000" w:themeColor="text1"/>
          <w:lang w:val="ru-RU"/>
        </w:rPr>
        <w:t>П</w:t>
      </w:r>
      <w:r w:rsidRPr="00C24358">
        <w:rPr>
          <w:rFonts w:asciiTheme="majorHAnsi" w:hAnsiTheme="majorHAnsi" w:cstheme="majorHAnsi"/>
          <w:color w:val="000000" w:themeColor="text1"/>
          <w:lang w:val="ro-MD"/>
        </w:rPr>
        <w:t>риказ Министерства здравоохранения был отменен, и</w:t>
      </w:r>
      <w:r w:rsidR="0045040C">
        <w:rPr>
          <w:rFonts w:asciiTheme="majorHAnsi" w:hAnsiTheme="majorHAnsi" w:cstheme="majorHAnsi"/>
          <w:color w:val="000000" w:themeColor="text1"/>
          <w:lang w:val="ru-RU"/>
        </w:rPr>
        <w:t>, начиная</w:t>
      </w:r>
      <w:r w:rsidRPr="00C24358">
        <w:rPr>
          <w:rFonts w:asciiTheme="majorHAnsi" w:hAnsiTheme="majorHAnsi" w:cstheme="majorHAnsi"/>
          <w:color w:val="000000" w:themeColor="text1"/>
          <w:lang w:val="ro-MD"/>
        </w:rPr>
        <w:t xml:space="preserve"> с 01.01.2007</w:t>
      </w:r>
      <w:r w:rsidR="0045040C">
        <w:rPr>
          <w:rFonts w:asciiTheme="majorHAnsi" w:hAnsiTheme="majorHAnsi" w:cstheme="majorHAnsi"/>
          <w:color w:val="000000" w:themeColor="text1"/>
          <w:lang w:val="ru-RU"/>
        </w:rPr>
        <w:t>,</w:t>
      </w:r>
      <w:r w:rsidRPr="00C24358">
        <w:rPr>
          <w:rFonts w:asciiTheme="majorHAnsi" w:hAnsiTheme="majorHAnsi" w:cstheme="majorHAnsi"/>
          <w:color w:val="000000" w:themeColor="text1"/>
          <w:lang w:val="ro-MD"/>
        </w:rPr>
        <w:t xml:space="preserve"> была учреждена </w:t>
      </w:r>
      <w:r w:rsidR="0045040C">
        <w:rPr>
          <w:rFonts w:asciiTheme="majorHAnsi" w:hAnsiTheme="majorHAnsi" w:cstheme="majorHAnsi"/>
          <w:color w:val="000000" w:themeColor="text1"/>
          <w:lang w:val="ru-RU"/>
        </w:rPr>
        <w:t>ПМСУ Т</w:t>
      </w:r>
      <w:r w:rsidR="0045040C" w:rsidRPr="00C24358">
        <w:rPr>
          <w:rFonts w:asciiTheme="majorHAnsi" w:hAnsiTheme="majorHAnsi" w:cstheme="majorHAnsi"/>
          <w:color w:val="000000" w:themeColor="text1"/>
          <w:lang w:val="ro-MD"/>
        </w:rPr>
        <w:t>уберкулезн</w:t>
      </w:r>
      <w:r w:rsidR="0045040C">
        <w:rPr>
          <w:rFonts w:asciiTheme="majorHAnsi" w:hAnsiTheme="majorHAnsi" w:cstheme="majorHAnsi"/>
          <w:color w:val="000000" w:themeColor="text1"/>
          <w:lang w:val="ru-RU"/>
        </w:rPr>
        <w:t>ую б</w:t>
      </w:r>
      <w:r w:rsidR="0045040C" w:rsidRPr="00C24358">
        <w:rPr>
          <w:rFonts w:asciiTheme="majorHAnsi" w:hAnsiTheme="majorHAnsi" w:cstheme="majorHAnsi"/>
          <w:color w:val="000000" w:themeColor="text1"/>
          <w:lang w:val="ro-MD"/>
        </w:rPr>
        <w:t xml:space="preserve">ольницу </w:t>
      </w:r>
      <w:r w:rsidR="0045040C">
        <w:rPr>
          <w:rFonts w:asciiTheme="majorHAnsi" w:hAnsiTheme="majorHAnsi" w:cstheme="majorHAnsi"/>
          <w:color w:val="000000" w:themeColor="text1"/>
          <w:lang w:val="ru-RU"/>
        </w:rPr>
        <w:t>с.</w:t>
      </w:r>
      <w:r w:rsidR="0045040C" w:rsidRPr="00C24358">
        <w:rPr>
          <w:rFonts w:asciiTheme="majorHAnsi" w:hAnsiTheme="majorHAnsi" w:cstheme="majorHAnsi"/>
          <w:color w:val="000000" w:themeColor="text1"/>
          <w:lang w:val="ro-MD"/>
        </w:rPr>
        <w:t xml:space="preserve"> Ворничень</w:t>
      </w:r>
      <w:r w:rsidRPr="00C24358">
        <w:rPr>
          <w:rFonts w:asciiTheme="majorHAnsi" w:hAnsiTheme="majorHAnsi" w:cstheme="majorHAnsi"/>
          <w:color w:val="000000" w:themeColor="text1"/>
          <w:lang w:val="ro-MD"/>
        </w:rPr>
        <w:t xml:space="preserve">, действующая </w:t>
      </w:r>
      <w:r w:rsidR="0045040C">
        <w:rPr>
          <w:rFonts w:asciiTheme="majorHAnsi" w:hAnsiTheme="majorHAnsi" w:cstheme="majorHAnsi"/>
          <w:color w:val="000000" w:themeColor="text1"/>
          <w:lang w:val="ru-RU"/>
        </w:rPr>
        <w:t>на</w:t>
      </w:r>
      <w:r w:rsidRPr="00C24358">
        <w:rPr>
          <w:rFonts w:asciiTheme="majorHAnsi" w:hAnsiTheme="majorHAnsi" w:cstheme="majorHAnsi"/>
          <w:color w:val="000000" w:themeColor="text1"/>
          <w:lang w:val="ro-MD"/>
        </w:rPr>
        <w:t xml:space="preserve"> принцип</w:t>
      </w:r>
      <w:r w:rsidR="0045040C">
        <w:rPr>
          <w:rFonts w:asciiTheme="majorHAnsi" w:hAnsiTheme="majorHAnsi" w:cstheme="majorHAnsi"/>
          <w:color w:val="000000" w:themeColor="text1"/>
          <w:lang w:val="ru-RU"/>
        </w:rPr>
        <w:t>ах</w:t>
      </w:r>
      <w:r w:rsidRPr="00C24358">
        <w:rPr>
          <w:rFonts w:asciiTheme="majorHAnsi" w:hAnsiTheme="majorHAnsi" w:cstheme="majorHAnsi"/>
          <w:color w:val="000000" w:themeColor="text1"/>
          <w:lang w:val="ro-MD"/>
        </w:rPr>
        <w:t xml:space="preserve"> самофинансирования, </w:t>
      </w:r>
      <w:r w:rsidR="0045040C" w:rsidRPr="00C24358">
        <w:rPr>
          <w:rFonts w:asciiTheme="majorHAnsi" w:hAnsiTheme="majorHAnsi" w:cstheme="majorHAnsi"/>
          <w:color w:val="000000" w:themeColor="text1"/>
          <w:lang w:val="ro-MD"/>
        </w:rPr>
        <w:t>некоммерческой деятельности</w:t>
      </w:r>
      <w:r w:rsidR="0045040C" w:rsidRPr="00B13B9A">
        <w:rPr>
          <w:rFonts w:asciiTheme="majorHAnsi" w:hAnsiTheme="majorHAnsi" w:cstheme="majorHAnsi"/>
          <w:color w:val="000000" w:themeColor="text1"/>
          <w:vertAlign w:val="superscript"/>
          <w:lang w:val="ro-MD"/>
        </w:rPr>
        <w:footnoteReference w:id="10"/>
      </w:r>
      <w:r w:rsidRPr="00C24358">
        <w:rPr>
          <w:rFonts w:asciiTheme="majorHAnsi" w:hAnsiTheme="majorHAnsi" w:cstheme="majorHAnsi"/>
          <w:color w:val="000000" w:themeColor="text1"/>
          <w:lang w:val="ro-MD"/>
        </w:rPr>
        <w:t xml:space="preserve">. </w:t>
      </w:r>
      <w:r w:rsidR="0045040C">
        <w:rPr>
          <w:rFonts w:asciiTheme="majorHAnsi" w:hAnsiTheme="majorHAnsi" w:cstheme="majorHAnsi"/>
          <w:color w:val="000000" w:themeColor="text1"/>
          <w:lang w:val="ru-RU"/>
        </w:rPr>
        <w:t>Через</w:t>
      </w:r>
      <w:r w:rsidRPr="00C24358">
        <w:rPr>
          <w:rFonts w:asciiTheme="majorHAnsi" w:hAnsiTheme="majorHAnsi" w:cstheme="majorHAnsi"/>
          <w:color w:val="000000" w:themeColor="text1"/>
          <w:lang w:val="ro-MD"/>
        </w:rPr>
        <w:t xml:space="preserve"> 5 лет работы, в целях </w:t>
      </w:r>
      <w:r w:rsidR="00BC59D8">
        <w:rPr>
          <w:rFonts w:asciiTheme="majorHAnsi" w:hAnsiTheme="majorHAnsi" w:cstheme="majorHAnsi"/>
          <w:color w:val="000000" w:themeColor="text1"/>
          <w:lang w:val="ru-RU"/>
        </w:rPr>
        <w:t>повышения эффективности</w:t>
      </w:r>
      <w:r w:rsidRPr="00C24358">
        <w:rPr>
          <w:rFonts w:asciiTheme="majorHAnsi" w:hAnsiTheme="majorHAnsi" w:cstheme="majorHAnsi"/>
          <w:color w:val="000000" w:themeColor="text1"/>
          <w:lang w:val="ro-MD"/>
        </w:rPr>
        <w:t xml:space="preserve"> использования </w:t>
      </w:r>
      <w:r w:rsidR="00BC59D8">
        <w:rPr>
          <w:rFonts w:asciiTheme="majorHAnsi" w:hAnsiTheme="majorHAnsi" w:cstheme="majorHAnsi"/>
          <w:color w:val="000000" w:themeColor="text1"/>
          <w:lang w:val="ru-RU"/>
        </w:rPr>
        <w:t>человечес</w:t>
      </w:r>
      <w:r w:rsidRPr="00C24358">
        <w:rPr>
          <w:rFonts w:asciiTheme="majorHAnsi" w:hAnsiTheme="majorHAnsi" w:cstheme="majorHAnsi"/>
          <w:color w:val="000000" w:themeColor="text1"/>
          <w:lang w:val="ro-MD"/>
        </w:rPr>
        <w:t>ких ресурсов и финансовых средств, оптимизаци</w:t>
      </w:r>
      <w:r w:rsidR="00BC59D8">
        <w:rPr>
          <w:rFonts w:asciiTheme="majorHAnsi" w:hAnsiTheme="majorHAnsi" w:cstheme="majorHAnsi"/>
          <w:color w:val="000000" w:themeColor="text1"/>
          <w:lang w:val="ru-RU"/>
        </w:rPr>
        <w:t>и</w:t>
      </w:r>
      <w:r w:rsidRPr="00C24358">
        <w:rPr>
          <w:rFonts w:asciiTheme="majorHAnsi" w:hAnsiTheme="majorHAnsi" w:cstheme="majorHAnsi"/>
          <w:color w:val="000000" w:themeColor="text1"/>
          <w:lang w:val="ro-MD"/>
        </w:rPr>
        <w:t xml:space="preserve"> </w:t>
      </w:r>
      <w:r w:rsidR="00BC59D8">
        <w:rPr>
          <w:rFonts w:asciiTheme="majorHAnsi" w:hAnsiTheme="majorHAnsi" w:cstheme="majorHAnsi"/>
          <w:color w:val="000000" w:themeColor="text1"/>
          <w:lang w:val="ru-RU"/>
        </w:rPr>
        <w:t>менеджмента</w:t>
      </w:r>
      <w:r w:rsidRPr="00C24358">
        <w:rPr>
          <w:rFonts w:asciiTheme="majorHAnsi" w:hAnsiTheme="majorHAnsi" w:cstheme="majorHAnsi"/>
          <w:color w:val="000000" w:themeColor="text1"/>
          <w:lang w:val="ro-MD"/>
        </w:rPr>
        <w:t xml:space="preserve"> медико-санитарны</w:t>
      </w:r>
      <w:r w:rsidR="00BC59D8">
        <w:rPr>
          <w:rFonts w:asciiTheme="majorHAnsi" w:hAnsiTheme="majorHAnsi" w:cstheme="majorHAnsi"/>
          <w:color w:val="000000" w:themeColor="text1"/>
          <w:lang w:val="ru-RU"/>
        </w:rPr>
        <w:t>х</w:t>
      </w:r>
      <w:r w:rsidRPr="00C24358">
        <w:rPr>
          <w:rFonts w:asciiTheme="majorHAnsi" w:hAnsiTheme="majorHAnsi" w:cstheme="majorHAnsi"/>
          <w:color w:val="000000" w:themeColor="text1"/>
          <w:lang w:val="ro-MD"/>
        </w:rPr>
        <w:t xml:space="preserve"> учреждени</w:t>
      </w:r>
      <w:r w:rsidR="00BC59D8">
        <w:rPr>
          <w:rFonts w:asciiTheme="majorHAnsi" w:hAnsiTheme="majorHAnsi" w:cstheme="majorHAnsi"/>
          <w:color w:val="000000" w:themeColor="text1"/>
          <w:lang w:val="ru-RU"/>
        </w:rPr>
        <w:t>й</w:t>
      </w:r>
      <w:r w:rsidRPr="00C24358">
        <w:rPr>
          <w:rFonts w:asciiTheme="majorHAnsi" w:hAnsiTheme="majorHAnsi" w:cstheme="majorHAnsi"/>
          <w:color w:val="000000" w:themeColor="text1"/>
          <w:lang w:val="ro-MD"/>
        </w:rPr>
        <w:t xml:space="preserve">, </w:t>
      </w:r>
      <w:r w:rsidR="00BC59D8">
        <w:rPr>
          <w:rFonts w:asciiTheme="majorHAnsi" w:hAnsiTheme="majorHAnsi" w:cstheme="majorHAnsi"/>
          <w:color w:val="000000" w:themeColor="text1"/>
          <w:lang w:val="ru-RU"/>
        </w:rPr>
        <w:t>повтор</w:t>
      </w:r>
      <w:r w:rsidRPr="00C24358">
        <w:rPr>
          <w:rFonts w:asciiTheme="majorHAnsi" w:hAnsiTheme="majorHAnsi" w:cstheme="majorHAnsi"/>
          <w:color w:val="000000" w:themeColor="text1"/>
          <w:lang w:val="ro-MD"/>
        </w:rPr>
        <w:t xml:space="preserve">но, была реорганизована путем слияния (поглощения) </w:t>
      </w:r>
      <w:r w:rsidR="0045040C">
        <w:rPr>
          <w:rFonts w:asciiTheme="majorHAnsi" w:hAnsiTheme="majorHAnsi" w:cstheme="majorHAnsi"/>
          <w:color w:val="000000" w:themeColor="text1"/>
          <w:lang w:val="ro-MD"/>
        </w:rPr>
        <w:t>Фтизиопульмонологи</w:t>
      </w:r>
      <w:r w:rsidR="00BC59D8">
        <w:rPr>
          <w:rFonts w:asciiTheme="majorHAnsi" w:hAnsiTheme="majorHAnsi" w:cstheme="majorHAnsi"/>
          <w:color w:val="000000" w:themeColor="text1"/>
          <w:lang w:val="ru-RU"/>
        </w:rPr>
        <w:t>ческая</w:t>
      </w:r>
      <w:r w:rsidRPr="00C24358">
        <w:rPr>
          <w:rFonts w:asciiTheme="majorHAnsi" w:hAnsiTheme="majorHAnsi" w:cstheme="majorHAnsi"/>
          <w:color w:val="000000" w:themeColor="text1"/>
          <w:lang w:val="ro-MD"/>
        </w:rPr>
        <w:t xml:space="preserve"> </w:t>
      </w:r>
      <w:r w:rsidR="00BC59D8" w:rsidRPr="00C24358">
        <w:rPr>
          <w:rFonts w:asciiTheme="majorHAnsi" w:hAnsiTheme="majorHAnsi" w:cstheme="majorHAnsi"/>
          <w:color w:val="000000" w:themeColor="text1"/>
          <w:lang w:val="ro-MD"/>
        </w:rPr>
        <w:t xml:space="preserve">больницы </w:t>
      </w:r>
      <w:r w:rsidR="00BC59D8">
        <w:rPr>
          <w:rFonts w:asciiTheme="majorHAnsi" w:hAnsiTheme="majorHAnsi" w:cstheme="majorHAnsi"/>
          <w:color w:val="000000" w:themeColor="text1"/>
          <w:lang w:val="ru-RU"/>
        </w:rPr>
        <w:t>с.</w:t>
      </w:r>
      <w:r w:rsidRPr="00C24358">
        <w:rPr>
          <w:rFonts w:asciiTheme="majorHAnsi" w:hAnsiTheme="majorHAnsi" w:cstheme="majorHAnsi"/>
          <w:color w:val="000000" w:themeColor="text1"/>
          <w:lang w:val="ro-MD"/>
        </w:rPr>
        <w:t xml:space="preserve"> Ворничень с Институтом </w:t>
      </w:r>
      <w:r w:rsidR="0045040C">
        <w:rPr>
          <w:rFonts w:asciiTheme="majorHAnsi" w:hAnsiTheme="majorHAnsi" w:cstheme="majorHAnsi"/>
          <w:color w:val="000000" w:themeColor="text1"/>
          <w:lang w:val="ro-MD"/>
        </w:rPr>
        <w:t>Фтизиопульмонологии</w:t>
      </w:r>
      <w:r w:rsidRPr="00C24358">
        <w:rPr>
          <w:rFonts w:asciiTheme="majorHAnsi" w:hAnsiTheme="majorHAnsi" w:cstheme="majorHAnsi"/>
          <w:color w:val="000000" w:themeColor="text1"/>
          <w:lang w:val="ro-MD"/>
        </w:rPr>
        <w:t xml:space="preserve"> им</w:t>
      </w:r>
      <w:r w:rsidR="00BC59D8">
        <w:rPr>
          <w:rFonts w:asciiTheme="majorHAnsi" w:hAnsiTheme="majorHAnsi" w:cstheme="majorHAnsi"/>
          <w:color w:val="000000" w:themeColor="text1"/>
          <w:lang w:val="ru-RU"/>
        </w:rPr>
        <w:t xml:space="preserve">. </w:t>
      </w:r>
      <w:r w:rsidRPr="00C24358">
        <w:rPr>
          <w:rFonts w:asciiTheme="majorHAnsi" w:hAnsiTheme="majorHAnsi" w:cstheme="majorHAnsi"/>
          <w:color w:val="000000" w:themeColor="text1"/>
          <w:lang w:val="ro-MD"/>
        </w:rPr>
        <w:t xml:space="preserve">Кирилла Драганюка, </w:t>
      </w:r>
      <w:r w:rsidR="00BC59D8">
        <w:rPr>
          <w:rFonts w:asciiTheme="majorHAnsi" w:hAnsiTheme="majorHAnsi" w:cstheme="majorHAnsi"/>
          <w:color w:val="000000" w:themeColor="text1"/>
          <w:lang w:val="ru-RU"/>
        </w:rPr>
        <w:t>и, начиная</w:t>
      </w:r>
      <w:r w:rsidRPr="00C24358">
        <w:rPr>
          <w:rFonts w:asciiTheme="majorHAnsi" w:hAnsiTheme="majorHAnsi" w:cstheme="majorHAnsi"/>
          <w:color w:val="000000" w:themeColor="text1"/>
          <w:lang w:val="ro-MD"/>
        </w:rPr>
        <w:t xml:space="preserve"> с 07.11.2011</w:t>
      </w:r>
      <w:r w:rsidR="00BC59D8">
        <w:rPr>
          <w:rFonts w:asciiTheme="majorHAnsi" w:hAnsiTheme="majorHAnsi" w:cstheme="majorHAnsi"/>
          <w:color w:val="000000" w:themeColor="text1"/>
          <w:lang w:val="ru-RU"/>
        </w:rPr>
        <w:t>,</w:t>
      </w:r>
      <w:r w:rsidRPr="00C24358">
        <w:rPr>
          <w:rFonts w:asciiTheme="majorHAnsi" w:hAnsiTheme="majorHAnsi" w:cstheme="majorHAnsi"/>
          <w:color w:val="000000" w:themeColor="text1"/>
          <w:lang w:val="ro-MD"/>
        </w:rPr>
        <w:t xml:space="preserve"> больница стала филиалом </w:t>
      </w:r>
      <w:r w:rsidR="00BC59D8">
        <w:rPr>
          <w:rFonts w:asciiTheme="majorHAnsi" w:hAnsiTheme="majorHAnsi" w:cstheme="majorHAnsi"/>
          <w:color w:val="000000" w:themeColor="text1"/>
          <w:lang w:val="ru-RU"/>
        </w:rPr>
        <w:t>И</w:t>
      </w:r>
      <w:r w:rsidRPr="00C24358">
        <w:rPr>
          <w:rFonts w:asciiTheme="majorHAnsi" w:hAnsiTheme="majorHAnsi" w:cstheme="majorHAnsi"/>
          <w:color w:val="000000" w:themeColor="text1"/>
          <w:lang w:val="ro-MD"/>
        </w:rPr>
        <w:t xml:space="preserve">нститута под названием Клиника Ворничень, а </w:t>
      </w:r>
      <w:r w:rsidR="00BC59D8">
        <w:rPr>
          <w:rFonts w:asciiTheme="majorHAnsi" w:hAnsiTheme="majorHAnsi" w:cstheme="majorHAnsi"/>
          <w:color w:val="000000" w:themeColor="text1"/>
          <w:lang w:val="ru-RU"/>
        </w:rPr>
        <w:t xml:space="preserve">ПМСУ ИФП </w:t>
      </w:r>
      <w:r w:rsidRPr="00C24358">
        <w:rPr>
          <w:rFonts w:asciiTheme="majorHAnsi" w:hAnsiTheme="majorHAnsi" w:cstheme="majorHAnsi"/>
          <w:color w:val="000000" w:themeColor="text1"/>
          <w:lang w:val="ro-MD"/>
        </w:rPr>
        <w:t>-</w:t>
      </w:r>
      <w:r w:rsidR="00BC59D8">
        <w:rPr>
          <w:rFonts w:asciiTheme="majorHAnsi" w:hAnsiTheme="majorHAnsi" w:cstheme="majorHAnsi"/>
          <w:color w:val="000000" w:themeColor="text1"/>
          <w:lang w:val="ru-RU"/>
        </w:rPr>
        <w:t xml:space="preserve"> </w:t>
      </w:r>
      <w:r w:rsidRPr="00C24358">
        <w:rPr>
          <w:rFonts w:asciiTheme="majorHAnsi" w:hAnsiTheme="majorHAnsi" w:cstheme="majorHAnsi"/>
          <w:color w:val="000000" w:themeColor="text1"/>
          <w:lang w:val="ro-MD"/>
        </w:rPr>
        <w:t>преемником прав и обязанностей больницы</w:t>
      </w:r>
      <w:r w:rsidR="00BC59D8" w:rsidRPr="00B13B9A">
        <w:rPr>
          <w:rFonts w:asciiTheme="majorHAnsi" w:hAnsiTheme="majorHAnsi" w:cstheme="majorHAnsi"/>
          <w:color w:val="000000" w:themeColor="text1"/>
          <w:vertAlign w:val="superscript"/>
          <w:lang w:val="ro-MD"/>
        </w:rPr>
        <w:footnoteReference w:id="11"/>
      </w:r>
      <w:r w:rsidRPr="00C24358">
        <w:rPr>
          <w:rFonts w:asciiTheme="majorHAnsi" w:hAnsiTheme="majorHAnsi" w:cstheme="majorHAnsi"/>
          <w:color w:val="000000" w:themeColor="text1"/>
          <w:lang w:val="ro-MD"/>
        </w:rPr>
        <w:t xml:space="preserve">. Таким образом, </w:t>
      </w:r>
      <w:r w:rsidR="00BC59D8" w:rsidRPr="00BC59D8">
        <w:rPr>
          <w:rFonts w:asciiTheme="majorHAnsi" w:hAnsiTheme="majorHAnsi" w:cstheme="majorHAnsi"/>
          <w:color w:val="000000" w:themeColor="text1"/>
          <w:lang w:val="ro-MD"/>
        </w:rPr>
        <w:t>согласно Акту приема-передачи</w:t>
      </w:r>
      <w:r w:rsidR="00BC59D8" w:rsidRPr="00B13B9A">
        <w:rPr>
          <w:color w:val="000000" w:themeColor="text1"/>
          <w:vertAlign w:val="superscript"/>
          <w:lang w:val="ro-MD"/>
        </w:rPr>
        <w:footnoteReference w:id="12"/>
      </w:r>
      <w:r w:rsidR="00BC59D8" w:rsidRPr="00BC59D8">
        <w:rPr>
          <w:rFonts w:asciiTheme="majorHAnsi" w:hAnsiTheme="majorHAnsi" w:cstheme="majorHAnsi"/>
          <w:color w:val="000000" w:themeColor="text1"/>
          <w:lang w:val="ro-MD"/>
        </w:rPr>
        <w:t>,</w:t>
      </w:r>
      <w:r w:rsidRPr="00C24358">
        <w:rPr>
          <w:rFonts w:asciiTheme="majorHAnsi" w:hAnsiTheme="majorHAnsi" w:cstheme="majorHAnsi"/>
          <w:color w:val="000000" w:themeColor="text1"/>
          <w:lang w:val="ro-MD"/>
        </w:rPr>
        <w:t xml:space="preserve"> </w:t>
      </w:r>
      <w:r w:rsidR="00BC59D8" w:rsidRPr="00BC59D8">
        <w:rPr>
          <w:rFonts w:asciiTheme="majorHAnsi" w:hAnsiTheme="majorHAnsi" w:cstheme="majorHAnsi"/>
          <w:color w:val="000000" w:themeColor="text1"/>
          <w:lang w:val="ro-MD"/>
        </w:rPr>
        <w:t>ИФП</w:t>
      </w:r>
      <w:r w:rsidRPr="00C24358">
        <w:rPr>
          <w:rFonts w:asciiTheme="majorHAnsi" w:hAnsiTheme="majorHAnsi" w:cstheme="majorHAnsi"/>
          <w:color w:val="000000" w:themeColor="text1"/>
          <w:lang w:val="ro-MD"/>
        </w:rPr>
        <w:t xml:space="preserve"> </w:t>
      </w:r>
      <w:r w:rsidR="00BC59D8" w:rsidRPr="00BC59D8">
        <w:rPr>
          <w:rFonts w:asciiTheme="majorHAnsi" w:hAnsiTheme="majorHAnsi" w:cstheme="majorHAnsi"/>
          <w:color w:val="000000" w:themeColor="text1"/>
          <w:lang w:val="ro-MD"/>
        </w:rPr>
        <w:t>принял в</w:t>
      </w:r>
      <w:r w:rsidRPr="00C24358">
        <w:rPr>
          <w:rFonts w:asciiTheme="majorHAnsi" w:hAnsiTheme="majorHAnsi" w:cstheme="majorHAnsi"/>
          <w:color w:val="000000" w:themeColor="text1"/>
          <w:lang w:val="ro-MD"/>
        </w:rPr>
        <w:t xml:space="preserve"> экономическое управле</w:t>
      </w:r>
      <w:r w:rsidR="00BC59D8">
        <w:rPr>
          <w:rFonts w:asciiTheme="majorHAnsi" w:hAnsiTheme="majorHAnsi" w:cstheme="majorHAnsi"/>
          <w:color w:val="000000" w:themeColor="text1"/>
          <w:lang w:val="ro-MD"/>
        </w:rPr>
        <w:t>ние (согласно балансу передачи)</w:t>
      </w:r>
      <w:r w:rsidR="00792BD5" w:rsidRPr="00B13B9A">
        <w:rPr>
          <w:rFonts w:asciiTheme="majorHAnsi" w:hAnsiTheme="majorHAnsi" w:cstheme="majorHAnsi"/>
          <w:color w:val="000000" w:themeColor="text1"/>
          <w:lang w:val="ro-MD"/>
        </w:rPr>
        <w:t>:</w:t>
      </w:r>
    </w:p>
    <w:p w14:paraId="309D4B03" w14:textId="1418C6F3" w:rsidR="00792BD5" w:rsidRPr="00B13B9A" w:rsidRDefault="00BC59D8" w:rsidP="00241AB3">
      <w:pPr>
        <w:pStyle w:val="ae"/>
        <w:numPr>
          <w:ilvl w:val="0"/>
          <w:numId w:val="12"/>
        </w:numPr>
        <w:shd w:val="clear" w:color="auto" w:fill="FFFFFF"/>
        <w:spacing w:before="0" w:beforeAutospacing="0" w:after="0" w:afterAutospacing="0" w:line="276" w:lineRule="auto"/>
        <w:jc w:val="both"/>
        <w:rPr>
          <w:rFonts w:asciiTheme="majorHAnsi" w:hAnsiTheme="majorHAnsi" w:cstheme="majorHAnsi"/>
          <w:color w:val="000000" w:themeColor="text1"/>
          <w:lang w:val="ro-MD"/>
        </w:rPr>
      </w:pPr>
      <w:r>
        <w:rPr>
          <w:rFonts w:asciiTheme="majorHAnsi" w:hAnsiTheme="majorHAnsi" w:cstheme="majorHAnsi"/>
          <w:color w:val="000000" w:themeColor="text1"/>
          <w:lang w:val="ru-RU"/>
        </w:rPr>
        <w:t>активы и пассивы стоимостью</w:t>
      </w:r>
      <w:r w:rsidR="00792BD5" w:rsidRPr="00B13B9A">
        <w:rPr>
          <w:rFonts w:asciiTheme="majorHAnsi" w:hAnsiTheme="majorHAnsi" w:cstheme="majorHAnsi"/>
          <w:color w:val="000000" w:themeColor="text1"/>
          <w:lang w:val="ro-MD"/>
        </w:rPr>
        <w:t xml:space="preserve"> 285 134</w:t>
      </w:r>
      <w:r w:rsidR="00D15513" w:rsidRPr="00B13B9A">
        <w:rPr>
          <w:rFonts w:asciiTheme="majorHAnsi" w:hAnsiTheme="majorHAnsi" w:cstheme="majorHAnsi"/>
          <w:color w:val="000000" w:themeColor="text1"/>
          <w:lang w:val="ro-MD"/>
        </w:rPr>
        <w:t xml:space="preserve">,3 </w:t>
      </w:r>
      <w:r>
        <w:rPr>
          <w:rFonts w:asciiTheme="majorHAnsi" w:hAnsiTheme="majorHAnsi" w:cstheme="majorHAnsi"/>
          <w:color w:val="000000" w:themeColor="text1"/>
          <w:lang w:val="ro-MD"/>
        </w:rPr>
        <w:t>тыс. леев</w:t>
      </w:r>
      <w:r w:rsidR="00792BD5" w:rsidRPr="00B13B9A">
        <w:rPr>
          <w:rFonts w:asciiTheme="majorHAnsi" w:hAnsiTheme="majorHAnsi" w:cstheme="majorHAnsi"/>
          <w:color w:val="000000" w:themeColor="text1"/>
          <w:lang w:val="ro-MD"/>
        </w:rPr>
        <w:t>;</w:t>
      </w:r>
    </w:p>
    <w:p w14:paraId="1D5376F4" w14:textId="5EE56BDD" w:rsidR="00792BD5" w:rsidRPr="00B13B9A" w:rsidRDefault="00BC59D8" w:rsidP="00241AB3">
      <w:pPr>
        <w:pStyle w:val="ae"/>
        <w:numPr>
          <w:ilvl w:val="0"/>
          <w:numId w:val="12"/>
        </w:numPr>
        <w:shd w:val="clear" w:color="auto" w:fill="FFFFFF"/>
        <w:spacing w:before="0" w:beforeAutospacing="0" w:after="0" w:afterAutospacing="0" w:line="276" w:lineRule="auto"/>
        <w:jc w:val="both"/>
        <w:rPr>
          <w:rFonts w:asciiTheme="majorHAnsi" w:hAnsiTheme="majorHAnsi" w:cstheme="majorHAnsi"/>
          <w:color w:val="000000" w:themeColor="text1"/>
          <w:lang w:val="ro-MD"/>
        </w:rPr>
      </w:pPr>
      <w:r>
        <w:rPr>
          <w:rFonts w:asciiTheme="majorHAnsi" w:hAnsiTheme="majorHAnsi" w:cstheme="majorHAnsi"/>
          <w:color w:val="000000" w:themeColor="text1"/>
          <w:lang w:val="ru-RU"/>
        </w:rPr>
        <w:t>земельные участки, общей площадью</w:t>
      </w:r>
      <w:r w:rsidR="00792BD5" w:rsidRPr="00B13B9A">
        <w:rPr>
          <w:rFonts w:asciiTheme="majorHAnsi" w:hAnsiTheme="majorHAnsi" w:cstheme="majorHAnsi"/>
          <w:color w:val="000000" w:themeColor="text1"/>
          <w:lang w:val="ro-MD"/>
        </w:rPr>
        <w:t xml:space="preserve"> 44,8812 </w:t>
      </w:r>
      <w:r>
        <w:rPr>
          <w:rFonts w:asciiTheme="majorHAnsi" w:hAnsiTheme="majorHAnsi" w:cstheme="majorHAnsi"/>
          <w:color w:val="000000" w:themeColor="text1"/>
          <w:lang w:val="ru-RU"/>
        </w:rPr>
        <w:t>га</w:t>
      </w:r>
      <w:r w:rsidR="00792BD5" w:rsidRPr="00B13B9A">
        <w:rPr>
          <w:rFonts w:asciiTheme="majorHAnsi" w:hAnsiTheme="majorHAnsi" w:cstheme="majorHAnsi"/>
          <w:color w:val="000000" w:themeColor="text1"/>
          <w:lang w:val="ro-MD"/>
        </w:rPr>
        <w:t xml:space="preserve"> </w:t>
      </w:r>
      <w:r>
        <w:rPr>
          <w:rFonts w:asciiTheme="majorHAnsi" w:hAnsiTheme="majorHAnsi" w:cstheme="majorHAnsi"/>
          <w:color w:val="000000" w:themeColor="text1"/>
          <w:lang w:val="ru-RU"/>
        </w:rPr>
        <w:t>на сумму</w:t>
      </w:r>
      <w:r w:rsidR="00792BD5" w:rsidRPr="00B13B9A">
        <w:rPr>
          <w:rFonts w:asciiTheme="majorHAnsi" w:hAnsiTheme="majorHAnsi" w:cstheme="majorHAnsi"/>
          <w:color w:val="000000" w:themeColor="text1"/>
          <w:lang w:val="ro-MD"/>
        </w:rPr>
        <w:t xml:space="preserve"> 451</w:t>
      </w:r>
      <w:r w:rsidR="00D15513" w:rsidRPr="00B13B9A">
        <w:rPr>
          <w:rFonts w:asciiTheme="majorHAnsi" w:hAnsiTheme="majorHAnsi" w:cstheme="majorHAnsi"/>
          <w:color w:val="000000" w:themeColor="text1"/>
          <w:lang w:val="ro-MD"/>
        </w:rPr>
        <w:t>,</w:t>
      </w:r>
      <w:r w:rsidR="00792BD5" w:rsidRPr="00B13B9A">
        <w:rPr>
          <w:rFonts w:asciiTheme="majorHAnsi" w:hAnsiTheme="majorHAnsi" w:cstheme="majorHAnsi"/>
          <w:color w:val="000000" w:themeColor="text1"/>
          <w:lang w:val="ro-MD"/>
        </w:rPr>
        <w:t>5</w:t>
      </w:r>
      <w:r w:rsidR="00D15513" w:rsidRPr="00B13B9A">
        <w:rPr>
          <w:rFonts w:asciiTheme="majorHAnsi" w:hAnsiTheme="majorHAnsi" w:cstheme="majorHAnsi"/>
          <w:color w:val="000000" w:themeColor="text1"/>
          <w:lang w:val="ro-MD"/>
        </w:rPr>
        <w:t xml:space="preserve"> </w:t>
      </w:r>
      <w:r>
        <w:rPr>
          <w:rFonts w:asciiTheme="majorHAnsi" w:hAnsiTheme="majorHAnsi" w:cstheme="majorHAnsi"/>
          <w:color w:val="000000" w:themeColor="text1"/>
          <w:lang w:val="ro-MD"/>
        </w:rPr>
        <w:t>тыс. леев</w:t>
      </w:r>
      <w:r w:rsidR="00792BD5" w:rsidRPr="00B13B9A">
        <w:rPr>
          <w:rFonts w:asciiTheme="majorHAnsi" w:hAnsiTheme="majorHAnsi" w:cstheme="majorHAnsi"/>
          <w:color w:val="000000" w:themeColor="text1"/>
          <w:lang w:val="ro-MD"/>
        </w:rPr>
        <w:t>;</w:t>
      </w:r>
    </w:p>
    <w:p w14:paraId="26071F59" w14:textId="7FE31212" w:rsidR="00FE1B93" w:rsidRPr="00B13B9A" w:rsidRDefault="00BC59D8" w:rsidP="00BC59D8">
      <w:pPr>
        <w:pStyle w:val="ae"/>
        <w:numPr>
          <w:ilvl w:val="0"/>
          <w:numId w:val="12"/>
        </w:numPr>
        <w:shd w:val="clear" w:color="auto" w:fill="FFFFFF"/>
        <w:spacing w:before="0" w:beforeAutospacing="0" w:after="0" w:afterAutospacing="0" w:line="276" w:lineRule="auto"/>
        <w:jc w:val="both"/>
        <w:rPr>
          <w:rFonts w:asciiTheme="majorHAnsi" w:hAnsiTheme="majorHAnsi" w:cstheme="majorHAnsi"/>
          <w:color w:val="000000" w:themeColor="text1"/>
          <w:lang w:val="ro-MD"/>
        </w:rPr>
      </w:pPr>
      <w:r w:rsidRPr="00BC59D8">
        <w:rPr>
          <w:rFonts w:asciiTheme="majorHAnsi" w:hAnsiTheme="majorHAnsi" w:cstheme="majorHAnsi"/>
          <w:color w:val="000000" w:themeColor="text1"/>
          <w:lang w:val="ro-MD"/>
        </w:rPr>
        <w:t>краткосрочные коммерческие обязательства по коммерческим счетам в размере</w:t>
      </w:r>
      <w:r w:rsidR="00270FEF" w:rsidRPr="00BC59D8">
        <w:rPr>
          <w:rFonts w:asciiTheme="majorHAnsi" w:hAnsiTheme="majorHAnsi" w:cstheme="majorHAnsi"/>
          <w:color w:val="000000" w:themeColor="text1"/>
          <w:lang w:val="ro-MD"/>
        </w:rPr>
        <w:t xml:space="preserve"> </w:t>
      </w:r>
      <w:r w:rsidR="00792BD5" w:rsidRPr="00B13B9A">
        <w:rPr>
          <w:rFonts w:asciiTheme="majorHAnsi" w:hAnsiTheme="majorHAnsi" w:cstheme="majorHAnsi"/>
          <w:color w:val="000000" w:themeColor="text1"/>
          <w:lang w:val="ro-MD"/>
        </w:rPr>
        <w:t>761</w:t>
      </w:r>
      <w:r w:rsidR="00D15513" w:rsidRPr="00B13B9A">
        <w:rPr>
          <w:rFonts w:asciiTheme="majorHAnsi" w:hAnsiTheme="majorHAnsi" w:cstheme="majorHAnsi"/>
          <w:color w:val="000000" w:themeColor="text1"/>
          <w:lang w:val="ro-MD"/>
        </w:rPr>
        <w:t xml:space="preserve">,5 </w:t>
      </w:r>
      <w:r>
        <w:rPr>
          <w:rFonts w:asciiTheme="majorHAnsi" w:hAnsiTheme="majorHAnsi" w:cstheme="majorHAnsi"/>
          <w:color w:val="000000" w:themeColor="text1"/>
          <w:lang w:val="ro-MD"/>
        </w:rPr>
        <w:t>тыс. леев</w:t>
      </w:r>
      <w:r w:rsidR="00792BD5" w:rsidRPr="00B13B9A">
        <w:rPr>
          <w:rFonts w:asciiTheme="majorHAnsi" w:hAnsiTheme="majorHAnsi" w:cstheme="majorHAnsi"/>
          <w:color w:val="000000" w:themeColor="text1"/>
          <w:lang w:val="ro-MD"/>
        </w:rPr>
        <w:t>;</w:t>
      </w:r>
    </w:p>
    <w:p w14:paraId="7A4A4F5A" w14:textId="31BC7319" w:rsidR="00792BD5" w:rsidRPr="00B13B9A" w:rsidRDefault="00BC59D8" w:rsidP="00BC59D8">
      <w:pPr>
        <w:pStyle w:val="ae"/>
        <w:numPr>
          <w:ilvl w:val="0"/>
          <w:numId w:val="12"/>
        </w:numPr>
        <w:shd w:val="clear" w:color="auto" w:fill="FFFFFF"/>
        <w:spacing w:before="0" w:beforeAutospacing="0" w:after="0" w:afterAutospacing="0" w:line="276" w:lineRule="auto"/>
        <w:jc w:val="both"/>
        <w:rPr>
          <w:rFonts w:asciiTheme="majorHAnsi" w:hAnsiTheme="majorHAnsi" w:cstheme="majorHAnsi"/>
          <w:color w:val="000000" w:themeColor="text1"/>
          <w:lang w:val="ro-MD"/>
        </w:rPr>
      </w:pPr>
      <w:r w:rsidRPr="00BC59D8">
        <w:rPr>
          <w:rFonts w:asciiTheme="majorHAnsi" w:hAnsiTheme="majorHAnsi" w:cstheme="majorHAnsi"/>
          <w:lang w:val="ro-MD"/>
        </w:rPr>
        <w:t>задолженность перед персоналом по оплате труда на сумму</w:t>
      </w:r>
      <w:r w:rsidR="00270FEF" w:rsidRPr="00B13B9A">
        <w:rPr>
          <w:rFonts w:asciiTheme="majorHAnsi" w:hAnsiTheme="majorHAnsi" w:cstheme="majorHAnsi"/>
          <w:lang w:val="ro-MD"/>
        </w:rPr>
        <w:t xml:space="preserve"> </w:t>
      </w:r>
      <w:r w:rsidR="00792BD5" w:rsidRPr="00B13B9A">
        <w:rPr>
          <w:rFonts w:asciiTheme="majorHAnsi" w:hAnsiTheme="majorHAnsi" w:cstheme="majorHAnsi"/>
          <w:lang w:val="ro-MD"/>
        </w:rPr>
        <w:t>3</w:t>
      </w:r>
      <w:r w:rsidR="00D15513" w:rsidRPr="00B13B9A">
        <w:rPr>
          <w:rFonts w:asciiTheme="majorHAnsi" w:hAnsiTheme="majorHAnsi" w:cstheme="majorHAnsi"/>
          <w:lang w:val="ro-MD"/>
        </w:rPr>
        <w:t xml:space="preserve">,3 </w:t>
      </w:r>
      <w:r>
        <w:rPr>
          <w:rFonts w:asciiTheme="majorHAnsi" w:hAnsiTheme="majorHAnsi" w:cstheme="majorHAnsi"/>
          <w:lang w:val="ro-MD"/>
        </w:rPr>
        <w:t>тыс. леев</w:t>
      </w:r>
      <w:r w:rsidR="00792BD5" w:rsidRPr="00B13B9A">
        <w:rPr>
          <w:rFonts w:asciiTheme="majorHAnsi" w:hAnsiTheme="majorHAnsi" w:cstheme="majorHAnsi"/>
          <w:lang w:val="ro-MD"/>
        </w:rPr>
        <w:t>.</w:t>
      </w:r>
    </w:p>
    <w:p w14:paraId="4C4EA3C3" w14:textId="52506EB1" w:rsidR="00C24358" w:rsidRPr="00C24358" w:rsidRDefault="00C24358" w:rsidP="00C24358">
      <w:pPr>
        <w:spacing w:after="0" w:line="276" w:lineRule="auto"/>
        <w:jc w:val="both"/>
        <w:rPr>
          <w:rFonts w:asciiTheme="majorHAnsi" w:hAnsiTheme="majorHAnsi" w:cstheme="majorHAnsi"/>
          <w:sz w:val="24"/>
          <w:szCs w:val="24"/>
          <w:lang w:val="ro-MD"/>
        </w:rPr>
      </w:pPr>
      <w:r w:rsidRPr="00C24358">
        <w:rPr>
          <w:rFonts w:asciiTheme="majorHAnsi" w:hAnsiTheme="majorHAnsi" w:cstheme="majorHAnsi"/>
          <w:sz w:val="24"/>
          <w:szCs w:val="24"/>
          <w:lang w:val="ro-MD"/>
        </w:rPr>
        <w:t xml:space="preserve">Таким образом, с 2012 года </w:t>
      </w:r>
      <w:r w:rsidR="00400E8D">
        <w:rPr>
          <w:rFonts w:asciiTheme="majorHAnsi" w:hAnsiTheme="majorHAnsi" w:cstheme="majorHAnsi"/>
          <w:sz w:val="24"/>
          <w:szCs w:val="24"/>
          <w:lang w:val="ro-MD"/>
        </w:rPr>
        <w:t>ПМСУ</w:t>
      </w:r>
      <w:r w:rsidRPr="00C24358">
        <w:rPr>
          <w:rFonts w:asciiTheme="majorHAnsi" w:hAnsiTheme="majorHAnsi" w:cstheme="majorHAnsi"/>
          <w:sz w:val="24"/>
          <w:szCs w:val="24"/>
          <w:lang w:val="ro-MD"/>
        </w:rPr>
        <w:t xml:space="preserve"> владеет 37 зданиями</w:t>
      </w:r>
      <w:r w:rsidR="00400E8D">
        <w:rPr>
          <w:rFonts w:asciiTheme="majorHAnsi" w:hAnsiTheme="majorHAnsi" w:cstheme="majorHAnsi"/>
          <w:sz w:val="24"/>
          <w:szCs w:val="24"/>
          <w:lang w:val="ru-RU"/>
        </w:rPr>
        <w:t>, находящимися</w:t>
      </w:r>
      <w:r w:rsidRPr="00C24358">
        <w:rPr>
          <w:rFonts w:asciiTheme="majorHAnsi" w:hAnsiTheme="majorHAnsi" w:cstheme="majorHAnsi"/>
          <w:sz w:val="24"/>
          <w:szCs w:val="24"/>
          <w:lang w:val="ro-MD"/>
        </w:rPr>
        <w:t xml:space="preserve"> на балансе </w:t>
      </w:r>
      <w:r w:rsidR="00400E8D">
        <w:rPr>
          <w:rFonts w:asciiTheme="majorHAnsi" w:hAnsiTheme="majorHAnsi" w:cstheme="majorHAnsi"/>
          <w:sz w:val="24"/>
          <w:szCs w:val="24"/>
          <w:lang w:val="ru-RU"/>
        </w:rPr>
        <w:t>субъекта</w:t>
      </w:r>
      <w:r w:rsidRPr="00C24358">
        <w:rPr>
          <w:rFonts w:asciiTheme="majorHAnsi" w:hAnsiTheme="majorHAnsi" w:cstheme="majorHAnsi"/>
          <w:sz w:val="24"/>
          <w:szCs w:val="24"/>
          <w:lang w:val="ro-MD"/>
        </w:rPr>
        <w:t>, в том числе 31</w:t>
      </w:r>
      <w:r w:rsidR="00F25383">
        <w:rPr>
          <w:rFonts w:asciiTheme="majorHAnsi" w:hAnsiTheme="majorHAnsi" w:cstheme="majorHAnsi"/>
          <w:sz w:val="24"/>
          <w:szCs w:val="24"/>
          <w:lang w:val="ru-RU"/>
        </w:rPr>
        <w:t>, принадлежащим К</w:t>
      </w:r>
      <w:r w:rsidRPr="00C24358">
        <w:rPr>
          <w:rFonts w:asciiTheme="majorHAnsi" w:hAnsiTheme="majorHAnsi" w:cstheme="majorHAnsi"/>
          <w:sz w:val="24"/>
          <w:szCs w:val="24"/>
          <w:lang w:val="ro-MD"/>
        </w:rPr>
        <w:t>линик</w:t>
      </w:r>
      <w:r w:rsidR="00F25383">
        <w:rPr>
          <w:rFonts w:asciiTheme="majorHAnsi" w:hAnsiTheme="majorHAnsi" w:cstheme="majorHAnsi"/>
          <w:sz w:val="24"/>
          <w:szCs w:val="24"/>
          <w:lang w:val="ru-RU"/>
        </w:rPr>
        <w:t>е</w:t>
      </w:r>
      <w:r w:rsidRPr="00C24358">
        <w:rPr>
          <w:rFonts w:asciiTheme="majorHAnsi" w:hAnsiTheme="majorHAnsi" w:cstheme="majorHAnsi"/>
          <w:sz w:val="24"/>
          <w:szCs w:val="24"/>
          <w:lang w:val="ro-MD"/>
        </w:rPr>
        <w:t xml:space="preserve"> Ворничень.</w:t>
      </w:r>
    </w:p>
    <w:p w14:paraId="33AABEAF" w14:textId="50DBDDA5" w:rsidR="00BF2684" w:rsidRPr="00B13B9A" w:rsidRDefault="00C24358" w:rsidP="00792BD5">
      <w:pPr>
        <w:spacing w:after="0" w:line="276" w:lineRule="auto"/>
        <w:jc w:val="both"/>
        <w:rPr>
          <w:rFonts w:asciiTheme="majorHAnsi" w:hAnsiTheme="majorHAnsi" w:cstheme="majorHAnsi"/>
          <w:sz w:val="24"/>
          <w:szCs w:val="24"/>
          <w:lang w:val="ro-MD"/>
        </w:rPr>
      </w:pPr>
      <w:r w:rsidRPr="00C24358">
        <w:rPr>
          <w:rFonts w:asciiTheme="majorHAnsi" w:hAnsiTheme="majorHAnsi" w:cstheme="majorHAnsi"/>
          <w:sz w:val="24"/>
          <w:szCs w:val="24"/>
          <w:lang w:val="ro-MD"/>
        </w:rPr>
        <w:t xml:space="preserve">Аудиторские проверки </w:t>
      </w:r>
      <w:r w:rsidR="00F25383">
        <w:rPr>
          <w:rFonts w:asciiTheme="majorHAnsi" w:hAnsiTheme="majorHAnsi" w:cstheme="majorHAnsi"/>
          <w:sz w:val="24"/>
          <w:szCs w:val="24"/>
          <w:lang w:val="ru-RU"/>
        </w:rPr>
        <w:t>в аспекте</w:t>
      </w:r>
      <w:r w:rsidRPr="00C24358">
        <w:rPr>
          <w:rFonts w:asciiTheme="majorHAnsi" w:hAnsiTheme="majorHAnsi" w:cstheme="majorHAnsi"/>
          <w:sz w:val="24"/>
          <w:szCs w:val="24"/>
          <w:lang w:val="ro-MD"/>
        </w:rPr>
        <w:t xml:space="preserve"> соответстви</w:t>
      </w:r>
      <w:r w:rsidR="00F25383">
        <w:rPr>
          <w:rFonts w:asciiTheme="majorHAnsi" w:hAnsiTheme="majorHAnsi" w:cstheme="majorHAnsi"/>
          <w:sz w:val="24"/>
          <w:szCs w:val="24"/>
          <w:lang w:val="ru-RU"/>
        </w:rPr>
        <w:t>я</w:t>
      </w:r>
      <w:r w:rsidRPr="00C24358">
        <w:rPr>
          <w:rFonts w:asciiTheme="majorHAnsi" w:hAnsiTheme="majorHAnsi" w:cstheme="majorHAnsi"/>
          <w:sz w:val="24"/>
          <w:szCs w:val="24"/>
          <w:lang w:val="ro-MD"/>
        </w:rPr>
        <w:t xml:space="preserve"> и полно</w:t>
      </w:r>
      <w:r w:rsidR="00F25383">
        <w:rPr>
          <w:rFonts w:asciiTheme="majorHAnsi" w:hAnsiTheme="majorHAnsi" w:cstheme="majorHAnsi"/>
          <w:sz w:val="24"/>
          <w:szCs w:val="24"/>
          <w:lang w:val="ru-RU"/>
        </w:rPr>
        <w:t>ты</w:t>
      </w:r>
      <w:r w:rsidRPr="00C24358">
        <w:rPr>
          <w:rFonts w:asciiTheme="majorHAnsi" w:hAnsiTheme="majorHAnsi" w:cstheme="majorHAnsi"/>
          <w:sz w:val="24"/>
          <w:szCs w:val="24"/>
          <w:lang w:val="ro-MD"/>
        </w:rPr>
        <w:t xml:space="preserve"> владени</w:t>
      </w:r>
      <w:r w:rsidR="00F25383">
        <w:rPr>
          <w:rFonts w:asciiTheme="majorHAnsi" w:hAnsiTheme="majorHAnsi" w:cstheme="majorHAnsi"/>
          <w:sz w:val="24"/>
          <w:szCs w:val="24"/>
          <w:lang w:val="ru-RU"/>
        </w:rPr>
        <w:t>я</w:t>
      </w:r>
      <w:r w:rsidRPr="00C24358">
        <w:rPr>
          <w:rFonts w:asciiTheme="majorHAnsi" w:hAnsiTheme="majorHAnsi" w:cstheme="majorHAnsi"/>
          <w:sz w:val="24"/>
          <w:szCs w:val="24"/>
          <w:lang w:val="ro-MD"/>
        </w:rPr>
        <w:t xml:space="preserve"> имуществом </w:t>
      </w:r>
      <w:r w:rsidR="00F25383">
        <w:rPr>
          <w:rFonts w:asciiTheme="majorHAnsi" w:hAnsiTheme="majorHAnsi" w:cstheme="majorHAnsi"/>
          <w:sz w:val="24"/>
          <w:szCs w:val="24"/>
          <w:lang w:val="ru-RU"/>
        </w:rPr>
        <w:t>субъекта</w:t>
      </w:r>
      <w:r w:rsidRPr="00C24358">
        <w:rPr>
          <w:rFonts w:asciiTheme="majorHAnsi" w:hAnsiTheme="majorHAnsi" w:cstheme="majorHAnsi"/>
          <w:sz w:val="24"/>
          <w:szCs w:val="24"/>
          <w:lang w:val="ro-MD"/>
        </w:rPr>
        <w:t xml:space="preserve"> </w:t>
      </w:r>
      <w:r w:rsidR="00F25383">
        <w:rPr>
          <w:rFonts w:asciiTheme="majorHAnsi" w:hAnsiTheme="majorHAnsi" w:cstheme="majorHAnsi"/>
          <w:sz w:val="24"/>
          <w:szCs w:val="24"/>
          <w:lang w:val="ru-RU"/>
        </w:rPr>
        <w:t>выявили</w:t>
      </w:r>
      <w:r w:rsidR="00F25383">
        <w:rPr>
          <w:rFonts w:asciiTheme="majorHAnsi" w:hAnsiTheme="majorHAnsi" w:cstheme="majorHAnsi"/>
          <w:sz w:val="24"/>
          <w:szCs w:val="24"/>
          <w:lang w:val="ro-MD"/>
        </w:rPr>
        <w:t xml:space="preserve"> следующи</w:t>
      </w:r>
      <w:r w:rsidR="00F25383">
        <w:rPr>
          <w:rFonts w:asciiTheme="majorHAnsi" w:hAnsiTheme="majorHAnsi" w:cstheme="majorHAnsi"/>
          <w:sz w:val="24"/>
          <w:szCs w:val="24"/>
          <w:lang w:val="ru-RU"/>
        </w:rPr>
        <w:t>е</w:t>
      </w:r>
      <w:r w:rsidR="00F25383">
        <w:rPr>
          <w:rFonts w:asciiTheme="majorHAnsi" w:hAnsiTheme="majorHAnsi" w:cstheme="majorHAnsi"/>
          <w:sz w:val="24"/>
          <w:szCs w:val="24"/>
          <w:lang w:val="ro-MD"/>
        </w:rPr>
        <w:t xml:space="preserve"> несоответствия</w:t>
      </w:r>
      <w:r w:rsidR="00B120A1" w:rsidRPr="00B13B9A">
        <w:rPr>
          <w:rFonts w:asciiTheme="majorHAnsi" w:hAnsiTheme="majorHAnsi" w:cstheme="majorHAnsi"/>
          <w:sz w:val="24"/>
          <w:szCs w:val="24"/>
          <w:lang w:val="ro-MD"/>
        </w:rPr>
        <w:t>.</w:t>
      </w:r>
    </w:p>
    <w:p w14:paraId="38621A8A" w14:textId="77777777" w:rsidR="00782B80" w:rsidRPr="00B13B9A" w:rsidRDefault="00782B80" w:rsidP="00792BD5">
      <w:pPr>
        <w:spacing w:after="0" w:line="276" w:lineRule="auto"/>
        <w:jc w:val="both"/>
        <w:rPr>
          <w:rFonts w:asciiTheme="majorHAnsi" w:hAnsiTheme="majorHAnsi" w:cstheme="majorHAnsi"/>
          <w:sz w:val="24"/>
          <w:szCs w:val="24"/>
          <w:lang w:val="ro-MD"/>
        </w:rPr>
      </w:pPr>
    </w:p>
    <w:p w14:paraId="26A0E73E" w14:textId="1ED6BE91" w:rsidR="00847C7C" w:rsidRPr="00B13B9A" w:rsidRDefault="00C24358" w:rsidP="00241AB3">
      <w:pPr>
        <w:pStyle w:val="a7"/>
        <w:numPr>
          <w:ilvl w:val="2"/>
          <w:numId w:val="10"/>
        </w:numPr>
        <w:spacing w:after="0" w:line="276" w:lineRule="auto"/>
        <w:ind w:left="0" w:firstLine="0"/>
        <w:jc w:val="both"/>
        <w:outlineLvl w:val="2"/>
        <w:rPr>
          <w:rFonts w:asciiTheme="majorHAnsi" w:hAnsiTheme="majorHAnsi" w:cstheme="majorHAnsi"/>
          <w:b/>
          <w:sz w:val="24"/>
          <w:szCs w:val="24"/>
          <w:lang w:val="ro-MD"/>
        </w:rPr>
      </w:pPr>
      <w:bookmarkStart w:id="20" w:name="_Toc158317226"/>
      <w:r w:rsidRPr="00C24358">
        <w:rPr>
          <w:rFonts w:asciiTheme="majorHAnsi" w:hAnsiTheme="majorHAnsi" w:cstheme="majorHAnsi"/>
          <w:b/>
          <w:color w:val="000000"/>
          <w:sz w:val="24"/>
          <w:szCs w:val="24"/>
          <w:shd w:val="clear" w:color="auto" w:fill="FFFFFF"/>
          <w:lang w:val="ro-MD"/>
        </w:rPr>
        <w:t>Процесс разграничения публичной собственности не был завершен в надлежащем порядке, что указывает на определенные недостатки, связанные с регистрацией права собственности на него</w:t>
      </w:r>
      <w:r w:rsidR="00847C7C" w:rsidRPr="00B13B9A">
        <w:rPr>
          <w:rStyle w:val="a9"/>
          <w:rFonts w:asciiTheme="majorHAnsi" w:hAnsiTheme="majorHAnsi" w:cstheme="majorHAnsi"/>
          <w:b/>
          <w:sz w:val="24"/>
          <w:szCs w:val="24"/>
          <w:shd w:val="clear" w:color="auto" w:fill="FFFFFF"/>
          <w:lang w:val="ro-MD"/>
        </w:rPr>
        <w:footnoteReference w:id="13"/>
      </w:r>
      <w:r w:rsidR="00C56368" w:rsidRPr="00B13B9A">
        <w:rPr>
          <w:rFonts w:asciiTheme="majorHAnsi" w:hAnsiTheme="majorHAnsi" w:cstheme="majorHAnsi"/>
          <w:b/>
          <w:sz w:val="24"/>
          <w:szCs w:val="24"/>
          <w:lang w:val="ro-MD"/>
        </w:rPr>
        <w:t>.</w:t>
      </w:r>
      <w:bookmarkEnd w:id="20"/>
    </w:p>
    <w:p w14:paraId="3EC6171D" w14:textId="44A48A19" w:rsidR="00C24358" w:rsidRPr="00C24358" w:rsidRDefault="00400E8D" w:rsidP="00C24358">
      <w:pPr>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ПМСУ ИФП</w:t>
      </w:r>
      <w:r w:rsidR="00C24358" w:rsidRPr="00C24358">
        <w:rPr>
          <w:rFonts w:asciiTheme="majorHAnsi" w:hAnsiTheme="majorHAnsi" w:cstheme="majorHAnsi"/>
          <w:sz w:val="24"/>
          <w:szCs w:val="24"/>
          <w:lang w:val="ro-MD"/>
        </w:rPr>
        <w:t xml:space="preserve"> </w:t>
      </w:r>
      <w:r w:rsidR="00AC00D0">
        <w:rPr>
          <w:rFonts w:asciiTheme="majorHAnsi" w:hAnsiTheme="majorHAnsi" w:cstheme="majorHAnsi"/>
          <w:sz w:val="24"/>
          <w:szCs w:val="24"/>
          <w:lang w:val="ro-MD"/>
        </w:rPr>
        <w:t>„</w:t>
      </w:r>
      <w:r w:rsidR="00AC00D0">
        <w:rPr>
          <w:rFonts w:asciiTheme="majorHAnsi" w:hAnsiTheme="majorHAnsi" w:cs="Calibri Light"/>
          <w:sz w:val="24"/>
          <w:szCs w:val="24"/>
          <w:lang w:val="ru-MD" w:eastAsia="ru-RU"/>
        </w:rPr>
        <w:t>Кирилл Драганюк</w:t>
      </w:r>
      <w:r w:rsidR="00F56EC1">
        <w:rPr>
          <w:rFonts w:asciiTheme="majorHAnsi" w:hAnsiTheme="majorHAnsi" w:cstheme="majorHAnsi"/>
          <w:sz w:val="24"/>
          <w:szCs w:val="24"/>
          <w:lang w:val="ro-MD"/>
        </w:rPr>
        <w:t>”</w:t>
      </w:r>
      <w:r w:rsidR="00C24358" w:rsidRPr="00C24358">
        <w:rPr>
          <w:rFonts w:asciiTheme="majorHAnsi" w:hAnsiTheme="majorHAnsi" w:cstheme="majorHAnsi"/>
          <w:sz w:val="24"/>
          <w:szCs w:val="24"/>
          <w:lang w:val="ro-MD"/>
        </w:rPr>
        <w:t xml:space="preserve"> владеет в управлении</w:t>
      </w:r>
      <w:r w:rsidR="00F25383">
        <w:rPr>
          <w:rFonts w:asciiTheme="majorHAnsi" w:hAnsiTheme="majorHAnsi" w:cstheme="majorHAnsi"/>
          <w:sz w:val="24"/>
          <w:szCs w:val="24"/>
          <w:lang w:val="ru-RU"/>
        </w:rPr>
        <w:t>,</w:t>
      </w:r>
      <w:r w:rsidR="00C24358" w:rsidRPr="00C24358">
        <w:rPr>
          <w:rFonts w:asciiTheme="majorHAnsi" w:hAnsiTheme="majorHAnsi" w:cstheme="majorHAnsi"/>
          <w:sz w:val="24"/>
          <w:szCs w:val="24"/>
          <w:lang w:val="ro-MD"/>
        </w:rPr>
        <w:t xml:space="preserve"> по состоянию на 30.06.2023</w:t>
      </w:r>
      <w:r w:rsidR="00F25383">
        <w:rPr>
          <w:rFonts w:asciiTheme="majorHAnsi" w:hAnsiTheme="majorHAnsi" w:cstheme="majorHAnsi"/>
          <w:sz w:val="24"/>
          <w:szCs w:val="24"/>
          <w:lang w:val="ru-RU"/>
        </w:rPr>
        <w:t>,</w:t>
      </w:r>
      <w:r w:rsidR="00C24358" w:rsidRPr="00C24358">
        <w:rPr>
          <w:rFonts w:asciiTheme="majorHAnsi" w:hAnsiTheme="majorHAnsi" w:cstheme="majorHAnsi"/>
          <w:sz w:val="24"/>
          <w:szCs w:val="24"/>
          <w:lang w:val="ro-MD"/>
        </w:rPr>
        <w:t xml:space="preserve"> 37 здани</w:t>
      </w:r>
      <w:r w:rsidR="00F25383">
        <w:rPr>
          <w:rFonts w:asciiTheme="majorHAnsi" w:hAnsiTheme="majorHAnsi" w:cstheme="majorHAnsi"/>
          <w:sz w:val="24"/>
          <w:szCs w:val="24"/>
          <w:lang w:val="ru-RU"/>
        </w:rPr>
        <w:t>ями</w:t>
      </w:r>
      <w:r w:rsidR="00C24358" w:rsidRPr="00C24358">
        <w:rPr>
          <w:rFonts w:asciiTheme="majorHAnsi" w:hAnsiTheme="majorHAnsi" w:cstheme="majorHAnsi"/>
          <w:sz w:val="24"/>
          <w:szCs w:val="24"/>
          <w:lang w:val="ro-MD"/>
        </w:rPr>
        <w:t xml:space="preserve"> первоначальной </w:t>
      </w:r>
      <w:r w:rsidR="00F25383" w:rsidRPr="00C24358">
        <w:rPr>
          <w:rFonts w:asciiTheme="majorHAnsi" w:hAnsiTheme="majorHAnsi" w:cstheme="majorHAnsi"/>
          <w:sz w:val="24"/>
          <w:szCs w:val="24"/>
          <w:lang w:val="ro-MD"/>
        </w:rPr>
        <w:t xml:space="preserve">общей </w:t>
      </w:r>
      <w:r w:rsidR="00C24358" w:rsidRPr="00C24358">
        <w:rPr>
          <w:rFonts w:asciiTheme="majorHAnsi" w:hAnsiTheme="majorHAnsi" w:cstheme="majorHAnsi"/>
          <w:sz w:val="24"/>
          <w:szCs w:val="24"/>
          <w:lang w:val="ro-MD"/>
        </w:rPr>
        <w:t xml:space="preserve">стоимостью 169 016,0 тыс. леев и общей площадью 17 724,4 </w:t>
      </w:r>
      <w:r w:rsidR="00F25383">
        <w:rPr>
          <w:rFonts w:asciiTheme="majorHAnsi" w:hAnsiTheme="majorHAnsi" w:cstheme="majorHAnsi"/>
          <w:sz w:val="24"/>
          <w:szCs w:val="24"/>
          <w:lang w:val="ru-RU"/>
        </w:rPr>
        <w:t>кв</w:t>
      </w:r>
      <w:r w:rsidR="00C24358" w:rsidRPr="00C24358">
        <w:rPr>
          <w:rFonts w:asciiTheme="majorHAnsi" w:hAnsiTheme="majorHAnsi" w:cstheme="majorHAnsi"/>
          <w:sz w:val="24"/>
          <w:szCs w:val="24"/>
          <w:lang w:val="ro-MD"/>
        </w:rPr>
        <w:t xml:space="preserve">. </w:t>
      </w:r>
      <w:r w:rsidR="00F25383">
        <w:rPr>
          <w:rFonts w:asciiTheme="majorHAnsi" w:hAnsiTheme="majorHAnsi" w:cstheme="majorHAnsi"/>
          <w:sz w:val="24"/>
          <w:szCs w:val="24"/>
          <w:lang w:val="ru-RU"/>
        </w:rPr>
        <w:t>м</w:t>
      </w:r>
      <w:r w:rsidR="00C24358" w:rsidRPr="00C24358">
        <w:rPr>
          <w:rFonts w:asciiTheme="majorHAnsi" w:hAnsiTheme="majorHAnsi" w:cstheme="majorHAnsi"/>
          <w:sz w:val="24"/>
          <w:szCs w:val="24"/>
          <w:lang w:val="ro-MD"/>
        </w:rPr>
        <w:t xml:space="preserve">. </w:t>
      </w:r>
    </w:p>
    <w:p w14:paraId="2FC93DB7" w14:textId="3BA77A05" w:rsidR="00C56368" w:rsidRPr="00B13B9A" w:rsidRDefault="00C24358" w:rsidP="00F25383">
      <w:pPr>
        <w:spacing w:after="0" w:line="276" w:lineRule="auto"/>
        <w:jc w:val="both"/>
        <w:rPr>
          <w:rFonts w:asciiTheme="majorHAnsi" w:hAnsiTheme="majorHAnsi" w:cstheme="majorHAnsi"/>
          <w:sz w:val="24"/>
          <w:szCs w:val="24"/>
          <w:lang w:val="ro-MD"/>
        </w:rPr>
      </w:pPr>
      <w:r w:rsidRPr="00C24358">
        <w:rPr>
          <w:rFonts w:asciiTheme="majorHAnsi" w:hAnsiTheme="majorHAnsi" w:cstheme="majorHAnsi"/>
          <w:sz w:val="24"/>
          <w:szCs w:val="24"/>
          <w:lang w:val="ro-MD"/>
        </w:rPr>
        <w:t>Согласно положениям нормативной базы</w:t>
      </w:r>
      <w:r w:rsidR="00F25383" w:rsidRPr="00B13B9A">
        <w:rPr>
          <w:rStyle w:val="a9"/>
          <w:rFonts w:asciiTheme="majorHAnsi" w:hAnsiTheme="majorHAnsi" w:cstheme="majorHAnsi"/>
          <w:sz w:val="24"/>
          <w:szCs w:val="24"/>
          <w:shd w:val="clear" w:color="auto" w:fill="FFFFFF"/>
          <w:lang w:val="ro-MD"/>
        </w:rPr>
        <w:footnoteReference w:id="14"/>
      </w:r>
      <w:r w:rsidRPr="00C24358">
        <w:rPr>
          <w:rFonts w:asciiTheme="majorHAnsi" w:hAnsiTheme="majorHAnsi" w:cstheme="majorHAnsi"/>
          <w:sz w:val="24"/>
          <w:szCs w:val="24"/>
          <w:lang w:val="ro-MD"/>
        </w:rPr>
        <w:t xml:space="preserve">, процесс разграничения недвижимого имущества </w:t>
      </w:r>
      <w:r w:rsidR="00F25383">
        <w:rPr>
          <w:rFonts w:asciiTheme="majorHAnsi" w:hAnsiTheme="majorHAnsi" w:cstheme="majorHAnsi"/>
          <w:sz w:val="24"/>
          <w:szCs w:val="24"/>
          <w:lang w:val="ru-RU"/>
        </w:rPr>
        <w:t>публич</w:t>
      </w:r>
      <w:r w:rsidRPr="00C24358">
        <w:rPr>
          <w:rFonts w:asciiTheme="majorHAnsi" w:hAnsiTheme="majorHAnsi" w:cstheme="majorHAnsi"/>
          <w:sz w:val="24"/>
          <w:szCs w:val="24"/>
          <w:lang w:val="ro-MD"/>
        </w:rPr>
        <w:t xml:space="preserve">ной собственности завершается регистрацией права собственности </w:t>
      </w:r>
      <w:r w:rsidR="00F25383" w:rsidRPr="00C24358">
        <w:rPr>
          <w:rFonts w:asciiTheme="majorHAnsi" w:hAnsiTheme="majorHAnsi" w:cstheme="majorHAnsi"/>
          <w:sz w:val="24"/>
          <w:szCs w:val="24"/>
          <w:lang w:val="ro-MD"/>
        </w:rPr>
        <w:t xml:space="preserve">на него </w:t>
      </w:r>
      <w:r w:rsidRPr="00C24358">
        <w:rPr>
          <w:rFonts w:asciiTheme="majorHAnsi" w:hAnsiTheme="majorHAnsi" w:cstheme="majorHAnsi"/>
          <w:sz w:val="24"/>
          <w:szCs w:val="24"/>
          <w:lang w:val="ro-MD"/>
        </w:rPr>
        <w:t>и</w:t>
      </w:r>
      <w:r w:rsidR="00F25383">
        <w:rPr>
          <w:rFonts w:asciiTheme="majorHAnsi" w:hAnsiTheme="majorHAnsi" w:cstheme="majorHAnsi"/>
          <w:sz w:val="24"/>
          <w:szCs w:val="24"/>
          <w:lang w:val="ru-RU"/>
        </w:rPr>
        <w:t xml:space="preserve"> </w:t>
      </w:r>
      <w:r w:rsidR="00F25383" w:rsidRPr="00C24358">
        <w:rPr>
          <w:rFonts w:asciiTheme="majorHAnsi" w:hAnsiTheme="majorHAnsi" w:cstheme="majorHAnsi"/>
          <w:sz w:val="24"/>
          <w:szCs w:val="24"/>
          <w:lang w:val="ro-MD"/>
        </w:rPr>
        <w:t>соответств</w:t>
      </w:r>
      <w:r w:rsidR="00F25383">
        <w:rPr>
          <w:rFonts w:asciiTheme="majorHAnsi" w:hAnsiTheme="majorHAnsi" w:cstheme="majorHAnsi"/>
          <w:sz w:val="24"/>
          <w:szCs w:val="24"/>
          <w:lang w:val="ru-RU"/>
        </w:rPr>
        <w:t>ующей</w:t>
      </w:r>
      <w:r w:rsidRPr="00C24358">
        <w:rPr>
          <w:rFonts w:asciiTheme="majorHAnsi" w:hAnsiTheme="majorHAnsi" w:cstheme="majorHAnsi"/>
          <w:sz w:val="24"/>
          <w:szCs w:val="24"/>
          <w:lang w:val="ro-MD"/>
        </w:rPr>
        <w:t xml:space="preserve"> </w:t>
      </w:r>
      <w:r w:rsidR="00F25383">
        <w:rPr>
          <w:rFonts w:asciiTheme="majorHAnsi" w:hAnsiTheme="majorHAnsi" w:cstheme="majorHAnsi"/>
          <w:sz w:val="24"/>
          <w:szCs w:val="24"/>
          <w:lang w:val="ru-RU"/>
        </w:rPr>
        <w:t>сферы</w:t>
      </w:r>
      <w:r w:rsidRPr="00C24358">
        <w:rPr>
          <w:rFonts w:asciiTheme="majorHAnsi" w:hAnsiTheme="majorHAnsi" w:cstheme="majorHAnsi"/>
          <w:sz w:val="24"/>
          <w:szCs w:val="24"/>
          <w:lang w:val="ro-MD"/>
        </w:rPr>
        <w:t xml:space="preserve"> в </w:t>
      </w:r>
      <w:r w:rsidR="00F25383">
        <w:rPr>
          <w:rFonts w:asciiTheme="majorHAnsi" w:hAnsiTheme="majorHAnsi" w:cstheme="majorHAnsi"/>
          <w:sz w:val="24"/>
          <w:szCs w:val="24"/>
          <w:lang w:val="ru-RU"/>
        </w:rPr>
        <w:t>Р</w:t>
      </w:r>
      <w:r w:rsidRPr="00C24358">
        <w:rPr>
          <w:rFonts w:asciiTheme="majorHAnsi" w:hAnsiTheme="majorHAnsi" w:cstheme="majorHAnsi"/>
          <w:sz w:val="24"/>
          <w:szCs w:val="24"/>
          <w:lang w:val="ro-MD"/>
        </w:rPr>
        <w:t xml:space="preserve">еестре недвижимого имущества или в </w:t>
      </w:r>
      <w:r w:rsidR="00F25383">
        <w:rPr>
          <w:rFonts w:asciiTheme="majorHAnsi" w:hAnsiTheme="majorHAnsi" w:cstheme="majorHAnsi"/>
          <w:sz w:val="24"/>
          <w:szCs w:val="24"/>
          <w:lang w:val="ru-RU"/>
        </w:rPr>
        <w:t>Р</w:t>
      </w:r>
      <w:r w:rsidRPr="00C24358">
        <w:rPr>
          <w:rFonts w:asciiTheme="majorHAnsi" w:hAnsiTheme="majorHAnsi" w:cstheme="majorHAnsi"/>
          <w:sz w:val="24"/>
          <w:szCs w:val="24"/>
          <w:lang w:val="ro-MD"/>
        </w:rPr>
        <w:t xml:space="preserve">еестре </w:t>
      </w:r>
      <w:r w:rsidR="00F25383">
        <w:rPr>
          <w:rFonts w:asciiTheme="majorHAnsi" w:hAnsiTheme="majorHAnsi" w:cstheme="majorHAnsi"/>
          <w:sz w:val="24"/>
          <w:szCs w:val="24"/>
          <w:lang w:val="ru-RU"/>
        </w:rPr>
        <w:t>объектов инженерно-</w:t>
      </w:r>
      <w:r w:rsidRPr="00C24358">
        <w:rPr>
          <w:rFonts w:asciiTheme="majorHAnsi" w:hAnsiTheme="majorHAnsi" w:cstheme="majorHAnsi"/>
          <w:sz w:val="24"/>
          <w:szCs w:val="24"/>
          <w:lang w:val="ro-MD"/>
        </w:rPr>
        <w:t>техни</w:t>
      </w:r>
      <w:r w:rsidR="00F25383">
        <w:rPr>
          <w:rFonts w:asciiTheme="majorHAnsi" w:hAnsiTheme="majorHAnsi" w:cstheme="majorHAnsi"/>
          <w:sz w:val="24"/>
          <w:szCs w:val="24"/>
          <w:lang w:val="ru-RU"/>
        </w:rPr>
        <w:t>ческой</w:t>
      </w:r>
      <w:r w:rsidRPr="00C24358">
        <w:rPr>
          <w:rFonts w:asciiTheme="majorHAnsi" w:hAnsiTheme="majorHAnsi" w:cstheme="majorHAnsi"/>
          <w:sz w:val="24"/>
          <w:szCs w:val="24"/>
          <w:lang w:val="ro-MD"/>
        </w:rPr>
        <w:t xml:space="preserve"> инфраструктуры. В этом контексте отмечается, что Министерство здравоохранения и </w:t>
      </w:r>
      <w:r w:rsidR="00F25383">
        <w:rPr>
          <w:rFonts w:asciiTheme="majorHAnsi" w:hAnsiTheme="majorHAnsi" w:cstheme="majorHAnsi"/>
          <w:sz w:val="24"/>
          <w:szCs w:val="24"/>
          <w:lang w:val="ro-MD"/>
        </w:rPr>
        <w:t>ИФП</w:t>
      </w:r>
      <w:r w:rsidRPr="00C24358">
        <w:rPr>
          <w:rFonts w:asciiTheme="majorHAnsi" w:hAnsiTheme="majorHAnsi" w:cstheme="majorHAnsi"/>
          <w:sz w:val="24"/>
          <w:szCs w:val="24"/>
          <w:lang w:val="ro-MD"/>
        </w:rPr>
        <w:t xml:space="preserve"> </w:t>
      </w:r>
      <w:r w:rsidR="00AC00D0">
        <w:rPr>
          <w:rFonts w:asciiTheme="majorHAnsi" w:hAnsiTheme="majorHAnsi" w:cstheme="majorHAnsi"/>
          <w:sz w:val="24"/>
          <w:szCs w:val="24"/>
          <w:lang w:val="ro-MD"/>
        </w:rPr>
        <w:t>„</w:t>
      </w:r>
      <w:r w:rsidR="00AC00D0">
        <w:rPr>
          <w:rFonts w:asciiTheme="majorHAnsi" w:hAnsiTheme="majorHAnsi" w:cs="Calibri Light"/>
          <w:sz w:val="24"/>
          <w:szCs w:val="24"/>
          <w:lang w:val="ru-MD" w:eastAsia="ru-RU"/>
        </w:rPr>
        <w:t>Кирилл Драганюк</w:t>
      </w:r>
      <w:r w:rsidR="00F56EC1">
        <w:rPr>
          <w:rFonts w:asciiTheme="majorHAnsi" w:hAnsiTheme="majorHAnsi" w:cstheme="majorHAnsi"/>
          <w:sz w:val="24"/>
          <w:szCs w:val="24"/>
          <w:lang w:val="ro-MD"/>
        </w:rPr>
        <w:t>”</w:t>
      </w:r>
      <w:r w:rsidRPr="00C24358">
        <w:rPr>
          <w:rFonts w:asciiTheme="majorHAnsi" w:hAnsiTheme="majorHAnsi" w:cstheme="majorHAnsi"/>
          <w:sz w:val="24"/>
          <w:szCs w:val="24"/>
          <w:lang w:val="ro-MD"/>
        </w:rPr>
        <w:t xml:space="preserve"> не обеспечили надлежаще</w:t>
      </w:r>
      <w:r w:rsidR="00F25383">
        <w:rPr>
          <w:rFonts w:asciiTheme="majorHAnsi" w:hAnsiTheme="majorHAnsi" w:cstheme="majorHAnsi"/>
          <w:sz w:val="24"/>
          <w:szCs w:val="24"/>
          <w:lang w:val="ru-RU"/>
        </w:rPr>
        <w:t>е</w:t>
      </w:r>
      <w:r w:rsidRPr="00C24358">
        <w:rPr>
          <w:rFonts w:asciiTheme="majorHAnsi" w:hAnsiTheme="majorHAnsi" w:cstheme="majorHAnsi"/>
          <w:sz w:val="24"/>
          <w:szCs w:val="24"/>
          <w:lang w:val="ro-MD"/>
        </w:rPr>
        <w:t xml:space="preserve"> управлени</w:t>
      </w:r>
      <w:r w:rsidR="00F25383">
        <w:rPr>
          <w:rFonts w:asciiTheme="majorHAnsi" w:hAnsiTheme="majorHAnsi" w:cstheme="majorHAnsi"/>
          <w:sz w:val="24"/>
          <w:szCs w:val="24"/>
          <w:lang w:val="ru-RU"/>
        </w:rPr>
        <w:t>е</w:t>
      </w:r>
      <w:r w:rsidRPr="00C24358">
        <w:rPr>
          <w:rFonts w:asciiTheme="majorHAnsi" w:hAnsiTheme="majorHAnsi" w:cstheme="majorHAnsi"/>
          <w:sz w:val="24"/>
          <w:szCs w:val="24"/>
          <w:lang w:val="ro-MD"/>
        </w:rPr>
        <w:t xml:space="preserve"> </w:t>
      </w:r>
      <w:r w:rsidR="00F25383">
        <w:rPr>
          <w:rFonts w:asciiTheme="majorHAnsi" w:hAnsiTheme="majorHAnsi" w:cstheme="majorHAnsi"/>
          <w:sz w:val="24"/>
          <w:szCs w:val="24"/>
          <w:lang w:val="ru-RU"/>
        </w:rPr>
        <w:t>реализацией</w:t>
      </w:r>
      <w:r w:rsidRPr="00C24358">
        <w:rPr>
          <w:rFonts w:asciiTheme="majorHAnsi" w:hAnsiTheme="majorHAnsi" w:cstheme="majorHAnsi"/>
          <w:sz w:val="24"/>
          <w:szCs w:val="24"/>
          <w:lang w:val="ro-MD"/>
        </w:rPr>
        <w:t xml:space="preserve"> этого процесса, что </w:t>
      </w:r>
      <w:r w:rsidR="00F25383">
        <w:rPr>
          <w:rFonts w:asciiTheme="majorHAnsi" w:hAnsiTheme="majorHAnsi" w:cstheme="majorHAnsi"/>
          <w:sz w:val="24"/>
          <w:szCs w:val="24"/>
          <w:lang w:val="ru-RU"/>
        </w:rPr>
        <w:t>обуслови</w:t>
      </w:r>
      <w:r w:rsidRPr="00C24358">
        <w:rPr>
          <w:rFonts w:asciiTheme="majorHAnsi" w:hAnsiTheme="majorHAnsi" w:cstheme="majorHAnsi"/>
          <w:sz w:val="24"/>
          <w:szCs w:val="24"/>
          <w:lang w:val="ro-MD"/>
        </w:rPr>
        <w:t>ло следующи</w:t>
      </w:r>
      <w:r w:rsidR="00F25383">
        <w:rPr>
          <w:rFonts w:asciiTheme="majorHAnsi" w:hAnsiTheme="majorHAnsi" w:cstheme="majorHAnsi"/>
          <w:sz w:val="24"/>
          <w:szCs w:val="24"/>
          <w:lang w:val="ru-RU"/>
        </w:rPr>
        <w:t>е</w:t>
      </w:r>
      <w:r w:rsidRPr="00C24358">
        <w:rPr>
          <w:rFonts w:asciiTheme="majorHAnsi" w:hAnsiTheme="majorHAnsi" w:cstheme="majorHAnsi"/>
          <w:sz w:val="24"/>
          <w:szCs w:val="24"/>
          <w:lang w:val="ro-MD"/>
        </w:rPr>
        <w:t xml:space="preserve"> ситуаци</w:t>
      </w:r>
      <w:r w:rsidR="00F25383">
        <w:rPr>
          <w:rFonts w:asciiTheme="majorHAnsi" w:hAnsiTheme="majorHAnsi" w:cstheme="majorHAnsi"/>
          <w:sz w:val="24"/>
          <w:szCs w:val="24"/>
          <w:lang w:val="ru-RU"/>
        </w:rPr>
        <w:t>и</w:t>
      </w:r>
      <w:r w:rsidR="00C56368" w:rsidRPr="00B13B9A">
        <w:rPr>
          <w:rFonts w:asciiTheme="majorHAnsi" w:hAnsiTheme="majorHAnsi" w:cstheme="majorHAnsi"/>
          <w:sz w:val="24"/>
          <w:szCs w:val="24"/>
          <w:lang w:val="ro-MD"/>
        </w:rPr>
        <w:t>:</w:t>
      </w:r>
    </w:p>
    <w:p w14:paraId="565152C5" w14:textId="532CF943" w:rsidR="00BF2684" w:rsidRPr="00B13B9A" w:rsidRDefault="00C24358" w:rsidP="00465B80">
      <w:pPr>
        <w:pStyle w:val="ae"/>
        <w:numPr>
          <w:ilvl w:val="3"/>
          <w:numId w:val="11"/>
        </w:numPr>
        <w:shd w:val="clear" w:color="auto" w:fill="FFFFFF"/>
        <w:tabs>
          <w:tab w:val="left" w:pos="851"/>
          <w:tab w:val="left" w:pos="1134"/>
        </w:tabs>
        <w:spacing w:before="0" w:beforeAutospacing="0" w:after="0" w:afterAutospacing="0" w:line="276" w:lineRule="auto"/>
        <w:ind w:left="0" w:firstLine="0"/>
        <w:jc w:val="both"/>
        <w:rPr>
          <w:rFonts w:asciiTheme="majorHAnsi" w:hAnsiTheme="majorHAnsi" w:cstheme="majorHAnsi"/>
          <w:shd w:val="clear" w:color="auto" w:fill="FFFFFF"/>
          <w:lang w:val="ro-MD"/>
        </w:rPr>
      </w:pPr>
      <w:r w:rsidRPr="00C24358">
        <w:rPr>
          <w:rFonts w:asciiTheme="majorHAnsi" w:hAnsiTheme="majorHAnsi" w:cstheme="majorHAnsi"/>
          <w:shd w:val="clear" w:color="auto" w:fill="FFFFFF"/>
          <w:lang w:val="ro-MD"/>
        </w:rPr>
        <w:t>нерегистрация в установленном порядке в Реестре недвижимого имущества 3 зданий (2 функциональных жилых дом</w:t>
      </w:r>
      <w:r w:rsidR="00F25383">
        <w:rPr>
          <w:rFonts w:asciiTheme="majorHAnsi" w:hAnsiTheme="majorHAnsi" w:cstheme="majorHAnsi"/>
          <w:shd w:val="clear" w:color="auto" w:fill="FFFFFF"/>
          <w:lang w:val="ru-RU"/>
        </w:rPr>
        <w:t>ов</w:t>
      </w:r>
      <w:r w:rsidRPr="00C24358">
        <w:rPr>
          <w:rFonts w:asciiTheme="majorHAnsi" w:hAnsiTheme="majorHAnsi" w:cstheme="majorHAnsi"/>
          <w:shd w:val="clear" w:color="auto" w:fill="FFFFFF"/>
          <w:lang w:val="ro-MD"/>
        </w:rPr>
        <w:t xml:space="preserve"> </w:t>
      </w:r>
      <w:r w:rsidR="00F25383">
        <w:rPr>
          <w:rFonts w:asciiTheme="majorHAnsi" w:hAnsiTheme="majorHAnsi" w:cstheme="majorHAnsi"/>
          <w:shd w:val="clear" w:color="auto" w:fill="FFFFFF"/>
          <w:lang w:val="ru-RU"/>
        </w:rPr>
        <w:t>на</w:t>
      </w:r>
      <w:r w:rsidRPr="00C24358">
        <w:rPr>
          <w:rFonts w:asciiTheme="majorHAnsi" w:hAnsiTheme="majorHAnsi" w:cstheme="majorHAnsi"/>
          <w:shd w:val="clear" w:color="auto" w:fill="FFFFFF"/>
          <w:lang w:val="ro-MD"/>
        </w:rPr>
        <w:t xml:space="preserve"> 55 и 30 квартир, и нефункциональную котельную</w:t>
      </w:r>
      <w:r w:rsidR="00F25383">
        <w:rPr>
          <w:rFonts w:asciiTheme="majorHAnsi" w:hAnsiTheme="majorHAnsi" w:cstheme="majorHAnsi"/>
          <w:shd w:val="clear" w:color="auto" w:fill="FFFFFF"/>
          <w:lang w:val="ru-RU"/>
        </w:rPr>
        <w:t>,</w:t>
      </w:r>
      <w:r w:rsidRPr="00C24358">
        <w:rPr>
          <w:rFonts w:asciiTheme="majorHAnsi" w:hAnsiTheme="majorHAnsi" w:cstheme="majorHAnsi"/>
          <w:shd w:val="clear" w:color="auto" w:fill="FFFFFF"/>
          <w:lang w:val="ro-MD"/>
        </w:rPr>
        <w:t xml:space="preserve"> на снос) на сумму 5 792,7 тыс. леев, площадью 1 198,8 </w:t>
      </w:r>
      <w:r w:rsidR="00F25383" w:rsidRPr="00F25383">
        <w:rPr>
          <w:rFonts w:asciiTheme="majorHAnsi" w:hAnsiTheme="majorHAnsi" w:cstheme="majorHAnsi"/>
          <w:shd w:val="clear" w:color="auto" w:fill="FFFFFF"/>
          <w:lang w:val="ro-MD"/>
        </w:rPr>
        <w:t>кв.</w:t>
      </w:r>
      <w:r w:rsidRPr="00C24358">
        <w:rPr>
          <w:rFonts w:asciiTheme="majorHAnsi" w:hAnsiTheme="majorHAnsi" w:cstheme="majorHAnsi"/>
          <w:shd w:val="clear" w:color="auto" w:fill="FFFFFF"/>
          <w:lang w:val="ro-MD"/>
        </w:rPr>
        <w:t>м, на земельных участках, на которых они расположены. Эти функциональные жилые дома зарегистрированы в РНИ под условными номерами</w:t>
      </w:r>
      <w:r w:rsidR="00F25383" w:rsidRPr="00B13B9A">
        <w:rPr>
          <w:rStyle w:val="a9"/>
          <w:rFonts w:asciiTheme="majorHAnsi" w:hAnsiTheme="majorHAnsi" w:cstheme="majorHAnsi"/>
          <w:sz w:val="24"/>
          <w:shd w:val="clear" w:color="auto" w:fill="FFFFFF"/>
          <w:lang w:val="ro-MD"/>
        </w:rPr>
        <w:footnoteReference w:id="15"/>
      </w:r>
      <w:r w:rsidR="001E4DA6" w:rsidRPr="00B13B9A">
        <w:rPr>
          <w:rFonts w:asciiTheme="majorHAnsi" w:hAnsiTheme="majorHAnsi" w:cstheme="majorHAnsi"/>
          <w:shd w:val="clear" w:color="auto" w:fill="FFFFFF"/>
          <w:lang w:val="ro-MD"/>
        </w:rPr>
        <w:t>.</w:t>
      </w:r>
    </w:p>
    <w:p w14:paraId="08E13FBD" w14:textId="27FBB717" w:rsidR="00BF2684" w:rsidRPr="00B13B9A" w:rsidRDefault="00C24358" w:rsidP="00465B80">
      <w:pPr>
        <w:pStyle w:val="ae"/>
        <w:numPr>
          <w:ilvl w:val="0"/>
          <w:numId w:val="11"/>
        </w:numPr>
        <w:shd w:val="clear" w:color="auto" w:fill="FFFFFF"/>
        <w:tabs>
          <w:tab w:val="left" w:pos="851"/>
          <w:tab w:val="left" w:pos="1134"/>
        </w:tabs>
        <w:spacing w:before="0" w:beforeAutospacing="0" w:after="0" w:afterAutospacing="0" w:line="276" w:lineRule="auto"/>
        <w:ind w:left="0" w:firstLine="0"/>
        <w:jc w:val="both"/>
        <w:rPr>
          <w:rFonts w:asciiTheme="majorHAnsi" w:hAnsiTheme="majorHAnsi" w:cstheme="majorHAnsi"/>
          <w:shd w:val="clear" w:color="auto" w:fill="FFFFFF"/>
          <w:lang w:val="ro-MD"/>
        </w:rPr>
      </w:pPr>
      <w:r w:rsidRPr="00C24358">
        <w:rPr>
          <w:rFonts w:asciiTheme="majorHAnsi" w:hAnsiTheme="majorHAnsi" w:cstheme="majorHAnsi"/>
          <w:shd w:val="clear" w:color="auto" w:fill="FFFFFF"/>
          <w:lang w:val="ro-MD"/>
        </w:rPr>
        <w:t xml:space="preserve">идентификация 8 зданий </w:t>
      </w:r>
      <w:r w:rsidR="00F25383">
        <w:rPr>
          <w:rFonts w:asciiTheme="majorHAnsi" w:hAnsiTheme="majorHAnsi" w:cstheme="majorHAnsi"/>
          <w:shd w:val="clear" w:color="auto" w:fill="FFFFFF"/>
          <w:lang w:val="ro-MD"/>
        </w:rPr>
        <w:t>субъекта</w:t>
      </w:r>
      <w:r w:rsidRPr="00C24358">
        <w:rPr>
          <w:rFonts w:asciiTheme="majorHAnsi" w:hAnsiTheme="majorHAnsi" w:cstheme="majorHAnsi"/>
          <w:shd w:val="clear" w:color="auto" w:fill="FFFFFF"/>
          <w:lang w:val="ro-MD"/>
        </w:rPr>
        <w:t xml:space="preserve"> </w:t>
      </w:r>
      <w:r w:rsidR="00F25383">
        <w:rPr>
          <w:rFonts w:asciiTheme="majorHAnsi" w:hAnsiTheme="majorHAnsi" w:cstheme="majorHAnsi"/>
          <w:shd w:val="clear" w:color="auto" w:fill="FFFFFF"/>
          <w:lang w:val="ru-RU"/>
        </w:rPr>
        <w:t xml:space="preserve">со </w:t>
      </w:r>
      <w:r w:rsidRPr="00C24358">
        <w:rPr>
          <w:rFonts w:asciiTheme="majorHAnsi" w:hAnsiTheme="majorHAnsi" w:cstheme="majorHAnsi"/>
          <w:shd w:val="clear" w:color="auto" w:fill="FFFFFF"/>
          <w:lang w:val="ro-MD"/>
        </w:rPr>
        <w:t>стоимост</w:t>
      </w:r>
      <w:r w:rsidR="00F25383">
        <w:rPr>
          <w:rFonts w:asciiTheme="majorHAnsi" w:hAnsiTheme="majorHAnsi" w:cstheme="majorHAnsi"/>
          <w:shd w:val="clear" w:color="auto" w:fill="FFFFFF"/>
          <w:lang w:val="ru-RU"/>
        </w:rPr>
        <w:t>ью,</w:t>
      </w:r>
      <w:r w:rsidRPr="00C24358">
        <w:rPr>
          <w:rFonts w:asciiTheme="majorHAnsi" w:hAnsiTheme="majorHAnsi" w:cstheme="majorHAnsi"/>
          <w:shd w:val="clear" w:color="auto" w:fill="FFFFFF"/>
          <w:lang w:val="ro-MD"/>
        </w:rPr>
        <w:t xml:space="preserve"> </w:t>
      </w:r>
      <w:r w:rsidR="00F25383" w:rsidRPr="00C24358">
        <w:rPr>
          <w:rFonts w:asciiTheme="majorHAnsi" w:hAnsiTheme="majorHAnsi" w:cstheme="majorHAnsi"/>
          <w:shd w:val="clear" w:color="auto" w:fill="FFFFFF"/>
          <w:lang w:val="ro-MD"/>
        </w:rPr>
        <w:t>оцен</w:t>
      </w:r>
      <w:r w:rsidR="00F25383">
        <w:rPr>
          <w:rFonts w:asciiTheme="majorHAnsi" w:hAnsiTheme="majorHAnsi" w:cstheme="majorHAnsi"/>
          <w:shd w:val="clear" w:color="auto" w:fill="FFFFFF"/>
          <w:lang w:val="ru-RU"/>
        </w:rPr>
        <w:t>ен</w:t>
      </w:r>
      <w:r w:rsidR="00F25383" w:rsidRPr="00C24358">
        <w:rPr>
          <w:rFonts w:asciiTheme="majorHAnsi" w:hAnsiTheme="majorHAnsi" w:cstheme="majorHAnsi"/>
          <w:shd w:val="clear" w:color="auto" w:fill="FFFFFF"/>
          <w:lang w:val="ro-MD"/>
        </w:rPr>
        <w:t xml:space="preserve">ной </w:t>
      </w:r>
      <w:r w:rsidRPr="00C24358">
        <w:rPr>
          <w:rFonts w:asciiTheme="majorHAnsi" w:hAnsiTheme="majorHAnsi" w:cstheme="majorHAnsi"/>
          <w:shd w:val="clear" w:color="auto" w:fill="FFFFFF"/>
          <w:lang w:val="ro-MD"/>
        </w:rPr>
        <w:t>аудит</w:t>
      </w:r>
      <w:r w:rsidR="00F25383">
        <w:rPr>
          <w:rFonts w:asciiTheme="majorHAnsi" w:hAnsiTheme="majorHAnsi" w:cstheme="majorHAnsi"/>
          <w:shd w:val="clear" w:color="auto" w:fill="FFFFFF"/>
          <w:lang w:val="ru-RU"/>
        </w:rPr>
        <w:t>ом, около</w:t>
      </w:r>
      <w:r w:rsidRPr="00C24358">
        <w:rPr>
          <w:rFonts w:asciiTheme="majorHAnsi" w:hAnsiTheme="majorHAnsi" w:cstheme="majorHAnsi"/>
          <w:shd w:val="clear" w:color="auto" w:fill="FFFFFF"/>
          <w:lang w:val="ro-MD"/>
        </w:rPr>
        <w:t xml:space="preserve"> 271,0 тыс. леев</w:t>
      </w:r>
      <w:r w:rsidR="00F25383">
        <w:rPr>
          <w:rFonts w:asciiTheme="majorHAnsi" w:hAnsiTheme="majorHAnsi" w:cstheme="majorHAnsi"/>
          <w:shd w:val="clear" w:color="auto" w:fill="FFFFFF"/>
          <w:lang w:val="ru-RU"/>
        </w:rPr>
        <w:t xml:space="preserve"> и</w:t>
      </w:r>
      <w:r w:rsidRPr="00C24358">
        <w:rPr>
          <w:rFonts w:asciiTheme="majorHAnsi" w:hAnsiTheme="majorHAnsi" w:cstheme="majorHAnsi"/>
          <w:shd w:val="clear" w:color="auto" w:fill="FFFFFF"/>
          <w:lang w:val="ro-MD"/>
        </w:rPr>
        <w:t xml:space="preserve"> площадью 590,20 </w:t>
      </w:r>
      <w:r w:rsidR="00F25383">
        <w:rPr>
          <w:rFonts w:asciiTheme="majorHAnsi" w:hAnsiTheme="majorHAnsi" w:cstheme="majorHAnsi"/>
          <w:shd w:val="clear" w:color="auto" w:fill="FFFFFF"/>
          <w:lang w:val="ro-MD"/>
        </w:rPr>
        <w:t>кв.м</w:t>
      </w:r>
      <w:r w:rsidRPr="00C24358">
        <w:rPr>
          <w:rFonts w:asciiTheme="majorHAnsi" w:hAnsiTheme="majorHAnsi" w:cstheme="majorHAnsi"/>
          <w:shd w:val="clear" w:color="auto" w:fill="FFFFFF"/>
          <w:lang w:val="ro-MD"/>
        </w:rPr>
        <w:t xml:space="preserve">, права на которые зарегистрированы в </w:t>
      </w:r>
      <w:r w:rsidR="00104556" w:rsidRPr="00104556">
        <w:rPr>
          <w:rFonts w:asciiTheme="majorHAnsi" w:hAnsiTheme="majorHAnsi" w:cstheme="majorHAnsi"/>
          <w:shd w:val="clear" w:color="auto" w:fill="FFFFFF"/>
          <w:lang w:val="ro-MD"/>
        </w:rPr>
        <w:t>Р</w:t>
      </w:r>
      <w:r w:rsidRPr="00C24358">
        <w:rPr>
          <w:rFonts w:asciiTheme="majorHAnsi" w:hAnsiTheme="majorHAnsi" w:cstheme="majorHAnsi"/>
          <w:shd w:val="clear" w:color="auto" w:fill="FFFFFF"/>
          <w:lang w:val="ro-MD"/>
        </w:rPr>
        <w:t xml:space="preserve">еестре недвижимого имущества как находящиеся </w:t>
      </w:r>
      <w:r w:rsidR="00104556" w:rsidRPr="00104556">
        <w:rPr>
          <w:rFonts w:asciiTheme="majorHAnsi" w:hAnsiTheme="majorHAnsi" w:cstheme="majorHAnsi"/>
          <w:shd w:val="clear" w:color="auto" w:fill="FFFFFF"/>
          <w:lang w:val="ro-MD"/>
        </w:rPr>
        <w:t>в</w:t>
      </w:r>
      <w:r w:rsidRPr="00C24358">
        <w:rPr>
          <w:rFonts w:asciiTheme="majorHAnsi" w:hAnsiTheme="majorHAnsi" w:cstheme="majorHAnsi"/>
          <w:shd w:val="clear" w:color="auto" w:fill="FFFFFF"/>
          <w:lang w:val="ro-MD"/>
        </w:rPr>
        <w:t xml:space="preserve"> управлени</w:t>
      </w:r>
      <w:r w:rsidR="00104556" w:rsidRPr="00104556">
        <w:rPr>
          <w:rFonts w:asciiTheme="majorHAnsi" w:hAnsiTheme="majorHAnsi" w:cstheme="majorHAnsi"/>
          <w:shd w:val="clear" w:color="auto" w:fill="FFFFFF"/>
          <w:lang w:val="ro-MD"/>
        </w:rPr>
        <w:t>и</w:t>
      </w:r>
      <w:r w:rsidRPr="00C24358">
        <w:rPr>
          <w:rFonts w:asciiTheme="majorHAnsi" w:hAnsiTheme="majorHAnsi" w:cstheme="majorHAnsi"/>
          <w:shd w:val="clear" w:color="auto" w:fill="FFFFFF"/>
          <w:lang w:val="ro-MD"/>
        </w:rPr>
        <w:t xml:space="preserve"> </w:t>
      </w:r>
      <w:r w:rsidR="0045040C">
        <w:rPr>
          <w:rFonts w:asciiTheme="majorHAnsi" w:hAnsiTheme="majorHAnsi" w:cstheme="majorHAnsi"/>
          <w:shd w:val="clear" w:color="auto" w:fill="FFFFFF"/>
          <w:lang w:val="ro-MD"/>
        </w:rPr>
        <w:t>ПМСУ ИФП</w:t>
      </w:r>
      <w:r w:rsidRPr="00C24358">
        <w:rPr>
          <w:rFonts w:asciiTheme="majorHAnsi" w:hAnsiTheme="majorHAnsi" w:cstheme="majorHAnsi"/>
          <w:shd w:val="clear" w:color="auto" w:fill="FFFFFF"/>
          <w:lang w:val="ro-MD"/>
        </w:rPr>
        <w:t xml:space="preserve"> </w:t>
      </w:r>
      <w:r w:rsidR="00AC00D0">
        <w:rPr>
          <w:rFonts w:asciiTheme="majorHAnsi" w:hAnsiTheme="majorHAnsi" w:cstheme="majorHAnsi"/>
          <w:shd w:val="clear" w:color="auto" w:fill="FFFFFF"/>
          <w:lang w:val="ro-MD"/>
        </w:rPr>
        <w:t>„</w:t>
      </w:r>
      <w:r w:rsidR="00AC00D0">
        <w:rPr>
          <w:rFonts w:asciiTheme="majorHAnsi" w:hAnsiTheme="majorHAnsi" w:cs="Calibri Light"/>
          <w:lang w:val="ru-MD" w:eastAsia="ru-RU"/>
        </w:rPr>
        <w:t>Кирилл Драганюк</w:t>
      </w:r>
      <w:r w:rsidR="00F56EC1">
        <w:rPr>
          <w:rFonts w:asciiTheme="majorHAnsi" w:hAnsiTheme="majorHAnsi" w:cstheme="majorHAnsi"/>
          <w:shd w:val="clear" w:color="auto" w:fill="FFFFFF"/>
          <w:lang w:val="ro-MD"/>
        </w:rPr>
        <w:t>”</w:t>
      </w:r>
      <w:r w:rsidRPr="00C24358">
        <w:rPr>
          <w:rFonts w:asciiTheme="majorHAnsi" w:hAnsiTheme="majorHAnsi" w:cstheme="majorHAnsi"/>
          <w:shd w:val="clear" w:color="auto" w:fill="FFFFFF"/>
          <w:lang w:val="ro-MD"/>
        </w:rPr>
        <w:t xml:space="preserve">, </w:t>
      </w:r>
      <w:r w:rsidR="00104556" w:rsidRPr="00104556">
        <w:rPr>
          <w:rFonts w:asciiTheme="majorHAnsi" w:hAnsiTheme="majorHAnsi" w:cstheme="majorHAnsi"/>
          <w:shd w:val="clear" w:color="auto" w:fill="FFFFFF"/>
          <w:lang w:val="ro-MD"/>
        </w:rPr>
        <w:t>но</w:t>
      </w:r>
      <w:r w:rsidRPr="00C24358">
        <w:rPr>
          <w:rFonts w:asciiTheme="majorHAnsi" w:hAnsiTheme="majorHAnsi" w:cstheme="majorHAnsi"/>
          <w:shd w:val="clear" w:color="auto" w:fill="FFFFFF"/>
          <w:lang w:val="ro-MD"/>
        </w:rPr>
        <w:t xml:space="preserve"> не зарегистрирован</w:t>
      </w:r>
      <w:r w:rsidR="00104556" w:rsidRPr="00104556">
        <w:rPr>
          <w:rFonts w:asciiTheme="majorHAnsi" w:hAnsiTheme="majorHAnsi" w:cstheme="majorHAnsi"/>
          <w:shd w:val="clear" w:color="auto" w:fill="FFFFFF"/>
          <w:lang w:val="ro-MD"/>
        </w:rPr>
        <w:t>ы</w:t>
      </w:r>
      <w:r w:rsidRPr="00C24358">
        <w:rPr>
          <w:rFonts w:asciiTheme="majorHAnsi" w:hAnsiTheme="majorHAnsi" w:cstheme="majorHAnsi"/>
          <w:shd w:val="clear" w:color="auto" w:fill="FFFFFF"/>
          <w:lang w:val="ro-MD"/>
        </w:rPr>
        <w:t xml:space="preserve"> в бухгалтерском учете </w:t>
      </w:r>
      <w:r w:rsidR="00104556">
        <w:rPr>
          <w:rFonts w:asciiTheme="majorHAnsi" w:hAnsiTheme="majorHAnsi" w:cstheme="majorHAnsi"/>
          <w:shd w:val="clear" w:color="auto" w:fill="FFFFFF"/>
          <w:lang w:val="ro-MD"/>
        </w:rPr>
        <w:t>ПМСУ</w:t>
      </w:r>
      <w:r w:rsidR="00B94D25" w:rsidRPr="00B13B9A">
        <w:rPr>
          <w:rFonts w:asciiTheme="majorHAnsi" w:hAnsiTheme="majorHAnsi" w:cstheme="majorHAnsi"/>
          <w:shd w:val="clear" w:color="auto" w:fill="FFFFFF"/>
          <w:lang w:val="ro-MD"/>
        </w:rPr>
        <w:t>;</w:t>
      </w:r>
    </w:p>
    <w:p w14:paraId="4456E5EA" w14:textId="15D1B5AF" w:rsidR="00BF2684" w:rsidRPr="00B13B9A" w:rsidRDefault="00C24358" w:rsidP="00465B80">
      <w:pPr>
        <w:pStyle w:val="ae"/>
        <w:numPr>
          <w:ilvl w:val="0"/>
          <w:numId w:val="11"/>
        </w:numPr>
        <w:shd w:val="clear" w:color="auto" w:fill="FFFFFF"/>
        <w:tabs>
          <w:tab w:val="left" w:pos="851"/>
          <w:tab w:val="left" w:pos="1134"/>
        </w:tabs>
        <w:spacing w:before="0" w:beforeAutospacing="0" w:after="0" w:afterAutospacing="0" w:line="276" w:lineRule="auto"/>
        <w:ind w:left="0" w:firstLine="0"/>
        <w:jc w:val="both"/>
        <w:rPr>
          <w:rFonts w:asciiTheme="majorHAnsi" w:hAnsiTheme="majorHAnsi" w:cstheme="majorHAnsi"/>
          <w:shd w:val="clear" w:color="auto" w:fill="FFFFFF"/>
          <w:lang w:val="ro-MD"/>
        </w:rPr>
      </w:pPr>
      <w:r w:rsidRPr="00C24358">
        <w:rPr>
          <w:rFonts w:asciiTheme="majorHAnsi" w:hAnsiTheme="majorHAnsi" w:cstheme="majorHAnsi"/>
          <w:shd w:val="clear" w:color="auto" w:fill="FFFFFF"/>
          <w:lang w:val="ro-MD"/>
        </w:rPr>
        <w:t>идентификация в е-</w:t>
      </w:r>
      <w:r w:rsidR="00104556">
        <w:rPr>
          <w:rFonts w:asciiTheme="majorHAnsi" w:hAnsiTheme="majorHAnsi" w:cstheme="majorHAnsi"/>
          <w:shd w:val="clear" w:color="auto" w:fill="FFFFFF"/>
          <w:lang w:val="ru-RU"/>
        </w:rPr>
        <w:t>К</w:t>
      </w:r>
      <w:r w:rsidRPr="00C24358">
        <w:rPr>
          <w:rFonts w:asciiTheme="majorHAnsi" w:hAnsiTheme="majorHAnsi" w:cstheme="majorHAnsi"/>
          <w:shd w:val="clear" w:color="auto" w:fill="FFFFFF"/>
          <w:lang w:val="ro-MD"/>
        </w:rPr>
        <w:t xml:space="preserve">адастр 2 </w:t>
      </w:r>
      <w:r w:rsidR="00104556">
        <w:rPr>
          <w:rFonts w:asciiTheme="majorHAnsi" w:hAnsiTheme="majorHAnsi" w:cstheme="majorHAnsi"/>
          <w:shd w:val="clear" w:color="auto" w:fill="FFFFFF"/>
          <w:lang w:val="ru-RU"/>
        </w:rPr>
        <w:t>объект</w:t>
      </w:r>
      <w:r w:rsidRPr="00C24358">
        <w:rPr>
          <w:rFonts w:asciiTheme="majorHAnsi" w:hAnsiTheme="majorHAnsi" w:cstheme="majorHAnsi"/>
          <w:shd w:val="clear" w:color="auto" w:fill="FFFFFF"/>
          <w:lang w:val="ro-MD"/>
        </w:rPr>
        <w:t xml:space="preserve">ов </w:t>
      </w:r>
      <w:r w:rsidR="00104556" w:rsidRPr="00C24358">
        <w:rPr>
          <w:rFonts w:asciiTheme="majorHAnsi" w:hAnsiTheme="majorHAnsi" w:cstheme="majorHAnsi"/>
          <w:shd w:val="clear" w:color="auto" w:fill="FFFFFF"/>
          <w:lang w:val="ro-MD"/>
        </w:rPr>
        <w:t>стоимост</w:t>
      </w:r>
      <w:r w:rsidR="00104556">
        <w:rPr>
          <w:rFonts w:asciiTheme="majorHAnsi" w:hAnsiTheme="majorHAnsi" w:cstheme="majorHAnsi"/>
          <w:shd w:val="clear" w:color="auto" w:fill="FFFFFF"/>
          <w:lang w:val="ru-RU"/>
        </w:rPr>
        <w:t xml:space="preserve">ью, по </w:t>
      </w:r>
      <w:r w:rsidRPr="00C24358">
        <w:rPr>
          <w:rFonts w:asciiTheme="majorHAnsi" w:hAnsiTheme="majorHAnsi" w:cstheme="majorHAnsi"/>
          <w:shd w:val="clear" w:color="auto" w:fill="FFFFFF"/>
          <w:lang w:val="ro-MD"/>
        </w:rPr>
        <w:t>оцен</w:t>
      </w:r>
      <w:r w:rsidR="00104556">
        <w:rPr>
          <w:rFonts w:asciiTheme="majorHAnsi" w:hAnsiTheme="majorHAnsi" w:cstheme="majorHAnsi"/>
          <w:shd w:val="clear" w:color="auto" w:fill="FFFFFF"/>
          <w:lang w:val="ru-RU"/>
        </w:rPr>
        <w:t xml:space="preserve">кам </w:t>
      </w:r>
      <w:r w:rsidRPr="00C24358">
        <w:rPr>
          <w:rFonts w:asciiTheme="majorHAnsi" w:hAnsiTheme="majorHAnsi" w:cstheme="majorHAnsi"/>
          <w:shd w:val="clear" w:color="auto" w:fill="FFFFFF"/>
          <w:lang w:val="ro-MD"/>
        </w:rPr>
        <w:t>аудит</w:t>
      </w:r>
      <w:r w:rsidR="00104556">
        <w:rPr>
          <w:rFonts w:asciiTheme="majorHAnsi" w:hAnsiTheme="majorHAnsi" w:cstheme="majorHAnsi"/>
          <w:shd w:val="clear" w:color="auto" w:fill="FFFFFF"/>
          <w:lang w:val="ru-RU"/>
        </w:rPr>
        <w:t>а, в</w:t>
      </w:r>
      <w:r w:rsidRPr="00C24358">
        <w:rPr>
          <w:rFonts w:asciiTheme="majorHAnsi" w:hAnsiTheme="majorHAnsi" w:cstheme="majorHAnsi"/>
          <w:shd w:val="clear" w:color="auto" w:fill="FFFFFF"/>
          <w:lang w:val="ro-MD"/>
        </w:rPr>
        <w:t xml:space="preserve"> 133,2 тыс. леев общей площадью 256,0 кв. м., на которые </w:t>
      </w:r>
      <w:r w:rsidR="00104556" w:rsidRPr="00104556">
        <w:rPr>
          <w:rFonts w:asciiTheme="majorHAnsi" w:hAnsiTheme="majorHAnsi" w:cstheme="majorHAnsi"/>
          <w:shd w:val="clear" w:color="auto" w:fill="FFFFFF"/>
          <w:lang w:val="ro-MD"/>
        </w:rPr>
        <w:t>ПМСУ</w:t>
      </w:r>
      <w:r w:rsidRPr="00C24358">
        <w:rPr>
          <w:rFonts w:asciiTheme="majorHAnsi" w:hAnsiTheme="majorHAnsi" w:cstheme="majorHAnsi"/>
          <w:shd w:val="clear" w:color="auto" w:fill="FFFFFF"/>
          <w:lang w:val="ro-MD"/>
        </w:rPr>
        <w:t xml:space="preserve"> не </w:t>
      </w:r>
      <w:r w:rsidR="00104556" w:rsidRPr="00104556">
        <w:rPr>
          <w:rFonts w:asciiTheme="majorHAnsi" w:hAnsiTheme="majorHAnsi" w:cstheme="majorHAnsi"/>
          <w:shd w:val="clear" w:color="auto" w:fill="FFFFFF"/>
          <w:lang w:val="ro-MD"/>
        </w:rPr>
        <w:t>запрашивало</w:t>
      </w:r>
      <w:r w:rsidRPr="00C24358">
        <w:rPr>
          <w:rFonts w:asciiTheme="majorHAnsi" w:hAnsiTheme="majorHAnsi" w:cstheme="majorHAnsi"/>
          <w:shd w:val="clear" w:color="auto" w:fill="FFFFFF"/>
          <w:lang w:val="ro-MD"/>
        </w:rPr>
        <w:t xml:space="preserve"> имущественные права, таким образом</w:t>
      </w:r>
      <w:r w:rsidR="00104556" w:rsidRPr="00104556">
        <w:rPr>
          <w:rFonts w:asciiTheme="majorHAnsi" w:hAnsiTheme="majorHAnsi" w:cstheme="majorHAnsi"/>
          <w:shd w:val="clear" w:color="auto" w:fill="FFFFFF"/>
          <w:lang w:val="ro-MD"/>
        </w:rPr>
        <w:t xml:space="preserve">, права на них </w:t>
      </w:r>
      <w:r w:rsidRPr="00C24358">
        <w:rPr>
          <w:rFonts w:asciiTheme="majorHAnsi" w:hAnsiTheme="majorHAnsi" w:cstheme="majorHAnsi"/>
          <w:shd w:val="clear" w:color="auto" w:fill="FFFFFF"/>
          <w:lang w:val="ro-MD"/>
        </w:rPr>
        <w:t xml:space="preserve">не </w:t>
      </w:r>
      <w:r w:rsidR="00104556" w:rsidRPr="00104556">
        <w:rPr>
          <w:rFonts w:asciiTheme="majorHAnsi" w:hAnsiTheme="majorHAnsi" w:cstheme="majorHAnsi"/>
          <w:shd w:val="clear" w:color="auto" w:fill="FFFFFF"/>
          <w:lang w:val="ro-MD"/>
        </w:rPr>
        <w:t>за</w:t>
      </w:r>
      <w:r w:rsidRPr="00C24358">
        <w:rPr>
          <w:rFonts w:asciiTheme="majorHAnsi" w:hAnsiTheme="majorHAnsi" w:cstheme="majorHAnsi"/>
          <w:shd w:val="clear" w:color="auto" w:fill="FFFFFF"/>
          <w:lang w:val="ro-MD"/>
        </w:rPr>
        <w:t>регистрир</w:t>
      </w:r>
      <w:r w:rsidR="00104556" w:rsidRPr="00104556">
        <w:rPr>
          <w:rFonts w:asciiTheme="majorHAnsi" w:hAnsiTheme="majorHAnsi" w:cstheme="majorHAnsi"/>
          <w:shd w:val="clear" w:color="auto" w:fill="FFFFFF"/>
          <w:lang w:val="ro-MD"/>
        </w:rPr>
        <w:t>ованы</w:t>
      </w:r>
      <w:r w:rsidRPr="00C24358">
        <w:rPr>
          <w:rFonts w:asciiTheme="majorHAnsi" w:hAnsiTheme="majorHAnsi" w:cstheme="majorHAnsi"/>
          <w:shd w:val="clear" w:color="auto" w:fill="FFFFFF"/>
          <w:lang w:val="ro-MD"/>
        </w:rPr>
        <w:t xml:space="preserve"> ни в бухгалтерском учете, ни в </w:t>
      </w:r>
      <w:r w:rsidR="00104556" w:rsidRPr="00104556">
        <w:rPr>
          <w:rFonts w:asciiTheme="majorHAnsi" w:hAnsiTheme="majorHAnsi" w:cstheme="majorHAnsi"/>
          <w:shd w:val="clear" w:color="auto" w:fill="FFFFFF"/>
          <w:lang w:val="ro-MD"/>
        </w:rPr>
        <w:t>РНИ</w:t>
      </w:r>
      <w:r w:rsidR="0081359A" w:rsidRPr="00B13B9A">
        <w:rPr>
          <w:rFonts w:asciiTheme="majorHAnsi" w:hAnsiTheme="majorHAnsi" w:cstheme="majorHAnsi"/>
          <w:shd w:val="clear" w:color="auto" w:fill="FFFFFF"/>
          <w:lang w:val="ro-MD"/>
        </w:rPr>
        <w:t>;</w:t>
      </w:r>
    </w:p>
    <w:p w14:paraId="54BF1AF2" w14:textId="5E0F44FE" w:rsidR="00BF2684" w:rsidRPr="00B13B9A" w:rsidRDefault="00C24358" w:rsidP="00465B80">
      <w:pPr>
        <w:pStyle w:val="ae"/>
        <w:numPr>
          <w:ilvl w:val="0"/>
          <w:numId w:val="11"/>
        </w:numPr>
        <w:shd w:val="clear" w:color="auto" w:fill="FFFFFF"/>
        <w:tabs>
          <w:tab w:val="left" w:pos="851"/>
          <w:tab w:val="left" w:pos="1134"/>
        </w:tabs>
        <w:spacing w:before="0" w:beforeAutospacing="0" w:after="0" w:afterAutospacing="0" w:line="276" w:lineRule="auto"/>
        <w:ind w:left="0" w:firstLine="0"/>
        <w:jc w:val="both"/>
        <w:rPr>
          <w:rFonts w:asciiTheme="majorHAnsi" w:hAnsiTheme="majorHAnsi" w:cstheme="majorHAnsi"/>
          <w:shd w:val="clear" w:color="auto" w:fill="FFFFFF"/>
          <w:lang w:val="ro-MD"/>
        </w:rPr>
      </w:pPr>
      <w:r w:rsidRPr="00C24358">
        <w:rPr>
          <w:rFonts w:asciiTheme="majorHAnsi" w:hAnsiTheme="majorHAnsi" w:cstheme="majorHAnsi"/>
          <w:shd w:val="clear" w:color="auto" w:fill="FFFFFF"/>
          <w:lang w:val="ro-MD"/>
        </w:rPr>
        <w:t xml:space="preserve">ненадлежащая регистрация в бухгалтерском учете </w:t>
      </w:r>
      <w:r w:rsidR="00104556">
        <w:rPr>
          <w:rFonts w:asciiTheme="majorHAnsi" w:hAnsiTheme="majorHAnsi" w:cstheme="majorHAnsi"/>
          <w:shd w:val="clear" w:color="auto" w:fill="FFFFFF"/>
          <w:lang w:val="ru-RU"/>
        </w:rPr>
        <w:t xml:space="preserve">одного </w:t>
      </w:r>
      <w:r w:rsidRPr="00C24358">
        <w:rPr>
          <w:rFonts w:asciiTheme="majorHAnsi" w:hAnsiTheme="majorHAnsi" w:cstheme="majorHAnsi"/>
          <w:shd w:val="clear" w:color="auto" w:fill="FFFFFF"/>
          <w:lang w:val="ro-MD"/>
        </w:rPr>
        <w:t xml:space="preserve">объекта недвижимости, </w:t>
      </w:r>
      <w:r w:rsidR="00104556">
        <w:rPr>
          <w:rFonts w:asciiTheme="majorHAnsi" w:hAnsiTheme="majorHAnsi" w:cstheme="majorHAnsi"/>
          <w:shd w:val="clear" w:color="auto" w:fill="FFFFFF"/>
          <w:lang w:val="ru-RU"/>
        </w:rPr>
        <w:t>Т</w:t>
      </w:r>
      <w:r w:rsidRPr="00C24358">
        <w:rPr>
          <w:rFonts w:asciiTheme="majorHAnsi" w:hAnsiTheme="majorHAnsi" w:cstheme="majorHAnsi"/>
          <w:shd w:val="clear" w:color="auto" w:fill="FFFFFF"/>
          <w:lang w:val="ro-MD"/>
        </w:rPr>
        <w:t xml:space="preserve">рансформаторной станции клиники </w:t>
      </w:r>
      <w:r w:rsidR="00104556">
        <w:rPr>
          <w:rFonts w:asciiTheme="majorHAnsi" w:hAnsiTheme="majorHAnsi" w:cstheme="majorHAnsi"/>
          <w:shd w:val="clear" w:color="auto" w:fill="FFFFFF"/>
          <w:lang w:val="ru-RU"/>
        </w:rPr>
        <w:t xml:space="preserve">с. </w:t>
      </w:r>
      <w:r w:rsidRPr="00C24358">
        <w:rPr>
          <w:rFonts w:asciiTheme="majorHAnsi" w:hAnsiTheme="majorHAnsi" w:cstheme="majorHAnsi"/>
          <w:shd w:val="clear" w:color="auto" w:fill="FFFFFF"/>
          <w:lang w:val="ro-MD"/>
        </w:rPr>
        <w:t xml:space="preserve">Ворничень, стоимостью 43,9 тыс. леев и площадью 46,40 кв. м., </w:t>
      </w:r>
      <w:r w:rsidR="00104556" w:rsidRPr="00104556">
        <w:rPr>
          <w:rFonts w:asciiTheme="majorHAnsi" w:hAnsiTheme="majorHAnsi" w:cstheme="majorHAnsi"/>
          <w:shd w:val="clear" w:color="auto" w:fill="FFFFFF"/>
          <w:lang w:val="ro-MD"/>
        </w:rPr>
        <w:t>при том, что</w:t>
      </w:r>
      <w:r w:rsidRPr="00C24358">
        <w:rPr>
          <w:rFonts w:asciiTheme="majorHAnsi" w:hAnsiTheme="majorHAnsi" w:cstheme="majorHAnsi"/>
          <w:shd w:val="clear" w:color="auto" w:fill="FFFFFF"/>
          <w:lang w:val="ro-MD"/>
        </w:rPr>
        <w:t xml:space="preserve"> права собственности </w:t>
      </w:r>
      <w:r w:rsidR="00104556" w:rsidRPr="00104556">
        <w:rPr>
          <w:rFonts w:asciiTheme="majorHAnsi" w:hAnsiTheme="majorHAnsi" w:cstheme="majorHAnsi"/>
          <w:shd w:val="clear" w:color="auto" w:fill="FFFFFF"/>
          <w:lang w:val="ro-MD"/>
        </w:rPr>
        <w:t xml:space="preserve">на нее </w:t>
      </w:r>
      <w:r w:rsidRPr="00C24358">
        <w:rPr>
          <w:rFonts w:asciiTheme="majorHAnsi" w:hAnsiTheme="majorHAnsi" w:cstheme="majorHAnsi"/>
          <w:shd w:val="clear" w:color="auto" w:fill="FFFFFF"/>
          <w:lang w:val="ro-MD"/>
        </w:rPr>
        <w:t xml:space="preserve">принадлежат </w:t>
      </w:r>
      <w:r w:rsidR="00104556" w:rsidRPr="00104556">
        <w:rPr>
          <w:rFonts w:asciiTheme="majorHAnsi" w:hAnsiTheme="majorHAnsi" w:cstheme="majorHAnsi"/>
          <w:shd w:val="clear" w:color="auto" w:fill="FFFFFF"/>
          <w:lang w:val="ro-MD"/>
        </w:rPr>
        <w:t>ПИК</w:t>
      </w:r>
      <w:r w:rsidRPr="00C24358">
        <w:rPr>
          <w:rFonts w:asciiTheme="majorHAnsi" w:hAnsiTheme="majorHAnsi" w:cstheme="majorHAnsi"/>
          <w:shd w:val="clear" w:color="auto" w:fill="FFFFFF"/>
          <w:lang w:val="ro-MD"/>
        </w:rPr>
        <w:t xml:space="preserve"> </w:t>
      </w:r>
      <w:r w:rsidR="0081359A" w:rsidRPr="00B13B9A">
        <w:rPr>
          <w:rFonts w:asciiTheme="majorHAnsi" w:hAnsiTheme="majorHAnsi" w:cstheme="majorHAnsi"/>
          <w:shd w:val="clear" w:color="auto" w:fill="FFFFFF"/>
          <w:lang w:val="ro-MD"/>
        </w:rPr>
        <w:t>„</w:t>
      </w:r>
      <w:r w:rsidR="00CC2624" w:rsidRPr="00B13B9A">
        <w:rPr>
          <w:rFonts w:asciiTheme="majorHAnsi" w:hAnsiTheme="majorHAnsi" w:cstheme="majorHAnsi"/>
          <w:shd w:val="clear" w:color="auto" w:fill="FFFFFF"/>
          <w:lang w:val="ro-MD"/>
        </w:rPr>
        <w:t>P</w:t>
      </w:r>
      <w:r w:rsidR="00B94D25" w:rsidRPr="00B13B9A">
        <w:rPr>
          <w:rFonts w:asciiTheme="majorHAnsi" w:hAnsiTheme="majorHAnsi" w:cstheme="majorHAnsi"/>
          <w:shd w:val="clear" w:color="auto" w:fill="FFFFFF"/>
          <w:lang w:val="ro-MD"/>
        </w:rPr>
        <w:t>remier Energy Distribution</w:t>
      </w:r>
      <w:r w:rsidR="0081359A" w:rsidRPr="00B13B9A">
        <w:rPr>
          <w:rFonts w:asciiTheme="majorHAnsi" w:hAnsiTheme="majorHAnsi" w:cstheme="majorHAnsi"/>
          <w:shd w:val="clear" w:color="auto" w:fill="FFFFFF"/>
          <w:lang w:val="ro-MD"/>
        </w:rPr>
        <w:t>”</w:t>
      </w:r>
      <w:r w:rsidR="00B94D25" w:rsidRPr="00B13B9A">
        <w:rPr>
          <w:rFonts w:asciiTheme="majorHAnsi" w:hAnsiTheme="majorHAnsi" w:cstheme="majorHAnsi"/>
          <w:shd w:val="clear" w:color="auto" w:fill="FFFFFF"/>
          <w:lang w:val="ro-MD"/>
        </w:rPr>
        <w:t xml:space="preserve"> </w:t>
      </w:r>
      <w:r w:rsidR="00104556">
        <w:rPr>
          <w:rFonts w:asciiTheme="majorHAnsi" w:hAnsiTheme="majorHAnsi" w:cstheme="majorHAnsi"/>
          <w:shd w:val="clear" w:color="auto" w:fill="FFFFFF"/>
          <w:lang w:val="ru-RU"/>
        </w:rPr>
        <w:t>АО</w:t>
      </w:r>
      <w:r w:rsidR="00B94D25" w:rsidRPr="00B13B9A">
        <w:rPr>
          <w:rFonts w:asciiTheme="majorHAnsi" w:hAnsiTheme="majorHAnsi" w:cstheme="majorHAnsi"/>
          <w:shd w:val="clear" w:color="auto" w:fill="FFFFFF"/>
          <w:lang w:val="ro-MD"/>
        </w:rPr>
        <w:t>;</w:t>
      </w:r>
    </w:p>
    <w:p w14:paraId="4279A70E" w14:textId="04D3E6E3" w:rsidR="00BF2684" w:rsidRPr="00B13B9A" w:rsidRDefault="00C24358" w:rsidP="00465B80">
      <w:pPr>
        <w:pStyle w:val="ae"/>
        <w:numPr>
          <w:ilvl w:val="0"/>
          <w:numId w:val="11"/>
        </w:numPr>
        <w:shd w:val="clear" w:color="auto" w:fill="FFFFFF"/>
        <w:tabs>
          <w:tab w:val="left" w:pos="851"/>
          <w:tab w:val="left" w:pos="1134"/>
        </w:tabs>
        <w:spacing w:before="0" w:beforeAutospacing="0" w:after="0" w:afterAutospacing="0" w:line="276" w:lineRule="auto"/>
        <w:ind w:left="0" w:firstLine="0"/>
        <w:jc w:val="both"/>
        <w:rPr>
          <w:rFonts w:asciiTheme="majorHAnsi" w:hAnsiTheme="majorHAnsi" w:cstheme="majorHAnsi"/>
          <w:shd w:val="clear" w:color="auto" w:fill="FFFFFF"/>
          <w:lang w:val="ro-MD"/>
        </w:rPr>
      </w:pPr>
      <w:r w:rsidRPr="00C24358">
        <w:rPr>
          <w:rFonts w:asciiTheme="majorHAnsi" w:hAnsiTheme="majorHAnsi" w:cstheme="majorHAnsi"/>
          <w:shd w:val="clear" w:color="auto" w:fill="FFFFFF"/>
          <w:lang w:val="ro-MD"/>
        </w:rPr>
        <w:t xml:space="preserve">хотя в </w:t>
      </w:r>
      <w:r w:rsidR="00485956" w:rsidRPr="00485956">
        <w:rPr>
          <w:rFonts w:asciiTheme="majorHAnsi" w:hAnsiTheme="majorHAnsi" w:cstheme="majorHAnsi"/>
          <w:shd w:val="clear" w:color="auto" w:fill="FFFFFF"/>
          <w:lang w:val="ro-MD"/>
        </w:rPr>
        <w:t>О</w:t>
      </w:r>
      <w:r w:rsidRPr="00C24358">
        <w:rPr>
          <w:rFonts w:asciiTheme="majorHAnsi" w:hAnsiTheme="majorHAnsi" w:cstheme="majorHAnsi"/>
          <w:shd w:val="clear" w:color="auto" w:fill="FFFFFF"/>
          <w:lang w:val="ro-MD"/>
        </w:rPr>
        <w:t>тчет</w:t>
      </w:r>
      <w:r w:rsidR="00485956" w:rsidRPr="00485956">
        <w:rPr>
          <w:rFonts w:asciiTheme="majorHAnsi" w:hAnsiTheme="majorHAnsi" w:cstheme="majorHAnsi"/>
          <w:shd w:val="clear" w:color="auto" w:fill="FFFFFF"/>
          <w:lang w:val="ro-MD"/>
        </w:rPr>
        <w:t>е</w:t>
      </w:r>
      <w:r w:rsidRPr="00C24358">
        <w:rPr>
          <w:rFonts w:asciiTheme="majorHAnsi" w:hAnsiTheme="majorHAnsi" w:cstheme="majorHAnsi"/>
          <w:shd w:val="clear" w:color="auto" w:fill="FFFFFF"/>
          <w:lang w:val="ro-MD"/>
        </w:rPr>
        <w:t xml:space="preserve"> субъекта о недвижимом имуществе </w:t>
      </w:r>
      <w:r w:rsidR="00485956" w:rsidRPr="00485956">
        <w:rPr>
          <w:rFonts w:asciiTheme="majorHAnsi" w:hAnsiTheme="majorHAnsi" w:cstheme="majorHAnsi"/>
          <w:shd w:val="clear" w:color="auto" w:fill="FFFFFF"/>
          <w:lang w:val="ro-MD"/>
        </w:rPr>
        <w:t>публич</w:t>
      </w:r>
      <w:r w:rsidRPr="00C24358">
        <w:rPr>
          <w:rFonts w:asciiTheme="majorHAnsi" w:hAnsiTheme="majorHAnsi" w:cstheme="majorHAnsi"/>
          <w:shd w:val="clear" w:color="auto" w:fill="FFFFFF"/>
          <w:lang w:val="ro-MD"/>
        </w:rPr>
        <w:t>ной собственности</w:t>
      </w:r>
      <w:r w:rsidR="00485956" w:rsidRPr="00485956">
        <w:rPr>
          <w:rFonts w:asciiTheme="majorHAnsi" w:hAnsiTheme="majorHAnsi" w:cstheme="majorHAnsi"/>
          <w:shd w:val="clear" w:color="auto" w:fill="FFFFFF"/>
          <w:lang w:val="ro-MD"/>
        </w:rPr>
        <w:t xml:space="preserve"> </w:t>
      </w:r>
      <w:r w:rsidR="00485956" w:rsidRPr="00C24358">
        <w:rPr>
          <w:rFonts w:asciiTheme="majorHAnsi" w:hAnsiTheme="majorHAnsi" w:cstheme="majorHAnsi"/>
          <w:shd w:val="clear" w:color="auto" w:fill="FFFFFF"/>
          <w:lang w:val="ro-MD"/>
        </w:rPr>
        <w:t>государств</w:t>
      </w:r>
      <w:r w:rsidR="00485956" w:rsidRPr="00485956">
        <w:rPr>
          <w:rFonts w:asciiTheme="majorHAnsi" w:hAnsiTheme="majorHAnsi" w:cstheme="majorHAnsi"/>
          <w:shd w:val="clear" w:color="auto" w:fill="FFFFFF"/>
          <w:lang w:val="ro-MD"/>
        </w:rPr>
        <w:t>а</w:t>
      </w:r>
      <w:r w:rsidRPr="00C24358">
        <w:rPr>
          <w:rFonts w:asciiTheme="majorHAnsi" w:hAnsiTheme="majorHAnsi" w:cstheme="majorHAnsi"/>
          <w:shd w:val="clear" w:color="auto" w:fill="FFFFFF"/>
          <w:lang w:val="ro-MD"/>
        </w:rPr>
        <w:t xml:space="preserve"> отражаются 2 кадастровых номера</w:t>
      </w:r>
      <w:r w:rsidR="00485956" w:rsidRPr="00B13B9A">
        <w:rPr>
          <w:rStyle w:val="a9"/>
          <w:rFonts w:asciiTheme="majorHAnsi" w:hAnsiTheme="majorHAnsi"/>
          <w:noProof/>
          <w:sz w:val="24"/>
          <w:lang w:val="ro-MD"/>
        </w:rPr>
        <w:footnoteReference w:id="16"/>
      </w:r>
      <w:r w:rsidRPr="00C24358">
        <w:rPr>
          <w:rFonts w:asciiTheme="majorHAnsi" w:hAnsiTheme="majorHAnsi" w:cstheme="majorHAnsi"/>
          <w:shd w:val="clear" w:color="auto" w:fill="FFFFFF"/>
          <w:lang w:val="ro-MD"/>
        </w:rPr>
        <w:t xml:space="preserve">, в </w:t>
      </w:r>
      <w:r w:rsidR="00485956" w:rsidRPr="00485956">
        <w:rPr>
          <w:rFonts w:asciiTheme="majorHAnsi" w:hAnsiTheme="majorHAnsi" w:cstheme="majorHAnsi"/>
          <w:shd w:val="clear" w:color="auto" w:fill="FFFFFF"/>
          <w:lang w:val="ro-MD"/>
        </w:rPr>
        <w:t>Р</w:t>
      </w:r>
      <w:r w:rsidRPr="00C24358">
        <w:rPr>
          <w:rFonts w:asciiTheme="majorHAnsi" w:hAnsiTheme="majorHAnsi" w:cstheme="majorHAnsi"/>
          <w:shd w:val="clear" w:color="auto" w:fill="FFFFFF"/>
          <w:lang w:val="ro-MD"/>
        </w:rPr>
        <w:t>еестре недвижим</w:t>
      </w:r>
      <w:r w:rsidR="00485956">
        <w:rPr>
          <w:rFonts w:asciiTheme="majorHAnsi" w:hAnsiTheme="majorHAnsi" w:cstheme="majorHAnsi"/>
          <w:shd w:val="clear" w:color="auto" w:fill="FFFFFF"/>
          <w:lang w:val="ro-MD"/>
        </w:rPr>
        <w:t>ого имущества их не существует</w:t>
      </w:r>
      <w:r w:rsidR="00BF2684" w:rsidRPr="00B13B9A">
        <w:rPr>
          <w:rFonts w:asciiTheme="majorHAnsi" w:hAnsiTheme="majorHAnsi" w:cstheme="majorHAnsi"/>
          <w:shd w:val="clear" w:color="auto" w:fill="FFFFFF"/>
          <w:lang w:val="ro-MD"/>
        </w:rPr>
        <w:t>;</w:t>
      </w:r>
    </w:p>
    <w:p w14:paraId="500AA890" w14:textId="55487A3B" w:rsidR="00BF2684" w:rsidRPr="00B13B9A" w:rsidRDefault="00465B80" w:rsidP="00465B80">
      <w:pPr>
        <w:pStyle w:val="ae"/>
        <w:numPr>
          <w:ilvl w:val="0"/>
          <w:numId w:val="11"/>
        </w:numPr>
        <w:shd w:val="clear" w:color="auto" w:fill="FFFFFF"/>
        <w:tabs>
          <w:tab w:val="left" w:pos="851"/>
          <w:tab w:val="left" w:pos="1134"/>
        </w:tabs>
        <w:spacing w:before="0" w:beforeAutospacing="0" w:after="0" w:afterAutospacing="0" w:line="276" w:lineRule="auto"/>
        <w:ind w:left="0" w:firstLine="0"/>
        <w:jc w:val="both"/>
        <w:rPr>
          <w:rFonts w:asciiTheme="majorHAnsi" w:hAnsiTheme="majorHAnsi" w:cstheme="majorHAnsi"/>
          <w:shd w:val="clear" w:color="auto" w:fill="FFFFFF"/>
          <w:lang w:val="ro-MD"/>
        </w:rPr>
      </w:pPr>
      <w:r w:rsidRPr="00465B80">
        <w:rPr>
          <w:rFonts w:asciiTheme="majorHAnsi" w:hAnsiTheme="majorHAnsi" w:cstheme="majorHAnsi"/>
          <w:shd w:val="clear" w:color="auto" w:fill="FFFFFF"/>
          <w:lang w:val="ro-MD"/>
        </w:rPr>
        <w:t xml:space="preserve">присвоение </w:t>
      </w:r>
      <w:r w:rsidR="00485956" w:rsidRPr="00465B80">
        <w:rPr>
          <w:rFonts w:asciiTheme="majorHAnsi" w:hAnsiTheme="majorHAnsi" w:cstheme="majorHAnsi"/>
          <w:shd w:val="clear" w:color="auto" w:fill="FFFFFF"/>
          <w:lang w:val="ro-MD"/>
        </w:rPr>
        <w:t>кот</w:t>
      </w:r>
      <w:r w:rsidR="00485956" w:rsidRPr="00485956">
        <w:rPr>
          <w:rFonts w:asciiTheme="majorHAnsi" w:hAnsiTheme="majorHAnsi" w:cstheme="majorHAnsi"/>
          <w:shd w:val="clear" w:color="auto" w:fill="FFFFFF"/>
          <w:lang w:val="ro-MD"/>
        </w:rPr>
        <w:t>ельной</w:t>
      </w:r>
      <w:r w:rsidR="00485956" w:rsidRPr="00465B80">
        <w:rPr>
          <w:rFonts w:asciiTheme="majorHAnsi" w:hAnsiTheme="majorHAnsi" w:cstheme="majorHAnsi"/>
          <w:shd w:val="clear" w:color="auto" w:fill="FFFFFF"/>
          <w:lang w:val="ro-MD"/>
        </w:rPr>
        <w:t xml:space="preserve"> </w:t>
      </w:r>
      <w:r w:rsidRPr="00465B80">
        <w:rPr>
          <w:rFonts w:asciiTheme="majorHAnsi" w:hAnsiTheme="majorHAnsi" w:cstheme="majorHAnsi"/>
          <w:shd w:val="clear" w:color="auto" w:fill="FFFFFF"/>
          <w:lang w:val="ro-MD"/>
        </w:rPr>
        <w:t>ошибочно</w:t>
      </w:r>
      <w:r w:rsidR="00485956" w:rsidRPr="00485956">
        <w:rPr>
          <w:rFonts w:asciiTheme="majorHAnsi" w:hAnsiTheme="majorHAnsi" w:cstheme="majorHAnsi"/>
          <w:shd w:val="clear" w:color="auto" w:fill="FFFFFF"/>
          <w:lang w:val="ro-MD"/>
        </w:rPr>
        <w:t>го</w:t>
      </w:r>
      <w:r w:rsidR="00485956" w:rsidRPr="00B13B9A">
        <w:rPr>
          <w:rStyle w:val="a9"/>
          <w:rFonts w:asciiTheme="majorHAnsi" w:hAnsiTheme="majorHAnsi" w:cstheme="majorHAnsi"/>
          <w:sz w:val="24"/>
          <w:shd w:val="clear" w:color="auto" w:fill="FFFFFF"/>
          <w:lang w:val="ro-MD"/>
        </w:rPr>
        <w:footnoteReference w:id="17"/>
      </w:r>
      <w:r w:rsidRPr="00465B80">
        <w:rPr>
          <w:rFonts w:asciiTheme="majorHAnsi" w:hAnsiTheme="majorHAnsi" w:cstheme="majorHAnsi"/>
          <w:shd w:val="clear" w:color="auto" w:fill="FFFFFF"/>
          <w:lang w:val="ro-MD"/>
        </w:rPr>
        <w:t xml:space="preserve"> кадастрово</w:t>
      </w:r>
      <w:r w:rsidR="00485956" w:rsidRPr="00485956">
        <w:rPr>
          <w:rFonts w:asciiTheme="majorHAnsi" w:hAnsiTheme="majorHAnsi" w:cstheme="majorHAnsi"/>
          <w:shd w:val="clear" w:color="auto" w:fill="FFFFFF"/>
          <w:lang w:val="ro-MD"/>
        </w:rPr>
        <w:t>го</w:t>
      </w:r>
      <w:r w:rsidRPr="00465B80">
        <w:rPr>
          <w:rFonts w:asciiTheme="majorHAnsi" w:hAnsiTheme="majorHAnsi" w:cstheme="majorHAnsi"/>
          <w:shd w:val="clear" w:color="auto" w:fill="FFFFFF"/>
          <w:lang w:val="ro-MD"/>
        </w:rPr>
        <w:t xml:space="preserve"> номер</w:t>
      </w:r>
      <w:r w:rsidR="00485956" w:rsidRPr="00485956">
        <w:rPr>
          <w:rFonts w:asciiTheme="majorHAnsi" w:hAnsiTheme="majorHAnsi" w:cstheme="majorHAnsi"/>
          <w:shd w:val="clear" w:color="auto" w:fill="FFFFFF"/>
          <w:lang w:val="ro-MD"/>
        </w:rPr>
        <w:t>а</w:t>
      </w:r>
      <w:r w:rsidRPr="00465B80">
        <w:rPr>
          <w:rFonts w:asciiTheme="majorHAnsi" w:hAnsiTheme="majorHAnsi" w:cstheme="majorHAnsi"/>
          <w:shd w:val="clear" w:color="auto" w:fill="FFFFFF"/>
          <w:lang w:val="ro-MD"/>
        </w:rPr>
        <w:t xml:space="preserve"> в </w:t>
      </w:r>
      <w:r w:rsidR="00485956" w:rsidRPr="00485956">
        <w:rPr>
          <w:rFonts w:asciiTheme="majorHAnsi" w:hAnsiTheme="majorHAnsi" w:cstheme="majorHAnsi"/>
          <w:shd w:val="clear" w:color="auto" w:fill="FFFFFF"/>
          <w:lang w:val="ro-MD"/>
        </w:rPr>
        <w:t>Отчете</w:t>
      </w:r>
      <w:r w:rsidRPr="00465B80">
        <w:rPr>
          <w:rFonts w:asciiTheme="majorHAnsi" w:hAnsiTheme="majorHAnsi" w:cstheme="majorHAnsi"/>
          <w:shd w:val="clear" w:color="auto" w:fill="FFFFFF"/>
          <w:lang w:val="ro-MD"/>
        </w:rPr>
        <w:t xml:space="preserve"> </w:t>
      </w:r>
      <w:r w:rsidR="00485956" w:rsidRPr="00C24358">
        <w:rPr>
          <w:rFonts w:asciiTheme="majorHAnsi" w:hAnsiTheme="majorHAnsi" w:cstheme="majorHAnsi"/>
          <w:shd w:val="clear" w:color="auto" w:fill="FFFFFF"/>
          <w:lang w:val="ro-MD"/>
        </w:rPr>
        <w:t xml:space="preserve">о недвижимом имуществе </w:t>
      </w:r>
      <w:r w:rsidR="00485956" w:rsidRPr="00485956">
        <w:rPr>
          <w:rFonts w:asciiTheme="majorHAnsi" w:hAnsiTheme="majorHAnsi" w:cstheme="majorHAnsi"/>
          <w:shd w:val="clear" w:color="auto" w:fill="FFFFFF"/>
          <w:lang w:val="ro-MD"/>
        </w:rPr>
        <w:t>публич</w:t>
      </w:r>
      <w:r w:rsidR="00485956" w:rsidRPr="00C24358">
        <w:rPr>
          <w:rFonts w:asciiTheme="majorHAnsi" w:hAnsiTheme="majorHAnsi" w:cstheme="majorHAnsi"/>
          <w:shd w:val="clear" w:color="auto" w:fill="FFFFFF"/>
          <w:lang w:val="ro-MD"/>
        </w:rPr>
        <w:t>ной собственности</w:t>
      </w:r>
      <w:r w:rsidR="00485956" w:rsidRPr="00485956">
        <w:rPr>
          <w:rFonts w:asciiTheme="majorHAnsi" w:hAnsiTheme="majorHAnsi" w:cstheme="majorHAnsi"/>
          <w:shd w:val="clear" w:color="auto" w:fill="FFFFFF"/>
          <w:lang w:val="ro-MD"/>
        </w:rPr>
        <w:t xml:space="preserve"> </w:t>
      </w:r>
      <w:r w:rsidR="00485956" w:rsidRPr="00C24358">
        <w:rPr>
          <w:rFonts w:asciiTheme="majorHAnsi" w:hAnsiTheme="majorHAnsi" w:cstheme="majorHAnsi"/>
          <w:shd w:val="clear" w:color="auto" w:fill="FFFFFF"/>
          <w:lang w:val="ro-MD"/>
        </w:rPr>
        <w:t>государств</w:t>
      </w:r>
      <w:r w:rsidR="00485956" w:rsidRPr="00485956">
        <w:rPr>
          <w:rFonts w:asciiTheme="majorHAnsi" w:hAnsiTheme="majorHAnsi" w:cstheme="majorHAnsi"/>
          <w:shd w:val="clear" w:color="auto" w:fill="FFFFFF"/>
          <w:lang w:val="ro-MD"/>
        </w:rPr>
        <w:t>а</w:t>
      </w:r>
      <w:r w:rsidRPr="00465B80">
        <w:rPr>
          <w:rFonts w:asciiTheme="majorHAnsi" w:hAnsiTheme="majorHAnsi" w:cstheme="majorHAnsi"/>
          <w:shd w:val="clear" w:color="auto" w:fill="FFFFFF"/>
          <w:lang w:val="ro-MD"/>
        </w:rPr>
        <w:t xml:space="preserve">, которая, согласно данным </w:t>
      </w:r>
      <w:r w:rsidR="00485956" w:rsidRPr="00485956">
        <w:rPr>
          <w:rFonts w:asciiTheme="majorHAnsi" w:hAnsiTheme="majorHAnsi" w:cstheme="majorHAnsi"/>
          <w:shd w:val="clear" w:color="auto" w:fill="FFFFFF"/>
          <w:lang w:val="ro-MD"/>
        </w:rPr>
        <w:t>РНИ</w:t>
      </w:r>
      <w:r w:rsidRPr="00465B80">
        <w:rPr>
          <w:rFonts w:asciiTheme="majorHAnsi" w:hAnsiTheme="majorHAnsi" w:cstheme="majorHAnsi"/>
          <w:shd w:val="clear" w:color="auto" w:fill="FFFFFF"/>
          <w:lang w:val="ro-MD"/>
        </w:rPr>
        <w:t xml:space="preserve">, принадлежит </w:t>
      </w:r>
      <w:r w:rsidR="00485956" w:rsidRPr="00485956">
        <w:rPr>
          <w:rFonts w:asciiTheme="majorHAnsi" w:hAnsiTheme="majorHAnsi" w:cstheme="majorHAnsi"/>
          <w:shd w:val="clear" w:color="auto" w:fill="FFFFFF"/>
          <w:lang w:val="ro-MD"/>
        </w:rPr>
        <w:t>одному объекту</w:t>
      </w:r>
      <w:r w:rsidRPr="00465B80">
        <w:rPr>
          <w:rFonts w:asciiTheme="majorHAnsi" w:hAnsiTheme="majorHAnsi" w:cstheme="majorHAnsi"/>
          <w:shd w:val="clear" w:color="auto" w:fill="FFFFFF"/>
          <w:lang w:val="ro-MD"/>
        </w:rPr>
        <w:t xml:space="preserve"> недвижимости, прав</w:t>
      </w:r>
      <w:r w:rsidR="00485956" w:rsidRPr="00485956">
        <w:rPr>
          <w:rFonts w:asciiTheme="majorHAnsi" w:hAnsiTheme="majorHAnsi" w:cstheme="majorHAnsi"/>
          <w:shd w:val="clear" w:color="auto" w:fill="FFFFFF"/>
          <w:lang w:val="ro-MD"/>
        </w:rPr>
        <w:t>ами</w:t>
      </w:r>
      <w:r w:rsidRPr="00465B80">
        <w:rPr>
          <w:rFonts w:asciiTheme="majorHAnsi" w:hAnsiTheme="majorHAnsi" w:cstheme="majorHAnsi"/>
          <w:shd w:val="clear" w:color="auto" w:fill="FFFFFF"/>
          <w:lang w:val="ro-MD"/>
        </w:rPr>
        <w:t xml:space="preserve"> собственности на котор</w:t>
      </w:r>
      <w:r w:rsidR="00485956" w:rsidRPr="00485956">
        <w:rPr>
          <w:rFonts w:asciiTheme="majorHAnsi" w:hAnsiTheme="majorHAnsi" w:cstheme="majorHAnsi"/>
          <w:shd w:val="clear" w:color="auto" w:fill="FFFFFF"/>
          <w:lang w:val="ro-MD"/>
        </w:rPr>
        <w:t>ого</w:t>
      </w:r>
      <w:r w:rsidRPr="00465B80">
        <w:rPr>
          <w:rFonts w:asciiTheme="majorHAnsi" w:hAnsiTheme="majorHAnsi" w:cstheme="majorHAnsi"/>
          <w:shd w:val="clear" w:color="auto" w:fill="FFFFFF"/>
          <w:lang w:val="ro-MD"/>
        </w:rPr>
        <w:t xml:space="preserve"> </w:t>
      </w:r>
      <w:r w:rsidR="00485956">
        <w:rPr>
          <w:rFonts w:asciiTheme="majorHAnsi" w:hAnsiTheme="majorHAnsi" w:cstheme="majorHAnsi"/>
          <w:shd w:val="clear" w:color="auto" w:fill="FFFFFF"/>
          <w:lang w:val="ru-RU"/>
        </w:rPr>
        <w:t>обладает ПИК</w:t>
      </w:r>
      <w:r w:rsidR="00BF2684" w:rsidRPr="00B13B9A">
        <w:rPr>
          <w:rFonts w:asciiTheme="majorHAnsi" w:hAnsiTheme="majorHAnsi" w:cstheme="majorHAnsi"/>
          <w:shd w:val="clear" w:color="auto" w:fill="FFFFFF"/>
          <w:lang w:val="ro-MD"/>
        </w:rPr>
        <w:t xml:space="preserve"> </w:t>
      </w:r>
      <w:r w:rsidR="0081359A" w:rsidRPr="00B13B9A">
        <w:rPr>
          <w:rFonts w:asciiTheme="majorHAnsi" w:hAnsiTheme="majorHAnsi" w:cstheme="majorHAnsi"/>
          <w:shd w:val="clear" w:color="auto" w:fill="FFFFFF"/>
          <w:lang w:val="ro-MD"/>
        </w:rPr>
        <w:t>„</w:t>
      </w:r>
      <w:r w:rsidR="00BF2684" w:rsidRPr="00B13B9A">
        <w:rPr>
          <w:rFonts w:asciiTheme="majorHAnsi" w:hAnsiTheme="majorHAnsi" w:cstheme="majorHAnsi"/>
          <w:shd w:val="clear" w:color="auto" w:fill="FFFFFF"/>
          <w:lang w:val="ro-MD"/>
        </w:rPr>
        <w:t>Premier Energy Distribution</w:t>
      </w:r>
      <w:r w:rsidR="0081359A" w:rsidRPr="00B13B9A">
        <w:rPr>
          <w:rFonts w:asciiTheme="majorHAnsi" w:hAnsiTheme="majorHAnsi" w:cstheme="majorHAnsi"/>
          <w:shd w:val="clear" w:color="auto" w:fill="FFFFFF"/>
          <w:lang w:val="ro-MD"/>
        </w:rPr>
        <w:t>”</w:t>
      </w:r>
      <w:r w:rsidR="00BF2684" w:rsidRPr="00B13B9A">
        <w:rPr>
          <w:rFonts w:asciiTheme="majorHAnsi" w:hAnsiTheme="majorHAnsi" w:cstheme="majorHAnsi"/>
          <w:shd w:val="clear" w:color="auto" w:fill="FFFFFF"/>
          <w:lang w:val="ro-MD"/>
        </w:rPr>
        <w:t xml:space="preserve"> </w:t>
      </w:r>
      <w:r w:rsidR="00485956">
        <w:rPr>
          <w:rFonts w:asciiTheme="majorHAnsi" w:hAnsiTheme="majorHAnsi" w:cstheme="majorHAnsi"/>
          <w:shd w:val="clear" w:color="auto" w:fill="FFFFFF"/>
          <w:lang w:val="ru-RU"/>
        </w:rPr>
        <w:t>АО</w:t>
      </w:r>
      <w:r w:rsidR="00BF2684" w:rsidRPr="00B13B9A">
        <w:rPr>
          <w:rFonts w:asciiTheme="majorHAnsi" w:hAnsiTheme="majorHAnsi" w:cstheme="majorHAnsi"/>
          <w:shd w:val="clear" w:color="auto" w:fill="FFFFFF"/>
          <w:lang w:val="ro-MD"/>
        </w:rPr>
        <w:t>;</w:t>
      </w:r>
    </w:p>
    <w:p w14:paraId="43F18C68" w14:textId="04E72E11" w:rsidR="002F3A86" w:rsidRPr="00B13B9A" w:rsidRDefault="00465B80" w:rsidP="00465B80">
      <w:pPr>
        <w:pStyle w:val="ae"/>
        <w:numPr>
          <w:ilvl w:val="0"/>
          <w:numId w:val="11"/>
        </w:numPr>
        <w:shd w:val="clear" w:color="auto" w:fill="FFFFFF"/>
        <w:tabs>
          <w:tab w:val="left" w:pos="851"/>
          <w:tab w:val="left" w:pos="1134"/>
        </w:tabs>
        <w:spacing w:before="0" w:beforeAutospacing="0" w:after="0" w:afterAutospacing="0" w:line="276" w:lineRule="auto"/>
        <w:ind w:left="0" w:firstLine="0"/>
        <w:jc w:val="both"/>
        <w:rPr>
          <w:rFonts w:asciiTheme="majorHAnsi" w:hAnsiTheme="majorHAnsi" w:cstheme="majorHAnsi"/>
          <w:shd w:val="clear" w:color="auto" w:fill="FFFFFF"/>
          <w:lang w:val="ro-MD"/>
        </w:rPr>
      </w:pPr>
      <w:r w:rsidRPr="00465B80">
        <w:rPr>
          <w:rFonts w:asciiTheme="majorHAnsi" w:hAnsiTheme="majorHAnsi" w:cstheme="majorHAnsi"/>
          <w:shd w:val="clear" w:color="auto" w:fill="FFFFFF"/>
          <w:lang w:val="ro-MD"/>
        </w:rPr>
        <w:t xml:space="preserve">в бухгалтерском учете зарегистрирован </w:t>
      </w:r>
      <w:r w:rsidR="00485956" w:rsidRPr="00465B80">
        <w:rPr>
          <w:rFonts w:asciiTheme="majorHAnsi" w:hAnsiTheme="majorHAnsi" w:cstheme="majorHAnsi"/>
          <w:shd w:val="clear" w:color="auto" w:fill="FFFFFF"/>
          <w:lang w:val="ro-MD"/>
        </w:rPr>
        <w:t>4</w:t>
      </w:r>
      <w:r w:rsidR="00485956">
        <w:rPr>
          <w:rFonts w:asciiTheme="majorHAnsi" w:hAnsiTheme="majorHAnsi" w:cstheme="majorHAnsi"/>
          <w:shd w:val="clear" w:color="auto" w:fill="FFFFFF"/>
          <w:lang w:val="ru-RU"/>
        </w:rPr>
        <w:t>-х</w:t>
      </w:r>
      <w:r w:rsidR="00485956" w:rsidRPr="00465B80">
        <w:rPr>
          <w:rFonts w:asciiTheme="majorHAnsi" w:hAnsiTheme="majorHAnsi" w:cstheme="majorHAnsi"/>
          <w:shd w:val="clear" w:color="auto" w:fill="FFFFFF"/>
          <w:lang w:val="ro-MD"/>
        </w:rPr>
        <w:t>квартир</w:t>
      </w:r>
      <w:r w:rsidR="00485956">
        <w:rPr>
          <w:rFonts w:asciiTheme="majorHAnsi" w:hAnsiTheme="majorHAnsi" w:cstheme="majorHAnsi"/>
          <w:shd w:val="clear" w:color="auto" w:fill="FFFFFF"/>
          <w:lang w:val="ru-RU"/>
        </w:rPr>
        <w:t>ный</w:t>
      </w:r>
      <w:r w:rsidR="00485956" w:rsidRPr="00465B80">
        <w:rPr>
          <w:rFonts w:asciiTheme="majorHAnsi" w:hAnsiTheme="majorHAnsi" w:cstheme="majorHAnsi"/>
          <w:shd w:val="clear" w:color="auto" w:fill="FFFFFF"/>
          <w:lang w:val="ro-MD"/>
        </w:rPr>
        <w:t xml:space="preserve"> </w:t>
      </w:r>
      <w:r w:rsidRPr="00465B80">
        <w:rPr>
          <w:rFonts w:asciiTheme="majorHAnsi" w:hAnsiTheme="majorHAnsi" w:cstheme="majorHAnsi"/>
          <w:shd w:val="clear" w:color="auto" w:fill="FFFFFF"/>
          <w:lang w:val="ro-MD"/>
        </w:rPr>
        <w:t xml:space="preserve">дом на территории </w:t>
      </w:r>
      <w:r w:rsidR="00485956">
        <w:rPr>
          <w:rFonts w:asciiTheme="majorHAnsi" w:hAnsiTheme="majorHAnsi" w:cstheme="majorHAnsi"/>
          <w:shd w:val="clear" w:color="auto" w:fill="FFFFFF"/>
          <w:lang w:val="ru-RU"/>
        </w:rPr>
        <w:t>К</w:t>
      </w:r>
      <w:r w:rsidRPr="00465B80">
        <w:rPr>
          <w:rFonts w:asciiTheme="majorHAnsi" w:hAnsiTheme="majorHAnsi" w:cstheme="majorHAnsi"/>
          <w:shd w:val="clear" w:color="auto" w:fill="FFFFFF"/>
          <w:lang w:val="ro-MD"/>
        </w:rPr>
        <w:t xml:space="preserve">линики Ворничень, стоимостью 136,2 тыс. леев и площадью 356,0 кв. м., </w:t>
      </w:r>
      <w:r w:rsidR="00485956" w:rsidRPr="00485956">
        <w:rPr>
          <w:rFonts w:asciiTheme="majorHAnsi" w:hAnsiTheme="majorHAnsi" w:cstheme="majorHAnsi"/>
          <w:shd w:val="clear" w:color="auto" w:fill="FFFFFF"/>
          <w:lang w:val="ro-MD"/>
        </w:rPr>
        <w:t>а</w:t>
      </w:r>
      <w:r w:rsidRPr="00465B80">
        <w:rPr>
          <w:rFonts w:asciiTheme="majorHAnsi" w:hAnsiTheme="majorHAnsi" w:cstheme="majorHAnsi"/>
          <w:shd w:val="clear" w:color="auto" w:fill="FFFFFF"/>
          <w:lang w:val="ro-MD"/>
        </w:rPr>
        <w:t xml:space="preserve"> в кадастровых органах отсутствуют данные о его площади и стоимости</w:t>
      </w:r>
      <w:r w:rsidR="002F3A86" w:rsidRPr="00B13B9A">
        <w:rPr>
          <w:rFonts w:asciiTheme="majorHAnsi" w:hAnsiTheme="majorHAnsi" w:cstheme="majorHAnsi"/>
          <w:shd w:val="clear" w:color="auto" w:fill="FFFFFF"/>
          <w:lang w:val="ro-MD"/>
        </w:rPr>
        <w:t>.</w:t>
      </w:r>
    </w:p>
    <w:p w14:paraId="24A4416F" w14:textId="5009F121" w:rsidR="002F3A86" w:rsidRPr="00B13B9A" w:rsidRDefault="00465B80" w:rsidP="002F3A86">
      <w:pPr>
        <w:pStyle w:val="ae"/>
        <w:shd w:val="clear" w:color="auto" w:fill="FFFFFF"/>
        <w:tabs>
          <w:tab w:val="left" w:pos="851"/>
          <w:tab w:val="left" w:pos="1134"/>
        </w:tabs>
        <w:spacing w:before="0" w:beforeAutospacing="0" w:after="0" w:afterAutospacing="0" w:line="276" w:lineRule="auto"/>
        <w:jc w:val="both"/>
        <w:rPr>
          <w:rFonts w:asciiTheme="majorHAnsi" w:hAnsiTheme="majorHAnsi" w:cstheme="majorHAnsi"/>
          <w:shd w:val="clear" w:color="auto" w:fill="FFFFFF"/>
          <w:lang w:val="ro-MD"/>
        </w:rPr>
      </w:pPr>
      <w:r w:rsidRPr="00465B80">
        <w:rPr>
          <w:rFonts w:asciiTheme="majorHAnsi" w:hAnsiTheme="majorHAnsi" w:cstheme="majorHAnsi"/>
          <w:shd w:val="clear" w:color="auto" w:fill="FFFFFF"/>
          <w:lang w:val="ro-MD"/>
        </w:rPr>
        <w:t>В этом контексте</w:t>
      </w:r>
      <w:r w:rsidR="00485956">
        <w:rPr>
          <w:rFonts w:asciiTheme="majorHAnsi" w:hAnsiTheme="majorHAnsi" w:cstheme="majorHAnsi"/>
          <w:shd w:val="clear" w:color="auto" w:fill="FFFFFF"/>
          <w:lang w:val="ru-RU"/>
        </w:rPr>
        <w:t>,</w:t>
      </w:r>
      <w:r w:rsidRPr="00465B80">
        <w:rPr>
          <w:rFonts w:asciiTheme="majorHAnsi" w:hAnsiTheme="majorHAnsi" w:cstheme="majorHAnsi"/>
          <w:shd w:val="clear" w:color="auto" w:fill="FFFFFF"/>
          <w:lang w:val="ro-MD"/>
        </w:rPr>
        <w:t xml:space="preserve"> выявленные аудитом несоответствия в </w:t>
      </w:r>
      <w:r w:rsidR="00485956">
        <w:rPr>
          <w:rFonts w:asciiTheme="majorHAnsi" w:hAnsiTheme="majorHAnsi" w:cstheme="majorHAnsi"/>
          <w:shd w:val="clear" w:color="auto" w:fill="FFFFFF"/>
          <w:lang w:val="ru-RU"/>
        </w:rPr>
        <w:t xml:space="preserve">отношении </w:t>
      </w:r>
      <w:r w:rsidRPr="00465B80">
        <w:rPr>
          <w:rFonts w:asciiTheme="majorHAnsi" w:hAnsiTheme="majorHAnsi" w:cstheme="majorHAnsi"/>
          <w:shd w:val="clear" w:color="auto" w:fill="FFFFFF"/>
          <w:lang w:val="ro-MD"/>
        </w:rPr>
        <w:t xml:space="preserve">процедур регистрации и учета недвижимого имущества, принадлежащего </w:t>
      </w:r>
      <w:r w:rsidR="00485956">
        <w:rPr>
          <w:rFonts w:asciiTheme="majorHAnsi" w:hAnsiTheme="majorHAnsi" w:cstheme="majorHAnsi"/>
          <w:shd w:val="clear" w:color="auto" w:fill="FFFFFF"/>
          <w:lang w:val="ru-RU"/>
        </w:rPr>
        <w:t>ПМСУ</w:t>
      </w:r>
      <w:r w:rsidRPr="00465B80">
        <w:rPr>
          <w:rFonts w:asciiTheme="majorHAnsi" w:hAnsiTheme="majorHAnsi" w:cstheme="majorHAnsi"/>
          <w:shd w:val="clear" w:color="auto" w:fill="FFFFFF"/>
          <w:lang w:val="ro-MD"/>
        </w:rPr>
        <w:t xml:space="preserve">, </w:t>
      </w:r>
      <w:r w:rsidR="00485956">
        <w:rPr>
          <w:rFonts w:asciiTheme="majorHAnsi" w:hAnsiTheme="majorHAnsi" w:cstheme="majorHAnsi"/>
          <w:shd w:val="clear" w:color="auto" w:fill="FFFFFF"/>
          <w:lang w:val="ru-RU"/>
        </w:rPr>
        <w:t>указыва</w:t>
      </w:r>
      <w:r w:rsidRPr="00465B80">
        <w:rPr>
          <w:rFonts w:asciiTheme="majorHAnsi" w:hAnsiTheme="majorHAnsi" w:cstheme="majorHAnsi"/>
          <w:shd w:val="clear" w:color="auto" w:fill="FFFFFF"/>
          <w:lang w:val="ro-MD"/>
        </w:rPr>
        <w:t xml:space="preserve">ют </w:t>
      </w:r>
      <w:r w:rsidR="00485956">
        <w:rPr>
          <w:rFonts w:asciiTheme="majorHAnsi" w:hAnsiTheme="majorHAnsi" w:cstheme="majorHAnsi"/>
          <w:shd w:val="clear" w:color="auto" w:fill="FFFFFF"/>
          <w:lang w:val="ru-RU"/>
        </w:rPr>
        <w:t xml:space="preserve">на </w:t>
      </w:r>
      <w:r w:rsidRPr="00465B80">
        <w:rPr>
          <w:rFonts w:asciiTheme="majorHAnsi" w:hAnsiTheme="majorHAnsi" w:cstheme="majorHAnsi"/>
          <w:shd w:val="clear" w:color="auto" w:fill="FFFFFF"/>
          <w:lang w:val="ro-MD"/>
        </w:rPr>
        <w:t xml:space="preserve">недостатки в процессе управления имуществом, а также </w:t>
      </w:r>
      <w:r w:rsidR="00485956">
        <w:rPr>
          <w:rFonts w:asciiTheme="majorHAnsi" w:hAnsiTheme="majorHAnsi" w:cstheme="majorHAnsi"/>
          <w:shd w:val="clear" w:color="auto" w:fill="FFFFFF"/>
          <w:lang w:val="ru-RU"/>
        </w:rPr>
        <w:t xml:space="preserve">на </w:t>
      </w:r>
      <w:r w:rsidRPr="00465B80">
        <w:rPr>
          <w:rFonts w:asciiTheme="majorHAnsi" w:hAnsiTheme="majorHAnsi" w:cstheme="majorHAnsi"/>
          <w:shd w:val="clear" w:color="auto" w:fill="FFFFFF"/>
          <w:lang w:val="ro-MD"/>
        </w:rPr>
        <w:t>не</w:t>
      </w:r>
      <w:r w:rsidR="00485956">
        <w:rPr>
          <w:rFonts w:asciiTheme="majorHAnsi" w:hAnsiTheme="majorHAnsi" w:cstheme="majorHAnsi"/>
          <w:shd w:val="clear" w:color="auto" w:fill="FFFFFF"/>
          <w:lang w:val="ru-RU"/>
        </w:rPr>
        <w:t xml:space="preserve">завершение </w:t>
      </w:r>
      <w:r w:rsidRPr="00465B80">
        <w:rPr>
          <w:rFonts w:asciiTheme="majorHAnsi" w:hAnsiTheme="majorHAnsi" w:cstheme="majorHAnsi"/>
          <w:shd w:val="clear" w:color="auto" w:fill="FFFFFF"/>
          <w:lang w:val="ro-MD"/>
        </w:rPr>
        <w:t xml:space="preserve">разграничения </w:t>
      </w:r>
      <w:r w:rsidR="00485956">
        <w:rPr>
          <w:rFonts w:asciiTheme="majorHAnsi" w:hAnsiTheme="majorHAnsi" w:cstheme="majorHAnsi"/>
          <w:shd w:val="clear" w:color="auto" w:fill="FFFFFF"/>
          <w:lang w:val="ru-RU"/>
        </w:rPr>
        <w:t xml:space="preserve">в установленном порядке </w:t>
      </w:r>
      <w:r w:rsidRPr="00465B80">
        <w:rPr>
          <w:rFonts w:asciiTheme="majorHAnsi" w:hAnsiTheme="majorHAnsi" w:cstheme="majorHAnsi"/>
          <w:shd w:val="clear" w:color="auto" w:fill="FFFFFF"/>
          <w:lang w:val="ro-MD"/>
        </w:rPr>
        <w:t>недвижимого имущества</w:t>
      </w:r>
      <w:r w:rsidR="00485956">
        <w:rPr>
          <w:rFonts w:asciiTheme="majorHAnsi" w:hAnsiTheme="majorHAnsi" w:cstheme="majorHAnsi"/>
          <w:shd w:val="clear" w:color="auto" w:fill="FFFFFF"/>
          <w:lang w:val="ru-RU"/>
        </w:rPr>
        <w:t xml:space="preserve"> публич</w:t>
      </w:r>
      <w:r w:rsidRPr="00465B80">
        <w:rPr>
          <w:rFonts w:asciiTheme="majorHAnsi" w:hAnsiTheme="majorHAnsi" w:cstheme="majorHAnsi"/>
          <w:shd w:val="clear" w:color="auto" w:fill="FFFFFF"/>
          <w:lang w:val="ro-MD"/>
        </w:rPr>
        <w:t>ной собственности, путем регистрации прав собственности, ситуация, обусловленная недостаточностью внутреннего контроля, в том числе путем надлежащего обоснования процессов ежегодно</w:t>
      </w:r>
      <w:r w:rsidR="00C06F7B">
        <w:rPr>
          <w:rFonts w:asciiTheme="majorHAnsi" w:hAnsiTheme="majorHAnsi" w:cstheme="majorHAnsi"/>
          <w:shd w:val="clear" w:color="auto" w:fill="FFFFFF"/>
          <w:lang w:val="ru-RU"/>
        </w:rPr>
        <w:t>й</w:t>
      </w:r>
      <w:r w:rsidRPr="00465B80">
        <w:rPr>
          <w:rFonts w:asciiTheme="majorHAnsi" w:hAnsiTheme="majorHAnsi" w:cstheme="majorHAnsi"/>
          <w:shd w:val="clear" w:color="auto" w:fill="FFFFFF"/>
          <w:lang w:val="ro-MD"/>
        </w:rPr>
        <w:t xml:space="preserve"> инвентаризации. Таким образом, были допущены несоответствия </w:t>
      </w:r>
      <w:r w:rsidR="00C06F7B" w:rsidRPr="00C06F7B">
        <w:rPr>
          <w:rFonts w:asciiTheme="majorHAnsi" w:hAnsiTheme="majorHAnsi" w:cstheme="majorHAnsi"/>
          <w:shd w:val="clear" w:color="auto" w:fill="FFFFFF"/>
          <w:lang w:val="ro-MD"/>
        </w:rPr>
        <w:t xml:space="preserve">в отношении </w:t>
      </w:r>
      <w:r w:rsidRPr="00465B80">
        <w:rPr>
          <w:rFonts w:asciiTheme="majorHAnsi" w:hAnsiTheme="majorHAnsi" w:cstheme="majorHAnsi"/>
          <w:shd w:val="clear" w:color="auto" w:fill="FFFFFF"/>
          <w:lang w:val="ro-MD"/>
        </w:rPr>
        <w:t xml:space="preserve">18 </w:t>
      </w:r>
      <w:r w:rsidR="00C06F7B" w:rsidRPr="00C06F7B">
        <w:rPr>
          <w:rFonts w:asciiTheme="majorHAnsi" w:hAnsiTheme="majorHAnsi" w:cstheme="majorHAnsi"/>
          <w:shd w:val="clear" w:color="auto" w:fill="FFFFFF"/>
          <w:lang w:val="ro-MD"/>
        </w:rPr>
        <w:t>объект</w:t>
      </w:r>
      <w:r w:rsidRPr="00465B80">
        <w:rPr>
          <w:rFonts w:asciiTheme="majorHAnsi" w:hAnsiTheme="majorHAnsi" w:cstheme="majorHAnsi"/>
          <w:shd w:val="clear" w:color="auto" w:fill="FFFFFF"/>
          <w:lang w:val="ro-MD"/>
        </w:rPr>
        <w:t>ов на сумму 6240,7 тыс. леев</w:t>
      </w:r>
      <w:r w:rsidR="002F3A86" w:rsidRPr="00B13B9A">
        <w:rPr>
          <w:rFonts w:asciiTheme="majorHAnsi" w:hAnsiTheme="majorHAnsi" w:cstheme="majorHAnsi"/>
          <w:shd w:val="clear" w:color="auto" w:fill="FFFFFF"/>
          <w:lang w:val="ro-MD"/>
        </w:rPr>
        <w:t>.</w:t>
      </w:r>
    </w:p>
    <w:p w14:paraId="4C6EF605" w14:textId="77777777" w:rsidR="00BF2684" w:rsidRPr="00B13B9A" w:rsidRDefault="00BF2684" w:rsidP="00792BD5">
      <w:pPr>
        <w:spacing w:after="0" w:line="276" w:lineRule="auto"/>
        <w:jc w:val="both"/>
        <w:rPr>
          <w:rFonts w:asciiTheme="majorHAnsi" w:hAnsiTheme="majorHAnsi" w:cstheme="majorHAnsi"/>
          <w:sz w:val="24"/>
          <w:szCs w:val="24"/>
          <w:lang w:val="ro-MD"/>
        </w:rPr>
      </w:pPr>
    </w:p>
    <w:p w14:paraId="57E10E95" w14:textId="194E52F8" w:rsidR="00CC278C" w:rsidRPr="00B0309C" w:rsidRDefault="00465B80" w:rsidP="00465B80">
      <w:pPr>
        <w:pStyle w:val="a7"/>
        <w:numPr>
          <w:ilvl w:val="2"/>
          <w:numId w:val="10"/>
        </w:numPr>
        <w:spacing w:after="0" w:line="276" w:lineRule="auto"/>
        <w:ind w:left="0" w:firstLine="284"/>
        <w:jc w:val="both"/>
        <w:outlineLvl w:val="2"/>
        <w:rPr>
          <w:rFonts w:asciiTheme="majorHAnsi" w:hAnsiTheme="majorHAnsi" w:cstheme="majorHAnsi"/>
          <w:sz w:val="24"/>
          <w:szCs w:val="24"/>
          <w:lang w:val="ro-MD"/>
        </w:rPr>
      </w:pPr>
      <w:bookmarkStart w:id="21" w:name="_Toc158317227"/>
      <w:r w:rsidRPr="00465B80">
        <w:rPr>
          <w:rFonts w:asciiTheme="majorHAnsi" w:hAnsiTheme="majorHAnsi" w:cstheme="majorHAnsi"/>
          <w:b/>
          <w:sz w:val="24"/>
          <w:szCs w:val="24"/>
          <w:lang w:val="ro-MD"/>
        </w:rPr>
        <w:t xml:space="preserve">Субъект не </w:t>
      </w:r>
      <w:r w:rsidR="00C06F7B" w:rsidRPr="00465B80">
        <w:rPr>
          <w:rFonts w:asciiTheme="majorHAnsi" w:hAnsiTheme="majorHAnsi" w:cstheme="majorHAnsi"/>
          <w:b/>
          <w:sz w:val="24"/>
          <w:szCs w:val="24"/>
          <w:lang w:val="ro-MD"/>
        </w:rPr>
        <w:t xml:space="preserve">применил </w:t>
      </w:r>
      <w:r w:rsidR="00C06F7B" w:rsidRPr="00C06F7B">
        <w:rPr>
          <w:rFonts w:asciiTheme="majorHAnsi" w:hAnsiTheme="majorHAnsi" w:cstheme="majorHAnsi"/>
          <w:b/>
          <w:sz w:val="24"/>
          <w:szCs w:val="24"/>
          <w:lang w:val="ro-MD"/>
        </w:rPr>
        <w:t xml:space="preserve">в </w:t>
      </w:r>
      <w:r w:rsidRPr="00465B80">
        <w:rPr>
          <w:rFonts w:asciiTheme="majorHAnsi" w:hAnsiTheme="majorHAnsi" w:cstheme="majorHAnsi"/>
          <w:b/>
          <w:sz w:val="24"/>
          <w:szCs w:val="24"/>
          <w:lang w:val="ro-MD"/>
        </w:rPr>
        <w:t>полно</w:t>
      </w:r>
      <w:r w:rsidR="00C06F7B" w:rsidRPr="00C06F7B">
        <w:rPr>
          <w:rFonts w:asciiTheme="majorHAnsi" w:hAnsiTheme="majorHAnsi" w:cstheme="majorHAnsi"/>
          <w:b/>
          <w:sz w:val="24"/>
          <w:szCs w:val="24"/>
          <w:lang w:val="ro-MD"/>
        </w:rPr>
        <w:t>й мере</w:t>
      </w:r>
      <w:r w:rsidRPr="00465B80">
        <w:rPr>
          <w:rFonts w:asciiTheme="majorHAnsi" w:hAnsiTheme="majorHAnsi" w:cstheme="majorHAnsi"/>
          <w:b/>
          <w:sz w:val="24"/>
          <w:szCs w:val="24"/>
          <w:lang w:val="ro-MD"/>
        </w:rPr>
        <w:t xml:space="preserve"> </w:t>
      </w:r>
      <w:r w:rsidR="00C06F7B" w:rsidRPr="00C06F7B">
        <w:rPr>
          <w:rFonts w:asciiTheme="majorHAnsi" w:hAnsiTheme="majorHAnsi" w:cstheme="majorHAnsi"/>
          <w:b/>
          <w:sz w:val="24"/>
          <w:szCs w:val="24"/>
          <w:lang w:val="ro-MD"/>
        </w:rPr>
        <w:t>нормативные положения о</w:t>
      </w:r>
      <w:r w:rsidRPr="00465B80">
        <w:rPr>
          <w:rFonts w:asciiTheme="majorHAnsi" w:hAnsiTheme="majorHAnsi" w:cstheme="majorHAnsi"/>
          <w:b/>
          <w:sz w:val="24"/>
          <w:szCs w:val="24"/>
          <w:lang w:val="ro-MD"/>
        </w:rPr>
        <w:t xml:space="preserve"> </w:t>
      </w:r>
      <w:r w:rsidR="00C06F7B" w:rsidRPr="00C06F7B">
        <w:rPr>
          <w:rFonts w:asciiTheme="majorHAnsi" w:hAnsiTheme="majorHAnsi" w:cstheme="majorHAnsi"/>
          <w:b/>
          <w:sz w:val="24"/>
          <w:szCs w:val="24"/>
          <w:lang w:val="ro-MD"/>
        </w:rPr>
        <w:t>долгосроч</w:t>
      </w:r>
      <w:r w:rsidRPr="00465B80">
        <w:rPr>
          <w:rFonts w:asciiTheme="majorHAnsi" w:hAnsiTheme="majorHAnsi" w:cstheme="majorHAnsi"/>
          <w:b/>
          <w:sz w:val="24"/>
          <w:szCs w:val="24"/>
          <w:lang w:val="ro-MD"/>
        </w:rPr>
        <w:t>ных актив</w:t>
      </w:r>
      <w:r w:rsidR="00C06F7B" w:rsidRPr="00C06F7B">
        <w:rPr>
          <w:rFonts w:asciiTheme="majorHAnsi" w:hAnsiTheme="majorHAnsi" w:cstheme="majorHAnsi"/>
          <w:b/>
          <w:sz w:val="24"/>
          <w:szCs w:val="24"/>
          <w:lang w:val="ro-MD"/>
        </w:rPr>
        <w:t>ах,</w:t>
      </w:r>
      <w:r w:rsidRPr="00465B80">
        <w:rPr>
          <w:rFonts w:asciiTheme="majorHAnsi" w:hAnsiTheme="majorHAnsi" w:cstheme="majorHAnsi"/>
          <w:b/>
          <w:sz w:val="24"/>
          <w:szCs w:val="24"/>
          <w:lang w:val="ro-MD"/>
        </w:rPr>
        <w:t xml:space="preserve"> </w:t>
      </w:r>
      <w:r w:rsidR="00C06F7B" w:rsidRPr="00465B80">
        <w:rPr>
          <w:rFonts w:asciiTheme="majorHAnsi" w:hAnsiTheme="majorHAnsi" w:cstheme="majorHAnsi"/>
          <w:b/>
          <w:sz w:val="24"/>
          <w:szCs w:val="24"/>
          <w:lang w:val="ro-MD"/>
        </w:rPr>
        <w:t>не</w:t>
      </w:r>
      <w:r w:rsidR="00C06F7B" w:rsidRPr="00C06F7B">
        <w:rPr>
          <w:rFonts w:asciiTheme="majorHAnsi" w:hAnsiTheme="majorHAnsi" w:cstheme="majorHAnsi"/>
          <w:b/>
          <w:sz w:val="24"/>
          <w:szCs w:val="24"/>
          <w:lang w:val="ro-MD"/>
        </w:rPr>
        <w:t xml:space="preserve"> </w:t>
      </w:r>
      <w:r w:rsidR="00C06F7B" w:rsidRPr="00465B80">
        <w:rPr>
          <w:rFonts w:asciiTheme="majorHAnsi" w:hAnsiTheme="majorHAnsi" w:cstheme="majorHAnsi"/>
          <w:b/>
          <w:sz w:val="24"/>
          <w:szCs w:val="24"/>
          <w:lang w:val="ro-MD"/>
        </w:rPr>
        <w:t xml:space="preserve">использованных </w:t>
      </w:r>
      <w:r w:rsidRPr="00465B80">
        <w:rPr>
          <w:rFonts w:asciiTheme="majorHAnsi" w:hAnsiTheme="majorHAnsi" w:cstheme="majorHAnsi"/>
          <w:b/>
          <w:sz w:val="24"/>
          <w:szCs w:val="24"/>
          <w:lang w:val="ro-MD"/>
        </w:rPr>
        <w:t>в операционной деятельности, что может повлиять на стоимость оказанной услуги, а также на не</w:t>
      </w:r>
      <w:r w:rsidR="00C06F7B" w:rsidRPr="00C06F7B">
        <w:rPr>
          <w:rFonts w:asciiTheme="majorHAnsi" w:hAnsiTheme="majorHAnsi" w:cstheme="majorHAnsi"/>
          <w:b/>
          <w:sz w:val="24"/>
          <w:szCs w:val="24"/>
          <w:lang w:val="ro-MD"/>
        </w:rPr>
        <w:t>надлежа</w:t>
      </w:r>
      <w:r w:rsidRPr="00465B80">
        <w:rPr>
          <w:rFonts w:asciiTheme="majorHAnsi" w:hAnsiTheme="majorHAnsi" w:cstheme="majorHAnsi"/>
          <w:b/>
          <w:sz w:val="24"/>
          <w:szCs w:val="24"/>
          <w:lang w:val="ro-MD"/>
        </w:rPr>
        <w:t xml:space="preserve">щее отражение информации/ситуаций </w:t>
      </w:r>
      <w:r w:rsidR="00C06F7B">
        <w:rPr>
          <w:rFonts w:asciiTheme="majorHAnsi" w:hAnsiTheme="majorHAnsi" w:cstheme="majorHAnsi"/>
          <w:b/>
          <w:sz w:val="24"/>
          <w:szCs w:val="24"/>
          <w:lang w:val="ru-RU"/>
        </w:rPr>
        <w:t>в отчетности</w:t>
      </w:r>
      <w:r w:rsidR="00F64F59" w:rsidRPr="00B13B9A">
        <w:rPr>
          <w:rFonts w:asciiTheme="majorHAnsi" w:hAnsiTheme="majorHAnsi" w:cstheme="majorHAnsi"/>
          <w:b/>
          <w:sz w:val="24"/>
          <w:szCs w:val="24"/>
          <w:lang w:val="ro-MD"/>
        </w:rPr>
        <w:t>.</w:t>
      </w:r>
      <w:bookmarkEnd w:id="21"/>
    </w:p>
    <w:p w14:paraId="6FF95220" w14:textId="20E72582" w:rsidR="00E60CF1" w:rsidRPr="00B13B9A" w:rsidRDefault="00465B80" w:rsidP="00E60CF1">
      <w:pPr>
        <w:pStyle w:val="ae"/>
        <w:shd w:val="clear" w:color="auto" w:fill="FFFFFF" w:themeFill="background1"/>
        <w:tabs>
          <w:tab w:val="left" w:pos="284"/>
        </w:tabs>
        <w:spacing w:before="0" w:beforeAutospacing="0" w:after="0" w:afterAutospacing="0" w:line="276" w:lineRule="auto"/>
        <w:jc w:val="both"/>
        <w:textAlignment w:val="baseline"/>
        <w:rPr>
          <w:rFonts w:asciiTheme="majorHAnsi" w:hAnsiTheme="majorHAnsi" w:cstheme="majorHAnsi"/>
          <w:lang w:val="ro-MD"/>
        </w:rPr>
      </w:pPr>
      <w:r w:rsidRPr="00465B80">
        <w:rPr>
          <w:rFonts w:asciiTheme="majorHAnsi" w:hAnsiTheme="majorHAnsi" w:cstheme="majorHAnsi"/>
          <w:lang w:val="ro-MD"/>
        </w:rPr>
        <w:t>Аудит показ</w:t>
      </w:r>
      <w:r w:rsidR="00C06F7B">
        <w:rPr>
          <w:rFonts w:asciiTheme="majorHAnsi" w:hAnsiTheme="majorHAnsi" w:cstheme="majorHAnsi"/>
          <w:lang w:val="ru-RU"/>
        </w:rPr>
        <w:t>ал</w:t>
      </w:r>
      <w:r w:rsidRPr="00465B80">
        <w:rPr>
          <w:rFonts w:asciiTheme="majorHAnsi" w:hAnsiTheme="majorHAnsi" w:cstheme="majorHAnsi"/>
          <w:lang w:val="ro-MD"/>
        </w:rPr>
        <w:t xml:space="preserve">, что из 37 зданий, принадлежащих </w:t>
      </w:r>
      <w:r w:rsidR="00C06F7B">
        <w:rPr>
          <w:rFonts w:asciiTheme="majorHAnsi" w:hAnsiTheme="majorHAnsi" w:cstheme="majorHAnsi"/>
          <w:lang w:val="ro-MD"/>
        </w:rPr>
        <w:t>ПМСУ</w:t>
      </w:r>
      <w:r w:rsidRPr="00465B80">
        <w:rPr>
          <w:rFonts w:asciiTheme="majorHAnsi" w:hAnsiTheme="majorHAnsi" w:cstheme="majorHAnsi"/>
          <w:lang w:val="ro-MD"/>
        </w:rPr>
        <w:t xml:space="preserve">, 22 </w:t>
      </w:r>
      <w:r w:rsidR="00C06F7B">
        <w:rPr>
          <w:rFonts w:asciiTheme="majorHAnsi" w:hAnsiTheme="majorHAnsi" w:cstheme="majorHAnsi"/>
          <w:lang w:val="ru-RU"/>
        </w:rPr>
        <w:t>являются</w:t>
      </w:r>
      <w:r w:rsidRPr="00465B80">
        <w:rPr>
          <w:rFonts w:asciiTheme="majorHAnsi" w:hAnsiTheme="majorHAnsi" w:cstheme="majorHAnsi"/>
          <w:lang w:val="ro-MD"/>
        </w:rPr>
        <w:t xml:space="preserve">, а 15 </w:t>
      </w:r>
      <w:r w:rsidR="00C06F7B">
        <w:rPr>
          <w:rFonts w:asciiTheme="majorHAnsi" w:hAnsiTheme="majorHAnsi" w:cstheme="majorHAnsi"/>
          <w:lang w:val="ru-RU"/>
        </w:rPr>
        <w:t xml:space="preserve">- </w:t>
      </w:r>
      <w:r w:rsidRPr="00465B80">
        <w:rPr>
          <w:rFonts w:asciiTheme="majorHAnsi" w:hAnsiTheme="majorHAnsi" w:cstheme="majorHAnsi"/>
          <w:lang w:val="ro-MD"/>
        </w:rPr>
        <w:t>не</w:t>
      </w:r>
      <w:r w:rsidR="00C06F7B" w:rsidRPr="00465B80">
        <w:rPr>
          <w:rFonts w:asciiTheme="majorHAnsi" w:hAnsiTheme="majorHAnsi" w:cstheme="majorHAnsi"/>
          <w:lang w:val="ro-MD"/>
        </w:rPr>
        <w:t>функцион</w:t>
      </w:r>
      <w:r w:rsidR="00C06F7B">
        <w:rPr>
          <w:rFonts w:asciiTheme="majorHAnsi" w:hAnsiTheme="majorHAnsi" w:cstheme="majorHAnsi"/>
          <w:lang w:val="ru-RU"/>
        </w:rPr>
        <w:t>альными</w:t>
      </w:r>
      <w:r w:rsidRPr="00465B80">
        <w:rPr>
          <w:rFonts w:asciiTheme="majorHAnsi" w:hAnsiTheme="majorHAnsi" w:cstheme="majorHAnsi"/>
          <w:lang w:val="ro-MD"/>
        </w:rPr>
        <w:t xml:space="preserve">, все они расположены в </w:t>
      </w:r>
      <w:r w:rsidR="00C06F7B">
        <w:rPr>
          <w:rFonts w:asciiTheme="majorHAnsi" w:hAnsiTheme="majorHAnsi" w:cstheme="majorHAnsi"/>
          <w:lang w:val="ru-RU"/>
        </w:rPr>
        <w:t>рамках К</w:t>
      </w:r>
      <w:r w:rsidRPr="00465B80">
        <w:rPr>
          <w:rFonts w:asciiTheme="majorHAnsi" w:hAnsiTheme="majorHAnsi" w:cstheme="majorHAnsi"/>
          <w:lang w:val="ro-MD"/>
        </w:rPr>
        <w:t>линик</w:t>
      </w:r>
      <w:r w:rsidR="00C06F7B">
        <w:rPr>
          <w:rFonts w:asciiTheme="majorHAnsi" w:hAnsiTheme="majorHAnsi" w:cstheme="majorHAnsi"/>
          <w:lang w:val="ru-RU"/>
        </w:rPr>
        <w:t>и</w:t>
      </w:r>
      <w:r w:rsidRPr="00465B80">
        <w:rPr>
          <w:rFonts w:asciiTheme="majorHAnsi" w:hAnsiTheme="majorHAnsi" w:cstheme="majorHAnsi"/>
          <w:lang w:val="ro-MD"/>
        </w:rPr>
        <w:t xml:space="preserve"> Ворничень. Для 13 неиспользуемых зданий по-прежнему учитывается износ, который напрямую </w:t>
      </w:r>
      <w:r w:rsidR="00C06F7B">
        <w:rPr>
          <w:rFonts w:asciiTheme="majorHAnsi" w:hAnsiTheme="majorHAnsi" w:cstheme="majorHAnsi"/>
          <w:lang w:val="ru-RU"/>
        </w:rPr>
        <w:t>влия</w:t>
      </w:r>
      <w:r w:rsidRPr="00465B80">
        <w:rPr>
          <w:rFonts w:asciiTheme="majorHAnsi" w:hAnsiTheme="majorHAnsi" w:cstheme="majorHAnsi"/>
          <w:lang w:val="ro-MD"/>
        </w:rPr>
        <w:t xml:space="preserve">ет </w:t>
      </w:r>
      <w:r w:rsidR="00C06F7B">
        <w:rPr>
          <w:rFonts w:asciiTheme="majorHAnsi" w:hAnsiTheme="majorHAnsi" w:cstheme="majorHAnsi"/>
          <w:lang w:val="ru-RU"/>
        </w:rPr>
        <w:t xml:space="preserve">на </w:t>
      </w:r>
      <w:r w:rsidRPr="00465B80">
        <w:rPr>
          <w:rFonts w:asciiTheme="majorHAnsi" w:hAnsiTheme="majorHAnsi" w:cstheme="majorHAnsi"/>
          <w:lang w:val="ro-MD"/>
        </w:rPr>
        <w:t>формировани</w:t>
      </w:r>
      <w:r w:rsidR="00C06F7B">
        <w:rPr>
          <w:rFonts w:asciiTheme="majorHAnsi" w:hAnsiTheme="majorHAnsi" w:cstheme="majorHAnsi"/>
          <w:lang w:val="ru-RU"/>
        </w:rPr>
        <w:t>е</w:t>
      </w:r>
      <w:r w:rsidRPr="00465B80">
        <w:rPr>
          <w:rFonts w:asciiTheme="majorHAnsi" w:hAnsiTheme="majorHAnsi" w:cstheme="majorHAnsi"/>
          <w:lang w:val="ro-MD"/>
        </w:rPr>
        <w:t xml:space="preserve"> стоимости услуг, а 2 здания полностью изношены. Таким образом, сумма износа, </w:t>
      </w:r>
      <w:r w:rsidR="00F27552">
        <w:rPr>
          <w:rFonts w:asciiTheme="majorHAnsi" w:hAnsiTheme="majorHAnsi" w:cstheme="majorHAnsi"/>
          <w:lang w:val="ru-RU"/>
        </w:rPr>
        <w:t>начисляем</w:t>
      </w:r>
      <w:r w:rsidRPr="00465B80">
        <w:rPr>
          <w:rFonts w:asciiTheme="majorHAnsi" w:hAnsiTheme="majorHAnsi" w:cstheme="majorHAnsi"/>
          <w:lang w:val="ro-MD"/>
        </w:rPr>
        <w:t>ая для этих зданий за ауди</w:t>
      </w:r>
      <w:r w:rsidR="00F27552">
        <w:rPr>
          <w:rFonts w:asciiTheme="majorHAnsi" w:hAnsiTheme="majorHAnsi" w:cstheme="majorHAnsi"/>
          <w:lang w:val="ru-RU"/>
        </w:rPr>
        <w:t>руемый</w:t>
      </w:r>
      <w:r w:rsidRPr="00465B80">
        <w:rPr>
          <w:rFonts w:asciiTheme="majorHAnsi" w:hAnsiTheme="majorHAnsi" w:cstheme="majorHAnsi"/>
          <w:lang w:val="ro-MD"/>
        </w:rPr>
        <w:t xml:space="preserve"> период, составила 205,5 тыс. леев</w:t>
      </w:r>
      <w:r w:rsidR="00F27552" w:rsidRPr="00B13B9A">
        <w:rPr>
          <w:rStyle w:val="a9"/>
          <w:rFonts w:asciiTheme="majorHAnsi" w:hAnsiTheme="majorHAnsi" w:cstheme="majorHAnsi"/>
          <w:color w:val="000000" w:themeColor="text1"/>
          <w:sz w:val="24"/>
          <w:lang w:val="ro-MD"/>
        </w:rPr>
        <w:footnoteReference w:id="18"/>
      </w:r>
      <w:r w:rsidRPr="00465B80">
        <w:rPr>
          <w:rFonts w:asciiTheme="majorHAnsi" w:hAnsiTheme="majorHAnsi" w:cstheme="majorHAnsi"/>
          <w:lang w:val="ro-MD"/>
        </w:rPr>
        <w:t>. В то же время</w:t>
      </w:r>
      <w:r w:rsidR="00F27552">
        <w:rPr>
          <w:rFonts w:asciiTheme="majorHAnsi" w:hAnsiTheme="majorHAnsi" w:cstheme="majorHAnsi"/>
          <w:lang w:val="ru-RU"/>
        </w:rPr>
        <w:t>,</w:t>
      </w:r>
      <w:r w:rsidRPr="00465B80">
        <w:rPr>
          <w:rFonts w:asciiTheme="majorHAnsi" w:hAnsiTheme="majorHAnsi" w:cstheme="majorHAnsi"/>
          <w:lang w:val="ro-MD"/>
        </w:rPr>
        <w:t xml:space="preserve"> совокупный общий износ этих зданий, зарегистрированный </w:t>
      </w:r>
      <w:r w:rsidR="00F27552">
        <w:rPr>
          <w:rFonts w:asciiTheme="majorHAnsi" w:hAnsiTheme="majorHAnsi" w:cstheme="majorHAnsi"/>
          <w:lang w:val="ru-RU"/>
        </w:rPr>
        <w:t>по</w:t>
      </w:r>
      <w:r w:rsidRPr="00465B80">
        <w:rPr>
          <w:rFonts w:asciiTheme="majorHAnsi" w:hAnsiTheme="majorHAnsi" w:cstheme="majorHAnsi"/>
          <w:lang w:val="ro-MD"/>
        </w:rPr>
        <w:t xml:space="preserve"> ситуации </w:t>
      </w:r>
      <w:r w:rsidR="00F27552">
        <w:rPr>
          <w:rFonts w:asciiTheme="majorHAnsi" w:hAnsiTheme="majorHAnsi" w:cstheme="majorHAnsi"/>
          <w:lang w:val="ru-RU"/>
        </w:rPr>
        <w:t xml:space="preserve">на </w:t>
      </w:r>
      <w:r w:rsidRPr="00465B80">
        <w:rPr>
          <w:rFonts w:asciiTheme="majorHAnsi" w:hAnsiTheme="majorHAnsi" w:cstheme="majorHAnsi"/>
          <w:lang w:val="ro-MD"/>
        </w:rPr>
        <w:t xml:space="preserve">30.06.2023, составляет 2 565,2 тыс. леев. Следует отметить, что, согласно </w:t>
      </w:r>
      <w:r w:rsidR="00F27552" w:rsidRPr="00F27552">
        <w:rPr>
          <w:rFonts w:asciiTheme="majorHAnsi" w:hAnsiTheme="majorHAnsi" w:cstheme="majorHAnsi"/>
          <w:lang w:val="ro-MD"/>
        </w:rPr>
        <w:t>НСБУ</w:t>
      </w:r>
      <w:r w:rsidRPr="00465B80">
        <w:rPr>
          <w:rFonts w:asciiTheme="majorHAnsi" w:hAnsiTheme="majorHAnsi" w:cstheme="majorHAnsi"/>
          <w:lang w:val="ro-MD"/>
        </w:rPr>
        <w:t xml:space="preserve">, неиспользованные основные средства могут быть </w:t>
      </w:r>
      <w:r w:rsidR="00F27552" w:rsidRPr="00F27552">
        <w:rPr>
          <w:rFonts w:asciiTheme="majorHAnsi" w:hAnsiTheme="majorHAnsi" w:cstheme="majorHAnsi"/>
          <w:lang w:val="ro-MD"/>
        </w:rPr>
        <w:t>законсервирова</w:t>
      </w:r>
      <w:r w:rsidRPr="00465B80">
        <w:rPr>
          <w:rFonts w:asciiTheme="majorHAnsi" w:hAnsiTheme="majorHAnsi" w:cstheme="majorHAnsi"/>
          <w:lang w:val="ro-MD"/>
        </w:rPr>
        <w:t xml:space="preserve">ны, и </w:t>
      </w:r>
      <w:r w:rsidR="00F27552" w:rsidRPr="00F27552">
        <w:rPr>
          <w:rFonts w:asciiTheme="majorHAnsi" w:hAnsiTheme="majorHAnsi" w:cstheme="majorHAnsi"/>
          <w:lang w:val="ro-MD"/>
        </w:rPr>
        <w:t xml:space="preserve">их </w:t>
      </w:r>
      <w:r w:rsidRPr="00465B80">
        <w:rPr>
          <w:rFonts w:asciiTheme="majorHAnsi" w:hAnsiTheme="majorHAnsi" w:cstheme="majorHAnsi"/>
          <w:lang w:val="ro-MD"/>
        </w:rPr>
        <w:t xml:space="preserve">износ продолжает </w:t>
      </w:r>
      <w:r w:rsidR="00F27552" w:rsidRPr="00F27552">
        <w:rPr>
          <w:rFonts w:asciiTheme="majorHAnsi" w:hAnsiTheme="majorHAnsi" w:cstheme="majorHAnsi"/>
          <w:lang w:val="ro-MD"/>
        </w:rPr>
        <w:t>начисля</w:t>
      </w:r>
      <w:r w:rsidRPr="00465B80">
        <w:rPr>
          <w:rFonts w:asciiTheme="majorHAnsi" w:hAnsiTheme="majorHAnsi" w:cstheme="majorHAnsi"/>
          <w:lang w:val="ro-MD"/>
        </w:rPr>
        <w:t xml:space="preserve">ться с </w:t>
      </w:r>
      <w:r w:rsidR="00F27552" w:rsidRPr="00F27552">
        <w:rPr>
          <w:rFonts w:asciiTheme="majorHAnsi" w:hAnsiTheme="majorHAnsi" w:cstheme="majorHAnsi"/>
          <w:lang w:val="ro-MD"/>
        </w:rPr>
        <w:t xml:space="preserve">его отнесением на </w:t>
      </w:r>
      <w:r w:rsidRPr="00465B80">
        <w:rPr>
          <w:rFonts w:asciiTheme="majorHAnsi" w:hAnsiTheme="majorHAnsi" w:cstheme="majorHAnsi"/>
          <w:lang w:val="ro-MD"/>
        </w:rPr>
        <w:t>други</w:t>
      </w:r>
      <w:r w:rsidR="00F27552" w:rsidRPr="00F27552">
        <w:rPr>
          <w:rFonts w:asciiTheme="majorHAnsi" w:hAnsiTheme="majorHAnsi" w:cstheme="majorHAnsi"/>
          <w:lang w:val="ro-MD"/>
        </w:rPr>
        <w:t>е</w:t>
      </w:r>
      <w:r w:rsidRPr="00465B80">
        <w:rPr>
          <w:rFonts w:asciiTheme="majorHAnsi" w:hAnsiTheme="majorHAnsi" w:cstheme="majorHAnsi"/>
          <w:lang w:val="ro-MD"/>
        </w:rPr>
        <w:t xml:space="preserve"> административны</w:t>
      </w:r>
      <w:r w:rsidR="00F27552" w:rsidRPr="00F27552">
        <w:rPr>
          <w:rFonts w:asciiTheme="majorHAnsi" w:hAnsiTheme="majorHAnsi" w:cstheme="majorHAnsi"/>
          <w:lang w:val="ro-MD"/>
        </w:rPr>
        <w:t>е</w:t>
      </w:r>
      <w:r w:rsidRPr="00465B80">
        <w:rPr>
          <w:rFonts w:asciiTheme="majorHAnsi" w:hAnsiTheme="majorHAnsi" w:cstheme="majorHAnsi"/>
          <w:lang w:val="ro-MD"/>
        </w:rPr>
        <w:t xml:space="preserve"> расход</w:t>
      </w:r>
      <w:r w:rsidR="00F27552" w:rsidRPr="00F27552">
        <w:rPr>
          <w:rFonts w:asciiTheme="majorHAnsi" w:hAnsiTheme="majorHAnsi" w:cstheme="majorHAnsi"/>
          <w:lang w:val="ro-MD"/>
        </w:rPr>
        <w:t>ы</w:t>
      </w:r>
      <w:r w:rsidR="00BC4E04" w:rsidRPr="00B13B9A">
        <w:rPr>
          <w:rStyle w:val="a9"/>
          <w:rFonts w:asciiTheme="majorHAnsi" w:hAnsiTheme="majorHAnsi" w:cstheme="majorHAnsi"/>
          <w:sz w:val="24"/>
          <w:lang w:val="ro-MD"/>
        </w:rPr>
        <w:footnoteReference w:id="19"/>
      </w:r>
      <w:r w:rsidR="00E60CF1" w:rsidRPr="00B13B9A">
        <w:rPr>
          <w:rFonts w:asciiTheme="majorHAnsi" w:hAnsiTheme="majorHAnsi" w:cstheme="majorHAnsi"/>
          <w:lang w:val="ro-MD"/>
        </w:rPr>
        <w:t>.</w:t>
      </w:r>
    </w:p>
    <w:p w14:paraId="4AD09A53" w14:textId="0628ADA7" w:rsidR="00D54BEB" w:rsidRPr="00B13B9A" w:rsidRDefault="00465B80" w:rsidP="00D54BEB">
      <w:pPr>
        <w:spacing w:after="0" w:line="276" w:lineRule="auto"/>
        <w:jc w:val="both"/>
        <w:rPr>
          <w:rFonts w:asciiTheme="majorHAnsi" w:hAnsiTheme="majorHAnsi" w:cstheme="majorHAnsi"/>
          <w:color w:val="000000" w:themeColor="text1"/>
          <w:sz w:val="24"/>
          <w:szCs w:val="24"/>
          <w:lang w:val="ro-MD"/>
        </w:rPr>
      </w:pPr>
      <w:r w:rsidRPr="00465B80">
        <w:rPr>
          <w:rFonts w:asciiTheme="majorHAnsi" w:hAnsiTheme="majorHAnsi" w:cstheme="majorHAnsi"/>
          <w:color w:val="000000" w:themeColor="text1"/>
          <w:sz w:val="24"/>
          <w:szCs w:val="24"/>
          <w:lang w:val="ro-MD"/>
        </w:rPr>
        <w:t>Соответственно, аудит отмечает, что, вопреки положениям нормативной базы</w:t>
      </w:r>
      <w:r w:rsidR="00F27552" w:rsidRPr="00B13B9A">
        <w:rPr>
          <w:rStyle w:val="a9"/>
          <w:rFonts w:asciiTheme="majorHAnsi" w:hAnsiTheme="majorHAnsi" w:cstheme="majorHAnsi"/>
          <w:color w:val="000000" w:themeColor="text1"/>
          <w:sz w:val="24"/>
          <w:szCs w:val="24"/>
          <w:lang w:val="ro-MD"/>
        </w:rPr>
        <w:footnoteReference w:id="20"/>
      </w:r>
      <w:r w:rsidRPr="00465B80">
        <w:rPr>
          <w:rFonts w:asciiTheme="majorHAnsi" w:hAnsiTheme="majorHAnsi" w:cstheme="majorHAnsi"/>
          <w:color w:val="000000" w:themeColor="text1"/>
          <w:sz w:val="24"/>
          <w:szCs w:val="24"/>
          <w:lang w:val="ro-MD"/>
        </w:rPr>
        <w:t xml:space="preserve">, </w:t>
      </w:r>
      <w:r w:rsidR="00F27552">
        <w:rPr>
          <w:rFonts w:asciiTheme="majorHAnsi" w:hAnsiTheme="majorHAnsi" w:cstheme="majorHAnsi"/>
          <w:color w:val="000000" w:themeColor="text1"/>
          <w:sz w:val="24"/>
          <w:szCs w:val="24"/>
          <w:lang w:val="ro-MD"/>
        </w:rPr>
        <w:t>субъект</w:t>
      </w:r>
      <w:r w:rsidRPr="00465B80">
        <w:rPr>
          <w:rFonts w:asciiTheme="majorHAnsi" w:hAnsiTheme="majorHAnsi" w:cstheme="majorHAnsi"/>
          <w:color w:val="000000" w:themeColor="text1"/>
          <w:sz w:val="24"/>
          <w:szCs w:val="24"/>
          <w:lang w:val="ro-MD"/>
        </w:rPr>
        <w:t xml:space="preserve"> установил в своей </w:t>
      </w:r>
      <w:r w:rsidR="00F27552" w:rsidRPr="00F27552">
        <w:rPr>
          <w:rFonts w:asciiTheme="majorHAnsi" w:hAnsiTheme="majorHAnsi" w:cstheme="majorHAnsi"/>
          <w:color w:val="000000" w:themeColor="text1"/>
          <w:sz w:val="24"/>
          <w:szCs w:val="24"/>
          <w:lang w:val="ro-MD"/>
        </w:rPr>
        <w:t>У</w:t>
      </w:r>
      <w:r w:rsidRPr="00465B80">
        <w:rPr>
          <w:rFonts w:asciiTheme="majorHAnsi" w:hAnsiTheme="majorHAnsi" w:cstheme="majorHAnsi"/>
          <w:color w:val="000000" w:themeColor="text1"/>
          <w:sz w:val="24"/>
          <w:szCs w:val="24"/>
          <w:lang w:val="ro-MD"/>
        </w:rPr>
        <w:t xml:space="preserve">четной политике </w:t>
      </w:r>
      <w:r w:rsidR="00F27552" w:rsidRPr="00465B80">
        <w:rPr>
          <w:rFonts w:asciiTheme="majorHAnsi" w:hAnsiTheme="majorHAnsi" w:cstheme="majorHAnsi"/>
          <w:color w:val="000000" w:themeColor="text1"/>
          <w:sz w:val="24"/>
          <w:szCs w:val="24"/>
          <w:lang w:val="ro-MD"/>
        </w:rPr>
        <w:t xml:space="preserve">продолжительность </w:t>
      </w:r>
      <w:r w:rsidRPr="00465B80">
        <w:rPr>
          <w:rFonts w:asciiTheme="majorHAnsi" w:hAnsiTheme="majorHAnsi" w:cstheme="majorHAnsi"/>
          <w:color w:val="000000" w:themeColor="text1"/>
          <w:sz w:val="24"/>
          <w:szCs w:val="24"/>
          <w:lang w:val="ro-MD"/>
        </w:rPr>
        <w:t>полезн</w:t>
      </w:r>
      <w:r w:rsidR="00F27552" w:rsidRPr="00F27552">
        <w:rPr>
          <w:rFonts w:asciiTheme="majorHAnsi" w:hAnsiTheme="majorHAnsi" w:cstheme="majorHAnsi"/>
          <w:color w:val="000000" w:themeColor="text1"/>
          <w:sz w:val="24"/>
          <w:szCs w:val="24"/>
          <w:lang w:val="ro-MD"/>
        </w:rPr>
        <w:t>ого</w:t>
      </w:r>
      <w:r w:rsidRPr="00465B80">
        <w:rPr>
          <w:rFonts w:asciiTheme="majorHAnsi" w:hAnsiTheme="majorHAnsi" w:cstheme="majorHAnsi"/>
          <w:color w:val="000000" w:themeColor="text1"/>
          <w:sz w:val="24"/>
          <w:szCs w:val="24"/>
          <w:lang w:val="ro-MD"/>
        </w:rPr>
        <w:t xml:space="preserve"> функцион</w:t>
      </w:r>
      <w:r w:rsidR="00F27552" w:rsidRPr="00F27552">
        <w:rPr>
          <w:rFonts w:asciiTheme="majorHAnsi" w:hAnsiTheme="majorHAnsi" w:cstheme="majorHAnsi"/>
          <w:color w:val="000000" w:themeColor="text1"/>
          <w:sz w:val="24"/>
          <w:szCs w:val="24"/>
          <w:lang w:val="ro-MD"/>
        </w:rPr>
        <w:t>ирования</w:t>
      </w:r>
      <w:r w:rsidRPr="00465B80">
        <w:rPr>
          <w:rFonts w:asciiTheme="majorHAnsi" w:hAnsiTheme="majorHAnsi" w:cstheme="majorHAnsi"/>
          <w:color w:val="000000" w:themeColor="text1"/>
          <w:sz w:val="24"/>
          <w:szCs w:val="24"/>
          <w:lang w:val="ro-MD"/>
        </w:rPr>
        <w:t xml:space="preserve"> </w:t>
      </w:r>
      <w:r w:rsidR="00F27552" w:rsidRPr="00465B80">
        <w:rPr>
          <w:rFonts w:asciiTheme="majorHAnsi" w:hAnsiTheme="majorHAnsi" w:cstheme="majorHAnsi"/>
          <w:color w:val="000000" w:themeColor="text1"/>
          <w:sz w:val="24"/>
          <w:szCs w:val="24"/>
          <w:lang w:val="ro-MD"/>
        </w:rPr>
        <w:t>77</w:t>
      </w:r>
      <w:r w:rsidR="00F27552" w:rsidRPr="00F27552">
        <w:rPr>
          <w:rFonts w:asciiTheme="majorHAnsi" w:hAnsiTheme="majorHAnsi" w:cstheme="majorHAnsi"/>
          <w:color w:val="000000" w:themeColor="text1"/>
          <w:sz w:val="24"/>
          <w:szCs w:val="24"/>
          <w:lang w:val="ro-MD"/>
        </w:rPr>
        <w:t xml:space="preserve"> лет </w:t>
      </w:r>
      <w:r w:rsidRPr="00465B80">
        <w:rPr>
          <w:rFonts w:asciiTheme="majorHAnsi" w:hAnsiTheme="majorHAnsi" w:cstheme="majorHAnsi"/>
          <w:color w:val="000000" w:themeColor="text1"/>
          <w:sz w:val="24"/>
          <w:szCs w:val="24"/>
          <w:lang w:val="ro-MD"/>
        </w:rPr>
        <w:t>для всех объектов недвижимости, не принимая во внимание оста</w:t>
      </w:r>
      <w:r w:rsidR="00F27552" w:rsidRPr="00F27552">
        <w:rPr>
          <w:rFonts w:asciiTheme="majorHAnsi" w:hAnsiTheme="majorHAnsi" w:cstheme="majorHAnsi"/>
          <w:color w:val="000000" w:themeColor="text1"/>
          <w:sz w:val="24"/>
          <w:szCs w:val="24"/>
          <w:lang w:val="ro-MD"/>
        </w:rPr>
        <w:t>точный</w:t>
      </w:r>
      <w:r w:rsidRPr="00465B80">
        <w:rPr>
          <w:rFonts w:asciiTheme="majorHAnsi" w:hAnsiTheme="majorHAnsi" w:cstheme="majorHAnsi"/>
          <w:color w:val="000000" w:themeColor="text1"/>
          <w:sz w:val="24"/>
          <w:szCs w:val="24"/>
          <w:lang w:val="ro-MD"/>
        </w:rPr>
        <w:t xml:space="preserve"> срок полезно</w:t>
      </w:r>
      <w:r w:rsidR="00F27552" w:rsidRPr="00F27552">
        <w:rPr>
          <w:rFonts w:asciiTheme="majorHAnsi" w:hAnsiTheme="majorHAnsi" w:cstheme="majorHAnsi"/>
          <w:color w:val="000000" w:themeColor="text1"/>
          <w:sz w:val="24"/>
          <w:szCs w:val="24"/>
          <w:lang w:val="ro-MD"/>
        </w:rPr>
        <w:t>го</w:t>
      </w:r>
      <w:r w:rsidRPr="00465B80">
        <w:rPr>
          <w:rFonts w:asciiTheme="majorHAnsi" w:hAnsiTheme="majorHAnsi" w:cstheme="majorHAnsi"/>
          <w:color w:val="000000" w:themeColor="text1"/>
          <w:sz w:val="24"/>
          <w:szCs w:val="24"/>
          <w:lang w:val="ro-MD"/>
        </w:rPr>
        <w:t xml:space="preserve"> </w:t>
      </w:r>
      <w:r w:rsidR="00F27552" w:rsidRPr="00F27552">
        <w:rPr>
          <w:rFonts w:asciiTheme="majorHAnsi" w:hAnsiTheme="majorHAnsi" w:cstheme="majorHAnsi"/>
          <w:color w:val="000000" w:themeColor="text1"/>
          <w:sz w:val="24"/>
          <w:szCs w:val="24"/>
          <w:lang w:val="ro-MD"/>
        </w:rPr>
        <w:t>использования</w:t>
      </w:r>
      <w:r w:rsidRPr="00465B80">
        <w:rPr>
          <w:rFonts w:asciiTheme="majorHAnsi" w:hAnsiTheme="majorHAnsi" w:cstheme="majorHAnsi"/>
          <w:color w:val="000000" w:themeColor="text1"/>
          <w:sz w:val="24"/>
          <w:szCs w:val="24"/>
          <w:lang w:val="ro-MD"/>
        </w:rPr>
        <w:t xml:space="preserve"> зданий и их </w:t>
      </w:r>
      <w:r w:rsidR="00F27552" w:rsidRPr="00F27552">
        <w:rPr>
          <w:rFonts w:asciiTheme="majorHAnsi" w:hAnsiTheme="majorHAnsi" w:cstheme="majorHAnsi"/>
          <w:color w:val="000000" w:themeColor="text1"/>
          <w:sz w:val="24"/>
          <w:szCs w:val="24"/>
          <w:lang w:val="ro-MD"/>
        </w:rPr>
        <w:t>фактическое</w:t>
      </w:r>
      <w:r w:rsidRPr="00465B80">
        <w:rPr>
          <w:rFonts w:asciiTheme="majorHAnsi" w:hAnsiTheme="majorHAnsi" w:cstheme="majorHAnsi"/>
          <w:color w:val="000000" w:themeColor="text1"/>
          <w:sz w:val="24"/>
          <w:szCs w:val="24"/>
          <w:lang w:val="ro-MD"/>
        </w:rPr>
        <w:t xml:space="preserve"> физическое состояние, что привело к не</w:t>
      </w:r>
      <w:r w:rsidR="00F27552" w:rsidRPr="00F27552">
        <w:rPr>
          <w:rFonts w:asciiTheme="majorHAnsi" w:hAnsiTheme="majorHAnsi" w:cstheme="majorHAnsi"/>
          <w:color w:val="000000" w:themeColor="text1"/>
          <w:sz w:val="24"/>
          <w:szCs w:val="24"/>
          <w:lang w:val="ro-MD"/>
        </w:rPr>
        <w:t>обеспечени</w:t>
      </w:r>
      <w:r w:rsidRPr="00465B80">
        <w:rPr>
          <w:rFonts w:asciiTheme="majorHAnsi" w:hAnsiTheme="majorHAnsi" w:cstheme="majorHAnsi"/>
          <w:color w:val="000000" w:themeColor="text1"/>
          <w:sz w:val="24"/>
          <w:szCs w:val="24"/>
          <w:lang w:val="ro-MD"/>
        </w:rPr>
        <w:t xml:space="preserve">ю </w:t>
      </w:r>
      <w:r w:rsidR="00F27552" w:rsidRPr="00F27552">
        <w:rPr>
          <w:rFonts w:asciiTheme="majorHAnsi" w:hAnsiTheme="majorHAnsi" w:cstheme="majorHAnsi"/>
          <w:color w:val="000000" w:themeColor="text1"/>
          <w:sz w:val="24"/>
          <w:szCs w:val="24"/>
          <w:lang w:val="ro-MD"/>
        </w:rPr>
        <w:t xml:space="preserve">начисления </w:t>
      </w:r>
      <w:r w:rsidRPr="00465B80">
        <w:rPr>
          <w:rFonts w:asciiTheme="majorHAnsi" w:hAnsiTheme="majorHAnsi" w:cstheme="majorHAnsi"/>
          <w:color w:val="000000" w:themeColor="text1"/>
          <w:sz w:val="24"/>
          <w:szCs w:val="24"/>
          <w:lang w:val="ro-MD"/>
        </w:rPr>
        <w:t xml:space="preserve">в срок полезного использования </w:t>
      </w:r>
      <w:r w:rsidR="00F27552" w:rsidRPr="00465B80">
        <w:rPr>
          <w:rFonts w:asciiTheme="majorHAnsi" w:hAnsiTheme="majorHAnsi" w:cstheme="majorHAnsi"/>
          <w:color w:val="000000" w:themeColor="text1"/>
          <w:sz w:val="24"/>
          <w:szCs w:val="24"/>
          <w:lang w:val="ro-MD"/>
        </w:rPr>
        <w:t xml:space="preserve">износа </w:t>
      </w:r>
      <w:r w:rsidRPr="00465B80">
        <w:rPr>
          <w:rFonts w:asciiTheme="majorHAnsi" w:hAnsiTheme="majorHAnsi" w:cstheme="majorHAnsi"/>
          <w:color w:val="000000" w:themeColor="text1"/>
          <w:sz w:val="24"/>
          <w:szCs w:val="24"/>
          <w:lang w:val="ro-MD"/>
        </w:rPr>
        <w:t>эт</w:t>
      </w:r>
      <w:r w:rsidR="00F27552" w:rsidRPr="003221A7">
        <w:rPr>
          <w:rFonts w:asciiTheme="majorHAnsi" w:hAnsiTheme="majorHAnsi" w:cstheme="majorHAnsi"/>
          <w:color w:val="000000" w:themeColor="text1"/>
          <w:sz w:val="24"/>
          <w:szCs w:val="24"/>
          <w:lang w:val="ro-MD"/>
        </w:rPr>
        <w:t>их зданий</w:t>
      </w:r>
      <w:r w:rsidRPr="00465B80">
        <w:rPr>
          <w:rFonts w:asciiTheme="majorHAnsi" w:hAnsiTheme="majorHAnsi" w:cstheme="majorHAnsi"/>
          <w:color w:val="000000" w:themeColor="text1"/>
          <w:sz w:val="24"/>
          <w:szCs w:val="24"/>
          <w:lang w:val="ro-MD"/>
        </w:rPr>
        <w:t>, с</w:t>
      </w:r>
      <w:r w:rsidR="003221A7" w:rsidRPr="003221A7">
        <w:rPr>
          <w:rFonts w:asciiTheme="majorHAnsi" w:hAnsiTheme="majorHAnsi" w:cstheme="majorHAnsi"/>
          <w:color w:val="000000" w:themeColor="text1"/>
          <w:sz w:val="24"/>
          <w:szCs w:val="24"/>
          <w:lang w:val="ro-MD"/>
        </w:rPr>
        <w:t>оответствен</w:t>
      </w:r>
      <w:r w:rsidRPr="00465B80">
        <w:rPr>
          <w:rFonts w:asciiTheme="majorHAnsi" w:hAnsiTheme="majorHAnsi" w:cstheme="majorHAnsi"/>
          <w:color w:val="000000" w:themeColor="text1"/>
          <w:sz w:val="24"/>
          <w:szCs w:val="24"/>
          <w:lang w:val="ro-MD"/>
        </w:rPr>
        <w:t xml:space="preserve">но, к несению дополнительных затрат на морально устаревшую и разрушенную </w:t>
      </w:r>
      <w:r w:rsidR="003221A7" w:rsidRPr="003221A7">
        <w:rPr>
          <w:rFonts w:asciiTheme="majorHAnsi" w:hAnsiTheme="majorHAnsi" w:cstheme="majorHAnsi"/>
          <w:color w:val="000000" w:themeColor="text1"/>
          <w:sz w:val="24"/>
          <w:szCs w:val="24"/>
          <w:lang w:val="ro-MD"/>
        </w:rPr>
        <w:t>в</w:t>
      </w:r>
      <w:r w:rsidRPr="00465B80">
        <w:rPr>
          <w:rFonts w:asciiTheme="majorHAnsi" w:hAnsiTheme="majorHAnsi" w:cstheme="majorHAnsi"/>
          <w:color w:val="000000" w:themeColor="text1"/>
          <w:sz w:val="24"/>
          <w:szCs w:val="24"/>
          <w:lang w:val="ro-MD"/>
        </w:rPr>
        <w:t>о времени недвижимость, непригод</w:t>
      </w:r>
      <w:r w:rsidR="003221A7" w:rsidRPr="003221A7">
        <w:rPr>
          <w:rFonts w:asciiTheme="majorHAnsi" w:hAnsiTheme="majorHAnsi" w:cstheme="majorHAnsi"/>
          <w:color w:val="000000" w:themeColor="text1"/>
          <w:sz w:val="24"/>
          <w:szCs w:val="24"/>
          <w:lang w:val="ro-MD"/>
        </w:rPr>
        <w:t>ную</w:t>
      </w:r>
      <w:r w:rsidRPr="00465B80">
        <w:rPr>
          <w:rFonts w:asciiTheme="majorHAnsi" w:hAnsiTheme="majorHAnsi" w:cstheme="majorHAnsi"/>
          <w:color w:val="000000" w:themeColor="text1"/>
          <w:sz w:val="24"/>
          <w:szCs w:val="24"/>
          <w:lang w:val="ro-MD"/>
        </w:rPr>
        <w:t xml:space="preserve"> для использования</w:t>
      </w:r>
      <w:r w:rsidR="00D54BEB" w:rsidRPr="00B13B9A">
        <w:rPr>
          <w:rFonts w:asciiTheme="majorHAnsi" w:hAnsiTheme="majorHAnsi" w:cstheme="majorHAnsi"/>
          <w:color w:val="000000" w:themeColor="text1"/>
          <w:sz w:val="24"/>
          <w:szCs w:val="24"/>
          <w:lang w:val="ro-MD"/>
        </w:rPr>
        <w:t>.</w:t>
      </w:r>
    </w:p>
    <w:p w14:paraId="3FBD3001" w14:textId="77777777" w:rsidR="00E34CEF" w:rsidRPr="00B13B9A" w:rsidRDefault="00E34CEF" w:rsidP="00792BD5">
      <w:pPr>
        <w:spacing w:after="0" w:line="276" w:lineRule="auto"/>
        <w:jc w:val="both"/>
        <w:rPr>
          <w:rFonts w:asciiTheme="majorHAnsi" w:hAnsiTheme="majorHAnsi" w:cstheme="majorHAnsi"/>
          <w:noProof/>
          <w:sz w:val="24"/>
          <w:szCs w:val="24"/>
          <w:lang w:val="ro-MD"/>
        </w:rPr>
      </w:pPr>
    </w:p>
    <w:p w14:paraId="40ACFB9B" w14:textId="2BF6CE4C" w:rsidR="00465B80" w:rsidRPr="00465B80" w:rsidRDefault="00465B80" w:rsidP="00465B80">
      <w:pPr>
        <w:spacing w:after="0" w:line="276" w:lineRule="auto"/>
        <w:jc w:val="both"/>
        <w:rPr>
          <w:rFonts w:asciiTheme="majorHAnsi" w:hAnsiTheme="majorHAnsi" w:cstheme="majorHAnsi"/>
          <w:noProof/>
          <w:sz w:val="24"/>
          <w:szCs w:val="24"/>
          <w:lang w:val="ro-MD"/>
        </w:rPr>
      </w:pPr>
      <w:r w:rsidRPr="00465B80">
        <w:rPr>
          <w:rFonts w:asciiTheme="majorHAnsi" w:hAnsiTheme="majorHAnsi" w:cstheme="majorHAnsi"/>
          <w:noProof/>
          <w:sz w:val="24"/>
          <w:szCs w:val="24"/>
          <w:lang w:val="ro-MD"/>
        </w:rPr>
        <w:t xml:space="preserve">В контексте выявления нефункциональных и устаревших </w:t>
      </w:r>
      <w:r w:rsidR="003221A7">
        <w:rPr>
          <w:rFonts w:asciiTheme="majorHAnsi" w:hAnsiTheme="majorHAnsi" w:cstheme="majorHAnsi"/>
          <w:noProof/>
          <w:sz w:val="24"/>
          <w:szCs w:val="24"/>
          <w:lang w:val="ru-RU"/>
        </w:rPr>
        <w:t>объект</w:t>
      </w:r>
      <w:r w:rsidRPr="00465B80">
        <w:rPr>
          <w:rFonts w:asciiTheme="majorHAnsi" w:hAnsiTheme="majorHAnsi" w:cstheme="majorHAnsi"/>
          <w:noProof/>
          <w:sz w:val="24"/>
          <w:szCs w:val="24"/>
          <w:lang w:val="ro-MD"/>
        </w:rPr>
        <w:t>ов</w:t>
      </w:r>
      <w:r w:rsidR="003221A7">
        <w:rPr>
          <w:rFonts w:asciiTheme="majorHAnsi" w:hAnsiTheme="majorHAnsi" w:cstheme="majorHAnsi"/>
          <w:noProof/>
          <w:sz w:val="24"/>
          <w:szCs w:val="24"/>
          <w:lang w:val="ru-RU"/>
        </w:rPr>
        <w:t>,</w:t>
      </w:r>
      <w:r w:rsidRPr="00465B80">
        <w:rPr>
          <w:rFonts w:asciiTheme="majorHAnsi" w:hAnsiTheme="majorHAnsi" w:cstheme="majorHAnsi"/>
          <w:noProof/>
          <w:sz w:val="24"/>
          <w:szCs w:val="24"/>
          <w:lang w:val="ro-MD"/>
        </w:rPr>
        <w:t xml:space="preserve"> аудит </w:t>
      </w:r>
      <w:r w:rsidR="003221A7">
        <w:rPr>
          <w:rFonts w:asciiTheme="majorHAnsi" w:hAnsiTheme="majorHAnsi" w:cstheme="majorHAnsi"/>
          <w:noProof/>
          <w:sz w:val="24"/>
          <w:szCs w:val="24"/>
          <w:lang w:val="ru-RU"/>
        </w:rPr>
        <w:t>отмеч</w:t>
      </w:r>
      <w:r w:rsidRPr="00465B80">
        <w:rPr>
          <w:rFonts w:asciiTheme="majorHAnsi" w:hAnsiTheme="majorHAnsi" w:cstheme="majorHAnsi"/>
          <w:noProof/>
          <w:sz w:val="24"/>
          <w:szCs w:val="24"/>
          <w:lang w:val="ro-MD"/>
        </w:rPr>
        <w:t xml:space="preserve">ает, что для 7 зданий стоимостью 768,00 тыс. леев и площадью 1604,7 </w:t>
      </w:r>
      <w:r w:rsidR="003221A7">
        <w:rPr>
          <w:rFonts w:asciiTheme="majorHAnsi" w:hAnsiTheme="majorHAnsi" w:cstheme="majorHAnsi"/>
          <w:noProof/>
          <w:sz w:val="24"/>
          <w:szCs w:val="24"/>
          <w:lang w:val="ru-RU"/>
        </w:rPr>
        <w:t>кв.м</w:t>
      </w:r>
      <w:r w:rsidRPr="00465B80">
        <w:rPr>
          <w:rFonts w:asciiTheme="majorHAnsi" w:hAnsiTheme="majorHAnsi" w:cstheme="majorHAnsi"/>
          <w:noProof/>
          <w:sz w:val="24"/>
          <w:szCs w:val="24"/>
          <w:lang w:val="ro-MD"/>
        </w:rPr>
        <w:t xml:space="preserve"> </w:t>
      </w:r>
      <w:r w:rsidR="003221A7">
        <w:rPr>
          <w:rFonts w:asciiTheme="majorHAnsi" w:hAnsiTheme="majorHAnsi" w:cstheme="majorHAnsi"/>
          <w:noProof/>
          <w:sz w:val="24"/>
          <w:szCs w:val="24"/>
          <w:lang w:val="ru-RU"/>
        </w:rPr>
        <w:t>в</w:t>
      </w:r>
      <w:r w:rsidRPr="00465B80">
        <w:rPr>
          <w:rFonts w:asciiTheme="majorHAnsi" w:hAnsiTheme="majorHAnsi" w:cstheme="majorHAnsi"/>
          <w:noProof/>
          <w:sz w:val="24"/>
          <w:szCs w:val="24"/>
          <w:lang w:val="ro-MD"/>
        </w:rPr>
        <w:t xml:space="preserve"> 2007 году были разработаны проекты по сносу, стоимость работ оценива</w:t>
      </w:r>
      <w:r w:rsidR="003221A7">
        <w:rPr>
          <w:rFonts w:asciiTheme="majorHAnsi" w:hAnsiTheme="majorHAnsi" w:cstheme="majorHAnsi"/>
          <w:noProof/>
          <w:sz w:val="24"/>
          <w:szCs w:val="24"/>
          <w:lang w:val="ru-RU"/>
        </w:rPr>
        <w:t>лась</w:t>
      </w:r>
      <w:r w:rsidRPr="00465B80">
        <w:rPr>
          <w:rFonts w:asciiTheme="majorHAnsi" w:hAnsiTheme="majorHAnsi" w:cstheme="majorHAnsi"/>
          <w:noProof/>
          <w:sz w:val="24"/>
          <w:szCs w:val="24"/>
          <w:lang w:val="ro-MD"/>
        </w:rPr>
        <w:t xml:space="preserve"> примерно в 447,03 тыс. леев, которые на сегодняшний день не выполнены. При этом стоимость работ по сносу не актуальна</w:t>
      </w:r>
      <w:r w:rsidR="003221A7">
        <w:rPr>
          <w:rFonts w:asciiTheme="majorHAnsi" w:hAnsiTheme="majorHAnsi" w:cstheme="majorHAnsi"/>
          <w:noProof/>
          <w:sz w:val="24"/>
          <w:szCs w:val="24"/>
          <w:lang w:val="ru-RU"/>
        </w:rPr>
        <w:t>,</w:t>
      </w:r>
      <w:r w:rsidRPr="00465B80">
        <w:rPr>
          <w:rFonts w:asciiTheme="majorHAnsi" w:hAnsiTheme="majorHAnsi" w:cstheme="majorHAnsi"/>
          <w:noProof/>
          <w:sz w:val="24"/>
          <w:szCs w:val="24"/>
          <w:lang w:val="ro-MD"/>
        </w:rPr>
        <w:t xml:space="preserve"> уч</w:t>
      </w:r>
      <w:r w:rsidR="003221A7">
        <w:rPr>
          <w:rFonts w:asciiTheme="majorHAnsi" w:hAnsiTheme="majorHAnsi" w:cstheme="majorHAnsi"/>
          <w:noProof/>
          <w:sz w:val="24"/>
          <w:szCs w:val="24"/>
          <w:lang w:val="ru-RU"/>
        </w:rPr>
        <w:t>итывая</w:t>
      </w:r>
      <w:r w:rsidRPr="00465B80">
        <w:rPr>
          <w:rFonts w:asciiTheme="majorHAnsi" w:hAnsiTheme="majorHAnsi" w:cstheme="majorHAnsi"/>
          <w:noProof/>
          <w:sz w:val="24"/>
          <w:szCs w:val="24"/>
          <w:lang w:val="ro-MD"/>
        </w:rPr>
        <w:t xml:space="preserve"> изменения экономической ситуации в стране.</w:t>
      </w:r>
    </w:p>
    <w:p w14:paraId="6332FECC" w14:textId="165199F4" w:rsidR="00E34CEF" w:rsidRPr="003221A7" w:rsidRDefault="00465B80" w:rsidP="00792BD5">
      <w:pPr>
        <w:spacing w:after="0" w:line="276" w:lineRule="auto"/>
        <w:jc w:val="both"/>
        <w:rPr>
          <w:rFonts w:asciiTheme="majorHAnsi" w:hAnsiTheme="majorHAnsi" w:cstheme="majorHAnsi"/>
          <w:noProof/>
          <w:sz w:val="24"/>
          <w:szCs w:val="24"/>
          <w:lang w:val="ro-MD"/>
        </w:rPr>
      </w:pPr>
      <w:r w:rsidRPr="00465B80">
        <w:rPr>
          <w:rFonts w:asciiTheme="majorHAnsi" w:hAnsiTheme="majorHAnsi" w:cstheme="majorHAnsi"/>
          <w:noProof/>
          <w:sz w:val="24"/>
          <w:szCs w:val="24"/>
          <w:lang w:val="ro-MD"/>
        </w:rPr>
        <w:t xml:space="preserve">Следовательно, неприменение </w:t>
      </w:r>
      <w:r w:rsidR="003221A7">
        <w:rPr>
          <w:rFonts w:asciiTheme="majorHAnsi" w:hAnsiTheme="majorHAnsi" w:cstheme="majorHAnsi"/>
          <w:noProof/>
          <w:sz w:val="24"/>
          <w:szCs w:val="24"/>
          <w:lang w:val="ru-RU"/>
        </w:rPr>
        <w:t>нормативных положений</w:t>
      </w:r>
      <w:r w:rsidRPr="00465B80">
        <w:rPr>
          <w:rFonts w:asciiTheme="majorHAnsi" w:hAnsiTheme="majorHAnsi" w:cstheme="majorHAnsi"/>
          <w:noProof/>
          <w:sz w:val="24"/>
          <w:szCs w:val="24"/>
          <w:lang w:val="ro-MD"/>
        </w:rPr>
        <w:t xml:space="preserve">, связанных с неиспользованными </w:t>
      </w:r>
      <w:r w:rsidR="003221A7">
        <w:rPr>
          <w:rFonts w:asciiTheme="majorHAnsi" w:hAnsiTheme="majorHAnsi" w:cstheme="majorHAnsi"/>
          <w:noProof/>
          <w:sz w:val="24"/>
          <w:szCs w:val="24"/>
          <w:lang w:val="ru-RU"/>
        </w:rPr>
        <w:t xml:space="preserve">долгосрочными </w:t>
      </w:r>
      <w:r w:rsidRPr="00465B80">
        <w:rPr>
          <w:rFonts w:asciiTheme="majorHAnsi" w:hAnsiTheme="majorHAnsi" w:cstheme="majorHAnsi"/>
          <w:noProof/>
          <w:sz w:val="24"/>
          <w:szCs w:val="24"/>
          <w:lang w:val="ro-MD"/>
        </w:rPr>
        <w:t>материальными активами, напрямую влияет на стоимость оказ</w:t>
      </w:r>
      <w:r w:rsidR="003221A7">
        <w:rPr>
          <w:rFonts w:asciiTheme="majorHAnsi" w:hAnsiTheme="majorHAnsi" w:cstheme="majorHAnsi"/>
          <w:noProof/>
          <w:sz w:val="24"/>
          <w:szCs w:val="24"/>
          <w:lang w:val="ru-RU"/>
        </w:rPr>
        <w:t>ываем</w:t>
      </w:r>
      <w:r w:rsidRPr="00465B80">
        <w:rPr>
          <w:rFonts w:asciiTheme="majorHAnsi" w:hAnsiTheme="majorHAnsi" w:cstheme="majorHAnsi"/>
          <w:noProof/>
          <w:sz w:val="24"/>
          <w:szCs w:val="24"/>
          <w:lang w:val="ro-MD"/>
        </w:rPr>
        <w:t>ых услуг</w:t>
      </w:r>
      <w:r w:rsidR="00E34CEF" w:rsidRPr="00B13B9A">
        <w:rPr>
          <w:rFonts w:asciiTheme="majorHAnsi" w:hAnsiTheme="majorHAnsi" w:cstheme="majorHAnsi"/>
          <w:color w:val="000000" w:themeColor="text1"/>
          <w:sz w:val="24"/>
          <w:szCs w:val="24"/>
          <w:lang w:val="ro-MD"/>
        </w:rPr>
        <w:t>.</w:t>
      </w:r>
    </w:p>
    <w:p w14:paraId="3665B71F" w14:textId="77777777" w:rsidR="00D57EB8" w:rsidRPr="00B13B9A" w:rsidRDefault="00D57EB8" w:rsidP="00C50F57">
      <w:pPr>
        <w:spacing w:after="0" w:line="276" w:lineRule="auto"/>
        <w:jc w:val="both"/>
        <w:rPr>
          <w:rFonts w:asciiTheme="majorHAnsi" w:hAnsiTheme="majorHAnsi" w:cstheme="majorHAnsi"/>
          <w:color w:val="000000" w:themeColor="text1"/>
          <w:sz w:val="24"/>
          <w:szCs w:val="24"/>
          <w:lang w:val="ro-MD"/>
        </w:rPr>
      </w:pPr>
    </w:p>
    <w:p w14:paraId="772EE006" w14:textId="2BA65CC0" w:rsidR="00E274CE" w:rsidRPr="00B13B9A" w:rsidRDefault="00465B80" w:rsidP="00B0309C">
      <w:pPr>
        <w:pStyle w:val="a7"/>
        <w:numPr>
          <w:ilvl w:val="2"/>
          <w:numId w:val="10"/>
        </w:numPr>
        <w:spacing w:after="0" w:line="276" w:lineRule="auto"/>
        <w:ind w:left="0" w:firstLine="284"/>
        <w:jc w:val="both"/>
        <w:outlineLvl w:val="2"/>
        <w:rPr>
          <w:rFonts w:asciiTheme="majorHAnsi" w:hAnsiTheme="majorHAnsi" w:cstheme="majorHAnsi"/>
          <w:b/>
          <w:color w:val="000000" w:themeColor="text1"/>
          <w:sz w:val="24"/>
          <w:szCs w:val="24"/>
          <w:lang w:val="ro-MD"/>
        </w:rPr>
      </w:pPr>
      <w:bookmarkStart w:id="22" w:name="_Toc158317228"/>
      <w:r w:rsidRPr="00465B80">
        <w:rPr>
          <w:rFonts w:asciiTheme="majorHAnsi" w:hAnsiTheme="majorHAnsi" w:cstheme="majorHAnsi"/>
          <w:b/>
          <w:color w:val="000000" w:themeColor="text1"/>
          <w:sz w:val="24"/>
          <w:szCs w:val="24"/>
          <w:lang w:val="ro-MD"/>
        </w:rPr>
        <w:t xml:space="preserve">Отсутствие подтверждающих документов, свидетельствующих о приватизации квартир, не обеспечивает надлежащего учета жилых домов, принадлежащих </w:t>
      </w:r>
      <w:r w:rsidR="00C06F7B">
        <w:rPr>
          <w:rFonts w:asciiTheme="majorHAnsi" w:hAnsiTheme="majorHAnsi" w:cstheme="majorHAnsi"/>
          <w:b/>
          <w:color w:val="000000" w:themeColor="text1"/>
          <w:sz w:val="24"/>
          <w:szCs w:val="24"/>
          <w:lang w:val="ro-MD"/>
        </w:rPr>
        <w:t>ПМСУ</w:t>
      </w:r>
      <w:r w:rsidR="001C4994" w:rsidRPr="00B13B9A">
        <w:rPr>
          <w:rFonts w:asciiTheme="majorHAnsi" w:hAnsiTheme="majorHAnsi" w:cstheme="majorHAnsi"/>
          <w:b/>
          <w:color w:val="000000" w:themeColor="text1"/>
          <w:sz w:val="24"/>
          <w:szCs w:val="24"/>
          <w:lang w:val="ro-MD"/>
        </w:rPr>
        <w:t>.</w:t>
      </w:r>
      <w:bookmarkEnd w:id="22"/>
    </w:p>
    <w:p w14:paraId="5C55361F" w14:textId="77777777" w:rsidR="00C56368" w:rsidRPr="00B13B9A" w:rsidRDefault="00C56368" w:rsidP="009B3E40">
      <w:pPr>
        <w:shd w:val="clear" w:color="auto" w:fill="FFFFFF"/>
        <w:spacing w:after="0" w:line="240" w:lineRule="auto"/>
        <w:ind w:firstLine="540"/>
        <w:jc w:val="both"/>
        <w:rPr>
          <w:rFonts w:ascii="Georgia" w:eastAsia="Times New Roman" w:hAnsi="Georgia" w:cs="Times New Roman"/>
          <w:color w:val="333333"/>
          <w:sz w:val="24"/>
          <w:szCs w:val="24"/>
          <w:lang w:val="ro-MD"/>
        </w:rPr>
      </w:pPr>
      <w:r w:rsidRPr="00B13B9A">
        <w:rPr>
          <w:rFonts w:ascii="Georgia" w:eastAsia="Times New Roman" w:hAnsi="Georgia" w:cs="Times New Roman"/>
          <w:color w:val="333333"/>
          <w:sz w:val="24"/>
          <w:szCs w:val="24"/>
          <w:lang w:val="ro-MD"/>
        </w:rPr>
        <w:t> </w:t>
      </w:r>
    </w:p>
    <w:p w14:paraId="4C0A2B7D" w14:textId="596043DA" w:rsidR="00D54BEB" w:rsidRPr="00B13B9A" w:rsidRDefault="00465B80" w:rsidP="004150CC">
      <w:pPr>
        <w:shd w:val="clear" w:color="auto" w:fill="FFFFFF"/>
        <w:spacing w:after="0" w:line="276" w:lineRule="auto"/>
        <w:jc w:val="both"/>
        <w:rPr>
          <w:rFonts w:asciiTheme="majorHAnsi" w:eastAsia="Times New Roman" w:hAnsiTheme="majorHAnsi" w:cstheme="majorHAnsi"/>
          <w:iCs/>
          <w:color w:val="000000"/>
          <w:sz w:val="24"/>
          <w:szCs w:val="20"/>
          <w:lang w:val="ro-MD"/>
        </w:rPr>
      </w:pPr>
      <w:r w:rsidRPr="008D6104">
        <w:rPr>
          <w:rFonts w:asciiTheme="majorHAnsi" w:eastAsia="Times New Roman" w:hAnsiTheme="majorHAnsi" w:cstheme="majorHAnsi"/>
          <w:iCs/>
          <w:color w:val="000000"/>
          <w:sz w:val="24"/>
          <w:szCs w:val="20"/>
          <w:lang w:val="ro-MD"/>
        </w:rPr>
        <w:t xml:space="preserve">Из общей недвижимости, принадлежащей </w:t>
      </w:r>
      <w:r w:rsidR="00C06F7B" w:rsidRPr="008D6104">
        <w:rPr>
          <w:rFonts w:asciiTheme="majorHAnsi" w:eastAsia="Times New Roman" w:hAnsiTheme="majorHAnsi" w:cstheme="majorHAnsi"/>
          <w:iCs/>
          <w:color w:val="000000"/>
          <w:sz w:val="24"/>
          <w:szCs w:val="20"/>
          <w:lang w:val="ro-MD"/>
        </w:rPr>
        <w:t>ПМСУ</w:t>
      </w:r>
      <w:r w:rsidRPr="008D6104">
        <w:rPr>
          <w:rFonts w:asciiTheme="majorHAnsi" w:eastAsia="Times New Roman" w:hAnsiTheme="majorHAnsi" w:cstheme="majorHAnsi"/>
          <w:iCs/>
          <w:color w:val="000000"/>
          <w:sz w:val="24"/>
          <w:szCs w:val="20"/>
          <w:lang w:val="ro-MD"/>
        </w:rPr>
        <w:t xml:space="preserve">, 4 жилых дома расположены в с. Ворничень, </w:t>
      </w:r>
      <w:r w:rsidR="008D6104">
        <w:rPr>
          <w:rFonts w:asciiTheme="majorHAnsi" w:eastAsia="Times New Roman" w:hAnsiTheme="majorHAnsi" w:cstheme="majorHAnsi"/>
          <w:iCs/>
          <w:color w:val="000000"/>
          <w:sz w:val="24"/>
          <w:szCs w:val="20"/>
          <w:lang w:val="ru-RU"/>
        </w:rPr>
        <w:t>на</w:t>
      </w:r>
      <w:r w:rsidRPr="008D6104">
        <w:rPr>
          <w:rFonts w:asciiTheme="majorHAnsi" w:eastAsia="Times New Roman" w:hAnsiTheme="majorHAnsi" w:cstheme="majorHAnsi"/>
          <w:iCs/>
          <w:color w:val="000000"/>
          <w:sz w:val="24"/>
          <w:szCs w:val="20"/>
          <w:lang w:val="ro-MD"/>
        </w:rPr>
        <w:t xml:space="preserve"> 4, 30, 48 и</w:t>
      </w:r>
      <w:r w:rsidR="008D6104">
        <w:rPr>
          <w:rFonts w:asciiTheme="majorHAnsi" w:eastAsia="Times New Roman" w:hAnsiTheme="majorHAnsi" w:cstheme="majorHAnsi"/>
          <w:iCs/>
          <w:color w:val="000000"/>
          <w:sz w:val="24"/>
          <w:szCs w:val="20"/>
          <w:lang w:val="ru-RU"/>
        </w:rPr>
        <w:t>,</w:t>
      </w:r>
      <w:r w:rsidRPr="008D6104">
        <w:rPr>
          <w:rFonts w:asciiTheme="majorHAnsi" w:eastAsia="Times New Roman" w:hAnsiTheme="majorHAnsi" w:cstheme="majorHAnsi"/>
          <w:iCs/>
          <w:color w:val="000000"/>
          <w:sz w:val="24"/>
          <w:szCs w:val="20"/>
          <w:lang w:val="ro-MD"/>
        </w:rPr>
        <w:t xml:space="preserve"> </w:t>
      </w:r>
      <w:r w:rsidR="008D6104" w:rsidRPr="008D6104">
        <w:rPr>
          <w:rFonts w:asciiTheme="majorHAnsi" w:eastAsia="Times New Roman" w:hAnsiTheme="majorHAnsi" w:cstheme="majorHAnsi"/>
          <w:iCs/>
          <w:color w:val="000000"/>
          <w:sz w:val="24"/>
          <w:szCs w:val="20"/>
          <w:lang w:val="ro-MD"/>
        </w:rPr>
        <w:t>соответственно</w:t>
      </w:r>
      <w:r w:rsidR="008D6104">
        <w:rPr>
          <w:rFonts w:asciiTheme="majorHAnsi" w:eastAsia="Times New Roman" w:hAnsiTheme="majorHAnsi" w:cstheme="majorHAnsi"/>
          <w:iCs/>
          <w:color w:val="000000"/>
          <w:sz w:val="24"/>
          <w:szCs w:val="20"/>
          <w:lang w:val="ru-RU"/>
        </w:rPr>
        <w:t>,</w:t>
      </w:r>
      <w:r w:rsidR="008D6104" w:rsidRPr="008D6104">
        <w:rPr>
          <w:rFonts w:asciiTheme="majorHAnsi" w:eastAsia="Times New Roman" w:hAnsiTheme="majorHAnsi" w:cstheme="majorHAnsi"/>
          <w:iCs/>
          <w:color w:val="000000"/>
          <w:sz w:val="24"/>
          <w:szCs w:val="20"/>
          <w:lang w:val="ro-MD"/>
        </w:rPr>
        <w:t xml:space="preserve"> </w:t>
      </w:r>
      <w:r w:rsidRPr="008D6104">
        <w:rPr>
          <w:rFonts w:asciiTheme="majorHAnsi" w:eastAsia="Times New Roman" w:hAnsiTheme="majorHAnsi" w:cstheme="majorHAnsi"/>
          <w:iCs/>
          <w:color w:val="000000"/>
          <w:sz w:val="24"/>
          <w:szCs w:val="20"/>
          <w:lang w:val="ro-MD"/>
        </w:rPr>
        <w:t xml:space="preserve">55 квартир, всего 93 квартиры (с первоначальной стоимостью 7662,77 тыс. леев и полным износом). Согласно </w:t>
      </w:r>
      <w:r w:rsidR="008D6104">
        <w:rPr>
          <w:rFonts w:asciiTheme="majorHAnsi" w:eastAsia="Times New Roman" w:hAnsiTheme="majorHAnsi" w:cstheme="majorHAnsi"/>
          <w:iCs/>
          <w:color w:val="000000"/>
          <w:sz w:val="24"/>
          <w:szCs w:val="20"/>
          <w:lang w:val="ru-RU"/>
        </w:rPr>
        <w:t>П</w:t>
      </w:r>
      <w:r w:rsidRPr="008D6104">
        <w:rPr>
          <w:rFonts w:asciiTheme="majorHAnsi" w:eastAsia="Times New Roman" w:hAnsiTheme="majorHAnsi" w:cstheme="majorHAnsi"/>
          <w:iCs/>
          <w:color w:val="000000"/>
          <w:sz w:val="24"/>
          <w:szCs w:val="20"/>
          <w:lang w:val="ro-MD"/>
        </w:rPr>
        <w:t xml:space="preserve">остановлению </w:t>
      </w:r>
      <w:r w:rsidR="008D6104">
        <w:rPr>
          <w:rFonts w:asciiTheme="majorHAnsi" w:eastAsia="Times New Roman" w:hAnsiTheme="majorHAnsi" w:cstheme="majorHAnsi"/>
          <w:iCs/>
          <w:color w:val="000000"/>
          <w:sz w:val="24"/>
          <w:szCs w:val="20"/>
          <w:lang w:val="ru-RU"/>
        </w:rPr>
        <w:t>С</w:t>
      </w:r>
      <w:r w:rsidRPr="008D6104">
        <w:rPr>
          <w:rFonts w:asciiTheme="majorHAnsi" w:eastAsia="Times New Roman" w:hAnsiTheme="majorHAnsi" w:cstheme="majorHAnsi"/>
          <w:iCs/>
          <w:color w:val="000000"/>
          <w:sz w:val="24"/>
          <w:szCs w:val="20"/>
          <w:lang w:val="ro-MD"/>
        </w:rPr>
        <w:t>ельского совета 1986 года</w:t>
      </w:r>
      <w:r w:rsidRPr="00465B80">
        <w:rPr>
          <w:rFonts w:asciiTheme="majorHAnsi" w:eastAsia="Times New Roman" w:hAnsiTheme="majorHAnsi" w:cstheme="majorHAnsi"/>
          <w:iCs/>
          <w:color w:val="000000"/>
          <w:sz w:val="24"/>
          <w:szCs w:val="20"/>
          <w:lang w:val="ro-MD"/>
        </w:rPr>
        <w:t xml:space="preserve">, квартиры были </w:t>
      </w:r>
      <w:r w:rsidR="008D6104">
        <w:rPr>
          <w:rFonts w:asciiTheme="majorHAnsi" w:eastAsia="Times New Roman" w:hAnsiTheme="majorHAnsi" w:cstheme="majorHAnsi"/>
          <w:iCs/>
          <w:color w:val="000000"/>
          <w:sz w:val="24"/>
          <w:szCs w:val="20"/>
          <w:lang w:val="ru-RU"/>
        </w:rPr>
        <w:t>распределе</w:t>
      </w:r>
      <w:r w:rsidRPr="00465B80">
        <w:rPr>
          <w:rFonts w:asciiTheme="majorHAnsi" w:eastAsia="Times New Roman" w:hAnsiTheme="majorHAnsi" w:cstheme="majorHAnsi"/>
          <w:iCs/>
          <w:color w:val="000000"/>
          <w:sz w:val="24"/>
          <w:szCs w:val="20"/>
          <w:lang w:val="ro-MD"/>
        </w:rPr>
        <w:t>ны сотрудникам больницы. Впоследствии</w:t>
      </w:r>
      <w:r w:rsidR="008D6104" w:rsidRPr="008D6104">
        <w:rPr>
          <w:rFonts w:asciiTheme="majorHAnsi" w:eastAsia="Times New Roman" w:hAnsiTheme="majorHAnsi" w:cstheme="majorHAnsi"/>
          <w:iCs/>
          <w:color w:val="000000"/>
          <w:sz w:val="24"/>
          <w:szCs w:val="20"/>
          <w:lang w:val="ro-MD"/>
        </w:rPr>
        <w:t>,</w:t>
      </w:r>
      <w:r w:rsidRPr="00465B80">
        <w:rPr>
          <w:rFonts w:asciiTheme="majorHAnsi" w:eastAsia="Times New Roman" w:hAnsiTheme="majorHAnsi" w:cstheme="majorHAnsi"/>
          <w:iCs/>
          <w:color w:val="000000"/>
          <w:sz w:val="24"/>
          <w:szCs w:val="20"/>
          <w:lang w:val="ro-MD"/>
        </w:rPr>
        <w:t xml:space="preserve"> этим квартирам были присвоены временные кадастровые номера, и должна была быть определена процедура регистрации прав на них</w:t>
      </w:r>
      <w:r w:rsidR="00D54BEB" w:rsidRPr="00B13B9A">
        <w:rPr>
          <w:rFonts w:asciiTheme="majorHAnsi" w:eastAsia="Times New Roman" w:hAnsiTheme="majorHAnsi" w:cstheme="majorHAnsi"/>
          <w:iCs/>
          <w:color w:val="000000"/>
          <w:sz w:val="24"/>
          <w:szCs w:val="20"/>
          <w:lang w:val="ro-MD"/>
        </w:rPr>
        <w:t xml:space="preserve">. </w:t>
      </w:r>
    </w:p>
    <w:p w14:paraId="1DBEDA22" w14:textId="7F6BBE22" w:rsidR="006E5491" w:rsidRDefault="008D6104" w:rsidP="009E24ED">
      <w:pPr>
        <w:shd w:val="clear" w:color="auto" w:fill="FFFFFF"/>
        <w:spacing w:after="0" w:line="276" w:lineRule="auto"/>
        <w:jc w:val="both"/>
        <w:rPr>
          <w:rFonts w:asciiTheme="majorHAnsi" w:eastAsia="Times New Roman" w:hAnsiTheme="majorHAnsi" w:cstheme="majorHAnsi"/>
          <w:iCs/>
          <w:color w:val="000000"/>
          <w:sz w:val="24"/>
          <w:szCs w:val="24"/>
          <w:lang w:val="ro-MD"/>
        </w:rPr>
      </w:pPr>
      <w:r w:rsidRPr="008D6104">
        <w:rPr>
          <w:rFonts w:asciiTheme="majorHAnsi" w:eastAsia="Times New Roman" w:hAnsiTheme="majorHAnsi" w:cstheme="majorHAnsi"/>
          <w:iCs/>
          <w:color w:val="000000"/>
          <w:sz w:val="24"/>
          <w:szCs w:val="20"/>
          <w:lang w:val="ro-MD"/>
        </w:rPr>
        <w:t>Одновременно, согласно законодательству</w:t>
      </w:r>
      <w:r w:rsidR="009B3E40" w:rsidRPr="00B13B9A">
        <w:rPr>
          <w:rFonts w:asciiTheme="majorHAnsi" w:hAnsiTheme="majorHAnsi" w:cstheme="majorHAnsi"/>
          <w:iCs/>
          <w:color w:val="000000"/>
          <w:sz w:val="24"/>
          <w:szCs w:val="20"/>
          <w:vertAlign w:val="superscript"/>
          <w:lang w:val="ro-MD"/>
        </w:rPr>
        <w:footnoteReference w:id="21"/>
      </w:r>
      <w:r w:rsidR="009B3E40" w:rsidRPr="00B13B9A">
        <w:rPr>
          <w:rFonts w:asciiTheme="majorHAnsi" w:eastAsia="Times New Roman" w:hAnsiTheme="majorHAnsi" w:cstheme="majorHAnsi"/>
          <w:iCs/>
          <w:color w:val="000000"/>
          <w:sz w:val="24"/>
          <w:szCs w:val="20"/>
          <w:lang w:val="ro-MD"/>
        </w:rPr>
        <w:t xml:space="preserve">, </w:t>
      </w:r>
      <w:r w:rsidRPr="008D6104">
        <w:rPr>
          <w:rFonts w:asciiTheme="majorHAnsi" w:eastAsia="Times New Roman" w:hAnsiTheme="majorHAnsi" w:cstheme="majorHAnsi"/>
          <w:iCs/>
          <w:color w:val="000000"/>
          <w:sz w:val="24"/>
          <w:szCs w:val="20"/>
          <w:lang w:val="ro-MD"/>
        </w:rPr>
        <w:t>к</w:t>
      </w:r>
      <w:r w:rsidR="00465B80" w:rsidRPr="00465B80">
        <w:rPr>
          <w:rFonts w:asciiTheme="majorHAnsi" w:eastAsia="Times New Roman" w:hAnsiTheme="majorHAnsi" w:cstheme="majorHAnsi"/>
          <w:iCs/>
          <w:color w:val="000000"/>
          <w:sz w:val="24"/>
          <w:szCs w:val="20"/>
          <w:lang w:val="ro-MD"/>
        </w:rPr>
        <w:t>вартиры (дома), приобретенные или полученные безвозмездно в частную собственность, исключаются из государственного, общественного, ведомственного и кооперативного фонда и включаются в состав частного жилищного фонда, о чем уполномоченные органы письменно уведомляют предприятия, на балансе которых находятся эти квартиры (дома)</w:t>
      </w:r>
      <w:r w:rsidR="009B3E40" w:rsidRPr="00B13B9A">
        <w:rPr>
          <w:rFonts w:asciiTheme="majorHAnsi" w:eastAsia="Times New Roman" w:hAnsiTheme="majorHAnsi" w:cstheme="majorHAnsi"/>
          <w:iCs/>
          <w:color w:val="000000"/>
          <w:sz w:val="24"/>
          <w:szCs w:val="20"/>
          <w:lang w:val="ro-MD"/>
        </w:rPr>
        <w:t xml:space="preserve">. </w:t>
      </w:r>
      <w:r w:rsidRPr="008D6104">
        <w:rPr>
          <w:rFonts w:asciiTheme="majorHAnsi" w:eastAsia="Times New Roman" w:hAnsiTheme="majorHAnsi" w:cstheme="majorHAnsi"/>
          <w:iCs/>
          <w:color w:val="000000"/>
          <w:sz w:val="24"/>
          <w:szCs w:val="20"/>
          <w:lang w:val="ro-MD"/>
        </w:rPr>
        <w:t>Кроме того</w:t>
      </w:r>
      <w:r w:rsidR="009B3E40" w:rsidRPr="00B13B9A">
        <w:rPr>
          <w:rFonts w:asciiTheme="majorHAnsi" w:eastAsia="Times New Roman" w:hAnsiTheme="majorHAnsi" w:cstheme="majorHAnsi"/>
          <w:iCs/>
          <w:color w:val="000000"/>
          <w:sz w:val="24"/>
          <w:szCs w:val="20"/>
          <w:lang w:val="ro-MD"/>
        </w:rPr>
        <w:t xml:space="preserve">, </w:t>
      </w:r>
      <w:r w:rsidRPr="008D6104">
        <w:rPr>
          <w:rFonts w:asciiTheme="majorHAnsi" w:eastAsia="Times New Roman" w:hAnsiTheme="majorHAnsi" w:cstheme="majorHAnsi"/>
          <w:iCs/>
          <w:color w:val="000000"/>
          <w:sz w:val="24"/>
          <w:szCs w:val="20"/>
          <w:lang w:val="ro-MD"/>
        </w:rPr>
        <w:t>с</w:t>
      </w:r>
      <w:r w:rsidR="00465B80" w:rsidRPr="00465B80">
        <w:rPr>
          <w:rFonts w:asciiTheme="majorHAnsi" w:eastAsia="Times New Roman" w:hAnsiTheme="majorHAnsi" w:cstheme="majorHAnsi"/>
          <w:iCs/>
          <w:color w:val="000000"/>
          <w:sz w:val="24"/>
          <w:szCs w:val="20"/>
          <w:lang w:val="ro-MD"/>
        </w:rPr>
        <w:t>обственники жилых домов списывают с баланса приватизированные квартиры (их общую и жилую площадь, балансовую стоимость) согласно инвентарному делу и данным, представляемым уполномоченными органами</w:t>
      </w:r>
      <w:r>
        <w:rPr>
          <w:rFonts w:asciiTheme="majorHAnsi" w:eastAsia="Times New Roman" w:hAnsiTheme="majorHAnsi" w:cstheme="majorHAnsi"/>
          <w:iCs/>
          <w:color w:val="000000"/>
          <w:sz w:val="24"/>
          <w:szCs w:val="20"/>
          <w:lang w:val="ru-RU"/>
        </w:rPr>
        <w:t>.</w:t>
      </w:r>
      <w:r w:rsidR="00465B80" w:rsidRPr="00465B80">
        <w:rPr>
          <w:rFonts w:asciiTheme="majorHAnsi" w:eastAsia="Times New Roman" w:hAnsiTheme="majorHAnsi" w:cstheme="majorHAnsi"/>
          <w:iCs/>
          <w:color w:val="000000"/>
          <w:sz w:val="24"/>
          <w:szCs w:val="20"/>
          <w:lang w:val="ro-MD"/>
        </w:rPr>
        <w:t xml:space="preserve"> </w:t>
      </w:r>
      <w:r w:rsidRPr="008D6104">
        <w:rPr>
          <w:rFonts w:asciiTheme="majorHAnsi" w:eastAsia="Times New Roman" w:hAnsiTheme="majorHAnsi" w:cstheme="majorHAnsi"/>
          <w:iCs/>
          <w:color w:val="000000"/>
          <w:sz w:val="24"/>
          <w:szCs w:val="20"/>
          <w:lang w:val="ro-MD"/>
        </w:rPr>
        <w:t>Таким образом, отмечается, что у субъекта отсутствуют копии договоров о приватизации квартир, находящихся в управлении, а также он не владеет информацией о количестве приватизированных квартир</w:t>
      </w:r>
      <w:r w:rsidR="00D54BEB" w:rsidRPr="00B13B9A">
        <w:rPr>
          <w:rFonts w:asciiTheme="majorHAnsi" w:eastAsia="Times New Roman" w:hAnsiTheme="majorHAnsi" w:cstheme="majorHAnsi"/>
          <w:iCs/>
          <w:color w:val="000000"/>
          <w:sz w:val="24"/>
          <w:szCs w:val="20"/>
          <w:lang w:val="ro-MD"/>
        </w:rPr>
        <w:t>.</w:t>
      </w:r>
      <w:r w:rsidR="00CC1A9A" w:rsidRPr="00B13B9A">
        <w:rPr>
          <w:rFonts w:asciiTheme="majorHAnsi" w:eastAsia="Times New Roman" w:hAnsiTheme="majorHAnsi" w:cstheme="majorHAnsi"/>
          <w:iCs/>
          <w:color w:val="000000"/>
          <w:sz w:val="24"/>
          <w:szCs w:val="24"/>
          <w:lang w:val="ro-MD"/>
        </w:rPr>
        <w:t xml:space="preserve"> </w:t>
      </w:r>
    </w:p>
    <w:p w14:paraId="3D332749" w14:textId="42A0E2C3" w:rsidR="009B3E40" w:rsidRPr="00B13B9A" w:rsidRDefault="008D6104" w:rsidP="009E24ED">
      <w:pPr>
        <w:shd w:val="clear" w:color="auto" w:fill="FFFFFF"/>
        <w:spacing w:after="0" w:line="276" w:lineRule="auto"/>
        <w:jc w:val="both"/>
        <w:rPr>
          <w:rFonts w:asciiTheme="majorHAnsi" w:eastAsia="Times New Roman" w:hAnsiTheme="majorHAnsi" w:cstheme="majorHAnsi"/>
          <w:iCs/>
          <w:color w:val="000000"/>
          <w:sz w:val="24"/>
          <w:szCs w:val="20"/>
          <w:lang w:val="ro-MD"/>
        </w:rPr>
      </w:pPr>
      <w:r w:rsidRPr="008D6104">
        <w:rPr>
          <w:rFonts w:asciiTheme="majorHAnsi" w:eastAsia="Times New Roman" w:hAnsiTheme="majorHAnsi" w:cstheme="majorHAnsi"/>
          <w:iCs/>
          <w:color w:val="000000"/>
          <w:sz w:val="24"/>
          <w:szCs w:val="24"/>
          <w:lang w:val="ro-MD"/>
        </w:rPr>
        <w:t>Согласно нормативным положениям</w:t>
      </w:r>
      <w:r w:rsidR="004B30A5" w:rsidRPr="00B13B9A">
        <w:rPr>
          <w:rStyle w:val="a9"/>
          <w:rFonts w:asciiTheme="majorHAnsi" w:eastAsia="Times New Roman" w:hAnsiTheme="majorHAnsi" w:cstheme="majorHAnsi"/>
          <w:iCs/>
          <w:color w:val="000000"/>
          <w:sz w:val="24"/>
          <w:szCs w:val="24"/>
          <w:lang w:val="ro-MD"/>
        </w:rPr>
        <w:footnoteReference w:id="22"/>
      </w:r>
      <w:r w:rsidR="004B30A5" w:rsidRPr="00B13B9A">
        <w:rPr>
          <w:rFonts w:asciiTheme="majorHAnsi" w:eastAsia="Times New Roman" w:hAnsiTheme="majorHAnsi" w:cstheme="majorHAnsi"/>
          <w:iCs/>
          <w:color w:val="000000"/>
          <w:sz w:val="24"/>
          <w:szCs w:val="24"/>
          <w:lang w:val="ro-MD"/>
        </w:rPr>
        <w:t>,</w:t>
      </w:r>
      <w:r w:rsidR="00C41F0A" w:rsidRPr="00B13B9A">
        <w:rPr>
          <w:rFonts w:asciiTheme="majorHAnsi" w:eastAsia="Times New Roman" w:hAnsiTheme="majorHAnsi" w:cstheme="majorHAnsi"/>
          <w:iCs/>
          <w:color w:val="000000"/>
          <w:sz w:val="24"/>
          <w:szCs w:val="20"/>
          <w:lang w:val="ro-MD"/>
        </w:rPr>
        <w:t xml:space="preserve">  </w:t>
      </w:r>
      <w:r w:rsidRPr="008D6104">
        <w:rPr>
          <w:rFonts w:asciiTheme="majorHAnsi" w:eastAsia="Times New Roman" w:hAnsiTheme="majorHAnsi" w:cstheme="majorHAnsi"/>
          <w:iCs/>
          <w:color w:val="000000"/>
          <w:sz w:val="24"/>
          <w:szCs w:val="20"/>
          <w:lang w:val="ro-MD"/>
        </w:rPr>
        <w:t>н</w:t>
      </w:r>
      <w:r w:rsidR="00465B80" w:rsidRPr="00465B80">
        <w:rPr>
          <w:rFonts w:asciiTheme="majorHAnsi" w:eastAsia="Times New Roman" w:hAnsiTheme="majorHAnsi" w:cstheme="majorHAnsi"/>
          <w:iCs/>
          <w:color w:val="000000"/>
          <w:sz w:val="24"/>
          <w:szCs w:val="20"/>
          <w:lang w:val="ro-MD"/>
        </w:rPr>
        <w:t xml:space="preserve">еиспользуемые долгосрочные активы публичных учреждений могут быть сданы в наем с предварительного согласия органа центрального или местного публичного управления, </w:t>
      </w:r>
      <w:r w:rsidR="00D41C90" w:rsidRPr="00D41C90">
        <w:rPr>
          <w:rFonts w:asciiTheme="majorHAnsi" w:eastAsia="Times New Roman" w:hAnsiTheme="majorHAnsi" w:cstheme="majorHAnsi"/>
          <w:iCs/>
          <w:color w:val="000000"/>
          <w:sz w:val="24"/>
          <w:szCs w:val="20"/>
          <w:lang w:val="ro-MD"/>
        </w:rPr>
        <w:t xml:space="preserve">с начислением размера арендной платы в соответствии с положениями Закона о государственном бюджете на соответствующий год, однако </w:t>
      </w:r>
      <w:r w:rsidR="00C06F7B">
        <w:rPr>
          <w:rFonts w:asciiTheme="majorHAnsi" w:eastAsia="Times New Roman" w:hAnsiTheme="majorHAnsi" w:cstheme="majorHAnsi"/>
          <w:iCs/>
          <w:color w:val="000000"/>
          <w:sz w:val="24"/>
          <w:szCs w:val="20"/>
          <w:lang w:val="ro-MD"/>
        </w:rPr>
        <w:t>ПМСУ</w:t>
      </w:r>
      <w:r w:rsidR="00B0309C">
        <w:rPr>
          <w:rFonts w:asciiTheme="majorHAnsi" w:eastAsia="Times New Roman" w:hAnsiTheme="majorHAnsi" w:cstheme="majorHAnsi"/>
          <w:iCs/>
          <w:color w:val="000000"/>
          <w:sz w:val="24"/>
          <w:szCs w:val="20"/>
          <w:lang w:val="ro-MD"/>
        </w:rPr>
        <w:t xml:space="preserve"> не применяет эти процедуры</w:t>
      </w:r>
      <w:r w:rsidR="009B3E40" w:rsidRPr="00B13B9A">
        <w:rPr>
          <w:rFonts w:asciiTheme="majorHAnsi" w:eastAsia="Times New Roman" w:hAnsiTheme="majorHAnsi" w:cstheme="majorHAnsi"/>
          <w:iCs/>
          <w:color w:val="000000"/>
          <w:sz w:val="24"/>
          <w:szCs w:val="20"/>
          <w:lang w:val="ro-MD"/>
        </w:rPr>
        <w:t>.</w:t>
      </w:r>
    </w:p>
    <w:p w14:paraId="6E77034B" w14:textId="64D93639" w:rsidR="0075369A" w:rsidRPr="00B13B9A" w:rsidRDefault="00D41C90" w:rsidP="009E24ED">
      <w:pPr>
        <w:pStyle w:val="a7"/>
        <w:spacing w:after="0" w:line="276" w:lineRule="auto"/>
        <w:ind w:left="0"/>
        <w:jc w:val="both"/>
        <w:rPr>
          <w:rFonts w:asciiTheme="majorHAnsi" w:eastAsia="Times New Roman" w:hAnsiTheme="majorHAnsi" w:cstheme="majorHAnsi"/>
          <w:iCs/>
          <w:color w:val="000000"/>
          <w:sz w:val="24"/>
          <w:szCs w:val="20"/>
          <w:lang w:val="ro-MD"/>
        </w:rPr>
      </w:pPr>
      <w:r w:rsidRPr="00D41C90">
        <w:rPr>
          <w:rFonts w:asciiTheme="majorHAnsi" w:eastAsia="Times New Roman" w:hAnsiTheme="majorHAnsi" w:cstheme="majorHAnsi"/>
          <w:iCs/>
          <w:color w:val="000000"/>
          <w:sz w:val="24"/>
          <w:szCs w:val="20"/>
          <w:lang w:val="ro-MD"/>
        </w:rPr>
        <w:t xml:space="preserve">Так, </w:t>
      </w:r>
      <w:r w:rsidR="00C06F7B">
        <w:rPr>
          <w:rFonts w:asciiTheme="majorHAnsi" w:eastAsia="Times New Roman" w:hAnsiTheme="majorHAnsi" w:cstheme="majorHAnsi"/>
          <w:iCs/>
          <w:color w:val="000000"/>
          <w:sz w:val="24"/>
          <w:szCs w:val="20"/>
          <w:lang w:val="ro-MD"/>
        </w:rPr>
        <w:t>ПМСУ</w:t>
      </w:r>
      <w:r w:rsidRPr="00D41C90">
        <w:rPr>
          <w:rFonts w:asciiTheme="majorHAnsi" w:eastAsia="Times New Roman" w:hAnsiTheme="majorHAnsi" w:cstheme="majorHAnsi"/>
          <w:iCs/>
          <w:color w:val="000000"/>
          <w:sz w:val="24"/>
          <w:szCs w:val="20"/>
          <w:lang w:val="ro-MD"/>
        </w:rPr>
        <w:t xml:space="preserve"> не исключила из баланса стоимость приватизированных квартир (путем их </w:t>
      </w:r>
      <w:r w:rsidR="00B0309C" w:rsidRPr="00B0309C">
        <w:rPr>
          <w:rFonts w:asciiTheme="majorHAnsi" w:eastAsia="Times New Roman" w:hAnsiTheme="majorHAnsi" w:cstheme="majorHAnsi"/>
          <w:iCs/>
          <w:color w:val="000000"/>
          <w:sz w:val="24"/>
          <w:szCs w:val="20"/>
          <w:lang w:val="ro-MD"/>
        </w:rPr>
        <w:t xml:space="preserve">переноса на внебалансовый </w:t>
      </w:r>
      <w:r w:rsidRPr="00D41C90">
        <w:rPr>
          <w:rFonts w:asciiTheme="majorHAnsi" w:eastAsia="Times New Roman" w:hAnsiTheme="majorHAnsi" w:cstheme="majorHAnsi"/>
          <w:iCs/>
          <w:color w:val="000000"/>
          <w:sz w:val="24"/>
          <w:szCs w:val="20"/>
          <w:lang w:val="ro-MD"/>
        </w:rPr>
        <w:t xml:space="preserve">учет до передачи на баланс ассоциации собственников </w:t>
      </w:r>
      <w:r w:rsidR="00B0309C" w:rsidRPr="00B0309C">
        <w:rPr>
          <w:rFonts w:asciiTheme="majorHAnsi" w:eastAsia="Times New Roman" w:hAnsiTheme="majorHAnsi" w:cstheme="majorHAnsi"/>
          <w:iCs/>
          <w:color w:val="000000"/>
          <w:sz w:val="24"/>
          <w:szCs w:val="20"/>
          <w:lang w:val="ro-MD"/>
        </w:rPr>
        <w:t xml:space="preserve">в </w:t>
      </w:r>
      <w:r w:rsidRPr="00D41C90">
        <w:rPr>
          <w:rFonts w:asciiTheme="majorHAnsi" w:eastAsia="Times New Roman" w:hAnsiTheme="majorHAnsi" w:cstheme="majorHAnsi"/>
          <w:iCs/>
          <w:color w:val="000000"/>
          <w:sz w:val="24"/>
          <w:szCs w:val="20"/>
          <w:lang w:val="ro-MD"/>
        </w:rPr>
        <w:t>кондоминиум</w:t>
      </w:r>
      <w:r w:rsidR="00B0309C" w:rsidRPr="00B0309C">
        <w:rPr>
          <w:rFonts w:asciiTheme="majorHAnsi" w:eastAsia="Times New Roman" w:hAnsiTheme="majorHAnsi" w:cstheme="majorHAnsi"/>
          <w:iCs/>
          <w:color w:val="000000"/>
          <w:sz w:val="24"/>
          <w:szCs w:val="20"/>
          <w:lang w:val="ro-MD"/>
        </w:rPr>
        <w:t>е</w:t>
      </w:r>
      <w:r w:rsidRPr="00D41C90">
        <w:rPr>
          <w:rFonts w:asciiTheme="majorHAnsi" w:eastAsia="Times New Roman" w:hAnsiTheme="majorHAnsi" w:cstheme="majorHAnsi"/>
          <w:iCs/>
          <w:color w:val="000000"/>
          <w:sz w:val="24"/>
          <w:szCs w:val="20"/>
          <w:lang w:val="ro-MD"/>
        </w:rPr>
        <w:t xml:space="preserve">), </w:t>
      </w:r>
      <w:r w:rsidR="00B0309C" w:rsidRPr="00D41C90">
        <w:rPr>
          <w:rFonts w:asciiTheme="majorHAnsi" w:eastAsia="Times New Roman" w:hAnsiTheme="majorHAnsi" w:cstheme="majorHAnsi"/>
          <w:iCs/>
          <w:color w:val="000000"/>
          <w:sz w:val="24"/>
          <w:szCs w:val="20"/>
          <w:lang w:val="ro-MD"/>
        </w:rPr>
        <w:t xml:space="preserve">увеличив </w:t>
      </w:r>
      <w:r w:rsidRPr="00D41C90">
        <w:rPr>
          <w:rFonts w:asciiTheme="majorHAnsi" w:eastAsia="Times New Roman" w:hAnsiTheme="majorHAnsi" w:cstheme="majorHAnsi"/>
          <w:iCs/>
          <w:color w:val="000000"/>
          <w:sz w:val="24"/>
          <w:szCs w:val="20"/>
          <w:lang w:val="ro-MD"/>
        </w:rPr>
        <w:t>нео</w:t>
      </w:r>
      <w:r w:rsidR="00B0309C" w:rsidRPr="00B0309C">
        <w:rPr>
          <w:rFonts w:asciiTheme="majorHAnsi" w:eastAsia="Times New Roman" w:hAnsiTheme="majorHAnsi" w:cstheme="majorHAnsi"/>
          <w:iCs/>
          <w:color w:val="000000"/>
          <w:sz w:val="24"/>
          <w:szCs w:val="20"/>
          <w:lang w:val="ro-MD"/>
        </w:rPr>
        <w:t>боснов</w:t>
      </w:r>
      <w:r w:rsidRPr="00D41C90">
        <w:rPr>
          <w:rFonts w:asciiTheme="majorHAnsi" w:eastAsia="Times New Roman" w:hAnsiTheme="majorHAnsi" w:cstheme="majorHAnsi"/>
          <w:iCs/>
          <w:color w:val="000000"/>
          <w:sz w:val="24"/>
          <w:szCs w:val="20"/>
          <w:lang w:val="ro-MD"/>
        </w:rPr>
        <w:t xml:space="preserve">анно стоимость имущества, находящегося </w:t>
      </w:r>
      <w:r w:rsidR="00B0309C" w:rsidRPr="00B0309C">
        <w:rPr>
          <w:rFonts w:asciiTheme="majorHAnsi" w:eastAsia="Times New Roman" w:hAnsiTheme="majorHAnsi" w:cstheme="majorHAnsi"/>
          <w:iCs/>
          <w:color w:val="000000"/>
          <w:sz w:val="24"/>
          <w:szCs w:val="20"/>
          <w:lang w:val="ro-MD"/>
        </w:rPr>
        <w:t>в его</w:t>
      </w:r>
      <w:r w:rsidRPr="00D41C90">
        <w:rPr>
          <w:rFonts w:asciiTheme="majorHAnsi" w:eastAsia="Times New Roman" w:hAnsiTheme="majorHAnsi" w:cstheme="majorHAnsi"/>
          <w:iCs/>
          <w:color w:val="000000"/>
          <w:sz w:val="24"/>
          <w:szCs w:val="20"/>
          <w:lang w:val="ro-MD"/>
        </w:rPr>
        <w:t xml:space="preserve"> управлени</w:t>
      </w:r>
      <w:r w:rsidR="00B0309C" w:rsidRPr="00B0309C">
        <w:rPr>
          <w:rFonts w:asciiTheme="majorHAnsi" w:eastAsia="Times New Roman" w:hAnsiTheme="majorHAnsi" w:cstheme="majorHAnsi"/>
          <w:iCs/>
          <w:color w:val="000000"/>
          <w:sz w:val="24"/>
          <w:szCs w:val="20"/>
          <w:lang w:val="ro-MD"/>
        </w:rPr>
        <w:t>и</w:t>
      </w:r>
      <w:r w:rsidRPr="00D41C90">
        <w:rPr>
          <w:rFonts w:asciiTheme="majorHAnsi" w:eastAsia="Times New Roman" w:hAnsiTheme="majorHAnsi" w:cstheme="majorHAnsi"/>
          <w:iCs/>
          <w:color w:val="000000"/>
          <w:sz w:val="24"/>
          <w:szCs w:val="20"/>
          <w:lang w:val="ro-MD"/>
        </w:rPr>
        <w:t>, а также не обеспечи</w:t>
      </w:r>
      <w:r w:rsidR="00B0309C" w:rsidRPr="00B0309C">
        <w:rPr>
          <w:rFonts w:asciiTheme="majorHAnsi" w:eastAsia="Times New Roman" w:hAnsiTheme="majorHAnsi" w:cstheme="majorHAnsi"/>
          <w:iCs/>
          <w:color w:val="000000"/>
          <w:sz w:val="24"/>
          <w:szCs w:val="20"/>
          <w:lang w:val="ro-MD"/>
        </w:rPr>
        <w:t>ло</w:t>
      </w:r>
      <w:r w:rsidRPr="00D41C90">
        <w:rPr>
          <w:rFonts w:asciiTheme="majorHAnsi" w:eastAsia="Times New Roman" w:hAnsiTheme="majorHAnsi" w:cstheme="majorHAnsi"/>
          <w:iCs/>
          <w:color w:val="000000"/>
          <w:sz w:val="24"/>
          <w:szCs w:val="20"/>
          <w:lang w:val="ro-MD"/>
        </w:rPr>
        <w:t xml:space="preserve"> взыскание </w:t>
      </w:r>
      <w:r w:rsidR="00B0309C" w:rsidRPr="00B0309C">
        <w:rPr>
          <w:rFonts w:asciiTheme="majorHAnsi" w:eastAsia="Times New Roman" w:hAnsiTheme="majorHAnsi" w:cstheme="majorHAnsi"/>
          <w:iCs/>
          <w:color w:val="000000"/>
          <w:sz w:val="24"/>
          <w:szCs w:val="20"/>
          <w:lang w:val="ro-MD"/>
        </w:rPr>
        <w:t xml:space="preserve">денежных </w:t>
      </w:r>
      <w:r w:rsidRPr="00D41C90">
        <w:rPr>
          <w:rFonts w:asciiTheme="majorHAnsi" w:eastAsia="Times New Roman" w:hAnsiTheme="majorHAnsi" w:cstheme="majorHAnsi"/>
          <w:iCs/>
          <w:color w:val="000000"/>
          <w:sz w:val="24"/>
          <w:szCs w:val="20"/>
          <w:lang w:val="ro-MD"/>
        </w:rPr>
        <w:t xml:space="preserve">средств </w:t>
      </w:r>
      <w:r w:rsidR="00B0309C" w:rsidRPr="00B0309C">
        <w:rPr>
          <w:rFonts w:asciiTheme="majorHAnsi" w:eastAsia="Times New Roman" w:hAnsiTheme="majorHAnsi" w:cstheme="majorHAnsi"/>
          <w:iCs/>
          <w:color w:val="000000"/>
          <w:sz w:val="24"/>
          <w:szCs w:val="20"/>
          <w:lang w:val="ro-MD"/>
        </w:rPr>
        <w:t>з</w:t>
      </w:r>
      <w:r w:rsidRPr="00D41C90">
        <w:rPr>
          <w:rFonts w:asciiTheme="majorHAnsi" w:eastAsia="Times New Roman" w:hAnsiTheme="majorHAnsi" w:cstheme="majorHAnsi"/>
          <w:iCs/>
          <w:color w:val="000000"/>
          <w:sz w:val="24"/>
          <w:szCs w:val="20"/>
          <w:lang w:val="ro-MD"/>
        </w:rPr>
        <w:t>а аренду неприватизированных квартир</w:t>
      </w:r>
      <w:r w:rsidR="0075369A" w:rsidRPr="00B13B9A">
        <w:rPr>
          <w:rFonts w:asciiTheme="majorHAnsi" w:eastAsia="Times New Roman" w:hAnsiTheme="majorHAnsi" w:cstheme="majorHAnsi"/>
          <w:iCs/>
          <w:color w:val="000000"/>
          <w:sz w:val="24"/>
          <w:szCs w:val="20"/>
          <w:lang w:val="ro-MD"/>
        </w:rPr>
        <w:t xml:space="preserve">. </w:t>
      </w:r>
    </w:p>
    <w:p w14:paraId="66C64409" w14:textId="77777777" w:rsidR="0075369A" w:rsidRPr="00B13B9A" w:rsidRDefault="0075369A" w:rsidP="004150CC">
      <w:pPr>
        <w:shd w:val="clear" w:color="auto" w:fill="FFFFFF"/>
        <w:spacing w:after="0" w:line="276" w:lineRule="auto"/>
        <w:jc w:val="both"/>
        <w:rPr>
          <w:rFonts w:asciiTheme="majorHAnsi" w:eastAsia="Times New Roman" w:hAnsiTheme="majorHAnsi" w:cstheme="majorHAnsi"/>
          <w:iCs/>
          <w:color w:val="000000"/>
          <w:sz w:val="24"/>
          <w:szCs w:val="20"/>
          <w:lang w:val="ro-MD"/>
        </w:rPr>
      </w:pPr>
    </w:p>
    <w:p w14:paraId="5E762C1C" w14:textId="77777777" w:rsidR="00A24FDF" w:rsidRPr="00B13B9A" w:rsidRDefault="00A24FDF" w:rsidP="00A24FDF">
      <w:pPr>
        <w:spacing w:after="0" w:line="276" w:lineRule="auto"/>
        <w:jc w:val="both"/>
        <w:rPr>
          <w:rFonts w:asciiTheme="majorHAnsi" w:hAnsiTheme="majorHAnsi" w:cstheme="majorHAnsi"/>
          <w:b/>
          <w:color w:val="000000" w:themeColor="text1"/>
          <w:sz w:val="24"/>
          <w:szCs w:val="24"/>
          <w:lang w:val="ro-MD"/>
        </w:rPr>
      </w:pPr>
    </w:p>
    <w:p w14:paraId="76871D70" w14:textId="536FED4E" w:rsidR="00792BD5" w:rsidRPr="00B13B9A" w:rsidRDefault="00D41C90" w:rsidP="00B0309C">
      <w:pPr>
        <w:pStyle w:val="cn"/>
        <w:numPr>
          <w:ilvl w:val="2"/>
          <w:numId w:val="10"/>
        </w:numPr>
        <w:spacing w:line="276" w:lineRule="auto"/>
        <w:ind w:left="0" w:right="71" w:firstLine="284"/>
        <w:jc w:val="both"/>
        <w:outlineLvl w:val="2"/>
        <w:rPr>
          <w:rFonts w:asciiTheme="majorHAnsi" w:eastAsiaTheme="minorHAnsi" w:hAnsiTheme="majorHAnsi" w:cstheme="minorHAnsi"/>
          <w:b/>
          <w:lang w:val="ro-MD" w:eastAsia="en-US"/>
        </w:rPr>
      </w:pPr>
      <w:bookmarkStart w:id="23" w:name="_Toc158317229"/>
      <w:r w:rsidRPr="00D41C90">
        <w:rPr>
          <w:rFonts w:asciiTheme="majorHAnsi" w:eastAsiaTheme="minorHAnsi" w:hAnsiTheme="majorHAnsi" w:cstheme="minorHAnsi"/>
          <w:b/>
          <w:lang w:val="ro-MD" w:eastAsia="en-US"/>
        </w:rPr>
        <w:t xml:space="preserve">Процедура передачи земельных участков в хозяйственное управление не была завершена, что не обеспечивает их надлежащий учет, </w:t>
      </w:r>
      <w:r w:rsidR="00B0309C" w:rsidRPr="00B0309C">
        <w:rPr>
          <w:rFonts w:asciiTheme="majorHAnsi" w:eastAsiaTheme="minorHAnsi" w:hAnsiTheme="majorHAnsi" w:cstheme="minorHAnsi"/>
          <w:b/>
          <w:lang w:val="ro-MD" w:eastAsia="en-US"/>
        </w:rPr>
        <w:t>а актуализация</w:t>
      </w:r>
      <w:r w:rsidRPr="00D41C90">
        <w:rPr>
          <w:rFonts w:asciiTheme="majorHAnsi" w:eastAsiaTheme="minorHAnsi" w:hAnsiTheme="majorHAnsi" w:cstheme="minorHAnsi"/>
          <w:b/>
          <w:lang w:val="ro-MD" w:eastAsia="en-US"/>
        </w:rPr>
        <w:t xml:space="preserve"> их стоимости примерно на 102 635,0 тыс. леев не </w:t>
      </w:r>
      <w:r w:rsidR="00B0309C">
        <w:rPr>
          <w:rFonts w:asciiTheme="majorHAnsi" w:eastAsiaTheme="minorHAnsi" w:hAnsiTheme="majorHAnsi" w:cstheme="minorHAnsi"/>
          <w:b/>
          <w:lang w:eastAsia="en-US"/>
        </w:rPr>
        <w:t>была проведена</w:t>
      </w:r>
      <w:r w:rsidR="00792BD5" w:rsidRPr="00B13B9A">
        <w:rPr>
          <w:rFonts w:asciiTheme="majorHAnsi" w:eastAsiaTheme="minorHAnsi" w:hAnsiTheme="majorHAnsi" w:cstheme="minorHAnsi"/>
          <w:b/>
          <w:lang w:val="ro-MD" w:eastAsia="en-US"/>
        </w:rPr>
        <w:t>.</w:t>
      </w:r>
      <w:bookmarkEnd w:id="23"/>
    </w:p>
    <w:p w14:paraId="388147C6" w14:textId="4C86E8CE" w:rsidR="0009703A" w:rsidRPr="00B13B9A" w:rsidRDefault="002A13D1" w:rsidP="0009703A">
      <w:pPr>
        <w:pStyle w:val="cn"/>
        <w:spacing w:line="276" w:lineRule="auto"/>
        <w:ind w:right="71"/>
        <w:jc w:val="both"/>
        <w:rPr>
          <w:rFonts w:asciiTheme="majorHAnsi" w:hAnsiTheme="majorHAnsi" w:cstheme="majorHAnsi"/>
          <w:lang w:val="ro-MD"/>
        </w:rPr>
      </w:pPr>
      <w:r>
        <w:rPr>
          <w:rFonts w:asciiTheme="majorHAnsi" w:hAnsiTheme="majorHAnsi" w:cstheme="majorHAnsi"/>
        </w:rPr>
        <w:t xml:space="preserve">На балансе </w:t>
      </w:r>
      <w:r w:rsidR="00400E8D">
        <w:rPr>
          <w:rFonts w:asciiTheme="majorHAnsi" w:hAnsiTheme="majorHAnsi" w:cstheme="majorHAnsi"/>
          <w:lang w:val="ro-MD"/>
        </w:rPr>
        <w:t>ПМСУ ИФП</w:t>
      </w:r>
      <w:r w:rsidR="00D41C90" w:rsidRPr="00D41C90">
        <w:rPr>
          <w:rFonts w:asciiTheme="majorHAnsi" w:hAnsiTheme="majorHAnsi" w:cstheme="majorHAnsi"/>
          <w:lang w:val="ro-MD"/>
        </w:rPr>
        <w:t xml:space="preserve"> „Кирилл Драганюк” </w:t>
      </w:r>
      <w:r>
        <w:rPr>
          <w:rFonts w:asciiTheme="majorHAnsi" w:hAnsiTheme="majorHAnsi" w:cstheme="majorHAnsi"/>
        </w:rPr>
        <w:t>числятся</w:t>
      </w:r>
      <w:r w:rsidR="00D41C90" w:rsidRPr="00D41C90">
        <w:rPr>
          <w:rFonts w:asciiTheme="majorHAnsi" w:hAnsiTheme="majorHAnsi" w:cstheme="majorHAnsi"/>
          <w:lang w:val="ro-MD"/>
        </w:rPr>
        <w:t xml:space="preserve"> 9 </w:t>
      </w:r>
      <w:r w:rsidR="00B0309C">
        <w:rPr>
          <w:rFonts w:asciiTheme="majorHAnsi" w:hAnsiTheme="majorHAnsi" w:cstheme="majorHAnsi"/>
          <w:lang w:val="ro-MD"/>
        </w:rPr>
        <w:t>земельны</w:t>
      </w:r>
      <w:r>
        <w:rPr>
          <w:rFonts w:asciiTheme="majorHAnsi" w:hAnsiTheme="majorHAnsi" w:cstheme="majorHAnsi"/>
        </w:rPr>
        <w:t>х</w:t>
      </w:r>
      <w:r w:rsidR="00B0309C">
        <w:rPr>
          <w:rFonts w:asciiTheme="majorHAnsi" w:hAnsiTheme="majorHAnsi" w:cstheme="majorHAnsi"/>
          <w:lang w:val="ro-MD"/>
        </w:rPr>
        <w:t xml:space="preserve"> участк</w:t>
      </w:r>
      <w:r>
        <w:rPr>
          <w:rFonts w:asciiTheme="majorHAnsi" w:hAnsiTheme="majorHAnsi" w:cstheme="majorHAnsi"/>
        </w:rPr>
        <w:t>ов</w:t>
      </w:r>
      <w:r w:rsidR="00D41C90" w:rsidRPr="00D41C90">
        <w:rPr>
          <w:rFonts w:asciiTheme="majorHAnsi" w:hAnsiTheme="majorHAnsi" w:cstheme="majorHAnsi"/>
          <w:lang w:val="ro-MD"/>
        </w:rPr>
        <w:t xml:space="preserve"> на общую сумму 8 088,9 тыс. леев, общей площадью 47,68 га, из которых 2 сельхозугодья, 2 </w:t>
      </w:r>
      <w:r w:rsidR="00B0309C">
        <w:rPr>
          <w:rFonts w:asciiTheme="majorHAnsi" w:hAnsiTheme="majorHAnsi" w:cstheme="majorHAnsi"/>
          <w:lang w:val="ro-MD"/>
        </w:rPr>
        <w:t>земельны</w:t>
      </w:r>
      <w:r>
        <w:rPr>
          <w:rFonts w:asciiTheme="majorHAnsi" w:hAnsiTheme="majorHAnsi" w:cstheme="majorHAnsi"/>
        </w:rPr>
        <w:t>х</w:t>
      </w:r>
      <w:r w:rsidR="00B0309C">
        <w:rPr>
          <w:rFonts w:asciiTheme="majorHAnsi" w:hAnsiTheme="majorHAnsi" w:cstheme="majorHAnsi"/>
          <w:lang w:val="ro-MD"/>
        </w:rPr>
        <w:t xml:space="preserve"> участка</w:t>
      </w:r>
      <w:r w:rsidR="00D41C90" w:rsidRPr="00D41C90">
        <w:rPr>
          <w:rFonts w:asciiTheme="majorHAnsi" w:hAnsiTheme="majorHAnsi" w:cstheme="majorHAnsi"/>
          <w:lang w:val="ro-MD"/>
        </w:rPr>
        <w:t xml:space="preserve"> с артезианскими </w:t>
      </w:r>
      <w:r>
        <w:rPr>
          <w:rFonts w:asciiTheme="majorHAnsi" w:hAnsiTheme="majorHAnsi" w:cstheme="majorHAnsi"/>
        </w:rPr>
        <w:t>скважин</w:t>
      </w:r>
      <w:r w:rsidR="00D41C90" w:rsidRPr="00D41C90">
        <w:rPr>
          <w:rFonts w:asciiTheme="majorHAnsi" w:hAnsiTheme="majorHAnsi" w:cstheme="majorHAnsi"/>
          <w:lang w:val="ro-MD"/>
        </w:rPr>
        <w:t xml:space="preserve">ами и 5 </w:t>
      </w:r>
      <w:r w:rsidR="00B0309C">
        <w:rPr>
          <w:rFonts w:asciiTheme="majorHAnsi" w:hAnsiTheme="majorHAnsi" w:cstheme="majorHAnsi"/>
          <w:lang w:val="ro-MD"/>
        </w:rPr>
        <w:t>земельны</w:t>
      </w:r>
      <w:r>
        <w:rPr>
          <w:rFonts w:asciiTheme="majorHAnsi" w:hAnsiTheme="majorHAnsi" w:cstheme="majorHAnsi"/>
        </w:rPr>
        <w:t>х</w:t>
      </w:r>
      <w:r w:rsidR="00B0309C">
        <w:rPr>
          <w:rFonts w:asciiTheme="majorHAnsi" w:hAnsiTheme="majorHAnsi" w:cstheme="majorHAnsi"/>
          <w:lang w:val="ro-MD"/>
        </w:rPr>
        <w:t xml:space="preserve"> участка</w:t>
      </w:r>
      <w:r w:rsidR="00D41C90" w:rsidRPr="00D41C90">
        <w:rPr>
          <w:rFonts w:asciiTheme="majorHAnsi" w:hAnsiTheme="majorHAnsi" w:cstheme="majorHAnsi"/>
          <w:lang w:val="ro-MD"/>
        </w:rPr>
        <w:t xml:space="preserve">, на которых расположены </w:t>
      </w:r>
      <w:r>
        <w:rPr>
          <w:rFonts w:asciiTheme="majorHAnsi" w:hAnsiTheme="majorHAnsi" w:cstheme="majorHAnsi"/>
        </w:rPr>
        <w:t>строе</w:t>
      </w:r>
      <w:r w:rsidR="00D41C90" w:rsidRPr="00D41C90">
        <w:rPr>
          <w:rFonts w:asciiTheme="majorHAnsi" w:hAnsiTheme="majorHAnsi" w:cstheme="majorHAnsi"/>
          <w:lang w:val="ro-MD"/>
        </w:rPr>
        <w:t xml:space="preserve">ния. В контексте разграничения </w:t>
      </w:r>
      <w:r>
        <w:rPr>
          <w:rFonts w:asciiTheme="majorHAnsi" w:hAnsiTheme="majorHAnsi" w:cstheme="majorHAnsi"/>
        </w:rPr>
        <w:t>публич</w:t>
      </w:r>
      <w:r w:rsidR="00D41C90" w:rsidRPr="00D41C90">
        <w:rPr>
          <w:rFonts w:asciiTheme="majorHAnsi" w:hAnsiTheme="majorHAnsi" w:cstheme="majorHAnsi"/>
          <w:lang w:val="ro-MD"/>
        </w:rPr>
        <w:t>ной собственности</w:t>
      </w:r>
      <w:r>
        <w:rPr>
          <w:rFonts w:asciiTheme="majorHAnsi" w:hAnsiTheme="majorHAnsi" w:cstheme="majorHAnsi"/>
        </w:rPr>
        <w:t>,</w:t>
      </w:r>
      <w:r w:rsidR="00D41C90" w:rsidRPr="00D41C90">
        <w:rPr>
          <w:rFonts w:asciiTheme="majorHAnsi" w:hAnsiTheme="majorHAnsi" w:cstheme="majorHAnsi"/>
          <w:lang w:val="ro-MD"/>
        </w:rPr>
        <w:t xml:space="preserve"> в 2019 году было </w:t>
      </w:r>
      <w:r>
        <w:rPr>
          <w:rFonts w:asciiTheme="majorHAnsi" w:hAnsiTheme="majorHAnsi" w:cstheme="majorHAnsi"/>
        </w:rPr>
        <w:t>утвержд</w:t>
      </w:r>
      <w:r w:rsidR="00D41C90" w:rsidRPr="00D41C90">
        <w:rPr>
          <w:rFonts w:asciiTheme="majorHAnsi" w:hAnsiTheme="majorHAnsi" w:cstheme="majorHAnsi"/>
          <w:lang w:val="ro-MD"/>
        </w:rPr>
        <w:t xml:space="preserve">ено </w:t>
      </w:r>
      <w:r>
        <w:rPr>
          <w:rFonts w:asciiTheme="majorHAnsi" w:hAnsiTheme="majorHAnsi" w:cstheme="majorHAnsi"/>
        </w:rPr>
        <w:t>П</w:t>
      </w:r>
      <w:r w:rsidR="00D41C90" w:rsidRPr="00D41C90">
        <w:rPr>
          <w:rFonts w:asciiTheme="majorHAnsi" w:hAnsiTheme="majorHAnsi" w:cstheme="majorHAnsi"/>
          <w:lang w:val="ro-MD"/>
        </w:rPr>
        <w:t xml:space="preserve">остановление </w:t>
      </w:r>
      <w:r>
        <w:rPr>
          <w:rFonts w:asciiTheme="majorHAnsi" w:hAnsiTheme="majorHAnsi" w:cstheme="majorHAnsi"/>
        </w:rPr>
        <w:t>П</w:t>
      </w:r>
      <w:r w:rsidR="00D41C90" w:rsidRPr="00D41C90">
        <w:rPr>
          <w:rFonts w:asciiTheme="majorHAnsi" w:hAnsiTheme="majorHAnsi" w:cstheme="majorHAnsi"/>
          <w:lang w:val="ro-MD"/>
        </w:rPr>
        <w:t>равительства</w:t>
      </w:r>
      <w:r w:rsidRPr="00B13B9A">
        <w:rPr>
          <w:rFonts w:asciiTheme="majorHAnsi" w:hAnsiTheme="majorHAnsi" w:cstheme="majorHAnsi"/>
          <w:sz w:val="20"/>
          <w:vertAlign w:val="superscript"/>
          <w:lang w:val="ro-MD"/>
        </w:rPr>
        <w:footnoteReference w:id="23"/>
      </w:r>
      <w:r w:rsidR="00D41C90" w:rsidRPr="00D41C90">
        <w:rPr>
          <w:rFonts w:asciiTheme="majorHAnsi" w:hAnsiTheme="majorHAnsi" w:cstheme="majorHAnsi"/>
          <w:lang w:val="ro-MD"/>
        </w:rPr>
        <w:t xml:space="preserve">, предусматривающее передачу </w:t>
      </w:r>
      <w:r w:rsidRPr="00F672E7">
        <w:rPr>
          <w:rFonts w:asciiTheme="majorHAnsi" w:hAnsiTheme="majorHAnsi" w:cstheme="majorHAnsi"/>
          <w:color w:val="333333"/>
          <w:shd w:val="clear" w:color="auto" w:fill="FFFFFF"/>
        </w:rPr>
        <w:t>земельных участков публичной собственности государства</w:t>
      </w:r>
      <w:r w:rsidRPr="00F672E7">
        <w:rPr>
          <w:rFonts w:asciiTheme="majorHAnsi" w:hAnsiTheme="majorHAnsi" w:cstheme="majorHAnsi"/>
        </w:rPr>
        <w:t xml:space="preserve"> из</w:t>
      </w:r>
      <w:r w:rsidR="00D41C90" w:rsidRPr="00F672E7">
        <w:rPr>
          <w:rFonts w:asciiTheme="majorHAnsi" w:hAnsiTheme="majorHAnsi" w:cstheme="majorHAnsi"/>
          <w:lang w:val="ro-MD"/>
        </w:rPr>
        <w:t xml:space="preserve"> управления </w:t>
      </w:r>
      <w:r w:rsidRPr="00F672E7">
        <w:rPr>
          <w:rFonts w:asciiTheme="majorHAnsi" w:hAnsiTheme="majorHAnsi" w:cstheme="majorHAnsi"/>
          <w:color w:val="333333"/>
          <w:shd w:val="clear" w:color="auto" w:fill="FFFFFF"/>
        </w:rPr>
        <w:t>государственных публичных учреждений, в управлении/ведении которых находятся земельные участки публичной собственности государства, в управление Агентства публичной собственности</w:t>
      </w:r>
      <w:r w:rsidR="00D41C90" w:rsidRPr="00D41C90">
        <w:rPr>
          <w:rFonts w:asciiTheme="majorHAnsi" w:hAnsiTheme="majorHAnsi" w:cstheme="majorHAnsi"/>
          <w:lang w:val="ro-MD"/>
        </w:rPr>
        <w:t xml:space="preserve">. Так, из 9 земельных участков, всего </w:t>
      </w:r>
      <w:r w:rsidR="00F672E7">
        <w:rPr>
          <w:rFonts w:asciiTheme="majorHAnsi" w:hAnsiTheme="majorHAnsi" w:cstheme="majorHAnsi"/>
        </w:rPr>
        <w:t>для</w:t>
      </w:r>
      <w:r w:rsidR="00D41C90" w:rsidRPr="00D41C90">
        <w:rPr>
          <w:rFonts w:asciiTheme="majorHAnsi" w:hAnsiTheme="majorHAnsi" w:cstheme="majorHAnsi"/>
          <w:lang w:val="ro-MD"/>
        </w:rPr>
        <w:t xml:space="preserve"> 7 земельных участков, расположенных в с. Ворничень, в феврале 2023 года были </w:t>
      </w:r>
      <w:r w:rsidR="00F672E7">
        <w:rPr>
          <w:rFonts w:asciiTheme="majorHAnsi" w:hAnsiTheme="majorHAnsi" w:cstheme="majorHAnsi"/>
        </w:rPr>
        <w:t>составле</w:t>
      </w:r>
      <w:r w:rsidR="00D41C90" w:rsidRPr="00D41C90">
        <w:rPr>
          <w:rFonts w:asciiTheme="majorHAnsi" w:hAnsiTheme="majorHAnsi" w:cstheme="majorHAnsi"/>
          <w:lang w:val="ro-MD"/>
        </w:rPr>
        <w:t xml:space="preserve">ны акты приема-передачи </w:t>
      </w:r>
      <w:r w:rsidR="00F672E7">
        <w:rPr>
          <w:rFonts w:asciiTheme="majorHAnsi" w:hAnsiTheme="majorHAnsi" w:cstheme="majorHAnsi"/>
        </w:rPr>
        <w:t>АПС</w:t>
      </w:r>
      <w:r w:rsidR="00D41C90" w:rsidRPr="00D41C90">
        <w:rPr>
          <w:rFonts w:asciiTheme="majorHAnsi" w:hAnsiTheme="majorHAnsi" w:cstheme="majorHAnsi"/>
          <w:lang w:val="ro-MD"/>
        </w:rPr>
        <w:t xml:space="preserve">. В то же время, согласно нормам, процесс разграничения недвижимого имущества </w:t>
      </w:r>
      <w:r w:rsidR="00F672E7" w:rsidRPr="00F672E7">
        <w:rPr>
          <w:rFonts w:asciiTheme="majorHAnsi" w:hAnsiTheme="majorHAnsi" w:cstheme="majorHAnsi"/>
          <w:color w:val="333333"/>
          <w:shd w:val="clear" w:color="auto" w:fill="FFFFFF"/>
        </w:rPr>
        <w:t>публичной собственности</w:t>
      </w:r>
      <w:r w:rsidR="00D41C90" w:rsidRPr="00D41C90">
        <w:rPr>
          <w:rFonts w:asciiTheme="majorHAnsi" w:hAnsiTheme="majorHAnsi" w:cstheme="majorHAnsi"/>
          <w:lang w:val="ro-MD"/>
        </w:rPr>
        <w:t xml:space="preserve"> завершается регистрацией права собственности на него и соответствующ</w:t>
      </w:r>
      <w:r w:rsidR="00F672E7">
        <w:rPr>
          <w:rFonts w:asciiTheme="majorHAnsi" w:hAnsiTheme="majorHAnsi" w:cstheme="majorHAnsi"/>
        </w:rPr>
        <w:t>е</w:t>
      </w:r>
      <w:r w:rsidR="00D41C90" w:rsidRPr="00D41C90">
        <w:rPr>
          <w:rFonts w:asciiTheme="majorHAnsi" w:hAnsiTheme="majorHAnsi" w:cstheme="majorHAnsi"/>
          <w:lang w:val="ro-MD"/>
        </w:rPr>
        <w:t xml:space="preserve">й </w:t>
      </w:r>
      <w:r w:rsidR="00F672E7">
        <w:rPr>
          <w:rFonts w:asciiTheme="majorHAnsi" w:hAnsiTheme="majorHAnsi" w:cstheme="majorHAnsi"/>
        </w:rPr>
        <w:t>сферы</w:t>
      </w:r>
      <w:r w:rsidR="00D41C90" w:rsidRPr="00D41C90">
        <w:rPr>
          <w:rFonts w:asciiTheme="majorHAnsi" w:hAnsiTheme="majorHAnsi" w:cstheme="majorHAnsi"/>
          <w:lang w:val="ro-MD"/>
        </w:rPr>
        <w:t xml:space="preserve"> в </w:t>
      </w:r>
      <w:r w:rsidR="00F672E7">
        <w:rPr>
          <w:rFonts w:asciiTheme="majorHAnsi" w:hAnsiTheme="majorHAnsi" w:cstheme="majorHAnsi"/>
        </w:rPr>
        <w:t>Р</w:t>
      </w:r>
      <w:r w:rsidR="00D41C90" w:rsidRPr="00D41C90">
        <w:rPr>
          <w:rFonts w:asciiTheme="majorHAnsi" w:hAnsiTheme="majorHAnsi" w:cstheme="majorHAnsi"/>
          <w:lang w:val="ro-MD"/>
        </w:rPr>
        <w:t xml:space="preserve">еестре недвижимого имущества или в </w:t>
      </w:r>
      <w:r w:rsidR="00F672E7">
        <w:rPr>
          <w:rFonts w:asciiTheme="majorHAnsi" w:hAnsiTheme="majorHAnsi" w:cstheme="majorHAnsi"/>
        </w:rPr>
        <w:t>Р</w:t>
      </w:r>
      <w:r w:rsidR="00D41C90" w:rsidRPr="00D41C90">
        <w:rPr>
          <w:rFonts w:asciiTheme="majorHAnsi" w:hAnsiTheme="majorHAnsi" w:cstheme="majorHAnsi"/>
          <w:lang w:val="ro-MD"/>
        </w:rPr>
        <w:t xml:space="preserve">еестре </w:t>
      </w:r>
      <w:r w:rsidR="00F672E7">
        <w:rPr>
          <w:rFonts w:asciiTheme="majorHAnsi" w:hAnsiTheme="majorHAnsi" w:cstheme="majorHAnsi"/>
          <w:lang w:val="ro-MD"/>
        </w:rPr>
        <w:t>объектов инженерно-технической</w:t>
      </w:r>
      <w:r w:rsidR="00D41C90" w:rsidRPr="00D41C90">
        <w:rPr>
          <w:rFonts w:asciiTheme="majorHAnsi" w:hAnsiTheme="majorHAnsi" w:cstheme="majorHAnsi"/>
          <w:lang w:val="ro-MD"/>
        </w:rPr>
        <w:t xml:space="preserve"> инфраструктуры</w:t>
      </w:r>
      <w:r w:rsidR="00F672E7" w:rsidRPr="00B13B9A">
        <w:rPr>
          <w:rFonts w:asciiTheme="majorHAnsi" w:hAnsiTheme="majorHAnsi" w:cstheme="majorHAnsi"/>
          <w:shd w:val="clear" w:color="auto" w:fill="FFFFFF"/>
          <w:vertAlign w:val="superscript"/>
          <w:lang w:val="ro-MD"/>
        </w:rPr>
        <w:footnoteReference w:id="24"/>
      </w:r>
      <w:r w:rsidR="00D41C90" w:rsidRPr="00D41C90">
        <w:rPr>
          <w:rFonts w:asciiTheme="majorHAnsi" w:hAnsiTheme="majorHAnsi" w:cstheme="majorHAnsi"/>
          <w:lang w:val="ro-MD"/>
        </w:rPr>
        <w:t>. Аудит отмечает, что для переда</w:t>
      </w:r>
      <w:r w:rsidR="00F672E7" w:rsidRPr="00F672E7">
        <w:rPr>
          <w:rFonts w:asciiTheme="majorHAnsi" w:hAnsiTheme="majorHAnsi" w:cstheme="majorHAnsi"/>
          <w:lang w:val="ro-MD"/>
        </w:rPr>
        <w:t>нн</w:t>
      </w:r>
      <w:r w:rsidR="00D41C90" w:rsidRPr="00D41C90">
        <w:rPr>
          <w:rFonts w:asciiTheme="majorHAnsi" w:hAnsiTheme="majorHAnsi" w:cstheme="majorHAnsi"/>
          <w:lang w:val="ro-MD"/>
        </w:rPr>
        <w:t>ых земель</w:t>
      </w:r>
      <w:r w:rsidR="00F672E7" w:rsidRPr="00F672E7">
        <w:rPr>
          <w:rFonts w:asciiTheme="majorHAnsi" w:hAnsiTheme="majorHAnsi" w:cstheme="majorHAnsi"/>
          <w:lang w:val="ro-MD"/>
        </w:rPr>
        <w:t>ных участков</w:t>
      </w:r>
      <w:r w:rsidR="00D41C90" w:rsidRPr="00D41C90">
        <w:rPr>
          <w:rFonts w:asciiTheme="majorHAnsi" w:hAnsiTheme="majorHAnsi" w:cstheme="majorHAnsi"/>
          <w:lang w:val="ro-MD"/>
        </w:rPr>
        <w:t xml:space="preserve"> </w:t>
      </w:r>
      <w:r w:rsidR="00C06F7B" w:rsidRPr="00C06F7B">
        <w:rPr>
          <w:rFonts w:asciiTheme="majorHAnsi" w:hAnsiTheme="majorHAnsi" w:cstheme="majorHAnsi"/>
          <w:lang w:val="ro-MD"/>
        </w:rPr>
        <w:t>АПС</w:t>
      </w:r>
      <w:r w:rsidR="00D41C90" w:rsidRPr="00D41C90">
        <w:rPr>
          <w:rFonts w:asciiTheme="majorHAnsi" w:hAnsiTheme="majorHAnsi" w:cstheme="majorHAnsi"/>
          <w:lang w:val="ro-MD"/>
        </w:rPr>
        <w:t xml:space="preserve"> не заключило с </w:t>
      </w:r>
      <w:r w:rsidR="00C06F7B">
        <w:rPr>
          <w:rFonts w:asciiTheme="majorHAnsi" w:hAnsiTheme="majorHAnsi" w:cstheme="majorHAnsi"/>
          <w:lang w:val="ro-MD"/>
        </w:rPr>
        <w:t>ПМСУ</w:t>
      </w:r>
      <w:r w:rsidR="00D41C90" w:rsidRPr="00D41C90">
        <w:rPr>
          <w:rFonts w:asciiTheme="majorHAnsi" w:hAnsiTheme="majorHAnsi" w:cstheme="majorHAnsi"/>
          <w:lang w:val="ro-MD"/>
        </w:rPr>
        <w:t xml:space="preserve"> договоры </w:t>
      </w:r>
      <w:r w:rsidR="00F672E7" w:rsidRPr="00F672E7">
        <w:rPr>
          <w:rFonts w:asciiTheme="majorHAnsi" w:hAnsiTheme="majorHAnsi" w:cstheme="majorHAnsi"/>
          <w:lang w:val="ro-MD"/>
        </w:rPr>
        <w:t>безвозмездного пользования</w:t>
      </w:r>
      <w:r w:rsidR="0009703A" w:rsidRPr="00B13B9A">
        <w:rPr>
          <w:rFonts w:asciiTheme="majorHAnsi" w:hAnsiTheme="majorHAnsi" w:cstheme="majorHAnsi"/>
          <w:lang w:val="ro-MD"/>
        </w:rPr>
        <w:t>.</w:t>
      </w:r>
    </w:p>
    <w:p w14:paraId="52AB5AF5" w14:textId="2FFC8EB0" w:rsidR="0009703A" w:rsidRPr="00B13B9A" w:rsidRDefault="00D41C90" w:rsidP="0009703A">
      <w:pPr>
        <w:spacing w:after="0" w:line="276" w:lineRule="auto"/>
        <w:ind w:right="71"/>
        <w:jc w:val="both"/>
        <w:rPr>
          <w:rFonts w:asciiTheme="majorHAnsi" w:eastAsia="Times New Roman" w:hAnsiTheme="majorHAnsi" w:cstheme="majorHAnsi"/>
          <w:sz w:val="24"/>
          <w:szCs w:val="24"/>
          <w:shd w:val="clear" w:color="auto" w:fill="FFFFFF"/>
          <w:lang w:val="ro-MD" w:eastAsia="ru-RU"/>
        </w:rPr>
      </w:pPr>
      <w:r w:rsidRPr="00D41C90">
        <w:rPr>
          <w:rFonts w:asciiTheme="majorHAnsi" w:eastAsia="Times New Roman" w:hAnsiTheme="majorHAnsi" w:cstheme="majorHAnsi"/>
          <w:sz w:val="24"/>
          <w:szCs w:val="24"/>
          <w:shd w:val="clear" w:color="auto" w:fill="FFFFFF"/>
          <w:lang w:val="ro-MD" w:eastAsia="ru-RU"/>
        </w:rPr>
        <w:t xml:space="preserve">Для 2 земельных участков, расположенных в </w:t>
      </w:r>
      <w:r w:rsidR="00F672E7">
        <w:rPr>
          <w:rFonts w:asciiTheme="majorHAnsi" w:eastAsia="Times New Roman" w:hAnsiTheme="majorHAnsi" w:cstheme="majorHAnsi"/>
          <w:sz w:val="24"/>
          <w:szCs w:val="24"/>
          <w:shd w:val="clear" w:color="auto" w:fill="FFFFFF"/>
          <w:lang w:val="ru-RU" w:eastAsia="ru-RU"/>
        </w:rPr>
        <w:t>м</w:t>
      </w:r>
      <w:r w:rsidRPr="00D41C90">
        <w:rPr>
          <w:rFonts w:asciiTheme="majorHAnsi" w:eastAsia="Times New Roman" w:hAnsiTheme="majorHAnsi" w:cstheme="majorHAnsi"/>
          <w:sz w:val="24"/>
          <w:szCs w:val="24"/>
          <w:shd w:val="clear" w:color="auto" w:fill="FFFFFF"/>
          <w:lang w:val="ro-MD" w:eastAsia="ru-RU"/>
        </w:rPr>
        <w:t>ун. Кишинэу</w:t>
      </w:r>
      <w:r w:rsidR="00F672E7">
        <w:rPr>
          <w:rFonts w:asciiTheme="majorHAnsi" w:eastAsia="Times New Roman" w:hAnsiTheme="majorHAnsi" w:cstheme="majorHAnsi"/>
          <w:sz w:val="24"/>
          <w:szCs w:val="24"/>
          <w:shd w:val="clear" w:color="auto" w:fill="FFFFFF"/>
          <w:lang w:val="ru-RU" w:eastAsia="ru-RU"/>
        </w:rPr>
        <w:t>,</w:t>
      </w:r>
      <w:r w:rsidRPr="00D41C90">
        <w:rPr>
          <w:rFonts w:asciiTheme="majorHAnsi" w:eastAsia="Times New Roman" w:hAnsiTheme="majorHAnsi" w:cstheme="majorHAnsi"/>
          <w:sz w:val="24"/>
          <w:szCs w:val="24"/>
          <w:shd w:val="clear" w:color="auto" w:fill="FFFFFF"/>
          <w:lang w:val="ro-MD" w:eastAsia="ru-RU"/>
        </w:rPr>
        <w:t xml:space="preserve"> на общую сумму 7 637,3 тыс. леев и площадь</w:t>
      </w:r>
      <w:r w:rsidR="00F672E7">
        <w:rPr>
          <w:rFonts w:asciiTheme="majorHAnsi" w:eastAsia="Times New Roman" w:hAnsiTheme="majorHAnsi" w:cstheme="majorHAnsi"/>
          <w:sz w:val="24"/>
          <w:szCs w:val="24"/>
          <w:shd w:val="clear" w:color="auto" w:fill="FFFFFF"/>
          <w:lang w:val="ru-RU" w:eastAsia="ru-RU"/>
        </w:rPr>
        <w:t>ю</w:t>
      </w:r>
      <w:r w:rsidRPr="00D41C90">
        <w:rPr>
          <w:rFonts w:asciiTheme="majorHAnsi" w:eastAsia="Times New Roman" w:hAnsiTheme="majorHAnsi" w:cstheme="majorHAnsi"/>
          <w:sz w:val="24"/>
          <w:szCs w:val="24"/>
          <w:shd w:val="clear" w:color="auto" w:fill="FFFFFF"/>
          <w:lang w:val="ro-MD" w:eastAsia="ru-RU"/>
        </w:rPr>
        <w:t xml:space="preserve"> 2,79 га не были оформлены необходимые документы для передачи </w:t>
      </w:r>
      <w:r w:rsidR="00F672E7">
        <w:rPr>
          <w:rFonts w:asciiTheme="majorHAnsi" w:eastAsia="Times New Roman" w:hAnsiTheme="majorHAnsi" w:cstheme="majorHAnsi"/>
          <w:sz w:val="24"/>
          <w:szCs w:val="24"/>
          <w:shd w:val="clear" w:color="auto" w:fill="FFFFFF"/>
          <w:lang w:val="ru-RU" w:eastAsia="ru-RU"/>
        </w:rPr>
        <w:t>АПС</w:t>
      </w:r>
      <w:r w:rsidRPr="00D41C90">
        <w:rPr>
          <w:rFonts w:asciiTheme="majorHAnsi" w:eastAsia="Times New Roman" w:hAnsiTheme="majorHAnsi" w:cstheme="majorHAnsi"/>
          <w:sz w:val="24"/>
          <w:szCs w:val="24"/>
          <w:shd w:val="clear" w:color="auto" w:fill="FFFFFF"/>
          <w:lang w:val="ro-MD" w:eastAsia="ru-RU"/>
        </w:rPr>
        <w:t xml:space="preserve"> и н</w:t>
      </w:r>
      <w:r w:rsidR="00F672E7">
        <w:rPr>
          <w:rFonts w:asciiTheme="majorHAnsi" w:eastAsia="Times New Roman" w:hAnsiTheme="majorHAnsi" w:cstheme="majorHAnsi"/>
          <w:sz w:val="24"/>
          <w:szCs w:val="24"/>
          <w:shd w:val="clear" w:color="auto" w:fill="FFFFFF"/>
          <w:lang w:val="ru-RU" w:eastAsia="ru-RU"/>
        </w:rPr>
        <w:t>адлежаще</w:t>
      </w:r>
      <w:r w:rsidRPr="00D41C90">
        <w:rPr>
          <w:rFonts w:asciiTheme="majorHAnsi" w:eastAsia="Times New Roman" w:hAnsiTheme="majorHAnsi" w:cstheme="majorHAnsi"/>
          <w:sz w:val="24"/>
          <w:szCs w:val="24"/>
          <w:shd w:val="clear" w:color="auto" w:fill="FFFFFF"/>
          <w:lang w:val="ro-MD" w:eastAsia="ru-RU"/>
        </w:rPr>
        <w:t xml:space="preserve">й регистрации в кадастровых органах прав на </w:t>
      </w:r>
      <w:r w:rsidR="00F672E7">
        <w:rPr>
          <w:rFonts w:asciiTheme="majorHAnsi" w:eastAsia="Times New Roman" w:hAnsiTheme="majorHAnsi" w:cstheme="majorHAnsi"/>
          <w:sz w:val="24"/>
          <w:szCs w:val="24"/>
          <w:shd w:val="clear" w:color="auto" w:fill="FFFFFF"/>
          <w:lang w:val="ru-RU" w:eastAsia="ru-RU"/>
        </w:rPr>
        <w:t>их администрирование</w:t>
      </w:r>
      <w:r w:rsidRPr="00D41C90">
        <w:rPr>
          <w:rFonts w:asciiTheme="majorHAnsi" w:eastAsia="Times New Roman" w:hAnsiTheme="majorHAnsi" w:cstheme="majorHAnsi"/>
          <w:sz w:val="24"/>
          <w:szCs w:val="24"/>
          <w:shd w:val="clear" w:color="auto" w:fill="FFFFFF"/>
          <w:lang w:val="ro-MD" w:eastAsia="ru-RU"/>
        </w:rPr>
        <w:t xml:space="preserve"> и управление</w:t>
      </w:r>
      <w:r w:rsidR="002860CE" w:rsidRPr="00B13B9A">
        <w:rPr>
          <w:rFonts w:asciiTheme="majorHAnsi" w:eastAsia="Times New Roman" w:hAnsiTheme="majorHAnsi" w:cstheme="majorHAnsi"/>
          <w:sz w:val="24"/>
          <w:szCs w:val="24"/>
          <w:shd w:val="clear" w:color="auto" w:fill="FFFFFF"/>
          <w:lang w:val="ro-MD" w:eastAsia="ru-RU"/>
        </w:rPr>
        <w:t>.</w:t>
      </w:r>
    </w:p>
    <w:p w14:paraId="1B5E0330" w14:textId="2949131C" w:rsidR="00D41C90" w:rsidRPr="00D41C90" w:rsidRDefault="00D41C90" w:rsidP="00D41C90">
      <w:pPr>
        <w:spacing w:after="0" w:line="276" w:lineRule="auto"/>
        <w:ind w:right="71"/>
        <w:jc w:val="both"/>
        <w:rPr>
          <w:rFonts w:asciiTheme="majorHAnsi" w:eastAsia="Times New Roman" w:hAnsiTheme="majorHAnsi" w:cstheme="majorHAnsi"/>
          <w:sz w:val="24"/>
          <w:szCs w:val="24"/>
          <w:shd w:val="clear" w:color="auto" w:fill="FFFFFF"/>
          <w:lang w:val="ro-MD" w:eastAsia="ru-RU"/>
        </w:rPr>
      </w:pPr>
      <w:r w:rsidRPr="00D41C90">
        <w:rPr>
          <w:rFonts w:asciiTheme="majorHAnsi" w:eastAsia="Times New Roman" w:hAnsiTheme="majorHAnsi" w:cstheme="majorHAnsi"/>
          <w:sz w:val="24"/>
          <w:szCs w:val="24"/>
          <w:shd w:val="clear" w:color="auto" w:fill="FFFFFF"/>
          <w:lang w:val="ro-MD" w:eastAsia="ru-RU"/>
        </w:rPr>
        <w:t xml:space="preserve">Более того, </w:t>
      </w:r>
      <w:r w:rsidR="00C06F7B">
        <w:rPr>
          <w:rFonts w:asciiTheme="majorHAnsi" w:eastAsia="Times New Roman" w:hAnsiTheme="majorHAnsi" w:cstheme="majorHAnsi"/>
          <w:sz w:val="24"/>
          <w:szCs w:val="24"/>
          <w:shd w:val="clear" w:color="auto" w:fill="FFFFFF"/>
          <w:lang w:val="ro-MD" w:eastAsia="ru-RU"/>
        </w:rPr>
        <w:t>ПМСУ</w:t>
      </w:r>
      <w:r w:rsidRPr="00D41C90">
        <w:rPr>
          <w:rFonts w:asciiTheme="majorHAnsi" w:eastAsia="Times New Roman" w:hAnsiTheme="majorHAnsi" w:cstheme="majorHAnsi"/>
          <w:sz w:val="24"/>
          <w:szCs w:val="24"/>
          <w:shd w:val="clear" w:color="auto" w:fill="FFFFFF"/>
          <w:lang w:val="ro-MD" w:eastAsia="ru-RU"/>
        </w:rPr>
        <w:t xml:space="preserve"> не обеспечи</w:t>
      </w:r>
      <w:r w:rsidR="00F672E7">
        <w:rPr>
          <w:rFonts w:asciiTheme="majorHAnsi" w:eastAsia="Times New Roman" w:hAnsiTheme="majorHAnsi" w:cstheme="majorHAnsi"/>
          <w:sz w:val="24"/>
          <w:szCs w:val="24"/>
          <w:shd w:val="clear" w:color="auto" w:fill="FFFFFF"/>
          <w:lang w:val="ru-RU" w:eastAsia="ru-RU"/>
        </w:rPr>
        <w:t>ло</w:t>
      </w:r>
      <w:r w:rsidRPr="00D41C90">
        <w:rPr>
          <w:rFonts w:asciiTheme="majorHAnsi" w:eastAsia="Times New Roman" w:hAnsiTheme="majorHAnsi" w:cstheme="majorHAnsi"/>
          <w:sz w:val="24"/>
          <w:szCs w:val="24"/>
          <w:shd w:val="clear" w:color="auto" w:fill="FFFFFF"/>
          <w:lang w:val="ro-MD" w:eastAsia="ru-RU"/>
        </w:rPr>
        <w:t xml:space="preserve"> надлежащий учет долгов по земельным участкам, полученным в управлении/пользовании, они не</w:t>
      </w:r>
      <w:r w:rsidR="00F672E7">
        <w:rPr>
          <w:rFonts w:asciiTheme="majorHAnsi" w:eastAsia="Times New Roman" w:hAnsiTheme="majorHAnsi" w:cstheme="majorHAnsi"/>
          <w:sz w:val="24"/>
          <w:szCs w:val="24"/>
          <w:shd w:val="clear" w:color="auto" w:fill="FFFFFF"/>
          <w:lang w:val="ru-RU" w:eastAsia="ru-RU"/>
        </w:rPr>
        <w:t>правильно</w:t>
      </w:r>
      <w:r w:rsidRPr="00D41C90">
        <w:rPr>
          <w:rFonts w:asciiTheme="majorHAnsi" w:eastAsia="Times New Roman" w:hAnsiTheme="majorHAnsi" w:cstheme="majorHAnsi"/>
          <w:sz w:val="24"/>
          <w:szCs w:val="24"/>
          <w:shd w:val="clear" w:color="auto" w:fill="FFFFFF"/>
          <w:lang w:val="ro-MD" w:eastAsia="ru-RU"/>
        </w:rPr>
        <w:t xml:space="preserve"> учитывались на счете „</w:t>
      </w:r>
      <w:r w:rsidR="00F672E7">
        <w:rPr>
          <w:rFonts w:asciiTheme="majorHAnsi" w:eastAsia="Times New Roman" w:hAnsiTheme="majorHAnsi" w:cstheme="majorHAnsi"/>
          <w:sz w:val="24"/>
          <w:szCs w:val="24"/>
          <w:shd w:val="clear" w:color="auto" w:fill="FFFFFF"/>
          <w:lang w:val="ru-RU" w:eastAsia="ru-RU"/>
        </w:rPr>
        <w:t>Т</w:t>
      </w:r>
      <w:r w:rsidRPr="00D41C90">
        <w:rPr>
          <w:rFonts w:asciiTheme="majorHAnsi" w:eastAsia="Times New Roman" w:hAnsiTheme="majorHAnsi" w:cstheme="majorHAnsi"/>
          <w:sz w:val="24"/>
          <w:szCs w:val="24"/>
          <w:shd w:val="clear" w:color="auto" w:fill="FFFFFF"/>
          <w:lang w:val="ro-MD" w:eastAsia="ru-RU"/>
        </w:rPr>
        <w:t xml:space="preserve">екущие </w:t>
      </w:r>
      <w:r w:rsidR="00F672E7">
        <w:rPr>
          <w:rFonts w:asciiTheme="majorHAnsi" w:eastAsia="Times New Roman" w:hAnsiTheme="majorHAnsi" w:cstheme="majorHAnsi"/>
          <w:sz w:val="24"/>
          <w:szCs w:val="24"/>
          <w:shd w:val="clear" w:color="auto" w:fill="FFFFFF"/>
          <w:lang w:val="ru-RU" w:eastAsia="ru-RU"/>
        </w:rPr>
        <w:t xml:space="preserve">финансирования и </w:t>
      </w:r>
      <w:r w:rsidR="00F672E7" w:rsidRPr="00D41C90">
        <w:rPr>
          <w:rFonts w:asciiTheme="majorHAnsi" w:eastAsia="Times New Roman" w:hAnsiTheme="majorHAnsi" w:cstheme="majorHAnsi"/>
          <w:sz w:val="24"/>
          <w:szCs w:val="24"/>
          <w:shd w:val="clear" w:color="auto" w:fill="FFFFFF"/>
          <w:lang w:val="ro-MD" w:eastAsia="ru-RU"/>
        </w:rPr>
        <w:t xml:space="preserve">поступления </w:t>
      </w:r>
      <w:r w:rsidRPr="00D41C90">
        <w:rPr>
          <w:rFonts w:asciiTheme="majorHAnsi" w:eastAsia="Times New Roman" w:hAnsiTheme="majorHAnsi" w:cstheme="majorHAnsi"/>
          <w:sz w:val="24"/>
          <w:szCs w:val="24"/>
          <w:shd w:val="clear" w:color="auto" w:fill="FFFFFF"/>
          <w:lang w:val="ro-MD" w:eastAsia="ru-RU"/>
        </w:rPr>
        <w:t>специальн</w:t>
      </w:r>
      <w:r w:rsidR="00F672E7">
        <w:rPr>
          <w:rFonts w:asciiTheme="majorHAnsi" w:eastAsia="Times New Roman" w:hAnsiTheme="majorHAnsi" w:cstheme="majorHAnsi"/>
          <w:sz w:val="24"/>
          <w:szCs w:val="24"/>
          <w:shd w:val="clear" w:color="auto" w:fill="FFFFFF"/>
          <w:lang w:val="ru-RU" w:eastAsia="ru-RU"/>
        </w:rPr>
        <w:t>ого назначения</w:t>
      </w:r>
      <w:r w:rsidRPr="00D41C90">
        <w:rPr>
          <w:rFonts w:asciiTheme="majorHAnsi" w:eastAsia="Times New Roman" w:hAnsiTheme="majorHAnsi" w:cstheme="majorHAnsi"/>
          <w:sz w:val="24"/>
          <w:szCs w:val="24"/>
          <w:shd w:val="clear" w:color="auto" w:fill="FFFFFF"/>
          <w:lang w:val="ro-MD" w:eastAsia="ru-RU"/>
        </w:rPr>
        <w:t>” (537), в то время как они должны были быть зарегистрированы на счете „</w:t>
      </w:r>
      <w:r w:rsidR="00F672E7">
        <w:rPr>
          <w:rFonts w:asciiTheme="majorHAnsi" w:eastAsia="Times New Roman" w:hAnsiTheme="majorHAnsi" w:cstheme="majorHAnsi"/>
          <w:sz w:val="24"/>
          <w:szCs w:val="24"/>
          <w:shd w:val="clear" w:color="auto" w:fill="FFFFFF"/>
          <w:lang w:val="ru-RU" w:eastAsia="ru-RU"/>
        </w:rPr>
        <w:t>Д</w:t>
      </w:r>
      <w:r w:rsidRPr="00D41C90">
        <w:rPr>
          <w:rFonts w:asciiTheme="majorHAnsi" w:eastAsia="Times New Roman" w:hAnsiTheme="majorHAnsi" w:cstheme="majorHAnsi"/>
          <w:sz w:val="24"/>
          <w:szCs w:val="24"/>
          <w:shd w:val="clear" w:color="auto" w:fill="FFFFFF"/>
          <w:lang w:val="ro-MD" w:eastAsia="ru-RU"/>
        </w:rPr>
        <w:t xml:space="preserve">олгосрочные </w:t>
      </w:r>
      <w:r w:rsidR="00F672E7">
        <w:rPr>
          <w:rFonts w:asciiTheme="majorHAnsi" w:eastAsia="Times New Roman" w:hAnsiTheme="majorHAnsi" w:cstheme="majorHAnsi"/>
          <w:sz w:val="24"/>
          <w:szCs w:val="24"/>
          <w:shd w:val="clear" w:color="auto" w:fill="FFFFFF"/>
          <w:lang w:val="ru-RU" w:eastAsia="ru-RU"/>
        </w:rPr>
        <w:t>обязательства</w:t>
      </w:r>
      <w:r w:rsidRPr="00D41C90">
        <w:rPr>
          <w:rFonts w:asciiTheme="majorHAnsi" w:eastAsia="Times New Roman" w:hAnsiTheme="majorHAnsi" w:cstheme="majorHAnsi"/>
          <w:sz w:val="24"/>
          <w:szCs w:val="24"/>
          <w:shd w:val="clear" w:color="auto" w:fill="FFFFFF"/>
          <w:lang w:val="ro-MD" w:eastAsia="ru-RU"/>
        </w:rPr>
        <w:t xml:space="preserve"> по </w:t>
      </w:r>
      <w:r w:rsidR="00F672E7">
        <w:rPr>
          <w:rFonts w:asciiTheme="majorHAnsi" w:eastAsia="Times New Roman" w:hAnsiTheme="majorHAnsi" w:cstheme="majorHAnsi"/>
          <w:sz w:val="24"/>
          <w:szCs w:val="24"/>
          <w:shd w:val="clear" w:color="auto" w:fill="FFFFFF"/>
          <w:lang w:val="ru-RU" w:eastAsia="ru-RU"/>
        </w:rPr>
        <w:t>активам</w:t>
      </w:r>
      <w:r w:rsidRPr="00D41C90">
        <w:rPr>
          <w:rFonts w:asciiTheme="majorHAnsi" w:eastAsia="Times New Roman" w:hAnsiTheme="majorHAnsi" w:cstheme="majorHAnsi"/>
          <w:sz w:val="24"/>
          <w:szCs w:val="24"/>
          <w:shd w:val="clear" w:color="auto" w:fill="FFFFFF"/>
          <w:lang w:val="ro-MD" w:eastAsia="ru-RU"/>
        </w:rPr>
        <w:t>, полученным в хозяйственном управлении” (427).</w:t>
      </w:r>
    </w:p>
    <w:p w14:paraId="6A5BA9AD" w14:textId="0E17163C" w:rsidR="00792BD5" w:rsidRPr="00EB108A" w:rsidRDefault="00D41C90" w:rsidP="00EB108A">
      <w:pPr>
        <w:spacing w:after="0" w:line="276" w:lineRule="auto"/>
        <w:ind w:right="71"/>
        <w:jc w:val="both"/>
        <w:rPr>
          <w:rFonts w:asciiTheme="majorHAnsi" w:eastAsia="Times New Roman" w:hAnsiTheme="majorHAnsi" w:cstheme="majorHAnsi"/>
          <w:sz w:val="24"/>
          <w:szCs w:val="24"/>
          <w:shd w:val="clear" w:color="auto" w:fill="FFFFFF"/>
          <w:lang w:val="ro-MD" w:eastAsia="ru-RU"/>
        </w:rPr>
      </w:pPr>
      <w:r w:rsidRPr="00D41C90">
        <w:rPr>
          <w:rFonts w:asciiTheme="majorHAnsi" w:eastAsia="Times New Roman" w:hAnsiTheme="majorHAnsi" w:cstheme="majorHAnsi"/>
          <w:sz w:val="24"/>
          <w:szCs w:val="24"/>
          <w:shd w:val="clear" w:color="auto" w:fill="FFFFFF"/>
          <w:lang w:val="ro-MD" w:eastAsia="ru-RU"/>
        </w:rPr>
        <w:t>Соответственно, аудит отмечает, что стоимость зем</w:t>
      </w:r>
      <w:r w:rsidR="00F672E7">
        <w:rPr>
          <w:rFonts w:asciiTheme="majorHAnsi" w:eastAsia="Times New Roman" w:hAnsiTheme="majorHAnsi" w:cstheme="majorHAnsi"/>
          <w:sz w:val="24"/>
          <w:szCs w:val="24"/>
          <w:shd w:val="clear" w:color="auto" w:fill="FFFFFF"/>
          <w:lang w:val="ru-RU" w:eastAsia="ru-RU"/>
        </w:rPr>
        <w:t>ельных участков</w:t>
      </w:r>
      <w:r w:rsidRPr="00D41C90">
        <w:rPr>
          <w:rFonts w:asciiTheme="majorHAnsi" w:eastAsia="Times New Roman" w:hAnsiTheme="majorHAnsi" w:cstheme="majorHAnsi"/>
          <w:sz w:val="24"/>
          <w:szCs w:val="24"/>
          <w:shd w:val="clear" w:color="auto" w:fill="FFFFFF"/>
          <w:lang w:val="ro-MD" w:eastAsia="ru-RU"/>
        </w:rPr>
        <w:t>, находящ</w:t>
      </w:r>
      <w:r w:rsidR="00F672E7">
        <w:rPr>
          <w:rFonts w:asciiTheme="majorHAnsi" w:eastAsia="Times New Roman" w:hAnsiTheme="majorHAnsi" w:cstheme="majorHAnsi"/>
          <w:sz w:val="24"/>
          <w:szCs w:val="24"/>
          <w:shd w:val="clear" w:color="auto" w:fill="FFFFFF"/>
          <w:lang w:val="ru-RU" w:eastAsia="ru-RU"/>
        </w:rPr>
        <w:t>их</w:t>
      </w:r>
      <w:r w:rsidRPr="00D41C90">
        <w:rPr>
          <w:rFonts w:asciiTheme="majorHAnsi" w:eastAsia="Times New Roman" w:hAnsiTheme="majorHAnsi" w:cstheme="majorHAnsi"/>
          <w:sz w:val="24"/>
          <w:szCs w:val="24"/>
          <w:shd w:val="clear" w:color="auto" w:fill="FFFFFF"/>
          <w:lang w:val="ro-MD" w:eastAsia="ru-RU"/>
        </w:rPr>
        <w:t xml:space="preserve">ся в пользовании субъекта, не была скорректирована в соответствии с </w:t>
      </w:r>
      <w:r w:rsidR="00EB108A" w:rsidRPr="00D41C90">
        <w:rPr>
          <w:rFonts w:asciiTheme="majorHAnsi" w:eastAsia="Times New Roman" w:hAnsiTheme="majorHAnsi" w:cstheme="majorHAnsi"/>
          <w:sz w:val="24"/>
          <w:szCs w:val="24"/>
          <w:shd w:val="clear" w:color="auto" w:fill="FFFFFF"/>
          <w:lang w:val="ro-MD" w:eastAsia="ru-RU"/>
        </w:rPr>
        <w:t xml:space="preserve">действующей </w:t>
      </w:r>
      <w:r w:rsidRPr="00D41C90">
        <w:rPr>
          <w:rFonts w:asciiTheme="majorHAnsi" w:eastAsia="Times New Roman" w:hAnsiTheme="majorHAnsi" w:cstheme="majorHAnsi"/>
          <w:sz w:val="24"/>
          <w:szCs w:val="24"/>
          <w:shd w:val="clear" w:color="auto" w:fill="FFFFFF"/>
          <w:lang w:val="ro-MD" w:eastAsia="ru-RU"/>
        </w:rPr>
        <w:t>нормативной базой</w:t>
      </w:r>
      <w:r w:rsidR="00EB108A" w:rsidRPr="00B13B9A">
        <w:rPr>
          <w:rStyle w:val="a9"/>
          <w:rFonts w:asciiTheme="majorHAnsi" w:hAnsiTheme="majorHAnsi" w:cstheme="majorHAnsi"/>
          <w:bCs/>
          <w:sz w:val="24"/>
          <w:szCs w:val="20"/>
          <w:lang w:val="ro-MD"/>
        </w:rPr>
        <w:footnoteReference w:id="25"/>
      </w:r>
      <w:r w:rsidRPr="00D41C90">
        <w:rPr>
          <w:rFonts w:asciiTheme="majorHAnsi" w:eastAsia="Times New Roman" w:hAnsiTheme="majorHAnsi" w:cstheme="majorHAnsi"/>
          <w:sz w:val="24"/>
          <w:szCs w:val="24"/>
          <w:shd w:val="clear" w:color="auto" w:fill="FFFFFF"/>
          <w:lang w:val="ro-MD" w:eastAsia="ru-RU"/>
        </w:rPr>
        <w:t xml:space="preserve"> при их передаче </w:t>
      </w:r>
      <w:r w:rsidR="00EB108A">
        <w:rPr>
          <w:rFonts w:asciiTheme="majorHAnsi" w:eastAsia="Times New Roman" w:hAnsiTheme="majorHAnsi" w:cstheme="majorHAnsi"/>
          <w:sz w:val="24"/>
          <w:szCs w:val="24"/>
          <w:shd w:val="clear" w:color="auto" w:fill="FFFFFF"/>
          <w:lang w:val="ru-RU" w:eastAsia="ru-RU"/>
        </w:rPr>
        <w:t>АПС</w:t>
      </w:r>
      <w:r w:rsidRPr="00D41C90">
        <w:rPr>
          <w:rFonts w:asciiTheme="majorHAnsi" w:eastAsia="Times New Roman" w:hAnsiTheme="majorHAnsi" w:cstheme="majorHAnsi"/>
          <w:sz w:val="24"/>
          <w:szCs w:val="24"/>
          <w:shd w:val="clear" w:color="auto" w:fill="FFFFFF"/>
          <w:lang w:val="ro-MD" w:eastAsia="ru-RU"/>
        </w:rPr>
        <w:t xml:space="preserve">, </w:t>
      </w:r>
      <w:r w:rsidR="00EB108A">
        <w:rPr>
          <w:rFonts w:asciiTheme="majorHAnsi" w:eastAsia="Times New Roman" w:hAnsiTheme="majorHAnsi" w:cstheme="majorHAnsi"/>
          <w:sz w:val="24"/>
          <w:szCs w:val="24"/>
          <w:shd w:val="clear" w:color="auto" w:fill="FFFFFF"/>
          <w:lang w:val="ru-RU" w:eastAsia="ru-RU"/>
        </w:rPr>
        <w:t>как следствие,</w:t>
      </w:r>
      <w:r w:rsidRPr="00D41C90">
        <w:rPr>
          <w:rFonts w:asciiTheme="majorHAnsi" w:eastAsia="Times New Roman" w:hAnsiTheme="majorHAnsi" w:cstheme="majorHAnsi"/>
          <w:sz w:val="24"/>
          <w:szCs w:val="24"/>
          <w:shd w:val="clear" w:color="auto" w:fill="FFFFFF"/>
          <w:lang w:val="ro-MD" w:eastAsia="ru-RU"/>
        </w:rPr>
        <w:t xml:space="preserve"> </w:t>
      </w:r>
      <w:r w:rsidR="00EB108A">
        <w:rPr>
          <w:rFonts w:asciiTheme="majorHAnsi" w:eastAsia="Times New Roman" w:hAnsiTheme="majorHAnsi" w:cstheme="majorHAnsi"/>
          <w:sz w:val="24"/>
          <w:szCs w:val="24"/>
          <w:shd w:val="clear" w:color="auto" w:fill="FFFFFF"/>
          <w:lang w:val="ru-RU" w:eastAsia="ru-RU"/>
        </w:rPr>
        <w:t xml:space="preserve">по </w:t>
      </w:r>
      <w:r w:rsidRPr="00D41C90">
        <w:rPr>
          <w:rFonts w:asciiTheme="majorHAnsi" w:eastAsia="Times New Roman" w:hAnsiTheme="majorHAnsi" w:cstheme="majorHAnsi"/>
          <w:sz w:val="24"/>
          <w:szCs w:val="24"/>
          <w:shd w:val="clear" w:color="auto" w:fill="FFFFFF"/>
          <w:lang w:val="ro-MD" w:eastAsia="ru-RU"/>
        </w:rPr>
        <w:t>оцен</w:t>
      </w:r>
      <w:r w:rsidR="00EB108A">
        <w:rPr>
          <w:rFonts w:asciiTheme="majorHAnsi" w:eastAsia="Times New Roman" w:hAnsiTheme="majorHAnsi" w:cstheme="majorHAnsi"/>
          <w:sz w:val="24"/>
          <w:szCs w:val="24"/>
          <w:shd w:val="clear" w:color="auto" w:fill="FFFFFF"/>
          <w:lang w:val="ru-RU" w:eastAsia="ru-RU"/>
        </w:rPr>
        <w:t>кам</w:t>
      </w:r>
      <w:r w:rsidRPr="00D41C90">
        <w:rPr>
          <w:rFonts w:asciiTheme="majorHAnsi" w:eastAsia="Times New Roman" w:hAnsiTheme="majorHAnsi" w:cstheme="majorHAnsi"/>
          <w:sz w:val="24"/>
          <w:szCs w:val="24"/>
          <w:shd w:val="clear" w:color="auto" w:fill="FFFFFF"/>
          <w:lang w:val="ro-MD" w:eastAsia="ru-RU"/>
        </w:rPr>
        <w:t xml:space="preserve"> </w:t>
      </w:r>
      <w:r w:rsidR="00EB108A" w:rsidRPr="00D41C90">
        <w:rPr>
          <w:rFonts w:asciiTheme="majorHAnsi" w:eastAsia="Times New Roman" w:hAnsiTheme="majorHAnsi" w:cstheme="majorHAnsi"/>
          <w:sz w:val="24"/>
          <w:szCs w:val="24"/>
          <w:shd w:val="clear" w:color="auto" w:fill="FFFFFF"/>
          <w:lang w:val="ro-MD" w:eastAsia="ru-RU"/>
        </w:rPr>
        <w:t xml:space="preserve">аудита </w:t>
      </w:r>
      <w:r w:rsidR="00EB108A">
        <w:rPr>
          <w:rFonts w:asciiTheme="majorHAnsi" w:eastAsia="Times New Roman" w:hAnsiTheme="majorHAnsi" w:cstheme="majorHAnsi"/>
          <w:sz w:val="24"/>
          <w:szCs w:val="24"/>
          <w:shd w:val="clear" w:color="auto" w:fill="FFFFFF"/>
          <w:lang w:val="ru-RU" w:eastAsia="ru-RU"/>
        </w:rPr>
        <w:t xml:space="preserve">их </w:t>
      </w:r>
      <w:r w:rsidRPr="00D41C90">
        <w:rPr>
          <w:rFonts w:asciiTheme="majorHAnsi" w:eastAsia="Times New Roman" w:hAnsiTheme="majorHAnsi" w:cstheme="majorHAnsi"/>
          <w:sz w:val="24"/>
          <w:szCs w:val="24"/>
          <w:shd w:val="clear" w:color="auto" w:fill="FFFFFF"/>
          <w:lang w:val="ro-MD" w:eastAsia="ru-RU"/>
        </w:rPr>
        <w:t>стоимость</w:t>
      </w:r>
      <w:r w:rsidR="00EB108A">
        <w:rPr>
          <w:rFonts w:asciiTheme="majorHAnsi" w:eastAsia="Times New Roman" w:hAnsiTheme="majorHAnsi" w:cstheme="majorHAnsi"/>
          <w:sz w:val="24"/>
          <w:szCs w:val="24"/>
          <w:shd w:val="clear" w:color="auto" w:fill="FFFFFF"/>
          <w:lang w:val="ru-RU" w:eastAsia="ru-RU"/>
        </w:rPr>
        <w:t>, исходя из</w:t>
      </w:r>
      <w:r w:rsidR="00EB108A">
        <w:rPr>
          <w:rFonts w:asciiTheme="majorHAnsi" w:eastAsia="Times New Roman" w:hAnsiTheme="majorHAnsi" w:cstheme="majorHAnsi"/>
          <w:sz w:val="24"/>
          <w:szCs w:val="24"/>
          <w:shd w:val="clear" w:color="auto" w:fill="FFFFFF"/>
          <w:lang w:val="ro-MD" w:eastAsia="ru-RU"/>
        </w:rPr>
        <w:t xml:space="preserve"> кадастровой</w:t>
      </w:r>
      <w:r w:rsidRPr="00D41C90">
        <w:rPr>
          <w:rFonts w:asciiTheme="majorHAnsi" w:eastAsia="Times New Roman" w:hAnsiTheme="majorHAnsi" w:cstheme="majorHAnsi"/>
          <w:sz w:val="24"/>
          <w:szCs w:val="24"/>
          <w:shd w:val="clear" w:color="auto" w:fill="FFFFFF"/>
          <w:lang w:val="ro-MD" w:eastAsia="ru-RU"/>
        </w:rPr>
        <w:t>/нормативной цен</w:t>
      </w:r>
      <w:r w:rsidR="00EB108A">
        <w:rPr>
          <w:rFonts w:asciiTheme="majorHAnsi" w:eastAsia="Times New Roman" w:hAnsiTheme="majorHAnsi" w:cstheme="majorHAnsi"/>
          <w:sz w:val="24"/>
          <w:szCs w:val="24"/>
          <w:shd w:val="clear" w:color="auto" w:fill="FFFFFF"/>
          <w:lang w:val="ru-RU" w:eastAsia="ru-RU"/>
        </w:rPr>
        <w:t>е</w:t>
      </w:r>
      <w:r w:rsidRPr="00D41C90">
        <w:rPr>
          <w:rFonts w:asciiTheme="majorHAnsi" w:eastAsia="Times New Roman" w:hAnsiTheme="majorHAnsi" w:cstheme="majorHAnsi"/>
          <w:sz w:val="24"/>
          <w:szCs w:val="24"/>
          <w:shd w:val="clear" w:color="auto" w:fill="FFFFFF"/>
          <w:lang w:val="ro-MD" w:eastAsia="ru-RU"/>
        </w:rPr>
        <w:t xml:space="preserve"> земли</w:t>
      </w:r>
      <w:r w:rsidR="00EB108A">
        <w:rPr>
          <w:rFonts w:asciiTheme="majorHAnsi" w:eastAsia="Times New Roman" w:hAnsiTheme="majorHAnsi" w:cstheme="majorHAnsi"/>
          <w:sz w:val="24"/>
          <w:szCs w:val="24"/>
          <w:shd w:val="clear" w:color="auto" w:fill="FFFFFF"/>
          <w:lang w:val="ru-RU" w:eastAsia="ru-RU"/>
        </w:rPr>
        <w:t>,</w:t>
      </w:r>
      <w:r w:rsidRPr="00D41C90">
        <w:rPr>
          <w:rFonts w:asciiTheme="majorHAnsi" w:eastAsia="Times New Roman" w:hAnsiTheme="majorHAnsi" w:cstheme="majorHAnsi"/>
          <w:sz w:val="24"/>
          <w:szCs w:val="24"/>
          <w:shd w:val="clear" w:color="auto" w:fill="FFFFFF"/>
          <w:lang w:val="ro-MD" w:eastAsia="ru-RU"/>
        </w:rPr>
        <w:t xml:space="preserve"> составляет 110 723,9 тыс. леев, или на 102 635,0 тыс. леев больше, чем их балансовая стоимость, </w:t>
      </w:r>
      <w:r w:rsidR="00EB108A">
        <w:rPr>
          <w:rFonts w:asciiTheme="majorHAnsi" w:eastAsia="Times New Roman" w:hAnsiTheme="majorHAnsi" w:cstheme="majorHAnsi"/>
          <w:sz w:val="24"/>
          <w:szCs w:val="24"/>
          <w:shd w:val="clear" w:color="auto" w:fill="FFFFFF"/>
          <w:lang w:val="ru-RU" w:eastAsia="ru-RU"/>
        </w:rPr>
        <w:t xml:space="preserve">ситуация представлена </w:t>
      </w:r>
      <w:r w:rsidR="00EB108A">
        <w:rPr>
          <w:rFonts w:asciiTheme="majorHAnsi" w:eastAsia="Times New Roman" w:hAnsiTheme="majorHAnsi" w:cstheme="majorHAnsi"/>
          <w:sz w:val="24"/>
          <w:szCs w:val="24"/>
          <w:shd w:val="clear" w:color="auto" w:fill="FFFFFF"/>
          <w:lang w:val="ro-MD" w:eastAsia="ru-RU"/>
        </w:rPr>
        <w:t xml:space="preserve">в </w:t>
      </w:r>
      <w:r w:rsidR="00EB108A">
        <w:rPr>
          <w:rFonts w:asciiTheme="majorHAnsi" w:eastAsia="Times New Roman" w:hAnsiTheme="majorHAnsi" w:cstheme="majorHAnsi"/>
          <w:sz w:val="24"/>
          <w:szCs w:val="24"/>
          <w:shd w:val="clear" w:color="auto" w:fill="FFFFFF"/>
          <w:lang w:val="ru-RU" w:eastAsia="ru-RU"/>
        </w:rPr>
        <w:t>П</w:t>
      </w:r>
      <w:r w:rsidR="00EB108A">
        <w:rPr>
          <w:rFonts w:asciiTheme="majorHAnsi" w:eastAsia="Times New Roman" w:hAnsiTheme="majorHAnsi" w:cstheme="majorHAnsi"/>
          <w:sz w:val="24"/>
          <w:szCs w:val="24"/>
          <w:shd w:val="clear" w:color="auto" w:fill="FFFFFF"/>
          <w:lang w:val="ro-MD" w:eastAsia="ru-RU"/>
        </w:rPr>
        <w:t>риложении №</w:t>
      </w:r>
      <w:r w:rsidRPr="00D41C90">
        <w:rPr>
          <w:rFonts w:asciiTheme="majorHAnsi" w:eastAsia="Times New Roman" w:hAnsiTheme="majorHAnsi" w:cstheme="majorHAnsi"/>
          <w:sz w:val="24"/>
          <w:szCs w:val="24"/>
          <w:shd w:val="clear" w:color="auto" w:fill="FFFFFF"/>
          <w:lang w:val="ro-MD" w:eastAsia="ru-RU"/>
        </w:rPr>
        <w:t xml:space="preserve">13 к </w:t>
      </w:r>
      <w:r w:rsidR="00EB108A">
        <w:rPr>
          <w:rFonts w:asciiTheme="majorHAnsi" w:eastAsia="Times New Roman" w:hAnsiTheme="majorHAnsi" w:cstheme="majorHAnsi"/>
          <w:sz w:val="24"/>
          <w:szCs w:val="24"/>
          <w:shd w:val="clear" w:color="auto" w:fill="FFFFFF"/>
          <w:lang w:val="ro-MD" w:eastAsia="ru-RU"/>
        </w:rPr>
        <w:t>настоящему Отчету аудита</w:t>
      </w:r>
      <w:r w:rsidR="0096393F" w:rsidRPr="00B13B9A">
        <w:rPr>
          <w:rFonts w:asciiTheme="majorHAnsi" w:hAnsiTheme="majorHAnsi" w:cstheme="majorHAnsi"/>
          <w:bCs/>
          <w:sz w:val="24"/>
          <w:szCs w:val="20"/>
          <w:lang w:val="ro-MD"/>
        </w:rPr>
        <w:t>.</w:t>
      </w:r>
    </w:p>
    <w:p w14:paraId="59895306" w14:textId="77777777" w:rsidR="00792BD5" w:rsidRPr="00B13B9A" w:rsidRDefault="00792BD5" w:rsidP="00792BD5">
      <w:pPr>
        <w:pStyle w:val="ae"/>
        <w:shd w:val="clear" w:color="auto" w:fill="FFFFFF"/>
        <w:tabs>
          <w:tab w:val="left" w:pos="851"/>
          <w:tab w:val="left" w:pos="1134"/>
        </w:tabs>
        <w:spacing w:before="0" w:beforeAutospacing="0" w:after="0" w:afterAutospacing="0" w:line="276" w:lineRule="auto"/>
        <w:jc w:val="both"/>
        <w:rPr>
          <w:rFonts w:asciiTheme="majorHAnsi" w:hAnsiTheme="majorHAnsi" w:cstheme="majorHAnsi"/>
          <w:shd w:val="clear" w:color="auto" w:fill="FFFFFF"/>
          <w:lang w:val="ro-MD"/>
        </w:rPr>
      </w:pPr>
    </w:p>
    <w:p w14:paraId="0442ECB8" w14:textId="38A501F3" w:rsidR="00792BD5" w:rsidRPr="00B13B9A" w:rsidRDefault="00D41C90" w:rsidP="00792BD5">
      <w:pPr>
        <w:pStyle w:val="cn"/>
        <w:spacing w:line="276" w:lineRule="auto"/>
        <w:ind w:right="71"/>
        <w:jc w:val="both"/>
        <w:rPr>
          <w:rFonts w:asciiTheme="majorHAnsi" w:eastAsiaTheme="minorHAnsi" w:hAnsiTheme="majorHAnsi" w:cstheme="minorHAnsi"/>
          <w:lang w:val="ro-MD" w:eastAsia="en-US"/>
        </w:rPr>
      </w:pPr>
      <w:r w:rsidRPr="00D41C90">
        <w:rPr>
          <w:rFonts w:asciiTheme="majorHAnsi" w:eastAsiaTheme="minorHAnsi" w:hAnsiTheme="majorHAnsi" w:cstheme="minorHAnsi"/>
          <w:lang w:val="ro-MD" w:eastAsia="en-US"/>
        </w:rPr>
        <w:t xml:space="preserve">В этих условиях аудит </w:t>
      </w:r>
      <w:r w:rsidR="007A1976" w:rsidRPr="007A1976">
        <w:rPr>
          <w:rFonts w:asciiTheme="majorHAnsi" w:eastAsiaTheme="minorHAnsi" w:hAnsiTheme="majorHAnsi" w:cstheme="minorHAnsi"/>
          <w:lang w:val="ro-MD" w:eastAsia="en-US"/>
        </w:rPr>
        <w:t>обращает внимание на</w:t>
      </w:r>
      <w:r w:rsidRPr="00D41C90">
        <w:rPr>
          <w:rFonts w:asciiTheme="majorHAnsi" w:eastAsiaTheme="minorHAnsi" w:hAnsiTheme="majorHAnsi" w:cstheme="minorHAnsi"/>
          <w:lang w:val="ro-MD" w:eastAsia="en-US"/>
        </w:rPr>
        <w:t xml:space="preserve"> необходимост</w:t>
      </w:r>
      <w:r w:rsidR="007A1976" w:rsidRPr="007A1976">
        <w:rPr>
          <w:rFonts w:asciiTheme="majorHAnsi" w:eastAsiaTheme="minorHAnsi" w:hAnsiTheme="majorHAnsi" w:cstheme="minorHAnsi"/>
          <w:lang w:val="ro-MD" w:eastAsia="en-US"/>
        </w:rPr>
        <w:t>ь</w:t>
      </w:r>
      <w:r w:rsidRPr="00D41C90">
        <w:rPr>
          <w:rFonts w:asciiTheme="majorHAnsi" w:eastAsiaTheme="minorHAnsi" w:hAnsiTheme="majorHAnsi" w:cstheme="minorHAnsi"/>
          <w:lang w:val="ro-MD" w:eastAsia="en-US"/>
        </w:rPr>
        <w:t xml:space="preserve"> корректировки процедур передачи </w:t>
      </w:r>
      <w:r w:rsidR="007A1976" w:rsidRPr="007A1976">
        <w:rPr>
          <w:rFonts w:asciiTheme="majorHAnsi" w:eastAsiaTheme="minorHAnsi" w:hAnsiTheme="majorHAnsi" w:cstheme="minorHAnsi"/>
          <w:lang w:val="ro-MD" w:eastAsia="en-US"/>
        </w:rPr>
        <w:t>имущества</w:t>
      </w:r>
      <w:r w:rsidRPr="00D41C90">
        <w:rPr>
          <w:rFonts w:asciiTheme="majorHAnsi" w:eastAsiaTheme="minorHAnsi" w:hAnsiTheme="majorHAnsi" w:cstheme="minorHAnsi"/>
          <w:lang w:val="ro-MD" w:eastAsia="en-US"/>
        </w:rPr>
        <w:t xml:space="preserve"> </w:t>
      </w:r>
      <w:r w:rsidR="007A1976" w:rsidRPr="007A1976">
        <w:rPr>
          <w:rFonts w:asciiTheme="majorHAnsi" w:eastAsiaTheme="minorHAnsi" w:hAnsiTheme="majorHAnsi" w:cstheme="minorHAnsi"/>
          <w:lang w:val="ro-MD" w:eastAsia="en-US"/>
        </w:rPr>
        <w:t>публич</w:t>
      </w:r>
      <w:r w:rsidRPr="00D41C90">
        <w:rPr>
          <w:rFonts w:asciiTheme="majorHAnsi" w:eastAsiaTheme="minorHAnsi" w:hAnsiTheme="majorHAnsi" w:cstheme="minorHAnsi"/>
          <w:lang w:val="ro-MD" w:eastAsia="en-US"/>
        </w:rPr>
        <w:t>ной собственности</w:t>
      </w:r>
      <w:r w:rsidR="007A1976" w:rsidRPr="007A1976">
        <w:rPr>
          <w:rFonts w:asciiTheme="majorHAnsi" w:eastAsiaTheme="minorHAnsi" w:hAnsiTheme="majorHAnsi" w:cstheme="minorHAnsi"/>
          <w:lang w:val="ro-MD" w:eastAsia="en-US"/>
        </w:rPr>
        <w:t>,</w:t>
      </w:r>
      <w:r w:rsidRPr="00D41C90">
        <w:rPr>
          <w:rFonts w:asciiTheme="majorHAnsi" w:eastAsiaTheme="minorHAnsi" w:hAnsiTheme="majorHAnsi" w:cstheme="minorHAnsi"/>
          <w:lang w:val="ro-MD" w:eastAsia="en-US"/>
        </w:rPr>
        <w:t xml:space="preserve"> с целью разграничения публичной собственности и обеспечения </w:t>
      </w:r>
      <w:r w:rsidR="007A1976" w:rsidRPr="007A1976">
        <w:rPr>
          <w:rFonts w:asciiTheme="majorHAnsi" w:eastAsiaTheme="minorHAnsi" w:hAnsiTheme="majorHAnsi" w:cstheme="minorHAnsi"/>
          <w:lang w:val="ro-MD" w:eastAsia="en-US"/>
        </w:rPr>
        <w:t>надлежа</w:t>
      </w:r>
      <w:r w:rsidRPr="00D41C90">
        <w:rPr>
          <w:rFonts w:asciiTheme="majorHAnsi" w:eastAsiaTheme="minorHAnsi" w:hAnsiTheme="majorHAnsi" w:cstheme="minorHAnsi"/>
          <w:lang w:val="ro-MD" w:eastAsia="en-US"/>
        </w:rPr>
        <w:t xml:space="preserve">щей регистрации стоимости и права управления, а также эффективного пользования </w:t>
      </w:r>
      <w:r w:rsidR="002B3BC4" w:rsidRPr="002B3BC4">
        <w:rPr>
          <w:rFonts w:asciiTheme="majorHAnsi" w:eastAsiaTheme="minorHAnsi" w:hAnsiTheme="majorHAnsi" w:cstheme="minorHAnsi"/>
          <w:lang w:val="ro-MD" w:eastAsia="en-US"/>
        </w:rPr>
        <w:t>имуществом</w:t>
      </w:r>
      <w:r w:rsidRPr="00D41C90">
        <w:rPr>
          <w:rFonts w:asciiTheme="majorHAnsi" w:eastAsiaTheme="minorHAnsi" w:hAnsiTheme="majorHAnsi" w:cstheme="minorHAnsi"/>
          <w:lang w:val="ro-MD" w:eastAsia="en-US"/>
        </w:rPr>
        <w:t xml:space="preserve"> </w:t>
      </w:r>
      <w:r w:rsidR="002B3BC4" w:rsidRPr="002B3BC4">
        <w:rPr>
          <w:rFonts w:asciiTheme="majorHAnsi" w:eastAsiaTheme="minorHAnsi" w:hAnsiTheme="majorHAnsi" w:cstheme="minorHAnsi"/>
          <w:lang w:val="ro-MD" w:eastAsia="en-US"/>
        </w:rPr>
        <w:t>публич</w:t>
      </w:r>
      <w:r w:rsidRPr="00D41C90">
        <w:rPr>
          <w:rFonts w:asciiTheme="majorHAnsi" w:eastAsiaTheme="minorHAnsi" w:hAnsiTheme="majorHAnsi" w:cstheme="minorHAnsi"/>
          <w:lang w:val="ro-MD" w:eastAsia="en-US"/>
        </w:rPr>
        <w:t xml:space="preserve">ной собственности </w:t>
      </w:r>
      <w:r w:rsidR="002B3BC4">
        <w:rPr>
          <w:rFonts w:asciiTheme="majorHAnsi" w:eastAsiaTheme="minorHAnsi" w:hAnsiTheme="majorHAnsi" w:cstheme="minorHAnsi"/>
          <w:lang w:eastAsia="en-US"/>
        </w:rPr>
        <w:t>государства</w:t>
      </w:r>
      <w:r w:rsidR="00792BD5" w:rsidRPr="00B13B9A">
        <w:rPr>
          <w:rFonts w:asciiTheme="majorHAnsi" w:eastAsiaTheme="minorHAnsi" w:hAnsiTheme="majorHAnsi" w:cstheme="minorHAnsi"/>
          <w:lang w:val="ro-MD" w:eastAsia="en-US"/>
        </w:rPr>
        <w:t>.</w:t>
      </w:r>
    </w:p>
    <w:p w14:paraId="167FF2AA" w14:textId="77777777" w:rsidR="00792BD5" w:rsidRPr="00B13B9A" w:rsidRDefault="00792BD5" w:rsidP="00C063FB">
      <w:pPr>
        <w:rPr>
          <w:rFonts w:asciiTheme="majorHAnsi" w:hAnsiTheme="majorHAnsi" w:cstheme="majorHAnsi"/>
          <w:b/>
          <w:color w:val="000000" w:themeColor="text1"/>
          <w:sz w:val="24"/>
          <w:szCs w:val="24"/>
          <w:lang w:val="ro-MD"/>
        </w:rPr>
      </w:pPr>
    </w:p>
    <w:p w14:paraId="458D107D" w14:textId="6111A0D0" w:rsidR="002860CE" w:rsidRPr="00B13B9A" w:rsidRDefault="00D41C90" w:rsidP="00A66F8A">
      <w:pPr>
        <w:pStyle w:val="a7"/>
        <w:numPr>
          <w:ilvl w:val="2"/>
          <w:numId w:val="10"/>
        </w:numPr>
        <w:tabs>
          <w:tab w:val="left" w:pos="1080"/>
        </w:tabs>
        <w:spacing w:after="0" w:line="276" w:lineRule="auto"/>
        <w:ind w:left="0" w:firstLine="284"/>
        <w:jc w:val="both"/>
        <w:outlineLvl w:val="2"/>
        <w:rPr>
          <w:rFonts w:asciiTheme="majorHAnsi" w:hAnsiTheme="majorHAnsi" w:cstheme="majorHAnsi"/>
          <w:b/>
          <w:color w:val="000000" w:themeColor="text1"/>
          <w:sz w:val="24"/>
          <w:szCs w:val="24"/>
          <w:lang w:val="ro-MD"/>
        </w:rPr>
      </w:pPr>
      <w:bookmarkStart w:id="24" w:name="_Toc158317230"/>
      <w:r w:rsidRPr="00D41C90">
        <w:rPr>
          <w:rFonts w:asciiTheme="majorHAnsi" w:hAnsiTheme="majorHAnsi" w:cstheme="majorHAnsi"/>
          <w:b/>
          <w:color w:val="000000" w:themeColor="text1"/>
          <w:sz w:val="24"/>
          <w:szCs w:val="24"/>
          <w:lang w:val="ro-MD"/>
        </w:rPr>
        <w:t xml:space="preserve">Решения об изменении назначения некоторых объектов являются </w:t>
      </w:r>
      <w:r w:rsidR="002B3BC4" w:rsidRPr="002B3BC4">
        <w:rPr>
          <w:rFonts w:asciiTheme="majorHAnsi" w:hAnsiTheme="majorHAnsi" w:cstheme="majorHAnsi"/>
          <w:b/>
          <w:color w:val="000000" w:themeColor="text1"/>
          <w:sz w:val="24"/>
          <w:szCs w:val="24"/>
          <w:lang w:val="ro-MD"/>
        </w:rPr>
        <w:t>невыполн</w:t>
      </w:r>
      <w:r w:rsidRPr="00D41C90">
        <w:rPr>
          <w:rFonts w:asciiTheme="majorHAnsi" w:hAnsiTheme="majorHAnsi" w:cstheme="majorHAnsi"/>
          <w:b/>
          <w:color w:val="000000" w:themeColor="text1"/>
          <w:sz w:val="24"/>
          <w:szCs w:val="24"/>
          <w:lang w:val="ro-MD"/>
        </w:rPr>
        <w:t xml:space="preserve">имыми и не соответствуют </w:t>
      </w:r>
      <w:r w:rsidR="002B3BC4" w:rsidRPr="002B3BC4">
        <w:rPr>
          <w:rFonts w:asciiTheme="majorHAnsi" w:hAnsiTheme="majorHAnsi" w:cstheme="majorHAnsi"/>
          <w:b/>
          <w:color w:val="000000" w:themeColor="text1"/>
          <w:sz w:val="24"/>
          <w:szCs w:val="24"/>
          <w:lang w:val="ro-MD"/>
        </w:rPr>
        <w:t>законодательн</w:t>
      </w:r>
      <w:r w:rsidRPr="00D41C90">
        <w:rPr>
          <w:rFonts w:asciiTheme="majorHAnsi" w:hAnsiTheme="majorHAnsi" w:cstheme="majorHAnsi"/>
          <w:b/>
          <w:color w:val="000000" w:themeColor="text1"/>
          <w:sz w:val="24"/>
          <w:szCs w:val="24"/>
          <w:lang w:val="ro-MD"/>
        </w:rPr>
        <w:t>ой базе</w:t>
      </w:r>
      <w:r w:rsidR="002860CE" w:rsidRPr="00B13B9A">
        <w:rPr>
          <w:rFonts w:asciiTheme="majorHAnsi" w:hAnsiTheme="majorHAnsi" w:cstheme="majorHAnsi"/>
          <w:b/>
          <w:color w:val="000000" w:themeColor="text1"/>
          <w:sz w:val="24"/>
          <w:szCs w:val="24"/>
          <w:lang w:val="ro-MD"/>
        </w:rPr>
        <w:t>.</w:t>
      </w:r>
      <w:bookmarkEnd w:id="24"/>
    </w:p>
    <w:p w14:paraId="4FBE761B" w14:textId="44FD7080" w:rsidR="002860CE" w:rsidRPr="00B13B9A" w:rsidRDefault="00D41C90" w:rsidP="002860CE">
      <w:pPr>
        <w:spacing w:after="0" w:line="276" w:lineRule="auto"/>
        <w:jc w:val="both"/>
        <w:rPr>
          <w:rFonts w:asciiTheme="majorHAnsi" w:eastAsia="Times New Roman" w:hAnsiTheme="majorHAnsi" w:cstheme="majorHAnsi"/>
          <w:iCs/>
          <w:color w:val="000000"/>
          <w:sz w:val="24"/>
          <w:szCs w:val="20"/>
          <w:lang w:val="ro-MD"/>
        </w:rPr>
      </w:pPr>
      <w:r w:rsidRPr="00D41C90">
        <w:rPr>
          <w:rFonts w:asciiTheme="majorHAnsi" w:eastAsia="Times New Roman" w:hAnsiTheme="majorHAnsi" w:cstheme="majorHAnsi"/>
          <w:iCs/>
          <w:color w:val="000000"/>
          <w:sz w:val="24"/>
          <w:szCs w:val="20"/>
          <w:lang w:val="ro-MD"/>
        </w:rPr>
        <w:t>Аудит</w:t>
      </w:r>
      <w:r w:rsidR="002B3BC4">
        <w:rPr>
          <w:rFonts w:asciiTheme="majorHAnsi" w:eastAsia="Times New Roman" w:hAnsiTheme="majorHAnsi" w:cstheme="majorHAnsi"/>
          <w:iCs/>
          <w:color w:val="000000"/>
          <w:sz w:val="24"/>
          <w:szCs w:val="20"/>
          <w:lang w:val="ru-RU"/>
        </w:rPr>
        <w:t>ом установлено</w:t>
      </w:r>
      <w:r w:rsidRPr="00D41C90">
        <w:rPr>
          <w:rFonts w:asciiTheme="majorHAnsi" w:eastAsia="Times New Roman" w:hAnsiTheme="majorHAnsi" w:cstheme="majorHAnsi"/>
          <w:iCs/>
          <w:color w:val="000000"/>
          <w:sz w:val="24"/>
          <w:szCs w:val="20"/>
          <w:lang w:val="ro-MD"/>
        </w:rPr>
        <w:t xml:space="preserve">, что на территории клиники Ворничень расположена свиноводческая ферма, которая является </w:t>
      </w:r>
      <w:r w:rsidR="002B3BC4" w:rsidRPr="00D41C90">
        <w:rPr>
          <w:rFonts w:asciiTheme="majorHAnsi" w:eastAsia="Times New Roman" w:hAnsiTheme="majorHAnsi" w:cstheme="majorHAnsi"/>
          <w:iCs/>
          <w:color w:val="000000"/>
          <w:sz w:val="24"/>
          <w:szCs w:val="20"/>
          <w:lang w:val="ro-MD"/>
        </w:rPr>
        <w:t>не</w:t>
      </w:r>
      <w:r w:rsidRPr="00D41C90">
        <w:rPr>
          <w:rFonts w:asciiTheme="majorHAnsi" w:eastAsia="Times New Roman" w:hAnsiTheme="majorHAnsi" w:cstheme="majorHAnsi"/>
          <w:iCs/>
          <w:color w:val="000000"/>
          <w:sz w:val="24"/>
          <w:szCs w:val="20"/>
          <w:lang w:val="ro-MD"/>
        </w:rPr>
        <w:t xml:space="preserve">функциональной, устаревшей и находится в плачевном состоянии, при этом объект был включен в список </w:t>
      </w:r>
      <w:r w:rsidR="002B3BC4">
        <w:rPr>
          <w:rFonts w:asciiTheme="majorHAnsi" w:eastAsia="Times New Roman" w:hAnsiTheme="majorHAnsi" w:cstheme="majorHAnsi"/>
          <w:iCs/>
          <w:color w:val="000000"/>
          <w:sz w:val="24"/>
          <w:szCs w:val="20"/>
          <w:lang w:val="ru-RU"/>
        </w:rPr>
        <w:t>имущества публич</w:t>
      </w:r>
      <w:r w:rsidRPr="00D41C90">
        <w:rPr>
          <w:rFonts w:asciiTheme="majorHAnsi" w:eastAsia="Times New Roman" w:hAnsiTheme="majorHAnsi" w:cstheme="majorHAnsi"/>
          <w:iCs/>
          <w:color w:val="000000"/>
          <w:sz w:val="24"/>
          <w:szCs w:val="20"/>
          <w:lang w:val="ro-MD"/>
        </w:rPr>
        <w:t xml:space="preserve">ной собственности, подлежащей приватизации. Аудит отмечает, что решение, связанное с </w:t>
      </w:r>
      <w:r w:rsidR="002B3BC4" w:rsidRPr="00D41C90">
        <w:rPr>
          <w:rFonts w:asciiTheme="majorHAnsi" w:eastAsia="Times New Roman" w:hAnsiTheme="majorHAnsi" w:cstheme="majorHAnsi"/>
          <w:iCs/>
          <w:color w:val="000000"/>
          <w:sz w:val="24"/>
          <w:szCs w:val="20"/>
          <w:lang w:val="ro-MD"/>
        </w:rPr>
        <w:t>объектом</w:t>
      </w:r>
      <w:r w:rsidR="002B3BC4">
        <w:rPr>
          <w:rFonts w:asciiTheme="majorHAnsi" w:eastAsia="Times New Roman" w:hAnsiTheme="majorHAnsi" w:cstheme="majorHAnsi"/>
          <w:iCs/>
          <w:color w:val="000000"/>
          <w:sz w:val="24"/>
          <w:szCs w:val="20"/>
          <w:lang w:val="ru-RU"/>
        </w:rPr>
        <w:t>, подлежащим</w:t>
      </w:r>
      <w:r w:rsidR="002B3BC4" w:rsidRPr="00D41C90">
        <w:rPr>
          <w:rFonts w:asciiTheme="majorHAnsi" w:eastAsia="Times New Roman" w:hAnsiTheme="majorHAnsi" w:cstheme="majorHAnsi"/>
          <w:iCs/>
          <w:color w:val="000000"/>
          <w:sz w:val="24"/>
          <w:szCs w:val="20"/>
          <w:lang w:val="ro-MD"/>
        </w:rPr>
        <w:t xml:space="preserve"> </w:t>
      </w:r>
      <w:r w:rsidRPr="00D41C90">
        <w:rPr>
          <w:rFonts w:asciiTheme="majorHAnsi" w:eastAsia="Times New Roman" w:hAnsiTheme="majorHAnsi" w:cstheme="majorHAnsi"/>
          <w:iCs/>
          <w:color w:val="000000"/>
          <w:sz w:val="24"/>
          <w:szCs w:val="20"/>
          <w:lang w:val="ro-MD"/>
        </w:rPr>
        <w:t>приватиз</w:t>
      </w:r>
      <w:r w:rsidR="002B3BC4">
        <w:rPr>
          <w:rFonts w:asciiTheme="majorHAnsi" w:eastAsia="Times New Roman" w:hAnsiTheme="majorHAnsi" w:cstheme="majorHAnsi"/>
          <w:iCs/>
          <w:color w:val="000000"/>
          <w:sz w:val="24"/>
          <w:szCs w:val="20"/>
          <w:lang w:val="ru-RU"/>
        </w:rPr>
        <w:t>ации</w:t>
      </w:r>
      <w:r w:rsidRPr="00D41C90">
        <w:rPr>
          <w:rFonts w:asciiTheme="majorHAnsi" w:eastAsia="Times New Roman" w:hAnsiTheme="majorHAnsi" w:cstheme="majorHAnsi"/>
          <w:iCs/>
          <w:color w:val="000000"/>
          <w:sz w:val="24"/>
          <w:szCs w:val="20"/>
          <w:lang w:val="ro-MD"/>
        </w:rPr>
        <w:t xml:space="preserve">, не может быть реализовано, исходя из следующего: нет прямой подъездной дороги к ферме, единственный подъездной путь-это пересечение территории клиники; объект не имеет канализационной системы; невозможность подключения к локальной сети распределения электроэнергии. </w:t>
      </w:r>
      <w:r w:rsidR="002B3BC4" w:rsidRPr="002B3BC4">
        <w:rPr>
          <w:rFonts w:asciiTheme="majorHAnsi" w:eastAsia="Times New Roman" w:hAnsiTheme="majorHAnsi" w:cstheme="majorHAnsi"/>
          <w:iCs/>
          <w:color w:val="000000"/>
          <w:sz w:val="24"/>
          <w:szCs w:val="20"/>
          <w:lang w:val="ro-MD"/>
        </w:rPr>
        <w:t>Боле</w:t>
      </w:r>
      <w:r w:rsidRPr="00D41C90">
        <w:rPr>
          <w:rFonts w:asciiTheme="majorHAnsi" w:eastAsia="Times New Roman" w:hAnsiTheme="majorHAnsi" w:cstheme="majorHAnsi"/>
          <w:iCs/>
          <w:color w:val="000000"/>
          <w:sz w:val="24"/>
          <w:szCs w:val="20"/>
          <w:lang w:val="ro-MD"/>
        </w:rPr>
        <w:t>е того, рядом с объектом находится зона строгой санитарной защиты</w:t>
      </w:r>
      <w:r w:rsidR="002B3BC4" w:rsidRPr="00B13B9A">
        <w:rPr>
          <w:rStyle w:val="a9"/>
          <w:rFonts w:asciiTheme="majorHAnsi" w:eastAsia="Times New Roman" w:hAnsiTheme="majorHAnsi" w:cstheme="majorHAnsi"/>
          <w:iCs/>
          <w:color w:val="000000"/>
          <w:sz w:val="24"/>
          <w:szCs w:val="24"/>
          <w:lang w:val="ro-MD"/>
        </w:rPr>
        <w:footnoteReference w:id="26"/>
      </w:r>
      <w:r w:rsidRPr="00D41C90">
        <w:rPr>
          <w:rFonts w:asciiTheme="majorHAnsi" w:eastAsia="Times New Roman" w:hAnsiTheme="majorHAnsi" w:cstheme="majorHAnsi"/>
          <w:iCs/>
          <w:color w:val="000000"/>
          <w:sz w:val="24"/>
          <w:szCs w:val="20"/>
          <w:lang w:val="ro-MD"/>
        </w:rPr>
        <w:t xml:space="preserve">, </w:t>
      </w:r>
      <w:r w:rsidR="002B3BC4" w:rsidRPr="002B3BC4">
        <w:rPr>
          <w:rFonts w:asciiTheme="majorHAnsi" w:eastAsia="Times New Roman" w:hAnsiTheme="majorHAnsi" w:cstheme="majorHAnsi"/>
          <w:iCs/>
          <w:color w:val="000000"/>
          <w:sz w:val="24"/>
          <w:szCs w:val="20"/>
          <w:lang w:val="ro-MD"/>
        </w:rPr>
        <w:t>А</w:t>
      </w:r>
      <w:r w:rsidRPr="00D41C90">
        <w:rPr>
          <w:rFonts w:asciiTheme="majorHAnsi" w:eastAsia="Times New Roman" w:hAnsiTheme="majorHAnsi" w:cstheme="majorHAnsi"/>
          <w:iCs/>
          <w:color w:val="000000"/>
          <w:sz w:val="24"/>
          <w:szCs w:val="20"/>
          <w:lang w:val="ro-MD"/>
        </w:rPr>
        <w:t>ртезианск</w:t>
      </w:r>
      <w:r w:rsidR="002B3BC4" w:rsidRPr="002B3BC4">
        <w:rPr>
          <w:rFonts w:asciiTheme="majorHAnsi" w:eastAsia="Times New Roman" w:hAnsiTheme="majorHAnsi" w:cstheme="majorHAnsi"/>
          <w:iCs/>
          <w:color w:val="000000"/>
          <w:sz w:val="24"/>
          <w:szCs w:val="20"/>
          <w:lang w:val="ro-MD"/>
        </w:rPr>
        <w:t>ая скважина</w:t>
      </w:r>
      <w:r w:rsidRPr="00D41C90">
        <w:rPr>
          <w:rFonts w:asciiTheme="majorHAnsi" w:eastAsia="Times New Roman" w:hAnsiTheme="majorHAnsi" w:cstheme="majorHAnsi"/>
          <w:iCs/>
          <w:color w:val="000000"/>
          <w:sz w:val="24"/>
          <w:szCs w:val="20"/>
          <w:lang w:val="ro-MD"/>
        </w:rPr>
        <w:t>, котор</w:t>
      </w:r>
      <w:r w:rsidR="002B3BC4" w:rsidRPr="002B3BC4">
        <w:rPr>
          <w:rFonts w:asciiTheme="majorHAnsi" w:eastAsia="Times New Roman" w:hAnsiTheme="majorHAnsi" w:cstheme="majorHAnsi"/>
          <w:iCs/>
          <w:color w:val="000000"/>
          <w:sz w:val="24"/>
          <w:szCs w:val="20"/>
          <w:lang w:val="ro-MD"/>
        </w:rPr>
        <w:t>ая</w:t>
      </w:r>
      <w:r w:rsidRPr="00D41C90">
        <w:rPr>
          <w:rFonts w:asciiTheme="majorHAnsi" w:eastAsia="Times New Roman" w:hAnsiTheme="majorHAnsi" w:cstheme="majorHAnsi"/>
          <w:iCs/>
          <w:color w:val="000000"/>
          <w:sz w:val="24"/>
          <w:szCs w:val="20"/>
          <w:lang w:val="ro-MD"/>
        </w:rPr>
        <w:t xml:space="preserve"> является единственным источником питьевой воды, в том числе для пожаротушения, клиники Ворничень</w:t>
      </w:r>
      <w:r w:rsidR="002860CE" w:rsidRPr="00B13B9A">
        <w:rPr>
          <w:rFonts w:asciiTheme="majorHAnsi" w:eastAsia="Times New Roman" w:hAnsiTheme="majorHAnsi" w:cstheme="majorHAnsi"/>
          <w:iCs/>
          <w:color w:val="000000"/>
          <w:sz w:val="24"/>
          <w:szCs w:val="20"/>
          <w:lang w:val="ro-MD"/>
        </w:rPr>
        <w:t>.</w:t>
      </w:r>
    </w:p>
    <w:p w14:paraId="58C5DCD3" w14:textId="762400D5" w:rsidR="002860CE" w:rsidRPr="00B13B9A" w:rsidRDefault="00D41C90" w:rsidP="002860CE">
      <w:pPr>
        <w:spacing w:after="0" w:line="276" w:lineRule="auto"/>
        <w:jc w:val="both"/>
        <w:rPr>
          <w:rFonts w:asciiTheme="majorHAnsi" w:eastAsia="Times New Roman" w:hAnsiTheme="majorHAnsi" w:cstheme="majorHAnsi"/>
          <w:iCs/>
          <w:color w:val="000000"/>
          <w:sz w:val="24"/>
          <w:szCs w:val="20"/>
          <w:lang w:val="ro-MD"/>
        </w:rPr>
      </w:pPr>
      <w:r w:rsidRPr="00D41C90">
        <w:rPr>
          <w:rFonts w:asciiTheme="majorHAnsi" w:eastAsia="Times New Roman" w:hAnsiTheme="majorHAnsi" w:cstheme="majorHAnsi"/>
          <w:iCs/>
          <w:color w:val="000000"/>
          <w:sz w:val="24"/>
          <w:szCs w:val="20"/>
          <w:lang w:val="ro-MD"/>
        </w:rPr>
        <w:t xml:space="preserve">В этом контексте, </w:t>
      </w:r>
      <w:r w:rsidR="002B3BC4" w:rsidRPr="002B3BC4">
        <w:rPr>
          <w:rFonts w:asciiTheme="majorHAnsi" w:eastAsia="Times New Roman" w:hAnsiTheme="majorHAnsi" w:cstheme="majorHAnsi"/>
          <w:iCs/>
          <w:color w:val="000000"/>
          <w:sz w:val="24"/>
          <w:szCs w:val="20"/>
          <w:lang w:val="ro-MD"/>
        </w:rPr>
        <w:t>после обращения аудита к</w:t>
      </w:r>
      <w:r w:rsidRPr="00D41C90">
        <w:rPr>
          <w:rFonts w:asciiTheme="majorHAnsi" w:eastAsia="Times New Roman" w:hAnsiTheme="majorHAnsi" w:cstheme="majorHAnsi"/>
          <w:iCs/>
          <w:color w:val="000000"/>
          <w:sz w:val="24"/>
          <w:szCs w:val="20"/>
          <w:lang w:val="ro-MD"/>
        </w:rPr>
        <w:t xml:space="preserve"> </w:t>
      </w:r>
      <w:r w:rsidR="002B3BC4" w:rsidRPr="002B3BC4">
        <w:rPr>
          <w:rFonts w:asciiTheme="majorHAnsi" w:eastAsia="Times New Roman" w:hAnsiTheme="majorHAnsi" w:cstheme="majorHAnsi"/>
          <w:iCs/>
          <w:color w:val="000000"/>
          <w:sz w:val="24"/>
          <w:szCs w:val="20"/>
          <w:lang w:val="ro-MD"/>
        </w:rPr>
        <w:t>АПС</w:t>
      </w:r>
      <w:r w:rsidRPr="00D41C90">
        <w:rPr>
          <w:rFonts w:asciiTheme="majorHAnsi" w:eastAsia="Times New Roman" w:hAnsiTheme="majorHAnsi" w:cstheme="majorHAnsi"/>
          <w:iCs/>
          <w:color w:val="000000"/>
          <w:sz w:val="24"/>
          <w:szCs w:val="20"/>
          <w:lang w:val="ro-MD"/>
        </w:rPr>
        <w:t xml:space="preserve"> разрешить доступ и представить </w:t>
      </w:r>
      <w:r w:rsidR="002B3BC4" w:rsidRPr="00D41C90">
        <w:rPr>
          <w:rFonts w:asciiTheme="majorHAnsi" w:eastAsia="Times New Roman" w:hAnsiTheme="majorHAnsi" w:cstheme="majorHAnsi"/>
          <w:iCs/>
          <w:color w:val="000000"/>
          <w:sz w:val="24"/>
          <w:szCs w:val="20"/>
          <w:lang w:val="ro-MD"/>
        </w:rPr>
        <w:t xml:space="preserve">необходимые </w:t>
      </w:r>
      <w:r w:rsidR="002B3BC4">
        <w:rPr>
          <w:rFonts w:asciiTheme="majorHAnsi" w:eastAsia="Times New Roman" w:hAnsiTheme="majorHAnsi" w:cstheme="majorHAnsi"/>
          <w:iCs/>
          <w:color w:val="000000"/>
          <w:sz w:val="24"/>
          <w:szCs w:val="20"/>
          <w:lang w:val="ro-MD"/>
        </w:rPr>
        <w:t>документы и информацию</w:t>
      </w:r>
      <w:r w:rsidRPr="00D41C90">
        <w:rPr>
          <w:rFonts w:asciiTheme="majorHAnsi" w:eastAsia="Times New Roman" w:hAnsiTheme="majorHAnsi" w:cstheme="majorHAnsi"/>
          <w:iCs/>
          <w:color w:val="000000"/>
          <w:sz w:val="24"/>
          <w:szCs w:val="20"/>
          <w:lang w:val="ro-MD"/>
        </w:rPr>
        <w:t xml:space="preserve"> для оценки строительства свинофермы, </w:t>
      </w:r>
      <w:r w:rsidR="00C06F7B">
        <w:rPr>
          <w:rFonts w:asciiTheme="majorHAnsi" w:eastAsia="Times New Roman" w:hAnsiTheme="majorHAnsi" w:cstheme="majorHAnsi"/>
          <w:iCs/>
          <w:color w:val="000000"/>
          <w:sz w:val="24"/>
          <w:szCs w:val="20"/>
          <w:lang w:val="ro-MD"/>
        </w:rPr>
        <w:t>ПМСУ</w:t>
      </w:r>
      <w:r w:rsidRPr="00D41C90">
        <w:rPr>
          <w:rFonts w:asciiTheme="majorHAnsi" w:eastAsia="Times New Roman" w:hAnsiTheme="majorHAnsi" w:cstheme="majorHAnsi"/>
          <w:iCs/>
          <w:color w:val="000000"/>
          <w:sz w:val="24"/>
          <w:szCs w:val="20"/>
          <w:lang w:val="ro-MD"/>
        </w:rPr>
        <w:t xml:space="preserve"> вмешалась с просьбой исключить объект из </w:t>
      </w:r>
      <w:r w:rsidR="002B3BC4" w:rsidRPr="002B3BC4">
        <w:rPr>
          <w:rFonts w:asciiTheme="majorHAnsi" w:eastAsia="Times New Roman" w:hAnsiTheme="majorHAnsi" w:cstheme="majorHAnsi"/>
          <w:iCs/>
          <w:color w:val="000000"/>
          <w:sz w:val="24"/>
          <w:szCs w:val="20"/>
          <w:lang w:val="ro-MD"/>
        </w:rPr>
        <w:t>Перечня</w:t>
      </w:r>
      <w:r w:rsidRPr="00D41C90">
        <w:rPr>
          <w:rFonts w:asciiTheme="majorHAnsi" w:eastAsia="Times New Roman" w:hAnsiTheme="majorHAnsi" w:cstheme="majorHAnsi"/>
          <w:iCs/>
          <w:color w:val="000000"/>
          <w:sz w:val="24"/>
          <w:szCs w:val="20"/>
          <w:lang w:val="ro-MD"/>
        </w:rPr>
        <w:t xml:space="preserve"> </w:t>
      </w:r>
      <w:r w:rsidR="002B3BC4" w:rsidRPr="002B3BC4">
        <w:rPr>
          <w:rFonts w:asciiTheme="majorHAnsi" w:eastAsia="Times New Roman" w:hAnsiTheme="majorHAnsi" w:cstheme="majorHAnsi"/>
          <w:iCs/>
          <w:color w:val="000000"/>
          <w:sz w:val="24"/>
          <w:szCs w:val="20"/>
          <w:lang w:val="ro-MD"/>
        </w:rPr>
        <w:t>объектов публич</w:t>
      </w:r>
      <w:r w:rsidRPr="00D41C90">
        <w:rPr>
          <w:rFonts w:asciiTheme="majorHAnsi" w:eastAsia="Times New Roman" w:hAnsiTheme="majorHAnsi" w:cstheme="majorHAnsi"/>
          <w:iCs/>
          <w:color w:val="000000"/>
          <w:sz w:val="24"/>
          <w:szCs w:val="20"/>
          <w:lang w:val="ro-MD"/>
        </w:rPr>
        <w:t>ных собственности, подлежащих приватизации</w:t>
      </w:r>
      <w:r w:rsidR="002860CE" w:rsidRPr="00B13B9A">
        <w:rPr>
          <w:rFonts w:asciiTheme="majorHAnsi" w:eastAsia="Times New Roman" w:hAnsiTheme="majorHAnsi" w:cstheme="majorHAnsi"/>
          <w:iCs/>
          <w:color w:val="000000"/>
          <w:sz w:val="24"/>
          <w:szCs w:val="20"/>
          <w:lang w:val="ro-MD"/>
        </w:rPr>
        <w:t xml:space="preserve">. </w:t>
      </w:r>
    </w:p>
    <w:p w14:paraId="39B55D86" w14:textId="77777777" w:rsidR="002860CE" w:rsidRPr="00B13B9A" w:rsidRDefault="002860CE" w:rsidP="00C063FB">
      <w:pPr>
        <w:rPr>
          <w:rFonts w:asciiTheme="majorHAnsi" w:hAnsiTheme="majorHAnsi" w:cstheme="majorHAnsi"/>
          <w:b/>
          <w:color w:val="000000" w:themeColor="text1"/>
          <w:sz w:val="24"/>
          <w:szCs w:val="24"/>
          <w:lang w:val="ro-MD"/>
        </w:rPr>
      </w:pPr>
    </w:p>
    <w:p w14:paraId="7DD1B378" w14:textId="72FBD813" w:rsidR="00314C6D" w:rsidRPr="00B13B9A" w:rsidRDefault="00D41C90" w:rsidP="00E411AC">
      <w:pPr>
        <w:pStyle w:val="3"/>
        <w:numPr>
          <w:ilvl w:val="2"/>
          <w:numId w:val="10"/>
        </w:numPr>
        <w:ind w:left="0" w:firstLine="284"/>
        <w:jc w:val="both"/>
        <w:rPr>
          <w:rFonts w:cstheme="majorHAnsi"/>
          <w:color w:val="000000" w:themeColor="text1"/>
        </w:rPr>
      </w:pPr>
      <w:bookmarkStart w:id="25" w:name="_Toc158317231"/>
      <w:r w:rsidRPr="00D41C90">
        <w:rPr>
          <w:rFonts w:cstheme="majorHAnsi"/>
          <w:b/>
          <w:color w:val="000000" w:themeColor="text1"/>
        </w:rPr>
        <w:t xml:space="preserve">Потребности </w:t>
      </w:r>
      <w:r w:rsidR="00E411AC" w:rsidRPr="00E411AC">
        <w:rPr>
          <w:rFonts w:cstheme="majorHAnsi"/>
          <w:b/>
          <w:color w:val="000000" w:themeColor="text1"/>
        </w:rPr>
        <w:t>на</w:t>
      </w:r>
      <w:r w:rsidRPr="00D41C90">
        <w:rPr>
          <w:rFonts w:cstheme="majorHAnsi"/>
          <w:b/>
          <w:color w:val="000000" w:themeColor="text1"/>
        </w:rPr>
        <w:t xml:space="preserve"> содержани</w:t>
      </w:r>
      <w:r w:rsidR="00E411AC" w:rsidRPr="00E411AC">
        <w:rPr>
          <w:rFonts w:cstheme="majorHAnsi"/>
          <w:b/>
          <w:color w:val="000000" w:themeColor="text1"/>
        </w:rPr>
        <w:t>е</w:t>
      </w:r>
      <w:r w:rsidRPr="00D41C90">
        <w:rPr>
          <w:rFonts w:cstheme="majorHAnsi"/>
          <w:b/>
          <w:color w:val="000000" w:themeColor="text1"/>
        </w:rPr>
        <w:t xml:space="preserve"> клиники, расположенной в с. Ворничень, </w:t>
      </w:r>
      <w:r w:rsidR="00E411AC" w:rsidRPr="00E411AC">
        <w:rPr>
          <w:rFonts w:cstheme="majorHAnsi"/>
          <w:b/>
          <w:color w:val="000000" w:themeColor="text1"/>
        </w:rPr>
        <w:t>с</w:t>
      </w:r>
      <w:r w:rsidRPr="00D41C90">
        <w:rPr>
          <w:rFonts w:cstheme="majorHAnsi"/>
          <w:b/>
          <w:color w:val="000000" w:themeColor="text1"/>
        </w:rPr>
        <w:t>коррелир</w:t>
      </w:r>
      <w:r w:rsidR="00E411AC" w:rsidRPr="00E411AC">
        <w:rPr>
          <w:rFonts w:cstheme="majorHAnsi"/>
          <w:b/>
          <w:color w:val="000000" w:themeColor="text1"/>
        </w:rPr>
        <w:t>ованные</w:t>
      </w:r>
      <w:r w:rsidRPr="00D41C90">
        <w:rPr>
          <w:rFonts w:cstheme="majorHAnsi"/>
          <w:b/>
          <w:color w:val="000000" w:themeColor="text1"/>
        </w:rPr>
        <w:t xml:space="preserve"> с увеличением расходов и сокращением числа пациентов, оказывают экономическое давление на </w:t>
      </w:r>
      <w:r w:rsidR="0045040C">
        <w:rPr>
          <w:rFonts w:cstheme="majorHAnsi"/>
          <w:b/>
          <w:color w:val="000000" w:themeColor="text1"/>
        </w:rPr>
        <w:t>ПМСУ ИФП</w:t>
      </w:r>
      <w:r w:rsidR="00404539" w:rsidRPr="00B13B9A">
        <w:rPr>
          <w:rFonts w:cstheme="majorHAnsi"/>
          <w:b/>
          <w:color w:val="000000" w:themeColor="text1"/>
        </w:rPr>
        <w:t>.</w:t>
      </w:r>
      <w:bookmarkEnd w:id="25"/>
    </w:p>
    <w:p w14:paraId="70DF01F8" w14:textId="77777777" w:rsidR="00B66459" w:rsidRPr="00B13B9A" w:rsidRDefault="00B66459" w:rsidP="00314C6D">
      <w:pPr>
        <w:spacing w:after="0" w:line="276" w:lineRule="auto"/>
        <w:jc w:val="both"/>
        <w:rPr>
          <w:rFonts w:asciiTheme="majorHAnsi" w:hAnsiTheme="majorHAnsi" w:cstheme="majorHAnsi"/>
          <w:color w:val="000000" w:themeColor="text1"/>
          <w:sz w:val="24"/>
          <w:szCs w:val="24"/>
          <w:lang w:val="ro-MD"/>
        </w:rPr>
      </w:pPr>
    </w:p>
    <w:p w14:paraId="365B7F34" w14:textId="7DACCD93" w:rsidR="00D226AF" w:rsidRPr="00B13B9A" w:rsidRDefault="00D41C90" w:rsidP="00D226AF">
      <w:pPr>
        <w:spacing w:after="0" w:line="276" w:lineRule="auto"/>
        <w:jc w:val="both"/>
        <w:rPr>
          <w:rFonts w:asciiTheme="majorHAnsi" w:hAnsiTheme="majorHAnsi" w:cstheme="majorHAnsi"/>
          <w:color w:val="000000" w:themeColor="text1"/>
          <w:sz w:val="24"/>
          <w:szCs w:val="24"/>
          <w:lang w:val="ro-MD"/>
        </w:rPr>
      </w:pPr>
      <w:r w:rsidRPr="00D41C90">
        <w:rPr>
          <w:rFonts w:asciiTheme="majorHAnsi" w:hAnsiTheme="majorHAnsi" w:cstheme="majorHAnsi"/>
          <w:color w:val="000000" w:themeColor="text1"/>
          <w:sz w:val="24"/>
          <w:szCs w:val="24"/>
          <w:lang w:val="ro-MD"/>
        </w:rPr>
        <w:t xml:space="preserve">После слияния </w:t>
      </w:r>
      <w:r w:rsidR="00400E8D">
        <w:rPr>
          <w:rFonts w:asciiTheme="majorHAnsi" w:hAnsiTheme="majorHAnsi" w:cstheme="majorHAnsi"/>
          <w:color w:val="000000" w:themeColor="text1"/>
          <w:sz w:val="24"/>
          <w:szCs w:val="24"/>
          <w:lang w:val="ro-MD"/>
        </w:rPr>
        <w:t>ПМСУ ИФП</w:t>
      </w:r>
      <w:r w:rsidRPr="00D41C90">
        <w:rPr>
          <w:rFonts w:asciiTheme="majorHAnsi" w:hAnsiTheme="majorHAnsi" w:cstheme="majorHAnsi"/>
          <w:color w:val="000000" w:themeColor="text1"/>
          <w:sz w:val="24"/>
          <w:szCs w:val="24"/>
          <w:lang w:val="ro-MD"/>
        </w:rPr>
        <w:t xml:space="preserve"> </w:t>
      </w:r>
      <w:r w:rsidR="00AC00D0">
        <w:rPr>
          <w:rFonts w:asciiTheme="majorHAnsi" w:hAnsiTheme="majorHAnsi" w:cstheme="majorHAnsi"/>
          <w:color w:val="000000" w:themeColor="text1"/>
          <w:sz w:val="24"/>
          <w:szCs w:val="24"/>
          <w:lang w:val="ro-MD"/>
        </w:rPr>
        <w:t>„</w:t>
      </w:r>
      <w:r w:rsidR="00AC00D0">
        <w:rPr>
          <w:rFonts w:asciiTheme="majorHAnsi" w:hAnsiTheme="majorHAnsi" w:cs="Calibri Light"/>
          <w:sz w:val="24"/>
          <w:szCs w:val="24"/>
          <w:lang w:val="ru-MD" w:eastAsia="ru-RU"/>
        </w:rPr>
        <w:t>Кирилл Драганюк</w:t>
      </w:r>
      <w:r w:rsidR="00F56EC1">
        <w:rPr>
          <w:rFonts w:asciiTheme="majorHAnsi" w:hAnsiTheme="majorHAnsi" w:cstheme="majorHAnsi"/>
          <w:color w:val="000000" w:themeColor="text1"/>
          <w:sz w:val="24"/>
          <w:szCs w:val="24"/>
          <w:lang w:val="ro-MD"/>
        </w:rPr>
        <w:t>”</w:t>
      </w:r>
      <w:r w:rsidRPr="00D41C90">
        <w:rPr>
          <w:rFonts w:asciiTheme="majorHAnsi" w:hAnsiTheme="majorHAnsi" w:cstheme="majorHAnsi"/>
          <w:color w:val="000000" w:themeColor="text1"/>
          <w:sz w:val="24"/>
          <w:szCs w:val="24"/>
          <w:lang w:val="ro-MD"/>
        </w:rPr>
        <w:t xml:space="preserve"> путем </w:t>
      </w:r>
      <w:r w:rsidR="00E411AC">
        <w:rPr>
          <w:rFonts w:asciiTheme="majorHAnsi" w:hAnsiTheme="majorHAnsi" w:cstheme="majorHAnsi"/>
          <w:color w:val="000000" w:themeColor="text1"/>
          <w:sz w:val="24"/>
          <w:szCs w:val="24"/>
          <w:lang w:val="ru-RU"/>
        </w:rPr>
        <w:t>поглощения</w:t>
      </w:r>
      <w:r w:rsidRPr="00D41C90">
        <w:rPr>
          <w:rFonts w:asciiTheme="majorHAnsi" w:hAnsiTheme="majorHAnsi" w:cstheme="majorHAnsi"/>
          <w:color w:val="000000" w:themeColor="text1"/>
          <w:sz w:val="24"/>
          <w:szCs w:val="24"/>
          <w:lang w:val="ro-MD"/>
        </w:rPr>
        <w:t xml:space="preserve"> с </w:t>
      </w:r>
      <w:r w:rsidR="00C06F7B">
        <w:rPr>
          <w:rFonts w:asciiTheme="majorHAnsi" w:hAnsiTheme="majorHAnsi" w:cstheme="majorHAnsi"/>
          <w:color w:val="000000" w:themeColor="text1"/>
          <w:sz w:val="24"/>
          <w:szCs w:val="24"/>
          <w:lang w:val="ro-MD"/>
        </w:rPr>
        <w:t>ПМСУ</w:t>
      </w:r>
      <w:r w:rsidRPr="00D41C90">
        <w:rPr>
          <w:rFonts w:asciiTheme="majorHAnsi" w:hAnsiTheme="majorHAnsi" w:cstheme="majorHAnsi"/>
          <w:color w:val="000000" w:themeColor="text1"/>
          <w:sz w:val="24"/>
          <w:szCs w:val="24"/>
          <w:lang w:val="ro-MD"/>
        </w:rPr>
        <w:t xml:space="preserve"> </w:t>
      </w:r>
      <w:r w:rsidR="00E411AC">
        <w:rPr>
          <w:rFonts w:asciiTheme="majorHAnsi" w:hAnsiTheme="majorHAnsi" w:cstheme="majorHAnsi"/>
          <w:color w:val="000000" w:themeColor="text1"/>
          <w:sz w:val="24"/>
          <w:szCs w:val="24"/>
          <w:lang w:val="ru-RU"/>
        </w:rPr>
        <w:t>Т</w:t>
      </w:r>
      <w:r w:rsidRPr="00D41C90">
        <w:rPr>
          <w:rFonts w:asciiTheme="majorHAnsi" w:hAnsiTheme="majorHAnsi" w:cstheme="majorHAnsi"/>
          <w:color w:val="000000" w:themeColor="text1"/>
          <w:sz w:val="24"/>
          <w:szCs w:val="24"/>
          <w:lang w:val="ro-MD"/>
        </w:rPr>
        <w:t>уберкулезн</w:t>
      </w:r>
      <w:r w:rsidR="00E411AC">
        <w:rPr>
          <w:rFonts w:asciiTheme="majorHAnsi" w:hAnsiTheme="majorHAnsi" w:cstheme="majorHAnsi"/>
          <w:color w:val="000000" w:themeColor="text1"/>
          <w:sz w:val="24"/>
          <w:szCs w:val="24"/>
          <w:lang w:val="ru-RU"/>
        </w:rPr>
        <w:t>ая</w:t>
      </w:r>
      <w:r w:rsidRPr="00D41C90">
        <w:rPr>
          <w:rFonts w:asciiTheme="majorHAnsi" w:hAnsiTheme="majorHAnsi" w:cstheme="majorHAnsi"/>
          <w:color w:val="000000" w:themeColor="text1"/>
          <w:sz w:val="24"/>
          <w:szCs w:val="24"/>
          <w:lang w:val="ro-MD"/>
        </w:rPr>
        <w:t xml:space="preserve"> </w:t>
      </w:r>
      <w:r w:rsidR="00E411AC" w:rsidRPr="00D41C90">
        <w:rPr>
          <w:rFonts w:asciiTheme="majorHAnsi" w:hAnsiTheme="majorHAnsi" w:cstheme="majorHAnsi"/>
          <w:color w:val="000000" w:themeColor="text1"/>
          <w:sz w:val="24"/>
          <w:szCs w:val="24"/>
          <w:lang w:val="ro-MD"/>
        </w:rPr>
        <w:t xml:space="preserve">больница </w:t>
      </w:r>
      <w:r w:rsidR="00E411AC">
        <w:rPr>
          <w:rFonts w:asciiTheme="majorHAnsi" w:hAnsiTheme="majorHAnsi" w:cstheme="majorHAnsi"/>
          <w:color w:val="000000" w:themeColor="text1"/>
          <w:sz w:val="24"/>
          <w:szCs w:val="24"/>
          <w:lang w:val="ru-RU"/>
        </w:rPr>
        <w:t>с.</w:t>
      </w:r>
      <w:r w:rsidRPr="00D41C90">
        <w:rPr>
          <w:rFonts w:asciiTheme="majorHAnsi" w:hAnsiTheme="majorHAnsi" w:cstheme="majorHAnsi"/>
          <w:color w:val="000000" w:themeColor="text1"/>
          <w:sz w:val="24"/>
          <w:szCs w:val="24"/>
          <w:lang w:val="ro-MD"/>
        </w:rPr>
        <w:t xml:space="preserve"> Ворничень, было одобрено 660 коек</w:t>
      </w:r>
      <w:r w:rsidR="00E411AC" w:rsidRPr="00B13B9A">
        <w:rPr>
          <w:rFonts w:asciiTheme="majorHAnsi" w:hAnsiTheme="majorHAnsi" w:cstheme="majorHAnsi"/>
          <w:color w:val="000000" w:themeColor="text1"/>
          <w:sz w:val="24"/>
          <w:szCs w:val="24"/>
          <w:vertAlign w:val="superscript"/>
          <w:lang w:val="ro-MD"/>
        </w:rPr>
        <w:footnoteReference w:id="27"/>
      </w:r>
      <w:r w:rsidRPr="00D41C90">
        <w:rPr>
          <w:rFonts w:asciiTheme="majorHAnsi" w:hAnsiTheme="majorHAnsi" w:cstheme="majorHAnsi"/>
          <w:color w:val="000000" w:themeColor="text1"/>
          <w:sz w:val="24"/>
          <w:szCs w:val="24"/>
          <w:lang w:val="ro-MD"/>
        </w:rPr>
        <w:t xml:space="preserve">, 240 из которых </w:t>
      </w:r>
      <w:r w:rsidR="00E411AC">
        <w:rPr>
          <w:rFonts w:asciiTheme="majorHAnsi" w:hAnsiTheme="majorHAnsi" w:cstheme="majorHAnsi"/>
          <w:color w:val="000000" w:themeColor="text1"/>
          <w:sz w:val="24"/>
          <w:szCs w:val="24"/>
          <w:lang w:val="ru-RU"/>
        </w:rPr>
        <w:t xml:space="preserve">являются </w:t>
      </w:r>
      <w:r w:rsidRPr="00D41C90">
        <w:rPr>
          <w:rFonts w:asciiTheme="majorHAnsi" w:hAnsiTheme="majorHAnsi" w:cstheme="majorHAnsi"/>
          <w:color w:val="000000" w:themeColor="text1"/>
          <w:sz w:val="24"/>
          <w:szCs w:val="24"/>
          <w:lang w:val="ro-MD"/>
        </w:rPr>
        <w:t>не</w:t>
      </w:r>
      <w:r w:rsidR="00E411AC">
        <w:rPr>
          <w:rFonts w:asciiTheme="majorHAnsi" w:hAnsiTheme="majorHAnsi" w:cstheme="majorHAnsi"/>
          <w:color w:val="000000" w:themeColor="text1"/>
          <w:sz w:val="24"/>
          <w:szCs w:val="24"/>
          <w:lang w:val="ru-RU"/>
        </w:rPr>
        <w:t>функциональными</w:t>
      </w:r>
      <w:r w:rsidRPr="00D41C90">
        <w:rPr>
          <w:rFonts w:asciiTheme="majorHAnsi" w:hAnsiTheme="majorHAnsi" w:cstheme="majorHAnsi"/>
          <w:color w:val="000000" w:themeColor="text1"/>
          <w:sz w:val="24"/>
          <w:szCs w:val="24"/>
          <w:lang w:val="ro-MD"/>
        </w:rPr>
        <w:t xml:space="preserve">, и должны быть введены в эксплуатацию после сдачи в эксплуатацию лечебного </w:t>
      </w:r>
      <w:r w:rsidR="00E411AC">
        <w:rPr>
          <w:rFonts w:asciiTheme="majorHAnsi" w:hAnsiTheme="majorHAnsi" w:cstheme="majorHAnsi"/>
          <w:color w:val="000000" w:themeColor="text1"/>
          <w:sz w:val="24"/>
          <w:szCs w:val="24"/>
          <w:lang w:val="ru-RU"/>
        </w:rPr>
        <w:t>корпус</w:t>
      </w:r>
      <w:r w:rsidRPr="00D41C90">
        <w:rPr>
          <w:rFonts w:asciiTheme="majorHAnsi" w:hAnsiTheme="majorHAnsi" w:cstheme="majorHAnsi"/>
          <w:color w:val="000000" w:themeColor="text1"/>
          <w:sz w:val="24"/>
          <w:szCs w:val="24"/>
          <w:lang w:val="ro-MD"/>
        </w:rPr>
        <w:t>а №2. Впоследствии</w:t>
      </w:r>
      <w:r w:rsidR="00E411AC" w:rsidRPr="00E411AC">
        <w:rPr>
          <w:rFonts w:asciiTheme="majorHAnsi" w:hAnsiTheme="majorHAnsi" w:cstheme="majorHAnsi"/>
          <w:color w:val="000000" w:themeColor="text1"/>
          <w:sz w:val="24"/>
          <w:szCs w:val="24"/>
          <w:lang w:val="ro-MD"/>
        </w:rPr>
        <w:t>,</w:t>
      </w:r>
      <w:r w:rsidRPr="00D41C90">
        <w:rPr>
          <w:rFonts w:asciiTheme="majorHAnsi" w:hAnsiTheme="majorHAnsi" w:cstheme="majorHAnsi"/>
          <w:color w:val="000000" w:themeColor="text1"/>
          <w:sz w:val="24"/>
          <w:szCs w:val="24"/>
          <w:lang w:val="ro-MD"/>
        </w:rPr>
        <w:t xml:space="preserve"> число случаев заболевания туберкулезом постоянно сокращалось, </w:t>
      </w:r>
      <w:r w:rsidR="00E411AC" w:rsidRPr="00E411AC">
        <w:rPr>
          <w:rFonts w:asciiTheme="majorHAnsi" w:hAnsiTheme="majorHAnsi" w:cstheme="majorHAnsi"/>
          <w:color w:val="000000" w:themeColor="text1"/>
          <w:sz w:val="24"/>
          <w:szCs w:val="24"/>
          <w:lang w:val="ro-MD"/>
        </w:rPr>
        <w:t>таким образом,</w:t>
      </w:r>
      <w:r w:rsidRPr="00D41C90">
        <w:rPr>
          <w:rFonts w:asciiTheme="majorHAnsi" w:hAnsiTheme="majorHAnsi" w:cstheme="majorHAnsi"/>
          <w:color w:val="000000" w:themeColor="text1"/>
          <w:sz w:val="24"/>
          <w:szCs w:val="24"/>
          <w:lang w:val="ro-MD"/>
        </w:rPr>
        <w:t xml:space="preserve"> с 3 770 зарегистрированных больных в 2014 году</w:t>
      </w:r>
      <w:r w:rsidR="00E411AC" w:rsidRPr="00E411AC">
        <w:rPr>
          <w:rFonts w:asciiTheme="majorHAnsi" w:hAnsiTheme="majorHAnsi" w:cstheme="majorHAnsi"/>
          <w:color w:val="000000" w:themeColor="text1"/>
          <w:sz w:val="24"/>
          <w:szCs w:val="24"/>
          <w:lang w:val="ro-MD"/>
        </w:rPr>
        <w:t>,</w:t>
      </w:r>
      <w:r w:rsidRPr="00D41C90">
        <w:rPr>
          <w:rFonts w:asciiTheme="majorHAnsi" w:hAnsiTheme="majorHAnsi" w:cstheme="majorHAnsi"/>
          <w:color w:val="000000" w:themeColor="text1"/>
          <w:sz w:val="24"/>
          <w:szCs w:val="24"/>
          <w:lang w:val="ro-MD"/>
        </w:rPr>
        <w:t xml:space="preserve"> их число достигло 1 790 в 2022 году, причем </w:t>
      </w:r>
      <w:r w:rsidR="00E411AC">
        <w:rPr>
          <w:rFonts w:asciiTheme="majorHAnsi" w:hAnsiTheme="majorHAnsi" w:cstheme="majorHAnsi"/>
          <w:color w:val="000000" w:themeColor="text1"/>
          <w:sz w:val="24"/>
          <w:szCs w:val="24"/>
          <w:lang w:val="ru-RU"/>
        </w:rPr>
        <w:t>сохраняется</w:t>
      </w:r>
      <w:r w:rsidR="00E411AC" w:rsidRPr="00E411AC">
        <w:rPr>
          <w:rFonts w:asciiTheme="majorHAnsi" w:hAnsiTheme="majorHAnsi" w:cstheme="majorHAnsi"/>
          <w:color w:val="000000" w:themeColor="text1"/>
          <w:sz w:val="24"/>
          <w:szCs w:val="24"/>
          <w:lang w:val="ro-MD"/>
        </w:rPr>
        <w:t xml:space="preserve"> </w:t>
      </w:r>
      <w:r w:rsidRPr="00D41C90">
        <w:rPr>
          <w:rFonts w:asciiTheme="majorHAnsi" w:hAnsiTheme="majorHAnsi" w:cstheme="majorHAnsi"/>
          <w:color w:val="000000" w:themeColor="text1"/>
          <w:sz w:val="24"/>
          <w:szCs w:val="24"/>
          <w:lang w:val="ro-MD"/>
        </w:rPr>
        <w:t>тенденция сниж</w:t>
      </w:r>
      <w:r w:rsidR="00E411AC" w:rsidRPr="00E411AC">
        <w:rPr>
          <w:rFonts w:asciiTheme="majorHAnsi" w:hAnsiTheme="majorHAnsi" w:cstheme="majorHAnsi"/>
          <w:color w:val="000000" w:themeColor="text1"/>
          <w:sz w:val="24"/>
          <w:szCs w:val="24"/>
          <w:lang w:val="ro-MD"/>
        </w:rPr>
        <w:t>ения</w:t>
      </w:r>
      <w:r w:rsidR="00D226AF" w:rsidRPr="00B13B9A">
        <w:rPr>
          <w:rFonts w:asciiTheme="majorHAnsi" w:hAnsiTheme="majorHAnsi" w:cstheme="majorHAnsi"/>
          <w:color w:val="000000" w:themeColor="text1"/>
          <w:sz w:val="24"/>
          <w:szCs w:val="24"/>
          <w:lang w:val="ro-MD"/>
        </w:rPr>
        <w:t xml:space="preserve">. </w:t>
      </w:r>
    </w:p>
    <w:p w14:paraId="6F2BCE52" w14:textId="3B4EFC00" w:rsidR="006D564A" w:rsidRPr="00B13B9A" w:rsidRDefault="00E411AC" w:rsidP="006D564A">
      <w:pPr>
        <w:spacing w:after="0" w:line="276" w:lineRule="auto"/>
        <w:jc w:val="right"/>
        <w:rPr>
          <w:rFonts w:asciiTheme="majorHAnsi" w:hAnsiTheme="majorHAnsi" w:cstheme="majorHAnsi"/>
          <w:color w:val="000000" w:themeColor="text1"/>
          <w:sz w:val="24"/>
          <w:szCs w:val="24"/>
          <w:lang w:val="ro-MD"/>
        </w:rPr>
      </w:pPr>
      <w:r>
        <w:rPr>
          <w:rFonts w:asciiTheme="majorHAnsi" w:hAnsiTheme="majorHAnsi" w:cstheme="majorHAnsi"/>
          <w:color w:val="000000" w:themeColor="text1"/>
          <w:sz w:val="24"/>
          <w:szCs w:val="24"/>
          <w:lang w:val="ro-MD"/>
        </w:rPr>
        <w:t>Рисунок №</w:t>
      </w:r>
      <w:r w:rsidR="00A26229" w:rsidRPr="00B13B9A">
        <w:rPr>
          <w:rFonts w:asciiTheme="majorHAnsi" w:hAnsiTheme="majorHAnsi" w:cstheme="majorHAnsi"/>
          <w:color w:val="000000" w:themeColor="text1"/>
          <w:sz w:val="24"/>
          <w:szCs w:val="24"/>
          <w:lang w:val="ro-MD"/>
        </w:rPr>
        <w:t>1</w:t>
      </w:r>
    </w:p>
    <w:p w14:paraId="7E971739" w14:textId="77777777" w:rsidR="0053013B" w:rsidRPr="00B13B9A" w:rsidRDefault="00470063" w:rsidP="0053013B">
      <w:pPr>
        <w:spacing w:after="0" w:line="276" w:lineRule="auto"/>
        <w:jc w:val="both"/>
        <w:rPr>
          <w:rFonts w:asciiTheme="majorHAnsi" w:hAnsiTheme="majorHAnsi" w:cstheme="majorHAnsi"/>
          <w:color w:val="000000" w:themeColor="text1"/>
          <w:sz w:val="24"/>
          <w:szCs w:val="24"/>
          <w:lang w:val="ro-MD"/>
        </w:rPr>
      </w:pPr>
      <w:r w:rsidRPr="00B13B9A">
        <w:rPr>
          <w:noProof/>
          <w:lang w:val="ru-RU" w:eastAsia="ru-RU"/>
        </w:rPr>
        <w:drawing>
          <wp:inline distT="0" distB="0" distL="0" distR="0" wp14:anchorId="390991CB" wp14:editId="3A99B44B">
            <wp:extent cx="6156960" cy="2705100"/>
            <wp:effectExtent l="0" t="0" r="152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562D43B" w14:textId="76C950B4" w:rsidR="00470063" w:rsidRPr="00B13B9A" w:rsidRDefault="00FE6601" w:rsidP="0053013B">
      <w:pPr>
        <w:spacing w:after="0" w:line="276" w:lineRule="auto"/>
        <w:jc w:val="both"/>
        <w:rPr>
          <w:rFonts w:asciiTheme="majorHAnsi" w:hAnsiTheme="majorHAnsi" w:cstheme="majorHAnsi"/>
          <w:color w:val="000000" w:themeColor="text1"/>
          <w:sz w:val="20"/>
          <w:szCs w:val="20"/>
          <w:lang w:val="ro-MD"/>
        </w:rPr>
      </w:pPr>
      <w:r>
        <w:rPr>
          <w:rFonts w:asciiTheme="majorHAnsi" w:hAnsiTheme="majorHAnsi" w:cstheme="majorHAnsi"/>
          <w:b/>
          <w:i/>
          <w:color w:val="000000" w:themeColor="text1"/>
          <w:sz w:val="20"/>
          <w:szCs w:val="20"/>
          <w:lang w:val="ro-MD"/>
        </w:rPr>
        <w:t>Источник</w:t>
      </w:r>
      <w:r w:rsidR="006D564A" w:rsidRPr="00B13B9A">
        <w:rPr>
          <w:rFonts w:asciiTheme="majorHAnsi" w:hAnsiTheme="majorHAnsi" w:cstheme="majorHAnsi"/>
          <w:b/>
          <w:i/>
          <w:color w:val="000000" w:themeColor="text1"/>
          <w:sz w:val="20"/>
          <w:szCs w:val="20"/>
          <w:lang w:val="ro-MD"/>
        </w:rPr>
        <w:t>:</w:t>
      </w:r>
      <w:r w:rsidR="006D564A" w:rsidRPr="00B13B9A">
        <w:rPr>
          <w:rFonts w:asciiTheme="majorHAnsi" w:hAnsiTheme="majorHAnsi" w:cstheme="majorHAnsi"/>
          <w:color w:val="000000" w:themeColor="text1"/>
          <w:sz w:val="20"/>
          <w:szCs w:val="20"/>
          <w:lang w:val="ro-MD"/>
        </w:rPr>
        <w:t xml:space="preserve"> </w:t>
      </w:r>
      <w:r w:rsidR="009B1068" w:rsidRPr="00B13B9A">
        <w:rPr>
          <w:rFonts w:asciiTheme="majorHAnsi" w:hAnsiTheme="majorHAnsi" w:cstheme="majorHAnsi"/>
          <w:i/>
          <w:color w:val="000000" w:themeColor="text1"/>
          <w:sz w:val="20"/>
          <w:szCs w:val="20"/>
          <w:lang w:val="ro-MD"/>
        </w:rPr>
        <w:t>www.statistica.md</w:t>
      </w:r>
    </w:p>
    <w:p w14:paraId="3B748BEA" w14:textId="77777777" w:rsidR="00E27475" w:rsidRPr="00B13B9A" w:rsidRDefault="00E27475" w:rsidP="00E27475">
      <w:pPr>
        <w:spacing w:after="0" w:line="276" w:lineRule="auto"/>
        <w:jc w:val="both"/>
        <w:rPr>
          <w:rFonts w:asciiTheme="majorHAnsi" w:hAnsiTheme="majorHAnsi" w:cstheme="majorHAnsi"/>
          <w:color w:val="000000" w:themeColor="text1"/>
          <w:sz w:val="24"/>
          <w:szCs w:val="24"/>
          <w:lang w:val="ro-MD"/>
        </w:rPr>
      </w:pPr>
    </w:p>
    <w:p w14:paraId="52499D2D" w14:textId="252DF737" w:rsidR="00D41C90" w:rsidRPr="00D41C90" w:rsidRDefault="00D41C90" w:rsidP="00D41C90">
      <w:pPr>
        <w:spacing w:after="0" w:line="276" w:lineRule="auto"/>
        <w:jc w:val="both"/>
        <w:rPr>
          <w:rFonts w:asciiTheme="majorHAnsi" w:hAnsiTheme="majorHAnsi" w:cstheme="majorHAnsi"/>
          <w:color w:val="000000" w:themeColor="text1"/>
          <w:sz w:val="24"/>
          <w:szCs w:val="24"/>
          <w:lang w:val="ro-MD"/>
        </w:rPr>
      </w:pPr>
      <w:r>
        <w:rPr>
          <w:rFonts w:asciiTheme="majorHAnsi" w:hAnsiTheme="majorHAnsi" w:cstheme="majorHAnsi"/>
          <w:color w:val="000000" w:themeColor="text1"/>
          <w:sz w:val="24"/>
          <w:szCs w:val="24"/>
          <w:lang w:val="ru-RU"/>
        </w:rPr>
        <w:t>Н</w:t>
      </w:r>
      <w:r w:rsidRPr="00D41C90">
        <w:rPr>
          <w:rFonts w:asciiTheme="majorHAnsi" w:hAnsiTheme="majorHAnsi" w:cstheme="majorHAnsi"/>
          <w:color w:val="000000" w:themeColor="text1"/>
          <w:sz w:val="24"/>
          <w:szCs w:val="24"/>
          <w:lang w:val="ro-MD"/>
        </w:rPr>
        <w:t xml:space="preserve">а снижение заболеваемости оказала </w:t>
      </w:r>
      <w:r>
        <w:rPr>
          <w:rFonts w:asciiTheme="majorHAnsi" w:hAnsiTheme="majorHAnsi" w:cstheme="majorHAnsi"/>
          <w:color w:val="000000" w:themeColor="text1"/>
          <w:sz w:val="24"/>
          <w:szCs w:val="24"/>
          <w:lang w:val="ru-RU"/>
        </w:rPr>
        <w:t>в</w:t>
      </w:r>
      <w:r w:rsidRPr="00D41C90">
        <w:rPr>
          <w:rFonts w:asciiTheme="majorHAnsi" w:hAnsiTheme="majorHAnsi" w:cstheme="majorHAnsi"/>
          <w:color w:val="000000" w:themeColor="text1"/>
          <w:sz w:val="24"/>
          <w:szCs w:val="24"/>
          <w:lang w:val="ro-MD"/>
        </w:rPr>
        <w:t xml:space="preserve">лияние </w:t>
      </w:r>
      <w:r>
        <w:rPr>
          <w:rFonts w:asciiTheme="majorHAnsi" w:hAnsiTheme="majorHAnsi" w:cstheme="majorHAnsi"/>
          <w:color w:val="000000" w:themeColor="text1"/>
          <w:sz w:val="24"/>
          <w:szCs w:val="24"/>
          <w:lang w:val="ru-RU"/>
        </w:rPr>
        <w:t>Н</w:t>
      </w:r>
      <w:r w:rsidRPr="00D41C90">
        <w:rPr>
          <w:rFonts w:asciiTheme="majorHAnsi" w:hAnsiTheme="majorHAnsi" w:cstheme="majorHAnsi"/>
          <w:color w:val="000000" w:themeColor="text1"/>
          <w:sz w:val="24"/>
          <w:szCs w:val="24"/>
          <w:lang w:val="ro-MD"/>
        </w:rPr>
        <w:t>ациональная программа борьбы с туберкулезом</w:t>
      </w:r>
      <w:r w:rsidR="00A66F8A">
        <w:rPr>
          <w:rFonts w:asciiTheme="majorHAnsi" w:hAnsiTheme="majorHAnsi" w:cstheme="majorHAnsi"/>
          <w:color w:val="000000" w:themeColor="text1"/>
          <w:sz w:val="24"/>
          <w:szCs w:val="24"/>
          <w:lang w:val="ru-RU"/>
        </w:rPr>
        <w:t>,</w:t>
      </w:r>
      <w:r w:rsidRPr="00D41C90">
        <w:rPr>
          <w:rFonts w:asciiTheme="majorHAnsi" w:hAnsiTheme="majorHAnsi" w:cstheme="majorHAnsi"/>
          <w:color w:val="000000" w:themeColor="text1"/>
          <w:sz w:val="24"/>
          <w:szCs w:val="24"/>
          <w:lang w:val="ro-MD"/>
        </w:rPr>
        <w:t xml:space="preserve"> </w:t>
      </w:r>
      <w:r w:rsidR="00A66F8A">
        <w:rPr>
          <w:rFonts w:asciiTheme="majorHAnsi" w:hAnsiTheme="majorHAnsi" w:cstheme="majorHAnsi"/>
          <w:color w:val="000000" w:themeColor="text1"/>
          <w:sz w:val="24"/>
          <w:szCs w:val="24"/>
          <w:lang w:val="ru-RU"/>
        </w:rPr>
        <w:t>путем</w:t>
      </w:r>
      <w:r w:rsidRPr="00D41C90">
        <w:rPr>
          <w:rFonts w:asciiTheme="majorHAnsi" w:hAnsiTheme="majorHAnsi" w:cstheme="majorHAnsi"/>
          <w:color w:val="000000" w:themeColor="text1"/>
          <w:sz w:val="24"/>
          <w:szCs w:val="24"/>
          <w:lang w:val="ro-MD"/>
        </w:rPr>
        <w:t xml:space="preserve"> раннего выявления больных, а также </w:t>
      </w:r>
      <w:r w:rsidR="00A66F8A">
        <w:rPr>
          <w:rFonts w:asciiTheme="majorHAnsi" w:hAnsiTheme="majorHAnsi" w:cstheme="majorHAnsi"/>
          <w:color w:val="000000" w:themeColor="text1"/>
          <w:sz w:val="24"/>
          <w:szCs w:val="24"/>
          <w:lang w:val="ru-RU"/>
        </w:rPr>
        <w:t>применения</w:t>
      </w:r>
      <w:r w:rsidRPr="00D41C90">
        <w:rPr>
          <w:rFonts w:asciiTheme="majorHAnsi" w:hAnsiTheme="majorHAnsi" w:cstheme="majorHAnsi"/>
          <w:color w:val="000000" w:themeColor="text1"/>
          <w:sz w:val="24"/>
          <w:szCs w:val="24"/>
          <w:lang w:val="ro-MD"/>
        </w:rPr>
        <w:t xml:space="preserve"> новых ме</w:t>
      </w:r>
      <w:r w:rsidR="00A66F8A">
        <w:rPr>
          <w:rFonts w:asciiTheme="majorHAnsi" w:hAnsiTheme="majorHAnsi" w:cstheme="majorHAnsi"/>
          <w:color w:val="000000" w:themeColor="text1"/>
          <w:sz w:val="24"/>
          <w:szCs w:val="24"/>
          <w:lang w:val="ru-RU"/>
        </w:rPr>
        <w:t>тодов</w:t>
      </w:r>
      <w:r w:rsidRPr="00D41C90">
        <w:rPr>
          <w:rFonts w:asciiTheme="majorHAnsi" w:hAnsiTheme="majorHAnsi" w:cstheme="majorHAnsi"/>
          <w:color w:val="000000" w:themeColor="text1"/>
          <w:sz w:val="24"/>
          <w:szCs w:val="24"/>
          <w:lang w:val="ro-MD"/>
        </w:rPr>
        <w:t xml:space="preserve"> лечения в амбулаторных условиях. </w:t>
      </w:r>
    </w:p>
    <w:p w14:paraId="6D1FB8A3" w14:textId="3232EE2B" w:rsidR="00D41C90" w:rsidRPr="00D41C90" w:rsidRDefault="00D41C90" w:rsidP="00D41C90">
      <w:pPr>
        <w:spacing w:after="0" w:line="276" w:lineRule="auto"/>
        <w:jc w:val="both"/>
        <w:rPr>
          <w:rFonts w:asciiTheme="majorHAnsi" w:hAnsiTheme="majorHAnsi" w:cstheme="majorHAnsi"/>
          <w:color w:val="000000" w:themeColor="text1"/>
          <w:sz w:val="24"/>
          <w:szCs w:val="24"/>
          <w:lang w:val="ro-MD"/>
        </w:rPr>
      </w:pPr>
      <w:r w:rsidRPr="00D41C90">
        <w:rPr>
          <w:rFonts w:asciiTheme="majorHAnsi" w:hAnsiTheme="majorHAnsi" w:cstheme="majorHAnsi"/>
          <w:color w:val="000000" w:themeColor="text1"/>
          <w:sz w:val="24"/>
          <w:szCs w:val="24"/>
          <w:lang w:val="ro-MD"/>
        </w:rPr>
        <w:t xml:space="preserve">Таким образом, за прошедшие годы утвержденное количество коек в </w:t>
      </w:r>
      <w:r w:rsidR="00A66F8A">
        <w:rPr>
          <w:rFonts w:asciiTheme="majorHAnsi" w:hAnsiTheme="majorHAnsi" w:cstheme="majorHAnsi"/>
          <w:color w:val="000000" w:themeColor="text1"/>
          <w:sz w:val="24"/>
          <w:szCs w:val="24"/>
          <w:lang w:val="ru-RU"/>
        </w:rPr>
        <w:t xml:space="preserve">рамках </w:t>
      </w:r>
      <w:r w:rsidR="00C06F7B">
        <w:rPr>
          <w:rFonts w:asciiTheme="majorHAnsi" w:hAnsiTheme="majorHAnsi" w:cstheme="majorHAnsi"/>
          <w:color w:val="000000" w:themeColor="text1"/>
          <w:sz w:val="24"/>
          <w:szCs w:val="24"/>
          <w:lang w:val="ro-MD"/>
        </w:rPr>
        <w:t>ПМСУ</w:t>
      </w:r>
      <w:r w:rsidRPr="00D41C90">
        <w:rPr>
          <w:rFonts w:asciiTheme="majorHAnsi" w:hAnsiTheme="majorHAnsi" w:cstheme="majorHAnsi"/>
          <w:color w:val="000000" w:themeColor="text1"/>
          <w:sz w:val="24"/>
          <w:szCs w:val="24"/>
          <w:lang w:val="ro-MD"/>
        </w:rPr>
        <w:t xml:space="preserve"> сократилось и составляет 315, из которых 235 находятся в </w:t>
      </w:r>
      <w:r w:rsidR="00A66F8A">
        <w:rPr>
          <w:rFonts w:asciiTheme="majorHAnsi" w:hAnsiTheme="majorHAnsi" w:cstheme="majorHAnsi"/>
          <w:color w:val="000000" w:themeColor="text1"/>
          <w:sz w:val="24"/>
          <w:szCs w:val="24"/>
          <w:lang w:val="ru-RU"/>
        </w:rPr>
        <w:t>К</w:t>
      </w:r>
      <w:r w:rsidRPr="00D41C90">
        <w:rPr>
          <w:rFonts w:asciiTheme="majorHAnsi" w:hAnsiTheme="majorHAnsi" w:cstheme="majorHAnsi"/>
          <w:color w:val="000000" w:themeColor="text1"/>
          <w:sz w:val="24"/>
          <w:szCs w:val="24"/>
          <w:lang w:val="ro-MD"/>
        </w:rPr>
        <w:t xml:space="preserve">ишиневской клинике, а 80 коек расположены в клинике Ворничень. Следует отметить, что максимальная вместимость клиники Ворничень составляет 110 коек, а 30 были </w:t>
      </w:r>
      <w:r w:rsidR="00A66F8A">
        <w:rPr>
          <w:rFonts w:asciiTheme="majorHAnsi" w:hAnsiTheme="majorHAnsi" w:cstheme="majorHAnsi"/>
          <w:color w:val="000000" w:themeColor="text1"/>
          <w:sz w:val="24"/>
          <w:szCs w:val="24"/>
          <w:lang w:val="ru-RU"/>
        </w:rPr>
        <w:t>дезактивирова</w:t>
      </w:r>
      <w:r w:rsidRPr="00D41C90">
        <w:rPr>
          <w:rFonts w:asciiTheme="majorHAnsi" w:hAnsiTheme="majorHAnsi" w:cstheme="majorHAnsi"/>
          <w:color w:val="000000" w:themeColor="text1"/>
          <w:sz w:val="24"/>
          <w:szCs w:val="24"/>
          <w:lang w:val="ro-MD"/>
        </w:rPr>
        <w:t>ны во время пандемии</w:t>
      </w:r>
      <w:r w:rsidR="00A66F8A">
        <w:rPr>
          <w:rFonts w:asciiTheme="majorHAnsi" w:hAnsiTheme="majorHAnsi" w:cstheme="majorHAnsi"/>
          <w:color w:val="000000" w:themeColor="text1"/>
          <w:sz w:val="24"/>
          <w:szCs w:val="24"/>
          <w:lang w:val="ru-RU"/>
        </w:rPr>
        <w:t>,</w:t>
      </w:r>
      <w:r w:rsidRPr="00D41C90">
        <w:rPr>
          <w:rFonts w:asciiTheme="majorHAnsi" w:hAnsiTheme="majorHAnsi" w:cstheme="majorHAnsi"/>
          <w:color w:val="000000" w:themeColor="text1"/>
          <w:sz w:val="24"/>
          <w:szCs w:val="24"/>
          <w:lang w:val="ro-MD"/>
        </w:rPr>
        <w:t xml:space="preserve"> для </w:t>
      </w:r>
      <w:r w:rsidR="00A66F8A">
        <w:rPr>
          <w:rFonts w:asciiTheme="majorHAnsi" w:hAnsiTheme="majorHAnsi" w:cstheme="majorHAnsi"/>
          <w:color w:val="000000" w:themeColor="text1"/>
          <w:sz w:val="24"/>
          <w:szCs w:val="24"/>
          <w:lang w:val="ru-RU"/>
        </w:rPr>
        <w:t>повышения эффективности</w:t>
      </w:r>
      <w:r w:rsidRPr="00D41C90">
        <w:rPr>
          <w:rFonts w:asciiTheme="majorHAnsi" w:hAnsiTheme="majorHAnsi" w:cstheme="majorHAnsi"/>
          <w:color w:val="000000" w:themeColor="text1"/>
          <w:sz w:val="24"/>
          <w:szCs w:val="24"/>
          <w:lang w:val="ro-MD"/>
        </w:rPr>
        <w:t xml:space="preserve"> и оптимизации расходов.</w:t>
      </w:r>
    </w:p>
    <w:p w14:paraId="4138860B" w14:textId="4360CA67" w:rsidR="003E43AF" w:rsidRDefault="00D41C90" w:rsidP="00314C6D">
      <w:pPr>
        <w:spacing w:after="0" w:line="276" w:lineRule="auto"/>
        <w:jc w:val="both"/>
        <w:rPr>
          <w:rFonts w:asciiTheme="majorHAnsi" w:hAnsiTheme="majorHAnsi" w:cstheme="majorHAnsi"/>
          <w:color w:val="000000" w:themeColor="text1"/>
          <w:sz w:val="24"/>
          <w:szCs w:val="24"/>
          <w:lang w:val="ro-MD"/>
        </w:rPr>
      </w:pPr>
      <w:r w:rsidRPr="00D41C90">
        <w:rPr>
          <w:rFonts w:asciiTheme="majorHAnsi" w:hAnsiTheme="majorHAnsi" w:cstheme="majorHAnsi"/>
          <w:color w:val="000000" w:themeColor="text1"/>
          <w:sz w:val="24"/>
          <w:szCs w:val="24"/>
          <w:lang w:val="ro-MD"/>
        </w:rPr>
        <w:t>Таким образом, хотя число пациентов регистрирует тенденцию снижени</w:t>
      </w:r>
      <w:r w:rsidR="00A66F8A">
        <w:rPr>
          <w:rFonts w:asciiTheme="majorHAnsi" w:hAnsiTheme="majorHAnsi" w:cstheme="majorHAnsi"/>
          <w:color w:val="000000" w:themeColor="text1"/>
          <w:sz w:val="24"/>
          <w:szCs w:val="24"/>
          <w:lang w:val="ru-RU"/>
        </w:rPr>
        <w:t>я</w:t>
      </w:r>
      <w:r w:rsidRPr="00D41C90">
        <w:rPr>
          <w:rFonts w:asciiTheme="majorHAnsi" w:hAnsiTheme="majorHAnsi" w:cstheme="majorHAnsi"/>
          <w:color w:val="000000" w:themeColor="text1"/>
          <w:sz w:val="24"/>
          <w:szCs w:val="24"/>
          <w:lang w:val="ro-MD"/>
        </w:rPr>
        <w:t xml:space="preserve">, которая </w:t>
      </w:r>
      <w:r w:rsidR="00A66F8A">
        <w:rPr>
          <w:rFonts w:asciiTheme="majorHAnsi" w:hAnsiTheme="majorHAnsi" w:cstheme="majorHAnsi"/>
          <w:color w:val="000000" w:themeColor="text1"/>
          <w:sz w:val="24"/>
          <w:szCs w:val="24"/>
          <w:lang w:val="ru-RU"/>
        </w:rPr>
        <w:t>на протяжении</w:t>
      </w:r>
      <w:r w:rsidRPr="00D41C90">
        <w:rPr>
          <w:rFonts w:asciiTheme="majorHAnsi" w:hAnsiTheme="majorHAnsi" w:cstheme="majorHAnsi"/>
          <w:color w:val="000000" w:themeColor="text1"/>
          <w:sz w:val="24"/>
          <w:szCs w:val="24"/>
          <w:lang w:val="ro-MD"/>
        </w:rPr>
        <w:t xml:space="preserve"> 2021-2023 годов колебалась от 78 до 12 человек в день (см. Приложение №18 </w:t>
      </w:r>
      <w:r w:rsidR="00A66F8A">
        <w:rPr>
          <w:rFonts w:asciiTheme="majorHAnsi" w:hAnsiTheme="majorHAnsi" w:cstheme="majorHAnsi"/>
          <w:color w:val="000000" w:themeColor="text1"/>
          <w:sz w:val="24"/>
          <w:szCs w:val="24"/>
          <w:lang w:val="ru-RU"/>
        </w:rPr>
        <w:t>к</w:t>
      </w:r>
      <w:r w:rsidRPr="00D41C90">
        <w:rPr>
          <w:rFonts w:asciiTheme="majorHAnsi" w:hAnsiTheme="majorHAnsi" w:cstheme="majorHAnsi"/>
          <w:color w:val="000000" w:themeColor="text1"/>
          <w:sz w:val="24"/>
          <w:szCs w:val="24"/>
          <w:lang w:val="ro-MD"/>
        </w:rPr>
        <w:t xml:space="preserve"> </w:t>
      </w:r>
      <w:r w:rsidR="00A66F8A">
        <w:rPr>
          <w:rFonts w:asciiTheme="majorHAnsi" w:hAnsiTheme="majorHAnsi" w:cstheme="majorHAnsi"/>
          <w:color w:val="000000" w:themeColor="text1"/>
          <w:sz w:val="24"/>
          <w:szCs w:val="24"/>
          <w:lang w:val="ro-MD"/>
        </w:rPr>
        <w:t>настоящему Отчету аудита</w:t>
      </w:r>
      <w:r w:rsidRPr="00D41C90">
        <w:rPr>
          <w:rFonts w:asciiTheme="majorHAnsi" w:hAnsiTheme="majorHAnsi" w:cstheme="majorHAnsi"/>
          <w:color w:val="000000" w:themeColor="text1"/>
          <w:sz w:val="24"/>
          <w:szCs w:val="24"/>
          <w:lang w:val="ro-MD"/>
        </w:rPr>
        <w:t>)</w:t>
      </w:r>
      <w:r w:rsidR="00A66F8A">
        <w:rPr>
          <w:rFonts w:asciiTheme="majorHAnsi" w:hAnsiTheme="majorHAnsi" w:cstheme="majorHAnsi"/>
          <w:color w:val="000000" w:themeColor="text1"/>
          <w:sz w:val="24"/>
          <w:szCs w:val="24"/>
          <w:lang w:val="ru-RU"/>
        </w:rPr>
        <w:t>,</w:t>
      </w:r>
      <w:r w:rsidRPr="00D41C90">
        <w:rPr>
          <w:rFonts w:asciiTheme="majorHAnsi" w:hAnsiTheme="majorHAnsi" w:cstheme="majorHAnsi"/>
          <w:color w:val="000000" w:themeColor="text1"/>
          <w:sz w:val="24"/>
          <w:szCs w:val="24"/>
          <w:lang w:val="ro-MD"/>
        </w:rPr>
        <w:t xml:space="preserve"> расходы растут, </w:t>
      </w:r>
      <w:r w:rsidR="00A66F8A">
        <w:rPr>
          <w:rFonts w:asciiTheme="majorHAnsi" w:hAnsiTheme="majorHAnsi" w:cstheme="majorHAnsi"/>
          <w:color w:val="000000" w:themeColor="text1"/>
          <w:sz w:val="24"/>
          <w:szCs w:val="24"/>
          <w:lang w:val="ru-RU"/>
        </w:rPr>
        <w:t>и</w:t>
      </w:r>
      <w:r w:rsidRPr="00D41C90">
        <w:rPr>
          <w:rFonts w:asciiTheme="majorHAnsi" w:hAnsiTheme="majorHAnsi" w:cstheme="majorHAnsi"/>
          <w:color w:val="000000" w:themeColor="text1"/>
          <w:sz w:val="24"/>
          <w:szCs w:val="24"/>
          <w:lang w:val="ro-MD"/>
        </w:rPr>
        <w:t xml:space="preserve"> в 2022 году составил</w:t>
      </w:r>
      <w:r w:rsidR="00A66F8A">
        <w:rPr>
          <w:rFonts w:asciiTheme="majorHAnsi" w:hAnsiTheme="majorHAnsi" w:cstheme="majorHAnsi"/>
          <w:color w:val="000000" w:themeColor="text1"/>
          <w:sz w:val="24"/>
          <w:szCs w:val="24"/>
          <w:lang w:val="ru-RU"/>
        </w:rPr>
        <w:t>и</w:t>
      </w:r>
      <w:r w:rsidRPr="00D41C90">
        <w:rPr>
          <w:rFonts w:asciiTheme="majorHAnsi" w:hAnsiTheme="majorHAnsi" w:cstheme="majorHAnsi"/>
          <w:color w:val="000000" w:themeColor="text1"/>
          <w:sz w:val="24"/>
          <w:szCs w:val="24"/>
          <w:lang w:val="ro-MD"/>
        </w:rPr>
        <w:t xml:space="preserve"> 20 503,44 тыс. леев, </w:t>
      </w:r>
      <w:r w:rsidR="00A66F8A">
        <w:rPr>
          <w:rFonts w:asciiTheme="majorHAnsi" w:hAnsiTheme="majorHAnsi" w:cstheme="majorHAnsi"/>
          <w:color w:val="000000" w:themeColor="text1"/>
          <w:sz w:val="24"/>
          <w:szCs w:val="24"/>
          <w:lang w:val="ru-RU"/>
        </w:rPr>
        <w:t>ситуация</w:t>
      </w:r>
      <w:r w:rsidRPr="00D41C90">
        <w:rPr>
          <w:rFonts w:asciiTheme="majorHAnsi" w:hAnsiTheme="majorHAnsi" w:cstheme="majorHAnsi"/>
          <w:color w:val="000000" w:themeColor="text1"/>
          <w:sz w:val="24"/>
          <w:szCs w:val="24"/>
          <w:lang w:val="ro-MD"/>
        </w:rPr>
        <w:t xml:space="preserve"> </w:t>
      </w:r>
      <w:r w:rsidR="00A66F8A">
        <w:rPr>
          <w:rFonts w:asciiTheme="majorHAnsi" w:hAnsiTheme="majorHAnsi" w:cstheme="majorHAnsi"/>
          <w:color w:val="000000" w:themeColor="text1"/>
          <w:sz w:val="24"/>
          <w:szCs w:val="24"/>
          <w:lang w:val="ru-RU"/>
        </w:rPr>
        <w:t xml:space="preserve">представлена </w:t>
      </w:r>
      <w:r w:rsidRPr="00D41C90">
        <w:rPr>
          <w:rFonts w:asciiTheme="majorHAnsi" w:hAnsiTheme="majorHAnsi" w:cstheme="majorHAnsi"/>
          <w:color w:val="000000" w:themeColor="text1"/>
          <w:sz w:val="24"/>
          <w:szCs w:val="24"/>
          <w:lang w:val="ro-MD"/>
        </w:rPr>
        <w:t>на рисунке ниже</w:t>
      </w:r>
      <w:r w:rsidR="00AD73D6" w:rsidRPr="00B13B9A">
        <w:rPr>
          <w:rFonts w:asciiTheme="majorHAnsi" w:hAnsiTheme="majorHAnsi" w:cstheme="majorHAnsi"/>
          <w:color w:val="000000" w:themeColor="text1"/>
          <w:sz w:val="24"/>
          <w:szCs w:val="24"/>
          <w:lang w:val="ro-MD"/>
        </w:rPr>
        <w:t>.</w:t>
      </w:r>
    </w:p>
    <w:p w14:paraId="307B1EA9" w14:textId="6022E7DD" w:rsidR="007619BC" w:rsidRPr="00B13B9A" w:rsidRDefault="00E411AC" w:rsidP="00D37D8A">
      <w:pPr>
        <w:spacing w:after="0" w:line="276" w:lineRule="auto"/>
        <w:jc w:val="right"/>
        <w:rPr>
          <w:rFonts w:asciiTheme="majorHAnsi" w:hAnsiTheme="majorHAnsi" w:cstheme="majorHAnsi"/>
          <w:color w:val="000000" w:themeColor="text1"/>
          <w:sz w:val="24"/>
          <w:szCs w:val="24"/>
          <w:lang w:val="ro-MD"/>
        </w:rPr>
      </w:pPr>
      <w:r>
        <w:rPr>
          <w:rFonts w:asciiTheme="majorHAnsi" w:hAnsiTheme="majorHAnsi" w:cstheme="majorHAnsi"/>
          <w:color w:val="000000" w:themeColor="text1"/>
          <w:sz w:val="24"/>
          <w:szCs w:val="24"/>
          <w:lang w:val="ro-MD"/>
        </w:rPr>
        <w:t>Рисунок №</w:t>
      </w:r>
      <w:r w:rsidR="00D37D8A" w:rsidRPr="00B13B9A">
        <w:rPr>
          <w:rFonts w:asciiTheme="majorHAnsi" w:hAnsiTheme="majorHAnsi" w:cstheme="majorHAnsi"/>
          <w:color w:val="000000" w:themeColor="text1"/>
          <w:sz w:val="24"/>
          <w:szCs w:val="24"/>
          <w:lang w:val="ro-MD"/>
        </w:rPr>
        <w:t>2</w:t>
      </w:r>
    </w:p>
    <w:p w14:paraId="7E53F8A1" w14:textId="1F530345" w:rsidR="007619BC" w:rsidRPr="00B13B9A" w:rsidRDefault="00A66F8A" w:rsidP="007619BC">
      <w:pPr>
        <w:spacing w:after="0" w:line="276" w:lineRule="auto"/>
        <w:jc w:val="center"/>
        <w:rPr>
          <w:rFonts w:asciiTheme="majorHAnsi" w:hAnsiTheme="majorHAnsi" w:cstheme="majorHAnsi"/>
          <w:b/>
          <w:color w:val="000000" w:themeColor="text1"/>
          <w:sz w:val="24"/>
          <w:szCs w:val="24"/>
          <w:lang w:val="ro-MD"/>
        </w:rPr>
      </w:pPr>
      <w:r>
        <w:rPr>
          <w:rFonts w:asciiTheme="majorHAnsi" w:hAnsiTheme="majorHAnsi" w:cstheme="majorHAnsi"/>
          <w:b/>
          <w:color w:val="000000" w:themeColor="text1"/>
          <w:sz w:val="24"/>
          <w:szCs w:val="24"/>
          <w:lang w:val="ru-RU"/>
        </w:rPr>
        <w:t>П</w:t>
      </w:r>
      <w:r w:rsidRPr="00D41C90">
        <w:rPr>
          <w:rFonts w:asciiTheme="majorHAnsi" w:hAnsiTheme="majorHAnsi" w:cstheme="majorHAnsi"/>
          <w:b/>
          <w:color w:val="000000" w:themeColor="text1"/>
          <w:sz w:val="24"/>
          <w:szCs w:val="24"/>
          <w:lang w:val="ro-MD"/>
        </w:rPr>
        <w:t xml:space="preserve">онесенные </w:t>
      </w:r>
      <w:r>
        <w:rPr>
          <w:rFonts w:asciiTheme="majorHAnsi" w:hAnsiTheme="majorHAnsi" w:cstheme="majorHAnsi"/>
          <w:b/>
          <w:color w:val="000000" w:themeColor="text1"/>
          <w:sz w:val="24"/>
          <w:szCs w:val="24"/>
          <w:lang w:val="ru-RU"/>
        </w:rPr>
        <w:t>р</w:t>
      </w:r>
      <w:r>
        <w:rPr>
          <w:rFonts w:asciiTheme="majorHAnsi" w:hAnsiTheme="majorHAnsi" w:cstheme="majorHAnsi"/>
          <w:b/>
          <w:color w:val="000000" w:themeColor="text1"/>
          <w:sz w:val="24"/>
          <w:szCs w:val="24"/>
          <w:lang w:val="ro-MD"/>
        </w:rPr>
        <w:t>асходы</w:t>
      </w:r>
      <w:r w:rsidR="00D41C90" w:rsidRPr="00D41C90">
        <w:rPr>
          <w:rFonts w:asciiTheme="majorHAnsi" w:hAnsiTheme="majorHAnsi" w:cstheme="majorHAnsi"/>
          <w:b/>
          <w:color w:val="000000" w:themeColor="text1"/>
          <w:sz w:val="24"/>
          <w:szCs w:val="24"/>
          <w:lang w:val="ro-MD"/>
        </w:rPr>
        <w:t xml:space="preserve"> в </w:t>
      </w:r>
      <w:r>
        <w:rPr>
          <w:rFonts w:asciiTheme="majorHAnsi" w:hAnsiTheme="majorHAnsi" w:cstheme="majorHAnsi"/>
          <w:b/>
          <w:color w:val="000000" w:themeColor="text1"/>
          <w:sz w:val="24"/>
          <w:szCs w:val="24"/>
          <w:lang w:val="ru-RU"/>
        </w:rPr>
        <w:t xml:space="preserve">рамках </w:t>
      </w:r>
      <w:r w:rsidR="00D41C90" w:rsidRPr="00D41C90">
        <w:rPr>
          <w:rFonts w:asciiTheme="majorHAnsi" w:hAnsiTheme="majorHAnsi" w:cstheme="majorHAnsi"/>
          <w:b/>
          <w:color w:val="000000" w:themeColor="text1"/>
          <w:sz w:val="24"/>
          <w:szCs w:val="24"/>
          <w:lang w:val="ro-MD"/>
        </w:rPr>
        <w:t>клиник</w:t>
      </w:r>
      <w:r>
        <w:rPr>
          <w:rFonts w:asciiTheme="majorHAnsi" w:hAnsiTheme="majorHAnsi" w:cstheme="majorHAnsi"/>
          <w:b/>
          <w:color w:val="000000" w:themeColor="text1"/>
          <w:sz w:val="24"/>
          <w:szCs w:val="24"/>
          <w:lang w:val="ru-RU"/>
        </w:rPr>
        <w:t>и</w:t>
      </w:r>
      <w:r w:rsidR="00D41C90" w:rsidRPr="00D41C90">
        <w:rPr>
          <w:rFonts w:asciiTheme="majorHAnsi" w:hAnsiTheme="majorHAnsi" w:cstheme="majorHAnsi"/>
          <w:b/>
          <w:color w:val="000000" w:themeColor="text1"/>
          <w:sz w:val="24"/>
          <w:szCs w:val="24"/>
          <w:lang w:val="ro-MD"/>
        </w:rPr>
        <w:t xml:space="preserve"> Ворничень, по типам, </w:t>
      </w:r>
      <w:r>
        <w:rPr>
          <w:rFonts w:asciiTheme="majorHAnsi" w:hAnsiTheme="majorHAnsi" w:cstheme="majorHAnsi"/>
          <w:b/>
          <w:color w:val="000000" w:themeColor="text1"/>
          <w:sz w:val="24"/>
          <w:szCs w:val="24"/>
          <w:lang w:val="ru-RU"/>
        </w:rPr>
        <w:t>за</w:t>
      </w:r>
      <w:r w:rsidR="00D41C90" w:rsidRPr="00D41C90">
        <w:rPr>
          <w:rFonts w:asciiTheme="majorHAnsi" w:hAnsiTheme="majorHAnsi" w:cstheme="majorHAnsi"/>
          <w:b/>
          <w:color w:val="000000" w:themeColor="text1"/>
          <w:sz w:val="24"/>
          <w:szCs w:val="24"/>
          <w:lang w:val="ro-MD"/>
        </w:rPr>
        <w:t xml:space="preserve"> 2018-2023 гг. (6 месяцев) </w:t>
      </w:r>
    </w:p>
    <w:p w14:paraId="76764460" w14:textId="77777777" w:rsidR="007619BC" w:rsidRPr="00B13B9A" w:rsidRDefault="009E24ED" w:rsidP="007619BC">
      <w:pPr>
        <w:jc w:val="center"/>
        <w:rPr>
          <w:lang w:val="ro-MD"/>
        </w:rPr>
      </w:pPr>
      <w:r w:rsidRPr="00B13B9A">
        <w:rPr>
          <w:noProof/>
          <w:lang w:val="ru-RU" w:eastAsia="ru-RU"/>
        </w:rPr>
        <w:drawing>
          <wp:inline distT="0" distB="0" distL="0" distR="0" wp14:anchorId="6F3BA40E" wp14:editId="5E11AB57">
            <wp:extent cx="5654040" cy="2508250"/>
            <wp:effectExtent l="0" t="0" r="381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22A1BE0" w14:textId="4043DCC6" w:rsidR="00E05EF5" w:rsidRPr="00516931" w:rsidRDefault="00FE6601" w:rsidP="00314C6D">
      <w:pPr>
        <w:spacing w:after="0" w:line="276" w:lineRule="auto"/>
        <w:jc w:val="both"/>
        <w:rPr>
          <w:rFonts w:asciiTheme="majorHAnsi" w:hAnsiTheme="majorHAnsi" w:cstheme="majorHAnsi"/>
          <w:color w:val="000000" w:themeColor="text1"/>
          <w:szCs w:val="24"/>
          <w:lang w:val="ro-MD"/>
        </w:rPr>
      </w:pPr>
      <w:r>
        <w:rPr>
          <w:rFonts w:asciiTheme="majorHAnsi" w:hAnsiTheme="majorHAnsi" w:cstheme="majorHAnsi"/>
          <w:b/>
          <w:i/>
          <w:color w:val="000000" w:themeColor="text1"/>
          <w:szCs w:val="24"/>
          <w:lang w:val="ro-MD"/>
        </w:rPr>
        <w:t>Источник</w:t>
      </w:r>
      <w:r w:rsidR="00E63278" w:rsidRPr="00516931">
        <w:rPr>
          <w:rFonts w:asciiTheme="majorHAnsi" w:hAnsiTheme="majorHAnsi" w:cstheme="majorHAnsi"/>
          <w:b/>
          <w:i/>
          <w:color w:val="000000" w:themeColor="text1"/>
          <w:szCs w:val="24"/>
          <w:lang w:val="ro-MD"/>
        </w:rPr>
        <w:t>:</w:t>
      </w:r>
      <w:r w:rsidR="00E63278" w:rsidRPr="00516931">
        <w:rPr>
          <w:rFonts w:asciiTheme="majorHAnsi" w:hAnsiTheme="majorHAnsi" w:cstheme="majorHAnsi"/>
          <w:color w:val="000000" w:themeColor="text1"/>
          <w:szCs w:val="24"/>
          <w:lang w:val="ro-MD"/>
        </w:rPr>
        <w:t xml:space="preserve"> </w:t>
      </w:r>
      <w:r w:rsidR="00A66F8A">
        <w:rPr>
          <w:rFonts w:asciiTheme="majorHAnsi" w:hAnsiTheme="majorHAnsi" w:cstheme="majorHAnsi"/>
          <w:color w:val="000000" w:themeColor="text1"/>
          <w:szCs w:val="24"/>
          <w:lang w:val="ro-MD"/>
        </w:rPr>
        <w:t>Бухгалтерский учет</w:t>
      </w:r>
      <w:r w:rsidR="00400E8D">
        <w:rPr>
          <w:rFonts w:asciiTheme="majorHAnsi" w:hAnsiTheme="majorHAnsi" w:cstheme="majorHAnsi"/>
          <w:color w:val="000000" w:themeColor="text1"/>
          <w:szCs w:val="24"/>
          <w:lang w:val="ro-MD"/>
        </w:rPr>
        <w:t>ПМСУ ИФП</w:t>
      </w:r>
      <w:r w:rsidR="005B5F6E" w:rsidRPr="00516931">
        <w:rPr>
          <w:rFonts w:asciiTheme="majorHAnsi" w:hAnsiTheme="majorHAnsi" w:cstheme="majorHAnsi"/>
          <w:color w:val="000000" w:themeColor="text1"/>
          <w:szCs w:val="24"/>
          <w:lang w:val="ro-MD"/>
        </w:rPr>
        <w:t>.</w:t>
      </w:r>
    </w:p>
    <w:p w14:paraId="3A632F6B" w14:textId="77777777" w:rsidR="00E63278" w:rsidRPr="00B13B9A" w:rsidRDefault="00E63278" w:rsidP="00314C6D">
      <w:pPr>
        <w:spacing w:after="0" w:line="276" w:lineRule="auto"/>
        <w:jc w:val="both"/>
        <w:rPr>
          <w:rFonts w:asciiTheme="majorHAnsi" w:hAnsiTheme="majorHAnsi" w:cstheme="majorHAnsi"/>
          <w:color w:val="000000" w:themeColor="text1"/>
          <w:sz w:val="24"/>
          <w:szCs w:val="24"/>
          <w:highlight w:val="green"/>
          <w:lang w:val="ro-MD"/>
        </w:rPr>
      </w:pPr>
    </w:p>
    <w:p w14:paraId="6E2F3B90" w14:textId="71FB2BFA" w:rsidR="00624F2F" w:rsidRDefault="00EF0FE4" w:rsidP="00314C6D">
      <w:pPr>
        <w:spacing w:after="0" w:line="276" w:lineRule="auto"/>
        <w:jc w:val="both"/>
        <w:rPr>
          <w:rFonts w:asciiTheme="majorHAnsi" w:hAnsiTheme="majorHAnsi" w:cstheme="majorHAnsi"/>
          <w:color w:val="000000" w:themeColor="text1"/>
          <w:sz w:val="24"/>
          <w:szCs w:val="24"/>
          <w:lang w:val="ro-MD"/>
        </w:rPr>
      </w:pPr>
      <w:r w:rsidRPr="00EF0FE4">
        <w:rPr>
          <w:rFonts w:asciiTheme="majorHAnsi" w:hAnsiTheme="majorHAnsi" w:cstheme="majorHAnsi"/>
          <w:color w:val="000000" w:themeColor="text1"/>
          <w:sz w:val="24"/>
          <w:szCs w:val="24"/>
          <w:lang w:val="ro-MD"/>
        </w:rPr>
        <w:t>В 2022 году наибольш</w:t>
      </w:r>
      <w:r w:rsidR="00255AE6">
        <w:rPr>
          <w:rFonts w:asciiTheme="majorHAnsi" w:hAnsiTheme="majorHAnsi" w:cstheme="majorHAnsi"/>
          <w:color w:val="000000" w:themeColor="text1"/>
          <w:sz w:val="24"/>
          <w:szCs w:val="24"/>
          <w:lang w:val="ru-RU"/>
        </w:rPr>
        <w:t>ий удельный вес</w:t>
      </w:r>
      <w:r w:rsidRPr="00EF0FE4">
        <w:rPr>
          <w:rFonts w:asciiTheme="majorHAnsi" w:hAnsiTheme="majorHAnsi" w:cstheme="majorHAnsi"/>
          <w:color w:val="000000" w:themeColor="text1"/>
          <w:sz w:val="24"/>
          <w:szCs w:val="24"/>
          <w:lang w:val="ro-MD"/>
        </w:rPr>
        <w:t xml:space="preserve"> составляют расходы на оплату труда, 12 386,84 тыс. леев, за которыми следуют расходы на природный газ, 1 881,99 тыс. леев, при этом газ является единственным источником отопления. Таким образом, в контексте повышения заработной платы медицинского персонала в последние годы (2020-2021 гг.), а также </w:t>
      </w:r>
      <w:r w:rsidR="00E50618" w:rsidRPr="00E50618">
        <w:rPr>
          <w:rFonts w:asciiTheme="majorHAnsi" w:hAnsiTheme="majorHAnsi" w:cstheme="majorHAnsi"/>
          <w:color w:val="000000" w:themeColor="text1"/>
          <w:sz w:val="24"/>
          <w:szCs w:val="24"/>
          <w:lang w:val="ro-MD"/>
        </w:rPr>
        <w:t>учитывая</w:t>
      </w:r>
      <w:r w:rsidRPr="00EF0FE4">
        <w:rPr>
          <w:rFonts w:asciiTheme="majorHAnsi" w:hAnsiTheme="majorHAnsi" w:cstheme="majorHAnsi"/>
          <w:color w:val="000000" w:themeColor="text1"/>
          <w:sz w:val="24"/>
          <w:szCs w:val="24"/>
          <w:lang w:val="ro-MD"/>
        </w:rPr>
        <w:t xml:space="preserve"> энергетическ</w:t>
      </w:r>
      <w:r w:rsidR="00E50618" w:rsidRPr="00E50618">
        <w:rPr>
          <w:rFonts w:asciiTheme="majorHAnsi" w:hAnsiTheme="majorHAnsi" w:cstheme="majorHAnsi"/>
          <w:color w:val="000000" w:themeColor="text1"/>
          <w:sz w:val="24"/>
          <w:szCs w:val="24"/>
          <w:lang w:val="ro-MD"/>
        </w:rPr>
        <w:t>ий</w:t>
      </w:r>
      <w:r w:rsidRPr="00EF0FE4">
        <w:rPr>
          <w:rFonts w:asciiTheme="majorHAnsi" w:hAnsiTheme="majorHAnsi" w:cstheme="majorHAnsi"/>
          <w:color w:val="000000" w:themeColor="text1"/>
          <w:sz w:val="24"/>
          <w:szCs w:val="24"/>
          <w:lang w:val="ro-MD"/>
        </w:rPr>
        <w:t xml:space="preserve"> кризис, с которым сталкивается РМ, </w:t>
      </w:r>
      <w:r w:rsidR="00E50618" w:rsidRPr="00E50618">
        <w:rPr>
          <w:rFonts w:asciiTheme="majorHAnsi" w:hAnsiTheme="majorHAnsi" w:cstheme="majorHAnsi"/>
          <w:color w:val="000000" w:themeColor="text1"/>
          <w:sz w:val="24"/>
          <w:szCs w:val="24"/>
          <w:lang w:val="ro-MD"/>
        </w:rPr>
        <w:t>с</w:t>
      </w:r>
      <w:r w:rsidRPr="00EF0FE4">
        <w:rPr>
          <w:rFonts w:asciiTheme="majorHAnsi" w:hAnsiTheme="majorHAnsi" w:cstheme="majorHAnsi"/>
          <w:color w:val="000000" w:themeColor="text1"/>
          <w:sz w:val="24"/>
          <w:szCs w:val="24"/>
          <w:lang w:val="ro-MD"/>
        </w:rPr>
        <w:t>коррелир</w:t>
      </w:r>
      <w:r w:rsidR="00E50618" w:rsidRPr="00E50618">
        <w:rPr>
          <w:rFonts w:asciiTheme="majorHAnsi" w:hAnsiTheme="majorHAnsi" w:cstheme="majorHAnsi"/>
          <w:color w:val="000000" w:themeColor="text1"/>
          <w:sz w:val="24"/>
          <w:szCs w:val="24"/>
          <w:lang w:val="ro-MD"/>
        </w:rPr>
        <w:t>ованные</w:t>
      </w:r>
      <w:r w:rsidRPr="00EF0FE4">
        <w:rPr>
          <w:rFonts w:asciiTheme="majorHAnsi" w:hAnsiTheme="majorHAnsi" w:cstheme="majorHAnsi"/>
          <w:color w:val="000000" w:themeColor="text1"/>
          <w:sz w:val="24"/>
          <w:szCs w:val="24"/>
          <w:lang w:val="ro-MD"/>
        </w:rPr>
        <w:t xml:space="preserve"> с ростом цен на продукты питания, давление на </w:t>
      </w:r>
      <w:r w:rsidR="00C06F7B">
        <w:rPr>
          <w:rFonts w:asciiTheme="majorHAnsi" w:hAnsiTheme="majorHAnsi" w:cstheme="majorHAnsi"/>
          <w:color w:val="000000" w:themeColor="text1"/>
          <w:sz w:val="24"/>
          <w:szCs w:val="24"/>
          <w:lang w:val="ro-MD"/>
        </w:rPr>
        <w:t>ПМСУ</w:t>
      </w:r>
      <w:r w:rsidRPr="00EF0FE4">
        <w:rPr>
          <w:rFonts w:asciiTheme="majorHAnsi" w:hAnsiTheme="majorHAnsi" w:cstheme="majorHAnsi"/>
          <w:color w:val="000000" w:themeColor="text1"/>
          <w:sz w:val="24"/>
          <w:szCs w:val="24"/>
          <w:lang w:val="ro-MD"/>
        </w:rPr>
        <w:t xml:space="preserve"> </w:t>
      </w:r>
      <w:r w:rsidR="00E50618" w:rsidRPr="00E50618">
        <w:rPr>
          <w:rFonts w:asciiTheme="majorHAnsi" w:hAnsiTheme="majorHAnsi" w:cstheme="majorHAnsi"/>
          <w:color w:val="000000" w:themeColor="text1"/>
          <w:sz w:val="24"/>
          <w:szCs w:val="24"/>
          <w:lang w:val="ro-MD"/>
        </w:rPr>
        <w:t>ИФП</w:t>
      </w:r>
      <w:r w:rsidRPr="00EF0FE4">
        <w:rPr>
          <w:rFonts w:asciiTheme="majorHAnsi" w:hAnsiTheme="majorHAnsi" w:cstheme="majorHAnsi"/>
          <w:color w:val="000000" w:themeColor="text1"/>
          <w:sz w:val="24"/>
          <w:szCs w:val="24"/>
          <w:lang w:val="ro-MD"/>
        </w:rPr>
        <w:t xml:space="preserve"> </w:t>
      </w:r>
      <w:r w:rsidR="00E50618" w:rsidRPr="00E50618">
        <w:rPr>
          <w:rFonts w:asciiTheme="majorHAnsi" w:hAnsiTheme="majorHAnsi" w:cstheme="majorHAnsi"/>
          <w:color w:val="000000" w:themeColor="text1"/>
          <w:sz w:val="24"/>
          <w:szCs w:val="24"/>
          <w:lang w:val="ro-MD"/>
        </w:rPr>
        <w:t xml:space="preserve">по </w:t>
      </w:r>
      <w:r w:rsidRPr="00EF0FE4">
        <w:rPr>
          <w:rFonts w:asciiTheme="majorHAnsi" w:hAnsiTheme="majorHAnsi" w:cstheme="majorHAnsi"/>
          <w:color w:val="000000" w:themeColor="text1"/>
          <w:sz w:val="24"/>
          <w:szCs w:val="24"/>
          <w:lang w:val="ro-MD"/>
        </w:rPr>
        <w:t>управлени</w:t>
      </w:r>
      <w:r w:rsidR="00E50618" w:rsidRPr="00E50618">
        <w:rPr>
          <w:rFonts w:asciiTheme="majorHAnsi" w:hAnsiTheme="majorHAnsi" w:cstheme="majorHAnsi"/>
          <w:color w:val="000000" w:themeColor="text1"/>
          <w:sz w:val="24"/>
          <w:szCs w:val="24"/>
          <w:lang w:val="ro-MD"/>
        </w:rPr>
        <w:t>ю</w:t>
      </w:r>
      <w:r w:rsidRPr="00EF0FE4">
        <w:rPr>
          <w:rFonts w:asciiTheme="majorHAnsi" w:hAnsiTheme="majorHAnsi" w:cstheme="majorHAnsi"/>
          <w:color w:val="000000" w:themeColor="text1"/>
          <w:sz w:val="24"/>
          <w:szCs w:val="24"/>
          <w:lang w:val="ro-MD"/>
        </w:rPr>
        <w:t xml:space="preserve"> клиникой </w:t>
      </w:r>
      <w:r w:rsidR="00E50618" w:rsidRPr="00E50618">
        <w:rPr>
          <w:rFonts w:asciiTheme="majorHAnsi" w:hAnsiTheme="majorHAnsi" w:cstheme="majorHAnsi"/>
          <w:color w:val="000000" w:themeColor="text1"/>
          <w:sz w:val="24"/>
          <w:szCs w:val="24"/>
          <w:lang w:val="ro-MD"/>
        </w:rPr>
        <w:t>с. Ворничень</w:t>
      </w:r>
      <w:r w:rsidRPr="00EF0FE4">
        <w:rPr>
          <w:rFonts w:asciiTheme="majorHAnsi" w:hAnsiTheme="majorHAnsi" w:cstheme="majorHAnsi"/>
          <w:color w:val="000000" w:themeColor="text1"/>
          <w:sz w:val="24"/>
          <w:szCs w:val="24"/>
          <w:lang w:val="ro-MD"/>
        </w:rPr>
        <w:t xml:space="preserve"> возрастает</w:t>
      </w:r>
      <w:r w:rsidR="00AD73D6" w:rsidRPr="00B13B9A">
        <w:rPr>
          <w:rFonts w:asciiTheme="majorHAnsi" w:hAnsiTheme="majorHAnsi" w:cstheme="majorHAnsi"/>
          <w:color w:val="000000" w:themeColor="text1"/>
          <w:sz w:val="24"/>
          <w:szCs w:val="24"/>
          <w:lang w:val="ro-MD"/>
        </w:rPr>
        <w:t xml:space="preserve">. </w:t>
      </w:r>
    </w:p>
    <w:p w14:paraId="4F0DDE85" w14:textId="110CCECF" w:rsidR="00EF0FE4" w:rsidRPr="00EF0FE4" w:rsidRDefault="00EF0FE4" w:rsidP="00EF0FE4">
      <w:pPr>
        <w:spacing w:after="0" w:line="276" w:lineRule="auto"/>
        <w:jc w:val="both"/>
        <w:rPr>
          <w:rFonts w:asciiTheme="majorHAnsi" w:hAnsiTheme="majorHAnsi" w:cstheme="majorHAnsi"/>
          <w:color w:val="000000" w:themeColor="text1"/>
          <w:sz w:val="24"/>
          <w:szCs w:val="24"/>
          <w:lang w:val="ro-MD"/>
        </w:rPr>
      </w:pPr>
      <w:r w:rsidRPr="00EF0FE4">
        <w:rPr>
          <w:rFonts w:asciiTheme="majorHAnsi" w:hAnsiTheme="majorHAnsi" w:cstheme="majorHAnsi"/>
          <w:color w:val="000000" w:themeColor="text1"/>
          <w:sz w:val="24"/>
          <w:szCs w:val="24"/>
          <w:lang w:val="ro-MD"/>
        </w:rPr>
        <w:t>В то же время</w:t>
      </w:r>
      <w:r w:rsidR="00E50618">
        <w:rPr>
          <w:rFonts w:asciiTheme="majorHAnsi" w:hAnsiTheme="majorHAnsi" w:cstheme="majorHAnsi"/>
          <w:color w:val="000000" w:themeColor="text1"/>
          <w:sz w:val="24"/>
          <w:szCs w:val="24"/>
          <w:lang w:val="ru-RU"/>
        </w:rPr>
        <w:t>,</w:t>
      </w:r>
      <w:r w:rsidRPr="00EF0FE4">
        <w:rPr>
          <w:rFonts w:asciiTheme="majorHAnsi" w:hAnsiTheme="majorHAnsi" w:cstheme="majorHAnsi"/>
          <w:color w:val="000000" w:themeColor="text1"/>
          <w:sz w:val="24"/>
          <w:szCs w:val="24"/>
          <w:lang w:val="ro-MD"/>
        </w:rPr>
        <w:t xml:space="preserve"> стоимость одного </w:t>
      </w:r>
      <w:r w:rsidR="00E50618">
        <w:rPr>
          <w:rFonts w:asciiTheme="majorHAnsi" w:hAnsiTheme="majorHAnsi" w:cstheme="majorHAnsi"/>
          <w:color w:val="000000" w:themeColor="text1"/>
          <w:sz w:val="24"/>
          <w:szCs w:val="24"/>
          <w:lang w:val="ru-RU"/>
        </w:rPr>
        <w:t>койко</w:t>
      </w:r>
      <w:r w:rsidRPr="00EF0FE4">
        <w:rPr>
          <w:rFonts w:asciiTheme="majorHAnsi" w:hAnsiTheme="majorHAnsi" w:cstheme="majorHAnsi"/>
          <w:color w:val="000000" w:themeColor="text1"/>
          <w:sz w:val="24"/>
          <w:szCs w:val="24"/>
          <w:lang w:val="ro-MD"/>
        </w:rPr>
        <w:t>/</w:t>
      </w:r>
      <w:r w:rsidR="00E50618" w:rsidRPr="00EF0FE4">
        <w:rPr>
          <w:rFonts w:asciiTheme="majorHAnsi" w:hAnsiTheme="majorHAnsi" w:cstheme="majorHAnsi"/>
          <w:color w:val="000000" w:themeColor="text1"/>
          <w:sz w:val="24"/>
          <w:szCs w:val="24"/>
          <w:lang w:val="ro-MD"/>
        </w:rPr>
        <w:t>дня</w:t>
      </w:r>
      <w:r w:rsidRPr="00EF0FE4">
        <w:rPr>
          <w:rFonts w:asciiTheme="majorHAnsi" w:hAnsiTheme="majorHAnsi" w:cstheme="majorHAnsi"/>
          <w:color w:val="000000" w:themeColor="text1"/>
          <w:sz w:val="24"/>
          <w:szCs w:val="24"/>
          <w:lang w:val="ro-MD"/>
        </w:rPr>
        <w:t xml:space="preserve">, согласно индексу 16 133 </w:t>
      </w:r>
      <w:r w:rsidR="00E50618">
        <w:rPr>
          <w:rFonts w:asciiTheme="majorHAnsi" w:hAnsiTheme="majorHAnsi" w:cstheme="majorHAnsi"/>
          <w:color w:val="000000" w:themeColor="text1"/>
          <w:sz w:val="24"/>
          <w:szCs w:val="24"/>
          <w:lang w:val="ru-RU"/>
        </w:rPr>
        <w:t>койко</w:t>
      </w:r>
      <w:r w:rsidRPr="00EF0FE4">
        <w:rPr>
          <w:rFonts w:asciiTheme="majorHAnsi" w:hAnsiTheme="majorHAnsi" w:cstheme="majorHAnsi"/>
          <w:color w:val="000000" w:themeColor="text1"/>
          <w:sz w:val="24"/>
          <w:szCs w:val="24"/>
          <w:lang w:val="ro-MD"/>
        </w:rPr>
        <w:t>/</w:t>
      </w:r>
      <w:r w:rsidR="00E50618" w:rsidRPr="00EF0FE4">
        <w:rPr>
          <w:rFonts w:asciiTheme="majorHAnsi" w:hAnsiTheme="majorHAnsi" w:cstheme="majorHAnsi"/>
          <w:color w:val="000000" w:themeColor="text1"/>
          <w:sz w:val="24"/>
          <w:szCs w:val="24"/>
          <w:lang w:val="ro-MD"/>
        </w:rPr>
        <w:t xml:space="preserve">дней </w:t>
      </w:r>
      <w:r w:rsidRPr="00EF0FE4">
        <w:rPr>
          <w:rFonts w:asciiTheme="majorHAnsi" w:hAnsiTheme="majorHAnsi" w:cstheme="majorHAnsi"/>
          <w:color w:val="000000" w:themeColor="text1"/>
          <w:sz w:val="24"/>
          <w:szCs w:val="24"/>
          <w:lang w:val="ro-MD"/>
        </w:rPr>
        <w:t>в 2022 году, составила 1 628,0 леев</w:t>
      </w:r>
      <w:r w:rsidR="00E50618">
        <w:rPr>
          <w:rFonts w:asciiTheme="majorHAnsi" w:hAnsiTheme="majorHAnsi" w:cstheme="majorHAnsi"/>
          <w:color w:val="000000" w:themeColor="text1"/>
          <w:sz w:val="24"/>
          <w:szCs w:val="24"/>
          <w:lang w:val="ru-RU"/>
        </w:rPr>
        <w:t>,</w:t>
      </w:r>
      <w:r w:rsidRPr="00EF0FE4">
        <w:rPr>
          <w:rFonts w:asciiTheme="majorHAnsi" w:hAnsiTheme="majorHAnsi" w:cstheme="majorHAnsi"/>
          <w:color w:val="000000" w:themeColor="text1"/>
          <w:sz w:val="24"/>
          <w:szCs w:val="24"/>
          <w:lang w:val="ro-MD"/>
        </w:rPr>
        <w:t xml:space="preserve"> по сравнению с утвержденным тарифом </w:t>
      </w:r>
      <w:r w:rsidR="00E50618">
        <w:rPr>
          <w:rFonts w:asciiTheme="majorHAnsi" w:hAnsiTheme="majorHAnsi" w:cstheme="majorHAnsi"/>
          <w:color w:val="000000" w:themeColor="text1"/>
          <w:sz w:val="24"/>
          <w:szCs w:val="24"/>
          <w:lang w:val="ru-RU"/>
        </w:rPr>
        <w:t xml:space="preserve">в </w:t>
      </w:r>
      <w:r w:rsidRPr="00EF0FE4">
        <w:rPr>
          <w:rFonts w:asciiTheme="majorHAnsi" w:hAnsiTheme="majorHAnsi" w:cstheme="majorHAnsi"/>
          <w:color w:val="000000" w:themeColor="text1"/>
          <w:sz w:val="24"/>
          <w:szCs w:val="24"/>
          <w:lang w:val="ro-MD"/>
        </w:rPr>
        <w:t xml:space="preserve">1 130 леев за один </w:t>
      </w:r>
      <w:r w:rsidR="00E50618">
        <w:rPr>
          <w:rFonts w:asciiTheme="majorHAnsi" w:hAnsiTheme="majorHAnsi" w:cstheme="majorHAnsi"/>
          <w:color w:val="000000" w:themeColor="text1"/>
          <w:sz w:val="24"/>
          <w:szCs w:val="24"/>
          <w:lang w:val="ru-RU"/>
        </w:rPr>
        <w:t>койко</w:t>
      </w:r>
      <w:r w:rsidR="00E50618" w:rsidRPr="00EF0FE4">
        <w:rPr>
          <w:rFonts w:asciiTheme="majorHAnsi" w:hAnsiTheme="majorHAnsi" w:cstheme="majorHAnsi"/>
          <w:color w:val="000000" w:themeColor="text1"/>
          <w:sz w:val="24"/>
          <w:szCs w:val="24"/>
          <w:lang w:val="ro-MD"/>
        </w:rPr>
        <w:t>/д</w:t>
      </w:r>
      <w:r w:rsidR="00E50618">
        <w:rPr>
          <w:rFonts w:asciiTheme="majorHAnsi" w:hAnsiTheme="majorHAnsi" w:cstheme="majorHAnsi"/>
          <w:color w:val="000000" w:themeColor="text1"/>
          <w:sz w:val="24"/>
          <w:szCs w:val="24"/>
          <w:lang w:val="ru-RU"/>
        </w:rPr>
        <w:t>ень</w:t>
      </w:r>
      <w:r w:rsidRPr="00EF0FE4">
        <w:rPr>
          <w:rFonts w:asciiTheme="majorHAnsi" w:hAnsiTheme="majorHAnsi" w:cstheme="majorHAnsi"/>
          <w:color w:val="000000" w:themeColor="text1"/>
          <w:sz w:val="24"/>
          <w:szCs w:val="24"/>
          <w:lang w:val="ro-MD"/>
        </w:rPr>
        <w:t xml:space="preserve">, что на 498 леев больше. Отмечается, что при утвержденных нормативных условиях максимальной вместимости клиники (24 820 </w:t>
      </w:r>
      <w:r w:rsidR="00E50618">
        <w:rPr>
          <w:rFonts w:asciiTheme="majorHAnsi" w:hAnsiTheme="majorHAnsi" w:cstheme="majorHAnsi"/>
          <w:color w:val="000000" w:themeColor="text1"/>
          <w:sz w:val="24"/>
          <w:szCs w:val="24"/>
          <w:lang w:val="ru-RU"/>
        </w:rPr>
        <w:t>койко</w:t>
      </w:r>
      <w:r w:rsidR="00E50618" w:rsidRPr="00EF0FE4">
        <w:rPr>
          <w:rFonts w:asciiTheme="majorHAnsi" w:hAnsiTheme="majorHAnsi" w:cstheme="majorHAnsi"/>
          <w:color w:val="000000" w:themeColor="text1"/>
          <w:sz w:val="24"/>
          <w:szCs w:val="24"/>
          <w:lang w:val="ro-MD"/>
        </w:rPr>
        <w:t>/дн</w:t>
      </w:r>
      <w:r w:rsidR="00E50618">
        <w:rPr>
          <w:rFonts w:asciiTheme="majorHAnsi" w:hAnsiTheme="majorHAnsi" w:cstheme="majorHAnsi"/>
          <w:color w:val="000000" w:themeColor="text1"/>
          <w:sz w:val="24"/>
          <w:szCs w:val="24"/>
          <w:lang w:val="ru-RU"/>
        </w:rPr>
        <w:t>ей</w:t>
      </w:r>
      <w:r w:rsidRPr="00EF0FE4">
        <w:rPr>
          <w:rFonts w:asciiTheme="majorHAnsi" w:hAnsiTheme="majorHAnsi" w:cstheme="majorHAnsi"/>
          <w:color w:val="000000" w:themeColor="text1"/>
          <w:sz w:val="24"/>
          <w:szCs w:val="24"/>
          <w:lang w:val="ro-MD"/>
        </w:rPr>
        <w:t>)</w:t>
      </w:r>
      <w:r w:rsidR="00E50618">
        <w:rPr>
          <w:rFonts w:asciiTheme="majorHAnsi" w:hAnsiTheme="majorHAnsi" w:cstheme="majorHAnsi"/>
          <w:color w:val="000000" w:themeColor="text1"/>
          <w:sz w:val="24"/>
          <w:szCs w:val="24"/>
          <w:lang w:val="ru-RU"/>
        </w:rPr>
        <w:t>,</w:t>
      </w:r>
      <w:r w:rsidRPr="00EF0FE4">
        <w:rPr>
          <w:rFonts w:asciiTheme="majorHAnsi" w:hAnsiTheme="majorHAnsi" w:cstheme="majorHAnsi"/>
          <w:color w:val="000000" w:themeColor="text1"/>
          <w:sz w:val="24"/>
          <w:szCs w:val="24"/>
          <w:lang w:val="ro-MD"/>
        </w:rPr>
        <w:t xml:space="preserve"> стоимость одного </w:t>
      </w:r>
      <w:r w:rsidR="00E50618">
        <w:rPr>
          <w:rFonts w:asciiTheme="majorHAnsi" w:hAnsiTheme="majorHAnsi" w:cstheme="majorHAnsi"/>
          <w:color w:val="000000" w:themeColor="text1"/>
          <w:sz w:val="24"/>
          <w:szCs w:val="24"/>
          <w:lang w:val="ru-RU"/>
        </w:rPr>
        <w:t>койко</w:t>
      </w:r>
      <w:r w:rsidR="00E50618" w:rsidRPr="00EF0FE4">
        <w:rPr>
          <w:rFonts w:asciiTheme="majorHAnsi" w:hAnsiTheme="majorHAnsi" w:cstheme="majorHAnsi"/>
          <w:color w:val="000000" w:themeColor="text1"/>
          <w:sz w:val="24"/>
          <w:szCs w:val="24"/>
          <w:lang w:val="ro-MD"/>
        </w:rPr>
        <w:t>/дня</w:t>
      </w:r>
      <w:r w:rsidRPr="00EF0FE4">
        <w:rPr>
          <w:rFonts w:asciiTheme="majorHAnsi" w:hAnsiTheme="majorHAnsi" w:cstheme="majorHAnsi"/>
          <w:color w:val="000000" w:themeColor="text1"/>
          <w:sz w:val="24"/>
          <w:szCs w:val="24"/>
          <w:lang w:val="ro-MD"/>
        </w:rPr>
        <w:t xml:space="preserve"> оценивается в 1 093,0 леев, что соответствует тарифу на оказанные услуги.</w:t>
      </w:r>
    </w:p>
    <w:p w14:paraId="731FB9BB" w14:textId="7F99BBFE" w:rsidR="008141DA" w:rsidRPr="00B13B9A" w:rsidRDefault="00E50618" w:rsidP="00E50618">
      <w:pPr>
        <w:spacing w:after="0" w:line="276" w:lineRule="auto"/>
        <w:jc w:val="both"/>
        <w:rPr>
          <w:rFonts w:asciiTheme="majorHAnsi" w:hAnsiTheme="majorHAnsi" w:cstheme="majorHAnsi"/>
          <w:color w:val="000000" w:themeColor="text1"/>
          <w:sz w:val="24"/>
          <w:szCs w:val="24"/>
          <w:lang w:val="ro-MD"/>
        </w:rPr>
      </w:pPr>
      <w:r>
        <w:rPr>
          <w:rFonts w:asciiTheme="majorHAnsi" w:hAnsiTheme="majorHAnsi" w:cstheme="majorHAnsi"/>
          <w:color w:val="000000" w:themeColor="text1"/>
          <w:sz w:val="24"/>
          <w:szCs w:val="24"/>
          <w:lang w:val="ru-RU"/>
        </w:rPr>
        <w:t>Установл</w:t>
      </w:r>
      <w:r w:rsidR="00EF0FE4" w:rsidRPr="00EF0FE4">
        <w:rPr>
          <w:rFonts w:asciiTheme="majorHAnsi" w:hAnsiTheme="majorHAnsi" w:cstheme="majorHAnsi"/>
          <w:color w:val="000000" w:themeColor="text1"/>
          <w:sz w:val="24"/>
          <w:szCs w:val="24"/>
          <w:lang w:val="ro-MD"/>
        </w:rPr>
        <w:t xml:space="preserve">ено, что в 2021 году </w:t>
      </w:r>
      <w:r w:rsidR="0045040C">
        <w:rPr>
          <w:rFonts w:asciiTheme="majorHAnsi" w:hAnsiTheme="majorHAnsi" w:cstheme="majorHAnsi"/>
          <w:color w:val="000000" w:themeColor="text1"/>
          <w:sz w:val="24"/>
          <w:szCs w:val="24"/>
          <w:lang w:val="ro-MD"/>
        </w:rPr>
        <w:t>ПМСУ ИФП</w:t>
      </w:r>
      <w:r w:rsidR="00EF0FE4" w:rsidRPr="00EF0FE4">
        <w:rPr>
          <w:rFonts w:asciiTheme="majorHAnsi" w:hAnsiTheme="majorHAnsi" w:cstheme="majorHAnsi"/>
          <w:color w:val="000000" w:themeColor="text1"/>
          <w:sz w:val="24"/>
          <w:szCs w:val="24"/>
          <w:lang w:val="ro-MD"/>
        </w:rPr>
        <w:t xml:space="preserve"> „Кирилл Драганюк” обратил</w:t>
      </w:r>
      <w:r>
        <w:rPr>
          <w:rFonts w:asciiTheme="majorHAnsi" w:hAnsiTheme="majorHAnsi" w:cstheme="majorHAnsi"/>
          <w:color w:val="000000" w:themeColor="text1"/>
          <w:sz w:val="24"/>
          <w:szCs w:val="24"/>
          <w:lang w:val="ru-RU"/>
        </w:rPr>
        <w:t>о</w:t>
      </w:r>
      <w:r w:rsidR="00EF0FE4" w:rsidRPr="00EF0FE4">
        <w:rPr>
          <w:rFonts w:asciiTheme="majorHAnsi" w:hAnsiTheme="majorHAnsi" w:cstheme="majorHAnsi"/>
          <w:color w:val="000000" w:themeColor="text1"/>
          <w:sz w:val="24"/>
          <w:szCs w:val="24"/>
          <w:lang w:val="ro-MD"/>
        </w:rPr>
        <w:t>с</w:t>
      </w:r>
      <w:r>
        <w:rPr>
          <w:rFonts w:asciiTheme="majorHAnsi" w:hAnsiTheme="majorHAnsi" w:cstheme="majorHAnsi"/>
          <w:color w:val="000000" w:themeColor="text1"/>
          <w:sz w:val="24"/>
          <w:szCs w:val="24"/>
          <w:lang w:val="ru-RU"/>
        </w:rPr>
        <w:t>ь</w:t>
      </w:r>
      <w:r w:rsidR="00EF0FE4" w:rsidRPr="00EF0FE4">
        <w:rPr>
          <w:rFonts w:asciiTheme="majorHAnsi" w:hAnsiTheme="majorHAnsi" w:cstheme="majorHAnsi"/>
          <w:color w:val="000000" w:themeColor="text1"/>
          <w:sz w:val="24"/>
          <w:szCs w:val="24"/>
          <w:lang w:val="ro-MD"/>
        </w:rPr>
        <w:t xml:space="preserve"> к </w:t>
      </w:r>
      <w:r>
        <w:rPr>
          <w:rFonts w:asciiTheme="majorHAnsi" w:hAnsiTheme="majorHAnsi" w:cstheme="majorHAnsi"/>
          <w:color w:val="000000" w:themeColor="text1"/>
          <w:sz w:val="24"/>
          <w:szCs w:val="24"/>
          <w:lang w:val="ru-RU"/>
        </w:rPr>
        <w:t>учреди</w:t>
      </w:r>
      <w:r w:rsidR="00EF0FE4" w:rsidRPr="00EF0FE4">
        <w:rPr>
          <w:rFonts w:asciiTheme="majorHAnsi" w:hAnsiTheme="majorHAnsi" w:cstheme="majorHAnsi"/>
          <w:color w:val="000000" w:themeColor="text1"/>
          <w:sz w:val="24"/>
          <w:szCs w:val="24"/>
          <w:lang w:val="ro-MD"/>
        </w:rPr>
        <w:t xml:space="preserve">телю с предложением реорганизовать </w:t>
      </w:r>
      <w:r>
        <w:rPr>
          <w:rFonts w:asciiTheme="majorHAnsi" w:hAnsiTheme="majorHAnsi" w:cstheme="majorHAnsi"/>
          <w:color w:val="000000" w:themeColor="text1"/>
          <w:sz w:val="24"/>
          <w:szCs w:val="24"/>
          <w:lang w:val="ru-RU"/>
        </w:rPr>
        <w:t>С</w:t>
      </w:r>
      <w:r w:rsidR="00EF0FE4" w:rsidRPr="00EF0FE4">
        <w:rPr>
          <w:rFonts w:asciiTheme="majorHAnsi" w:hAnsiTheme="majorHAnsi" w:cstheme="majorHAnsi"/>
          <w:color w:val="000000" w:themeColor="text1"/>
          <w:sz w:val="24"/>
          <w:szCs w:val="24"/>
          <w:lang w:val="ro-MD"/>
        </w:rPr>
        <w:t xml:space="preserve">пециализированную больничную службу путем создания медицинского учреждения республиканского уровня и </w:t>
      </w:r>
      <w:r>
        <w:rPr>
          <w:rFonts w:asciiTheme="majorHAnsi" w:hAnsiTheme="majorHAnsi" w:cstheme="majorHAnsi"/>
          <w:color w:val="000000" w:themeColor="text1"/>
          <w:sz w:val="24"/>
          <w:szCs w:val="24"/>
          <w:lang w:val="ru-RU"/>
        </w:rPr>
        <w:t>установле</w:t>
      </w:r>
      <w:r w:rsidR="00EF0FE4" w:rsidRPr="00EF0FE4">
        <w:rPr>
          <w:rFonts w:asciiTheme="majorHAnsi" w:hAnsiTheme="majorHAnsi" w:cstheme="majorHAnsi"/>
          <w:color w:val="000000" w:themeColor="text1"/>
          <w:sz w:val="24"/>
          <w:szCs w:val="24"/>
          <w:lang w:val="ro-MD"/>
        </w:rPr>
        <w:t>ния совместного управления</w:t>
      </w:r>
      <w:r>
        <w:rPr>
          <w:rFonts w:asciiTheme="majorHAnsi" w:hAnsiTheme="majorHAnsi" w:cstheme="majorHAnsi"/>
          <w:color w:val="000000" w:themeColor="text1"/>
          <w:sz w:val="24"/>
          <w:szCs w:val="24"/>
          <w:lang w:val="ru-RU"/>
        </w:rPr>
        <w:t>,</w:t>
      </w:r>
      <w:r w:rsidR="00EF0FE4" w:rsidRPr="00EF0FE4">
        <w:rPr>
          <w:rFonts w:asciiTheme="majorHAnsi" w:hAnsiTheme="majorHAnsi" w:cstheme="majorHAnsi"/>
          <w:color w:val="000000" w:themeColor="text1"/>
          <w:sz w:val="24"/>
          <w:szCs w:val="24"/>
          <w:lang w:val="ro-MD"/>
        </w:rPr>
        <w:t xml:space="preserve"> с оптимизацией количества коек, то есть путем слияния с </w:t>
      </w:r>
      <w:r w:rsidR="00104556">
        <w:rPr>
          <w:rFonts w:asciiTheme="majorHAnsi" w:hAnsiTheme="majorHAnsi" w:cstheme="majorHAnsi"/>
          <w:color w:val="000000" w:themeColor="text1"/>
          <w:sz w:val="24"/>
          <w:szCs w:val="24"/>
          <w:lang w:val="ro-MD"/>
        </w:rPr>
        <w:t>ПМСУ</w:t>
      </w:r>
      <w:r w:rsidR="00EF0FE4" w:rsidRPr="00EF0FE4">
        <w:rPr>
          <w:rFonts w:asciiTheme="majorHAnsi" w:hAnsiTheme="majorHAnsi" w:cstheme="majorHAnsi"/>
          <w:color w:val="000000" w:themeColor="text1"/>
          <w:sz w:val="24"/>
          <w:szCs w:val="24"/>
          <w:lang w:val="ro-MD"/>
        </w:rPr>
        <w:t xml:space="preserve"> </w:t>
      </w:r>
      <w:r>
        <w:rPr>
          <w:rFonts w:asciiTheme="majorHAnsi" w:hAnsiTheme="majorHAnsi" w:cstheme="majorHAnsi"/>
          <w:color w:val="000000" w:themeColor="text1"/>
          <w:sz w:val="24"/>
          <w:szCs w:val="24"/>
          <w:lang w:val="ru-RU"/>
        </w:rPr>
        <w:t>М</w:t>
      </w:r>
      <w:r w:rsidR="00EF0FE4" w:rsidRPr="00EF0FE4">
        <w:rPr>
          <w:rFonts w:asciiTheme="majorHAnsi" w:hAnsiTheme="majorHAnsi" w:cstheme="majorHAnsi"/>
          <w:color w:val="000000" w:themeColor="text1"/>
          <w:sz w:val="24"/>
          <w:szCs w:val="24"/>
          <w:lang w:val="ro-MD"/>
        </w:rPr>
        <w:t xml:space="preserve">униципальная больница </w:t>
      </w:r>
      <w:r w:rsidR="0045040C">
        <w:rPr>
          <w:rFonts w:asciiTheme="majorHAnsi" w:hAnsiTheme="majorHAnsi" w:cstheme="majorHAnsi"/>
          <w:color w:val="000000" w:themeColor="text1"/>
          <w:sz w:val="24"/>
          <w:szCs w:val="24"/>
          <w:lang w:val="ro-MD"/>
        </w:rPr>
        <w:t>Фтизиопульмонологии</w:t>
      </w:r>
      <w:r w:rsidR="00EF0FE4" w:rsidRPr="00EF0FE4">
        <w:rPr>
          <w:rFonts w:asciiTheme="majorHAnsi" w:hAnsiTheme="majorHAnsi" w:cstheme="majorHAnsi"/>
          <w:color w:val="000000" w:themeColor="text1"/>
          <w:sz w:val="24"/>
          <w:szCs w:val="24"/>
          <w:lang w:val="ro-MD"/>
        </w:rPr>
        <w:t>, а клиник</w:t>
      </w:r>
      <w:r>
        <w:rPr>
          <w:rFonts w:asciiTheme="majorHAnsi" w:hAnsiTheme="majorHAnsi" w:cstheme="majorHAnsi"/>
          <w:color w:val="000000" w:themeColor="text1"/>
          <w:sz w:val="24"/>
          <w:szCs w:val="24"/>
          <w:lang w:val="ru-RU"/>
        </w:rPr>
        <w:t>у</w:t>
      </w:r>
      <w:r w:rsidR="00EF0FE4" w:rsidRPr="00EF0FE4">
        <w:rPr>
          <w:rFonts w:asciiTheme="majorHAnsi" w:hAnsiTheme="majorHAnsi" w:cstheme="majorHAnsi"/>
          <w:color w:val="000000" w:themeColor="text1"/>
          <w:sz w:val="24"/>
          <w:szCs w:val="24"/>
          <w:lang w:val="ro-MD"/>
        </w:rPr>
        <w:t xml:space="preserve"> Ворничень перепрофилирова</w:t>
      </w:r>
      <w:r>
        <w:rPr>
          <w:rFonts w:asciiTheme="majorHAnsi" w:hAnsiTheme="majorHAnsi" w:cstheme="majorHAnsi"/>
          <w:color w:val="000000" w:themeColor="text1"/>
          <w:sz w:val="24"/>
          <w:szCs w:val="24"/>
          <w:lang w:val="ru-RU"/>
        </w:rPr>
        <w:t>ть</w:t>
      </w:r>
      <w:r w:rsidR="00EF0FE4" w:rsidRPr="00EF0FE4">
        <w:rPr>
          <w:rFonts w:asciiTheme="majorHAnsi" w:hAnsiTheme="majorHAnsi" w:cstheme="majorHAnsi"/>
          <w:color w:val="000000" w:themeColor="text1"/>
          <w:sz w:val="24"/>
          <w:szCs w:val="24"/>
          <w:lang w:val="ro-MD"/>
        </w:rPr>
        <w:t xml:space="preserve"> для других нужд </w:t>
      </w:r>
      <w:r>
        <w:rPr>
          <w:rFonts w:asciiTheme="majorHAnsi" w:hAnsiTheme="majorHAnsi" w:cstheme="majorHAnsi"/>
          <w:color w:val="000000" w:themeColor="text1"/>
          <w:sz w:val="24"/>
          <w:szCs w:val="24"/>
          <w:lang w:val="ru-RU"/>
        </w:rPr>
        <w:t>учредит</w:t>
      </w:r>
      <w:r w:rsidR="00EF0FE4" w:rsidRPr="00EF0FE4">
        <w:rPr>
          <w:rFonts w:asciiTheme="majorHAnsi" w:hAnsiTheme="majorHAnsi" w:cstheme="majorHAnsi"/>
          <w:color w:val="000000" w:themeColor="text1"/>
          <w:sz w:val="24"/>
          <w:szCs w:val="24"/>
          <w:lang w:val="ro-MD"/>
        </w:rPr>
        <w:t xml:space="preserve">еля. </w:t>
      </w:r>
      <w:r>
        <w:rPr>
          <w:rFonts w:asciiTheme="majorHAnsi" w:hAnsiTheme="majorHAnsi" w:cstheme="majorHAnsi"/>
          <w:color w:val="000000" w:themeColor="text1"/>
          <w:sz w:val="24"/>
          <w:szCs w:val="24"/>
          <w:lang w:val="ru-RU"/>
        </w:rPr>
        <w:t xml:space="preserve">На </w:t>
      </w:r>
      <w:r w:rsidR="00EF0FE4" w:rsidRPr="00EF0FE4">
        <w:rPr>
          <w:rFonts w:asciiTheme="majorHAnsi" w:hAnsiTheme="majorHAnsi" w:cstheme="majorHAnsi"/>
          <w:color w:val="000000" w:themeColor="text1"/>
          <w:sz w:val="24"/>
          <w:szCs w:val="24"/>
          <w:lang w:val="ro-MD"/>
        </w:rPr>
        <w:t xml:space="preserve">14.01.2022 </w:t>
      </w:r>
      <w:r w:rsidR="00F27552">
        <w:rPr>
          <w:rFonts w:asciiTheme="majorHAnsi" w:hAnsiTheme="majorHAnsi" w:cstheme="majorHAnsi"/>
          <w:color w:val="000000" w:themeColor="text1"/>
          <w:sz w:val="24"/>
          <w:szCs w:val="24"/>
          <w:lang w:val="ro-MD"/>
        </w:rPr>
        <w:t>субъект</w:t>
      </w:r>
      <w:r w:rsidR="00EF0FE4" w:rsidRPr="00EF0FE4">
        <w:rPr>
          <w:rFonts w:asciiTheme="majorHAnsi" w:hAnsiTheme="majorHAnsi" w:cstheme="majorHAnsi"/>
          <w:color w:val="000000" w:themeColor="text1"/>
          <w:sz w:val="24"/>
          <w:szCs w:val="24"/>
          <w:lang w:val="ro-MD"/>
        </w:rPr>
        <w:t xml:space="preserve"> информирует </w:t>
      </w:r>
      <w:r>
        <w:rPr>
          <w:rFonts w:asciiTheme="majorHAnsi" w:hAnsiTheme="majorHAnsi" w:cstheme="majorHAnsi"/>
          <w:color w:val="000000" w:themeColor="text1"/>
          <w:sz w:val="24"/>
          <w:szCs w:val="24"/>
          <w:lang w:val="ru-RU"/>
        </w:rPr>
        <w:t>МЗ</w:t>
      </w:r>
      <w:r w:rsidR="00EF0FE4" w:rsidRPr="00EF0FE4">
        <w:rPr>
          <w:rFonts w:asciiTheme="majorHAnsi" w:hAnsiTheme="majorHAnsi" w:cstheme="majorHAnsi"/>
          <w:color w:val="000000" w:themeColor="text1"/>
          <w:sz w:val="24"/>
          <w:szCs w:val="24"/>
          <w:lang w:val="ro-MD"/>
        </w:rPr>
        <w:t xml:space="preserve"> о прекращении поступления пациентов в </w:t>
      </w:r>
      <w:r>
        <w:rPr>
          <w:rFonts w:asciiTheme="majorHAnsi" w:hAnsiTheme="majorHAnsi" w:cstheme="majorHAnsi"/>
          <w:color w:val="000000" w:themeColor="text1"/>
          <w:sz w:val="24"/>
          <w:szCs w:val="24"/>
          <w:lang w:val="ru-RU"/>
        </w:rPr>
        <w:t>К</w:t>
      </w:r>
      <w:r w:rsidR="00EF0FE4" w:rsidRPr="00EF0FE4">
        <w:rPr>
          <w:rFonts w:asciiTheme="majorHAnsi" w:hAnsiTheme="majorHAnsi" w:cstheme="majorHAnsi"/>
          <w:color w:val="000000" w:themeColor="text1"/>
          <w:sz w:val="24"/>
          <w:szCs w:val="24"/>
          <w:lang w:val="ro-MD"/>
        </w:rPr>
        <w:t>линику Ворничень</w:t>
      </w:r>
      <w:r>
        <w:rPr>
          <w:rFonts w:asciiTheme="majorHAnsi" w:hAnsiTheme="majorHAnsi" w:cstheme="majorHAnsi"/>
          <w:color w:val="000000" w:themeColor="text1"/>
          <w:sz w:val="24"/>
          <w:szCs w:val="24"/>
          <w:lang w:val="ru-RU"/>
        </w:rPr>
        <w:t>, начиная</w:t>
      </w:r>
      <w:r w:rsidR="00EF0FE4" w:rsidRPr="00EF0FE4">
        <w:rPr>
          <w:rFonts w:asciiTheme="majorHAnsi" w:hAnsiTheme="majorHAnsi" w:cstheme="majorHAnsi"/>
          <w:color w:val="000000" w:themeColor="text1"/>
          <w:sz w:val="24"/>
          <w:szCs w:val="24"/>
          <w:lang w:val="ro-MD"/>
        </w:rPr>
        <w:t xml:space="preserve"> с 17.01.2022</w:t>
      </w:r>
      <w:r>
        <w:rPr>
          <w:rFonts w:asciiTheme="majorHAnsi" w:hAnsiTheme="majorHAnsi" w:cstheme="majorHAnsi"/>
          <w:color w:val="000000" w:themeColor="text1"/>
          <w:sz w:val="24"/>
          <w:szCs w:val="24"/>
          <w:lang w:val="ru-RU"/>
        </w:rPr>
        <w:t>,</w:t>
      </w:r>
      <w:r w:rsidR="00EF0FE4" w:rsidRPr="00EF0FE4">
        <w:rPr>
          <w:rFonts w:asciiTheme="majorHAnsi" w:hAnsiTheme="majorHAnsi" w:cstheme="majorHAnsi"/>
          <w:color w:val="000000" w:themeColor="text1"/>
          <w:sz w:val="24"/>
          <w:szCs w:val="24"/>
          <w:lang w:val="ro-MD"/>
        </w:rPr>
        <w:t xml:space="preserve"> и требует согласия учредителя на </w:t>
      </w:r>
      <w:r>
        <w:rPr>
          <w:rFonts w:asciiTheme="majorHAnsi" w:hAnsiTheme="majorHAnsi" w:cstheme="majorHAnsi"/>
          <w:color w:val="000000" w:themeColor="text1"/>
          <w:sz w:val="24"/>
          <w:szCs w:val="24"/>
          <w:lang w:val="ru-RU"/>
        </w:rPr>
        <w:t>инициирование</w:t>
      </w:r>
      <w:r w:rsidR="00EF0FE4" w:rsidRPr="00EF0FE4">
        <w:rPr>
          <w:rFonts w:asciiTheme="majorHAnsi" w:hAnsiTheme="majorHAnsi" w:cstheme="majorHAnsi"/>
          <w:color w:val="000000" w:themeColor="text1"/>
          <w:sz w:val="24"/>
          <w:szCs w:val="24"/>
          <w:lang w:val="ro-MD"/>
        </w:rPr>
        <w:t xml:space="preserve"> процесса прекращения деятельности клиники </w:t>
      </w:r>
      <w:r>
        <w:rPr>
          <w:rFonts w:asciiTheme="majorHAnsi" w:hAnsiTheme="majorHAnsi" w:cstheme="majorHAnsi"/>
          <w:color w:val="000000" w:themeColor="text1"/>
          <w:sz w:val="24"/>
          <w:szCs w:val="24"/>
          <w:lang w:val="ru-RU"/>
        </w:rPr>
        <w:t>с.</w:t>
      </w:r>
      <w:r w:rsidR="00EF0FE4" w:rsidRPr="00EF0FE4">
        <w:rPr>
          <w:rFonts w:asciiTheme="majorHAnsi" w:hAnsiTheme="majorHAnsi" w:cstheme="majorHAnsi"/>
          <w:color w:val="000000" w:themeColor="text1"/>
          <w:sz w:val="24"/>
          <w:szCs w:val="24"/>
          <w:lang w:val="ro-MD"/>
        </w:rPr>
        <w:t xml:space="preserve"> Ворничень</w:t>
      </w:r>
      <w:r w:rsidR="00B9390C" w:rsidRPr="00B13B9A">
        <w:rPr>
          <w:rFonts w:asciiTheme="majorHAnsi" w:hAnsiTheme="majorHAnsi" w:cstheme="majorHAnsi"/>
          <w:color w:val="000000" w:themeColor="text1"/>
          <w:sz w:val="24"/>
          <w:szCs w:val="24"/>
          <w:lang w:val="ro-MD"/>
        </w:rPr>
        <w:t xml:space="preserve">. </w:t>
      </w:r>
    </w:p>
    <w:p w14:paraId="466255B4" w14:textId="52A037DE" w:rsidR="00EF0FE4" w:rsidRPr="00EF0FE4" w:rsidRDefault="00EF0FE4" w:rsidP="00EF0FE4">
      <w:pPr>
        <w:pStyle w:val="a7"/>
        <w:spacing w:after="0" w:line="276" w:lineRule="auto"/>
        <w:ind w:left="0"/>
        <w:jc w:val="both"/>
        <w:rPr>
          <w:rFonts w:asciiTheme="majorHAnsi" w:hAnsiTheme="majorHAnsi" w:cstheme="majorHAnsi"/>
          <w:color w:val="000000" w:themeColor="text1"/>
          <w:sz w:val="24"/>
          <w:szCs w:val="24"/>
          <w:lang w:val="ro-MD"/>
        </w:rPr>
      </w:pPr>
      <w:r w:rsidRPr="00EF0FE4">
        <w:rPr>
          <w:rFonts w:asciiTheme="majorHAnsi" w:hAnsiTheme="majorHAnsi" w:cstheme="majorHAnsi"/>
          <w:color w:val="000000" w:themeColor="text1"/>
          <w:sz w:val="24"/>
          <w:szCs w:val="24"/>
          <w:lang w:val="ro-MD"/>
        </w:rPr>
        <w:t>В этом контексте Министерство здравоохранения создало рабочую группу</w:t>
      </w:r>
      <w:r w:rsidR="00E50618" w:rsidRPr="00B13B9A">
        <w:rPr>
          <w:rStyle w:val="a9"/>
          <w:rFonts w:asciiTheme="majorHAnsi" w:hAnsiTheme="majorHAnsi" w:cstheme="majorHAnsi"/>
          <w:color w:val="000000" w:themeColor="text1"/>
          <w:sz w:val="24"/>
          <w:szCs w:val="24"/>
          <w:lang w:val="ro-MD"/>
        </w:rPr>
        <w:footnoteReference w:id="28"/>
      </w:r>
      <w:r w:rsidRPr="00EF0FE4">
        <w:rPr>
          <w:rFonts w:asciiTheme="majorHAnsi" w:hAnsiTheme="majorHAnsi" w:cstheme="majorHAnsi"/>
          <w:color w:val="000000" w:themeColor="text1"/>
          <w:sz w:val="24"/>
          <w:szCs w:val="24"/>
          <w:lang w:val="ro-MD"/>
        </w:rPr>
        <w:t xml:space="preserve"> для оценки финансово-экономического положения, анализа количества пациентов, получавших лечение, </w:t>
      </w:r>
      <w:r w:rsidR="00E50618">
        <w:rPr>
          <w:rFonts w:asciiTheme="majorHAnsi" w:hAnsiTheme="majorHAnsi" w:cstheme="majorHAnsi"/>
          <w:color w:val="000000" w:themeColor="text1"/>
          <w:sz w:val="24"/>
          <w:szCs w:val="24"/>
          <w:lang w:val="ru-RU"/>
        </w:rPr>
        <w:t>по</w:t>
      </w:r>
      <w:r w:rsidRPr="00EF0FE4">
        <w:rPr>
          <w:rFonts w:asciiTheme="majorHAnsi" w:hAnsiTheme="majorHAnsi" w:cstheme="majorHAnsi"/>
          <w:color w:val="000000" w:themeColor="text1"/>
          <w:sz w:val="24"/>
          <w:szCs w:val="24"/>
          <w:lang w:val="ro-MD"/>
        </w:rPr>
        <w:t xml:space="preserve"> отношени</w:t>
      </w:r>
      <w:r w:rsidR="00E50618">
        <w:rPr>
          <w:rFonts w:asciiTheme="majorHAnsi" w:hAnsiTheme="majorHAnsi" w:cstheme="majorHAnsi"/>
          <w:color w:val="000000" w:themeColor="text1"/>
          <w:sz w:val="24"/>
          <w:szCs w:val="24"/>
          <w:lang w:val="ru-RU"/>
        </w:rPr>
        <w:t>ю</w:t>
      </w:r>
      <w:r w:rsidRPr="00EF0FE4">
        <w:rPr>
          <w:rFonts w:asciiTheme="majorHAnsi" w:hAnsiTheme="majorHAnsi" w:cstheme="majorHAnsi"/>
          <w:color w:val="000000" w:themeColor="text1"/>
          <w:sz w:val="24"/>
          <w:szCs w:val="24"/>
          <w:lang w:val="ro-MD"/>
        </w:rPr>
        <w:t xml:space="preserve"> </w:t>
      </w:r>
      <w:r w:rsidR="00E50618">
        <w:rPr>
          <w:rFonts w:asciiTheme="majorHAnsi" w:hAnsiTheme="majorHAnsi" w:cstheme="majorHAnsi"/>
          <w:color w:val="000000" w:themeColor="text1"/>
          <w:sz w:val="24"/>
          <w:szCs w:val="24"/>
          <w:lang w:val="ru-RU"/>
        </w:rPr>
        <w:t xml:space="preserve">к </w:t>
      </w:r>
      <w:r w:rsidRPr="00EF0FE4">
        <w:rPr>
          <w:rFonts w:asciiTheme="majorHAnsi" w:hAnsiTheme="majorHAnsi" w:cstheme="majorHAnsi"/>
          <w:color w:val="000000" w:themeColor="text1"/>
          <w:sz w:val="24"/>
          <w:szCs w:val="24"/>
          <w:lang w:val="ro-MD"/>
        </w:rPr>
        <w:t>расход</w:t>
      </w:r>
      <w:r w:rsidR="00E50618">
        <w:rPr>
          <w:rFonts w:asciiTheme="majorHAnsi" w:hAnsiTheme="majorHAnsi" w:cstheme="majorHAnsi"/>
          <w:color w:val="000000" w:themeColor="text1"/>
          <w:sz w:val="24"/>
          <w:szCs w:val="24"/>
          <w:lang w:val="ru-RU"/>
        </w:rPr>
        <w:t>ам</w:t>
      </w:r>
      <w:r w:rsidRPr="00EF0FE4">
        <w:rPr>
          <w:rFonts w:asciiTheme="majorHAnsi" w:hAnsiTheme="majorHAnsi" w:cstheme="majorHAnsi"/>
          <w:color w:val="000000" w:themeColor="text1"/>
          <w:sz w:val="24"/>
          <w:szCs w:val="24"/>
          <w:lang w:val="ro-MD"/>
        </w:rPr>
        <w:t>, понесенны</w:t>
      </w:r>
      <w:r w:rsidR="00E50618">
        <w:rPr>
          <w:rFonts w:asciiTheme="majorHAnsi" w:hAnsiTheme="majorHAnsi" w:cstheme="majorHAnsi"/>
          <w:color w:val="000000" w:themeColor="text1"/>
          <w:sz w:val="24"/>
          <w:szCs w:val="24"/>
          <w:lang w:val="ru-RU"/>
        </w:rPr>
        <w:t>м</w:t>
      </w:r>
      <w:r w:rsidRPr="00EF0FE4">
        <w:rPr>
          <w:rFonts w:asciiTheme="majorHAnsi" w:hAnsiTheme="majorHAnsi" w:cstheme="majorHAnsi"/>
          <w:color w:val="000000" w:themeColor="text1"/>
          <w:sz w:val="24"/>
          <w:szCs w:val="24"/>
          <w:lang w:val="ro-MD"/>
        </w:rPr>
        <w:t xml:space="preserve"> в период с 2018 по 2022 год (4 месяца), оценки имущества, находящегося </w:t>
      </w:r>
      <w:r w:rsidR="001D1AC2">
        <w:rPr>
          <w:rFonts w:asciiTheme="majorHAnsi" w:hAnsiTheme="majorHAnsi" w:cstheme="majorHAnsi"/>
          <w:color w:val="000000" w:themeColor="text1"/>
          <w:sz w:val="24"/>
          <w:szCs w:val="24"/>
          <w:lang w:val="ru-RU"/>
        </w:rPr>
        <w:t>в</w:t>
      </w:r>
      <w:r w:rsidRPr="00EF0FE4">
        <w:rPr>
          <w:rFonts w:asciiTheme="majorHAnsi" w:hAnsiTheme="majorHAnsi" w:cstheme="majorHAnsi"/>
          <w:color w:val="000000" w:themeColor="text1"/>
          <w:sz w:val="24"/>
          <w:szCs w:val="24"/>
          <w:lang w:val="ro-MD"/>
        </w:rPr>
        <w:t xml:space="preserve"> управлени</w:t>
      </w:r>
      <w:r w:rsidR="001D1AC2">
        <w:rPr>
          <w:rFonts w:asciiTheme="majorHAnsi" w:hAnsiTheme="majorHAnsi" w:cstheme="majorHAnsi"/>
          <w:color w:val="000000" w:themeColor="text1"/>
          <w:sz w:val="24"/>
          <w:szCs w:val="24"/>
          <w:lang w:val="ru-RU"/>
        </w:rPr>
        <w:t>и</w:t>
      </w:r>
      <w:r w:rsidRPr="00EF0FE4">
        <w:rPr>
          <w:rFonts w:asciiTheme="majorHAnsi" w:hAnsiTheme="majorHAnsi" w:cstheme="majorHAnsi"/>
          <w:color w:val="000000" w:themeColor="text1"/>
          <w:sz w:val="24"/>
          <w:szCs w:val="24"/>
          <w:lang w:val="ro-MD"/>
        </w:rPr>
        <w:t xml:space="preserve">, и определения последующего курса клиники. Кроме того, в течение 2022-2023 гг. </w:t>
      </w:r>
      <w:r w:rsidR="001D1AC2">
        <w:rPr>
          <w:rFonts w:asciiTheme="majorHAnsi" w:hAnsiTheme="majorHAnsi" w:cstheme="majorHAnsi"/>
          <w:color w:val="000000" w:themeColor="text1"/>
          <w:sz w:val="24"/>
          <w:szCs w:val="24"/>
          <w:lang w:val="ru-RU"/>
        </w:rPr>
        <w:t>МЗ</w:t>
      </w:r>
      <w:r w:rsidRPr="00EF0FE4">
        <w:rPr>
          <w:rFonts w:asciiTheme="majorHAnsi" w:hAnsiTheme="majorHAnsi" w:cstheme="majorHAnsi"/>
          <w:color w:val="000000" w:themeColor="text1"/>
          <w:sz w:val="24"/>
          <w:szCs w:val="24"/>
          <w:lang w:val="ro-MD"/>
        </w:rPr>
        <w:t xml:space="preserve"> обра</w:t>
      </w:r>
      <w:r w:rsidR="001D1AC2">
        <w:rPr>
          <w:rFonts w:asciiTheme="majorHAnsi" w:hAnsiTheme="majorHAnsi" w:cstheme="majorHAnsi"/>
          <w:color w:val="000000" w:themeColor="text1"/>
          <w:sz w:val="24"/>
          <w:szCs w:val="24"/>
          <w:lang w:val="ru-RU"/>
        </w:rPr>
        <w:t>щало</w:t>
      </w:r>
      <w:r w:rsidRPr="00EF0FE4">
        <w:rPr>
          <w:rFonts w:asciiTheme="majorHAnsi" w:hAnsiTheme="majorHAnsi" w:cstheme="majorHAnsi"/>
          <w:color w:val="000000" w:themeColor="text1"/>
          <w:sz w:val="24"/>
          <w:szCs w:val="24"/>
          <w:lang w:val="ro-MD"/>
        </w:rPr>
        <w:t xml:space="preserve">сь </w:t>
      </w:r>
      <w:r w:rsidR="001D1AC2">
        <w:rPr>
          <w:rFonts w:asciiTheme="majorHAnsi" w:hAnsiTheme="majorHAnsi" w:cstheme="majorHAnsi"/>
          <w:color w:val="000000" w:themeColor="text1"/>
          <w:sz w:val="24"/>
          <w:szCs w:val="24"/>
          <w:lang w:val="ru-RU"/>
        </w:rPr>
        <w:t>к</w:t>
      </w:r>
      <w:r w:rsidRPr="00EF0FE4">
        <w:rPr>
          <w:rFonts w:asciiTheme="majorHAnsi" w:hAnsiTheme="majorHAnsi" w:cstheme="majorHAnsi"/>
          <w:color w:val="000000" w:themeColor="text1"/>
          <w:sz w:val="24"/>
          <w:szCs w:val="24"/>
          <w:lang w:val="ro-MD"/>
        </w:rPr>
        <w:t xml:space="preserve"> </w:t>
      </w:r>
      <w:r w:rsidR="001D1AC2">
        <w:rPr>
          <w:rFonts w:asciiTheme="majorHAnsi" w:hAnsiTheme="majorHAnsi" w:cstheme="majorHAnsi"/>
          <w:color w:val="000000" w:themeColor="text1"/>
          <w:sz w:val="24"/>
          <w:szCs w:val="24"/>
          <w:lang w:val="ru-RU"/>
        </w:rPr>
        <w:t>АПС</w:t>
      </w:r>
      <w:r w:rsidRPr="00EF0FE4">
        <w:rPr>
          <w:rFonts w:asciiTheme="majorHAnsi" w:hAnsiTheme="majorHAnsi" w:cstheme="majorHAnsi"/>
          <w:color w:val="000000" w:themeColor="text1"/>
          <w:sz w:val="24"/>
          <w:szCs w:val="24"/>
          <w:lang w:val="ro-MD"/>
        </w:rPr>
        <w:t xml:space="preserve"> и </w:t>
      </w:r>
      <w:r w:rsidR="001D1AC2">
        <w:rPr>
          <w:rFonts w:asciiTheme="majorHAnsi" w:hAnsiTheme="majorHAnsi" w:cstheme="majorHAnsi"/>
          <w:color w:val="000000" w:themeColor="text1"/>
          <w:sz w:val="24"/>
          <w:szCs w:val="24"/>
          <w:lang w:val="ru-RU"/>
        </w:rPr>
        <w:t>П</w:t>
      </w:r>
      <w:r w:rsidRPr="00EF0FE4">
        <w:rPr>
          <w:rFonts w:asciiTheme="majorHAnsi" w:hAnsiTheme="majorHAnsi" w:cstheme="majorHAnsi"/>
          <w:color w:val="000000" w:themeColor="text1"/>
          <w:sz w:val="24"/>
          <w:szCs w:val="24"/>
          <w:lang w:val="ro-MD"/>
        </w:rPr>
        <w:t xml:space="preserve">равительству по </w:t>
      </w:r>
      <w:r w:rsidR="001D1AC2">
        <w:rPr>
          <w:rFonts w:asciiTheme="majorHAnsi" w:hAnsiTheme="majorHAnsi" w:cstheme="majorHAnsi"/>
          <w:color w:val="000000" w:themeColor="text1"/>
          <w:sz w:val="24"/>
          <w:szCs w:val="24"/>
          <w:lang w:val="ru-RU"/>
        </w:rPr>
        <w:t>вопрос</w:t>
      </w:r>
      <w:r w:rsidRPr="00EF0FE4">
        <w:rPr>
          <w:rFonts w:asciiTheme="majorHAnsi" w:hAnsiTheme="majorHAnsi" w:cstheme="majorHAnsi"/>
          <w:color w:val="000000" w:themeColor="text1"/>
          <w:sz w:val="24"/>
          <w:szCs w:val="24"/>
          <w:lang w:val="ro-MD"/>
        </w:rPr>
        <w:t xml:space="preserve">у </w:t>
      </w:r>
      <w:r w:rsidR="001D1AC2">
        <w:rPr>
          <w:rFonts w:asciiTheme="majorHAnsi" w:hAnsiTheme="majorHAnsi" w:cstheme="majorHAnsi"/>
          <w:color w:val="000000" w:themeColor="text1"/>
          <w:sz w:val="24"/>
          <w:szCs w:val="24"/>
          <w:lang w:val="ru-RU"/>
        </w:rPr>
        <w:t>целесообраз</w:t>
      </w:r>
      <w:r w:rsidRPr="00EF0FE4">
        <w:rPr>
          <w:rFonts w:asciiTheme="majorHAnsi" w:hAnsiTheme="majorHAnsi" w:cstheme="majorHAnsi"/>
          <w:color w:val="000000" w:themeColor="text1"/>
          <w:sz w:val="24"/>
          <w:szCs w:val="24"/>
          <w:lang w:val="ro-MD"/>
        </w:rPr>
        <w:t xml:space="preserve">ности передачи клиники в </w:t>
      </w:r>
      <w:r w:rsidR="001D1AC2">
        <w:rPr>
          <w:rFonts w:asciiTheme="majorHAnsi" w:hAnsiTheme="majorHAnsi" w:cstheme="majorHAnsi"/>
          <w:color w:val="000000" w:themeColor="text1"/>
          <w:sz w:val="24"/>
          <w:szCs w:val="24"/>
          <w:lang w:val="ru-RU"/>
        </w:rPr>
        <w:t>управление</w:t>
      </w:r>
      <w:r w:rsidRPr="00EF0FE4">
        <w:rPr>
          <w:rFonts w:asciiTheme="majorHAnsi" w:hAnsiTheme="majorHAnsi" w:cstheme="majorHAnsi"/>
          <w:color w:val="000000" w:themeColor="text1"/>
          <w:sz w:val="24"/>
          <w:szCs w:val="24"/>
          <w:lang w:val="ro-MD"/>
        </w:rPr>
        <w:t xml:space="preserve"> </w:t>
      </w:r>
      <w:r w:rsidR="001D1AC2">
        <w:rPr>
          <w:rFonts w:asciiTheme="majorHAnsi" w:hAnsiTheme="majorHAnsi" w:cstheme="majorHAnsi"/>
          <w:color w:val="000000" w:themeColor="text1"/>
          <w:sz w:val="24"/>
          <w:szCs w:val="24"/>
          <w:lang w:val="ru-RU"/>
        </w:rPr>
        <w:t>АПС</w:t>
      </w:r>
      <w:r w:rsidRPr="00EF0FE4">
        <w:rPr>
          <w:rFonts w:asciiTheme="majorHAnsi" w:hAnsiTheme="majorHAnsi" w:cstheme="majorHAnsi"/>
          <w:color w:val="000000" w:themeColor="text1"/>
          <w:sz w:val="24"/>
          <w:szCs w:val="24"/>
          <w:lang w:val="ro-MD"/>
        </w:rPr>
        <w:t xml:space="preserve">. В последнем письме </w:t>
      </w:r>
      <w:r w:rsidR="001D1AC2">
        <w:rPr>
          <w:rFonts w:asciiTheme="majorHAnsi" w:hAnsiTheme="majorHAnsi" w:cstheme="majorHAnsi"/>
          <w:color w:val="000000" w:themeColor="text1"/>
          <w:sz w:val="24"/>
          <w:szCs w:val="24"/>
          <w:lang w:val="ru-RU"/>
        </w:rPr>
        <w:t>к</w:t>
      </w:r>
      <w:r w:rsidRPr="00EF0FE4">
        <w:rPr>
          <w:rFonts w:asciiTheme="majorHAnsi" w:hAnsiTheme="majorHAnsi" w:cstheme="majorHAnsi"/>
          <w:color w:val="000000" w:themeColor="text1"/>
          <w:sz w:val="24"/>
          <w:szCs w:val="24"/>
          <w:lang w:val="ro-MD"/>
        </w:rPr>
        <w:t xml:space="preserve"> </w:t>
      </w:r>
      <w:r w:rsidR="001D1AC2">
        <w:rPr>
          <w:rFonts w:asciiTheme="majorHAnsi" w:hAnsiTheme="majorHAnsi" w:cstheme="majorHAnsi"/>
          <w:color w:val="000000" w:themeColor="text1"/>
          <w:sz w:val="24"/>
          <w:szCs w:val="24"/>
          <w:lang w:val="ru-RU"/>
        </w:rPr>
        <w:t>АПС</w:t>
      </w:r>
      <w:r w:rsidRPr="00EF0FE4">
        <w:rPr>
          <w:rFonts w:asciiTheme="majorHAnsi" w:hAnsiTheme="majorHAnsi" w:cstheme="majorHAnsi"/>
          <w:color w:val="000000" w:themeColor="text1"/>
          <w:sz w:val="24"/>
          <w:szCs w:val="24"/>
          <w:lang w:val="ro-MD"/>
        </w:rPr>
        <w:t xml:space="preserve"> было указано об отсутствии финансовых средств для обеспечения безопасности и целостности </w:t>
      </w:r>
      <w:r w:rsidR="001D1AC2">
        <w:rPr>
          <w:rFonts w:asciiTheme="majorHAnsi" w:hAnsiTheme="majorHAnsi" w:cstheme="majorHAnsi"/>
          <w:color w:val="000000" w:themeColor="text1"/>
          <w:sz w:val="24"/>
          <w:szCs w:val="24"/>
          <w:lang w:val="ru-RU"/>
        </w:rPr>
        <w:t>имущества</w:t>
      </w:r>
      <w:r w:rsidRPr="00EF0FE4">
        <w:rPr>
          <w:rFonts w:asciiTheme="majorHAnsi" w:hAnsiTheme="majorHAnsi" w:cstheme="majorHAnsi"/>
          <w:color w:val="000000" w:themeColor="text1"/>
          <w:sz w:val="24"/>
          <w:szCs w:val="24"/>
          <w:lang w:val="ro-MD"/>
        </w:rPr>
        <w:t>. В то же время</w:t>
      </w:r>
      <w:r w:rsidR="001D1AC2">
        <w:rPr>
          <w:rFonts w:asciiTheme="majorHAnsi" w:hAnsiTheme="majorHAnsi" w:cstheme="majorHAnsi"/>
          <w:color w:val="000000" w:themeColor="text1"/>
          <w:sz w:val="24"/>
          <w:szCs w:val="24"/>
          <w:lang w:val="ru-RU"/>
        </w:rPr>
        <w:t>, НАОЗ</w:t>
      </w:r>
      <w:r w:rsidRPr="00EF0FE4">
        <w:rPr>
          <w:rFonts w:asciiTheme="majorHAnsi" w:hAnsiTheme="majorHAnsi" w:cstheme="majorHAnsi"/>
          <w:color w:val="000000" w:themeColor="text1"/>
          <w:sz w:val="24"/>
          <w:szCs w:val="24"/>
          <w:lang w:val="ro-MD"/>
        </w:rPr>
        <w:t xml:space="preserve"> отметил</w:t>
      </w:r>
      <w:r w:rsidR="001D1AC2">
        <w:rPr>
          <w:rFonts w:asciiTheme="majorHAnsi" w:hAnsiTheme="majorHAnsi" w:cstheme="majorHAnsi"/>
          <w:color w:val="000000" w:themeColor="text1"/>
          <w:sz w:val="24"/>
          <w:szCs w:val="24"/>
          <w:lang w:val="ru-RU"/>
        </w:rPr>
        <w:t>о</w:t>
      </w:r>
      <w:r w:rsidRPr="00EF0FE4">
        <w:rPr>
          <w:rFonts w:asciiTheme="majorHAnsi" w:hAnsiTheme="majorHAnsi" w:cstheme="majorHAnsi"/>
          <w:color w:val="000000" w:themeColor="text1"/>
          <w:sz w:val="24"/>
          <w:szCs w:val="24"/>
          <w:lang w:val="ro-MD"/>
        </w:rPr>
        <w:t>, что в рамках изменения назначения комплекса недвижимо</w:t>
      </w:r>
      <w:r w:rsidR="001D1AC2">
        <w:rPr>
          <w:rFonts w:asciiTheme="majorHAnsi" w:hAnsiTheme="majorHAnsi" w:cstheme="majorHAnsi"/>
          <w:color w:val="000000" w:themeColor="text1"/>
          <w:sz w:val="24"/>
          <w:szCs w:val="24"/>
          <w:lang w:val="ru-RU"/>
        </w:rPr>
        <w:t>го имущества,</w:t>
      </w:r>
      <w:r w:rsidRPr="00EF0FE4">
        <w:rPr>
          <w:rFonts w:asciiTheme="majorHAnsi" w:hAnsiTheme="majorHAnsi" w:cstheme="majorHAnsi"/>
          <w:color w:val="000000" w:themeColor="text1"/>
          <w:sz w:val="24"/>
          <w:szCs w:val="24"/>
          <w:lang w:val="ro-MD"/>
        </w:rPr>
        <w:t xml:space="preserve"> необходимо провести ряд мер по дезинфекции функциональных помещений, в том числе систем вентиляции, а также прилегающей территории. </w:t>
      </w:r>
      <w:r w:rsidR="001D1AC2">
        <w:rPr>
          <w:rFonts w:asciiTheme="majorHAnsi" w:hAnsiTheme="majorHAnsi" w:cstheme="majorHAnsi"/>
          <w:color w:val="000000" w:themeColor="text1"/>
          <w:sz w:val="24"/>
          <w:szCs w:val="24"/>
          <w:lang w:val="ru-RU"/>
        </w:rPr>
        <w:t>Следовательно,</w:t>
      </w:r>
      <w:r w:rsidRPr="00EF0FE4">
        <w:rPr>
          <w:rFonts w:asciiTheme="majorHAnsi" w:hAnsiTheme="majorHAnsi" w:cstheme="majorHAnsi"/>
          <w:color w:val="000000" w:themeColor="text1"/>
          <w:sz w:val="24"/>
          <w:szCs w:val="24"/>
          <w:lang w:val="ro-MD"/>
        </w:rPr>
        <w:t xml:space="preserve"> до завершения аудита (декабрь 2023 г.) государственные органы не </w:t>
      </w:r>
      <w:r w:rsidR="001D1AC2">
        <w:rPr>
          <w:rFonts w:asciiTheme="majorHAnsi" w:hAnsiTheme="majorHAnsi" w:cstheme="majorHAnsi"/>
          <w:color w:val="000000" w:themeColor="text1"/>
          <w:sz w:val="24"/>
          <w:szCs w:val="24"/>
          <w:lang w:val="ru-RU"/>
        </w:rPr>
        <w:t>определились с</w:t>
      </w:r>
      <w:r w:rsidRPr="00EF0FE4">
        <w:rPr>
          <w:rFonts w:asciiTheme="majorHAnsi" w:hAnsiTheme="majorHAnsi" w:cstheme="majorHAnsi"/>
          <w:color w:val="000000" w:themeColor="text1"/>
          <w:sz w:val="24"/>
          <w:szCs w:val="24"/>
          <w:lang w:val="ro-MD"/>
        </w:rPr>
        <w:t xml:space="preserve"> видение</w:t>
      </w:r>
      <w:r w:rsidR="001D1AC2">
        <w:rPr>
          <w:rFonts w:asciiTheme="majorHAnsi" w:hAnsiTheme="majorHAnsi" w:cstheme="majorHAnsi"/>
          <w:color w:val="000000" w:themeColor="text1"/>
          <w:sz w:val="24"/>
          <w:szCs w:val="24"/>
          <w:lang w:val="ru-RU"/>
        </w:rPr>
        <w:t>м относительно</w:t>
      </w:r>
      <w:r w:rsidRPr="00EF0FE4">
        <w:rPr>
          <w:rFonts w:asciiTheme="majorHAnsi" w:hAnsiTheme="majorHAnsi" w:cstheme="majorHAnsi"/>
          <w:color w:val="000000" w:themeColor="text1"/>
          <w:sz w:val="24"/>
          <w:szCs w:val="24"/>
          <w:lang w:val="ro-MD"/>
        </w:rPr>
        <w:t xml:space="preserve"> изменения назначения клиники и ее использования для других целей.</w:t>
      </w:r>
    </w:p>
    <w:p w14:paraId="7973C872" w14:textId="313B45E7" w:rsidR="00B9390C" w:rsidRPr="00B13B9A" w:rsidRDefault="00EF0FE4" w:rsidP="00EF0FE4">
      <w:pPr>
        <w:pStyle w:val="a7"/>
        <w:spacing w:after="0" w:line="276" w:lineRule="auto"/>
        <w:ind w:left="0"/>
        <w:jc w:val="both"/>
        <w:rPr>
          <w:rFonts w:asciiTheme="majorHAnsi" w:hAnsiTheme="majorHAnsi" w:cstheme="majorHAnsi"/>
          <w:color w:val="000000" w:themeColor="text1"/>
          <w:sz w:val="24"/>
          <w:szCs w:val="24"/>
          <w:lang w:val="ro-MD"/>
        </w:rPr>
      </w:pPr>
      <w:r w:rsidRPr="00EF0FE4">
        <w:rPr>
          <w:rFonts w:asciiTheme="majorHAnsi" w:hAnsiTheme="majorHAnsi" w:cstheme="majorHAnsi"/>
          <w:color w:val="000000" w:themeColor="text1"/>
          <w:sz w:val="24"/>
          <w:szCs w:val="24"/>
          <w:lang w:val="ro-MD"/>
        </w:rPr>
        <w:t xml:space="preserve">Аудит уточняет, что прекращение </w:t>
      </w:r>
      <w:r w:rsidR="001D1AC2">
        <w:rPr>
          <w:rFonts w:asciiTheme="majorHAnsi" w:hAnsiTheme="majorHAnsi" w:cstheme="majorHAnsi"/>
          <w:color w:val="000000" w:themeColor="text1"/>
          <w:sz w:val="24"/>
          <w:szCs w:val="24"/>
          <w:lang w:val="ru-RU"/>
        </w:rPr>
        <w:t>деятельности</w:t>
      </w:r>
      <w:r w:rsidRPr="00EF0FE4">
        <w:rPr>
          <w:rFonts w:asciiTheme="majorHAnsi" w:hAnsiTheme="majorHAnsi" w:cstheme="majorHAnsi"/>
          <w:color w:val="000000" w:themeColor="text1"/>
          <w:sz w:val="24"/>
          <w:szCs w:val="24"/>
          <w:lang w:val="ro-MD"/>
        </w:rPr>
        <w:t xml:space="preserve"> клиники </w:t>
      </w:r>
      <w:r w:rsidR="001D1AC2">
        <w:rPr>
          <w:rFonts w:asciiTheme="majorHAnsi" w:hAnsiTheme="majorHAnsi" w:cstheme="majorHAnsi"/>
          <w:color w:val="000000" w:themeColor="text1"/>
          <w:sz w:val="24"/>
          <w:szCs w:val="24"/>
          <w:lang w:val="ru-RU"/>
        </w:rPr>
        <w:t>без</w:t>
      </w:r>
      <w:r w:rsidRPr="00EF0FE4">
        <w:rPr>
          <w:rFonts w:asciiTheme="majorHAnsi" w:hAnsiTheme="majorHAnsi" w:cstheme="majorHAnsi"/>
          <w:color w:val="000000" w:themeColor="text1"/>
          <w:sz w:val="24"/>
          <w:szCs w:val="24"/>
          <w:lang w:val="ro-MD"/>
        </w:rPr>
        <w:t xml:space="preserve"> идентификации решений для </w:t>
      </w:r>
      <w:r w:rsidR="001D1AC2">
        <w:rPr>
          <w:rFonts w:asciiTheme="majorHAnsi" w:hAnsiTheme="majorHAnsi" w:cstheme="majorHAnsi"/>
          <w:color w:val="000000" w:themeColor="text1"/>
          <w:sz w:val="24"/>
          <w:szCs w:val="24"/>
          <w:lang w:val="ru-RU"/>
        </w:rPr>
        <w:t xml:space="preserve">ее </w:t>
      </w:r>
      <w:r w:rsidRPr="00EF0FE4">
        <w:rPr>
          <w:rFonts w:asciiTheme="majorHAnsi" w:hAnsiTheme="majorHAnsi" w:cstheme="majorHAnsi"/>
          <w:color w:val="000000" w:themeColor="text1"/>
          <w:sz w:val="24"/>
          <w:szCs w:val="24"/>
          <w:lang w:val="ro-MD"/>
        </w:rPr>
        <w:t xml:space="preserve">использования приведет к разрушению </w:t>
      </w:r>
      <w:r w:rsidR="001D1AC2">
        <w:rPr>
          <w:rFonts w:asciiTheme="majorHAnsi" w:hAnsiTheme="majorHAnsi" w:cstheme="majorHAnsi"/>
          <w:color w:val="000000" w:themeColor="text1"/>
          <w:sz w:val="24"/>
          <w:szCs w:val="24"/>
          <w:lang w:val="ru-RU"/>
        </w:rPr>
        <w:t>имущества</w:t>
      </w:r>
      <w:r w:rsidRPr="00EF0FE4">
        <w:rPr>
          <w:rFonts w:asciiTheme="majorHAnsi" w:hAnsiTheme="majorHAnsi" w:cstheme="majorHAnsi"/>
          <w:color w:val="000000" w:themeColor="text1"/>
          <w:sz w:val="24"/>
          <w:szCs w:val="24"/>
          <w:lang w:val="ro-MD"/>
        </w:rPr>
        <w:t>, наход</w:t>
      </w:r>
      <w:r w:rsidR="001D1AC2">
        <w:rPr>
          <w:rFonts w:asciiTheme="majorHAnsi" w:hAnsiTheme="majorHAnsi" w:cstheme="majorHAnsi"/>
          <w:color w:val="000000" w:themeColor="text1"/>
          <w:sz w:val="24"/>
          <w:szCs w:val="24"/>
          <w:lang w:val="ru-RU"/>
        </w:rPr>
        <w:t>ящего</w:t>
      </w:r>
      <w:r w:rsidRPr="00EF0FE4">
        <w:rPr>
          <w:rFonts w:asciiTheme="majorHAnsi" w:hAnsiTheme="majorHAnsi" w:cstheme="majorHAnsi"/>
          <w:color w:val="000000" w:themeColor="text1"/>
          <w:sz w:val="24"/>
          <w:szCs w:val="24"/>
          <w:lang w:val="ro-MD"/>
        </w:rPr>
        <w:t>ся на ее территории</w:t>
      </w:r>
      <w:r w:rsidR="00345AAD" w:rsidRPr="00B13B9A">
        <w:rPr>
          <w:rFonts w:asciiTheme="majorHAnsi" w:hAnsiTheme="majorHAnsi" w:cstheme="majorHAnsi"/>
          <w:color w:val="000000" w:themeColor="text1"/>
          <w:sz w:val="24"/>
          <w:szCs w:val="24"/>
          <w:lang w:val="ro-MD"/>
        </w:rPr>
        <w:t>.</w:t>
      </w:r>
    </w:p>
    <w:p w14:paraId="7BFC59EB" w14:textId="77777777" w:rsidR="00D90992" w:rsidRPr="00B13B9A" w:rsidRDefault="00D90992" w:rsidP="00085AB8">
      <w:pPr>
        <w:pStyle w:val="cn"/>
        <w:spacing w:line="276" w:lineRule="auto"/>
        <w:ind w:right="71"/>
        <w:jc w:val="both"/>
        <w:rPr>
          <w:rFonts w:asciiTheme="majorHAnsi" w:hAnsiTheme="majorHAnsi" w:cstheme="majorHAnsi"/>
          <w:b/>
          <w:i/>
          <w:color w:val="00B0F0"/>
          <w:lang w:val="ro-MD"/>
        </w:rPr>
      </w:pPr>
    </w:p>
    <w:p w14:paraId="1B1273C6" w14:textId="4B0F0235" w:rsidR="00C811EF" w:rsidRPr="00B13B9A" w:rsidRDefault="00EF0FE4" w:rsidP="001D1AC2">
      <w:pPr>
        <w:pStyle w:val="cn"/>
        <w:numPr>
          <w:ilvl w:val="2"/>
          <w:numId w:val="10"/>
        </w:numPr>
        <w:tabs>
          <w:tab w:val="left" w:pos="1080"/>
        </w:tabs>
        <w:spacing w:line="276" w:lineRule="auto"/>
        <w:ind w:left="0" w:right="71" w:firstLine="284"/>
        <w:jc w:val="both"/>
        <w:outlineLvl w:val="2"/>
        <w:rPr>
          <w:rFonts w:asciiTheme="majorHAnsi" w:eastAsiaTheme="minorHAnsi" w:hAnsiTheme="majorHAnsi" w:cstheme="minorHAnsi"/>
          <w:b/>
          <w:lang w:val="ro-MD" w:eastAsia="en-US"/>
        </w:rPr>
      </w:pPr>
      <w:bookmarkStart w:id="26" w:name="_Toc158317232"/>
      <w:r w:rsidRPr="00EF0FE4">
        <w:rPr>
          <w:rFonts w:asciiTheme="majorHAnsi" w:hAnsiTheme="majorHAnsi" w:cstheme="majorHAnsi"/>
          <w:b/>
          <w:lang w:val="ro-MD"/>
        </w:rPr>
        <w:t xml:space="preserve">Отсутствие своевременных решений относительно </w:t>
      </w:r>
      <w:r w:rsidR="001D1AC2" w:rsidRPr="001D1AC2">
        <w:rPr>
          <w:rFonts w:asciiTheme="majorHAnsi" w:hAnsiTheme="majorHAnsi" w:cstheme="majorHAnsi"/>
          <w:b/>
          <w:lang w:val="ro-MD"/>
        </w:rPr>
        <w:t>незавершенных</w:t>
      </w:r>
      <w:r w:rsidRPr="00EF0FE4">
        <w:rPr>
          <w:rFonts w:asciiTheme="majorHAnsi" w:hAnsiTheme="majorHAnsi" w:cstheme="majorHAnsi"/>
          <w:b/>
          <w:lang w:val="ro-MD"/>
        </w:rPr>
        <w:t xml:space="preserve"> материальных активов (</w:t>
      </w:r>
      <w:r w:rsidR="001D1AC2" w:rsidRPr="001D1AC2">
        <w:rPr>
          <w:rFonts w:asciiTheme="majorHAnsi" w:hAnsiTheme="majorHAnsi" w:cstheme="majorHAnsi"/>
          <w:b/>
          <w:lang w:val="ro-MD"/>
        </w:rPr>
        <w:t>корпус</w:t>
      </w:r>
      <w:r w:rsidRPr="00EF0FE4">
        <w:rPr>
          <w:rFonts w:asciiTheme="majorHAnsi" w:hAnsiTheme="majorHAnsi" w:cstheme="majorHAnsi"/>
          <w:b/>
          <w:lang w:val="ro-MD"/>
        </w:rPr>
        <w:t xml:space="preserve"> 2 клиники Ворничень) </w:t>
      </w:r>
      <w:r w:rsidR="001D1AC2" w:rsidRPr="001D1AC2">
        <w:rPr>
          <w:rFonts w:asciiTheme="majorHAnsi" w:hAnsiTheme="majorHAnsi" w:cstheme="majorHAnsi"/>
          <w:b/>
          <w:lang w:val="ro-MD"/>
        </w:rPr>
        <w:t>на протяжении</w:t>
      </w:r>
      <w:r w:rsidRPr="00EF0FE4">
        <w:rPr>
          <w:rFonts w:asciiTheme="majorHAnsi" w:hAnsiTheme="majorHAnsi" w:cstheme="majorHAnsi"/>
          <w:b/>
          <w:lang w:val="ro-MD"/>
        </w:rPr>
        <w:t xml:space="preserve"> длительного периода времени</w:t>
      </w:r>
      <w:r w:rsidR="001D1AC2" w:rsidRPr="001D1AC2">
        <w:rPr>
          <w:rFonts w:asciiTheme="majorHAnsi" w:hAnsiTheme="majorHAnsi" w:cstheme="majorHAnsi"/>
          <w:b/>
          <w:lang w:val="ro-MD"/>
        </w:rPr>
        <w:t>,</w:t>
      </w:r>
      <w:r w:rsidRPr="00EF0FE4">
        <w:rPr>
          <w:rFonts w:asciiTheme="majorHAnsi" w:hAnsiTheme="majorHAnsi" w:cstheme="majorHAnsi"/>
          <w:b/>
          <w:lang w:val="ro-MD"/>
        </w:rPr>
        <w:t xml:space="preserve"> не способствует </w:t>
      </w:r>
      <w:r w:rsidR="001D1AC2" w:rsidRPr="001D1AC2">
        <w:rPr>
          <w:rFonts w:asciiTheme="majorHAnsi" w:hAnsiTheme="majorHAnsi" w:cstheme="majorHAnsi"/>
          <w:b/>
          <w:lang w:val="ro-MD"/>
        </w:rPr>
        <w:t>надлежаще</w:t>
      </w:r>
      <w:r w:rsidRPr="00EF0FE4">
        <w:rPr>
          <w:rFonts w:asciiTheme="majorHAnsi" w:hAnsiTheme="majorHAnsi" w:cstheme="majorHAnsi"/>
          <w:b/>
          <w:lang w:val="ro-MD"/>
        </w:rPr>
        <w:t>му и эффективному управлению имуществом</w:t>
      </w:r>
      <w:r w:rsidR="00F51A54" w:rsidRPr="00B13B9A">
        <w:rPr>
          <w:rFonts w:asciiTheme="majorHAnsi" w:eastAsiaTheme="minorHAnsi" w:hAnsiTheme="majorHAnsi" w:cstheme="minorHAnsi"/>
          <w:b/>
          <w:lang w:val="ro-MD" w:eastAsia="en-US"/>
        </w:rPr>
        <w:t>)</w:t>
      </w:r>
      <w:r w:rsidR="00694154" w:rsidRPr="00B13B9A">
        <w:rPr>
          <w:rFonts w:asciiTheme="majorHAnsi" w:hAnsiTheme="majorHAnsi" w:cstheme="majorHAnsi"/>
          <w:b/>
          <w:lang w:val="ro-MD"/>
        </w:rPr>
        <w:t>.</w:t>
      </w:r>
      <w:bookmarkEnd w:id="26"/>
      <w:r w:rsidR="00A05D1E" w:rsidRPr="00B13B9A">
        <w:rPr>
          <w:rFonts w:asciiTheme="majorHAnsi" w:hAnsiTheme="majorHAnsi" w:cstheme="majorHAnsi"/>
          <w:b/>
          <w:lang w:val="ro-MD"/>
        </w:rPr>
        <w:t xml:space="preserve"> </w:t>
      </w:r>
    </w:p>
    <w:p w14:paraId="2DF03FE2" w14:textId="77777777" w:rsidR="00C811EF" w:rsidRPr="00B13B9A" w:rsidRDefault="00C811EF" w:rsidP="00085AB8">
      <w:pPr>
        <w:pStyle w:val="cn"/>
        <w:spacing w:line="276" w:lineRule="auto"/>
        <w:ind w:right="71"/>
        <w:jc w:val="both"/>
        <w:rPr>
          <w:rFonts w:asciiTheme="majorHAnsi" w:eastAsiaTheme="minorHAnsi" w:hAnsiTheme="majorHAnsi" w:cstheme="minorHAnsi"/>
          <w:lang w:val="ro-MD" w:eastAsia="en-US"/>
        </w:rPr>
      </w:pPr>
    </w:p>
    <w:p w14:paraId="74CF897B" w14:textId="673E692F" w:rsidR="007031FD" w:rsidRPr="00B13B9A" w:rsidRDefault="00B15806" w:rsidP="00FE74F1">
      <w:pPr>
        <w:pStyle w:val="a7"/>
        <w:spacing w:after="0" w:line="276" w:lineRule="auto"/>
        <w:ind w:left="0"/>
        <w:jc w:val="both"/>
        <w:rPr>
          <w:rFonts w:asciiTheme="majorHAnsi" w:hAnsiTheme="majorHAnsi" w:cstheme="majorHAnsi"/>
          <w:color w:val="000000" w:themeColor="text1"/>
          <w:sz w:val="24"/>
          <w:szCs w:val="24"/>
          <w:lang w:val="ro-MD"/>
        </w:rPr>
      </w:pPr>
      <w:r w:rsidRPr="00B15806">
        <w:rPr>
          <w:rFonts w:asciiTheme="majorHAnsi" w:hAnsiTheme="majorHAnsi" w:cstheme="majorHAnsi"/>
          <w:color w:val="000000" w:themeColor="text1"/>
          <w:sz w:val="24"/>
          <w:szCs w:val="24"/>
          <w:lang w:val="ro-MD"/>
        </w:rPr>
        <w:t xml:space="preserve">В 2007 году, исходя из возросшей заболеваемости туберкулезом, было принято решение о восстановлении </w:t>
      </w:r>
      <w:r w:rsidR="009A5A63">
        <w:rPr>
          <w:rFonts w:asciiTheme="majorHAnsi" w:hAnsiTheme="majorHAnsi" w:cstheme="majorHAnsi"/>
          <w:color w:val="000000" w:themeColor="text1"/>
          <w:sz w:val="24"/>
          <w:szCs w:val="24"/>
          <w:lang w:val="ro-MD"/>
        </w:rPr>
        <w:t>корпуса</w:t>
      </w:r>
      <w:r w:rsidR="00FC6750">
        <w:rPr>
          <w:rFonts w:asciiTheme="majorHAnsi" w:hAnsiTheme="majorHAnsi" w:cstheme="majorHAnsi"/>
          <w:color w:val="000000" w:themeColor="text1"/>
          <w:sz w:val="24"/>
          <w:szCs w:val="24"/>
          <w:lang w:val="ro-MD"/>
        </w:rPr>
        <w:t xml:space="preserve"> №</w:t>
      </w:r>
      <w:r w:rsidRPr="00B15806">
        <w:rPr>
          <w:rFonts w:asciiTheme="majorHAnsi" w:hAnsiTheme="majorHAnsi" w:cstheme="majorHAnsi"/>
          <w:color w:val="000000" w:themeColor="text1"/>
          <w:sz w:val="24"/>
          <w:szCs w:val="24"/>
          <w:lang w:val="ro-MD"/>
        </w:rPr>
        <w:t xml:space="preserve">2 клиники Ворничень. </w:t>
      </w:r>
      <w:r w:rsidR="009A5A63">
        <w:rPr>
          <w:rFonts w:asciiTheme="majorHAnsi" w:hAnsiTheme="majorHAnsi" w:cstheme="majorHAnsi"/>
          <w:color w:val="000000" w:themeColor="text1"/>
          <w:sz w:val="24"/>
          <w:szCs w:val="24"/>
          <w:lang w:val="ro-MD"/>
        </w:rPr>
        <w:t>Корпус</w:t>
      </w:r>
      <w:r w:rsidRPr="00B15806">
        <w:rPr>
          <w:rFonts w:asciiTheme="majorHAnsi" w:hAnsiTheme="majorHAnsi" w:cstheme="majorHAnsi"/>
          <w:color w:val="000000" w:themeColor="text1"/>
          <w:sz w:val="24"/>
          <w:szCs w:val="24"/>
          <w:lang w:val="ro-MD"/>
        </w:rPr>
        <w:t xml:space="preserve"> был перестроен </w:t>
      </w:r>
      <w:r w:rsidR="00FC6750">
        <w:rPr>
          <w:rFonts w:asciiTheme="majorHAnsi" w:hAnsiTheme="majorHAnsi" w:cstheme="majorHAnsi"/>
          <w:color w:val="000000" w:themeColor="text1"/>
          <w:sz w:val="24"/>
          <w:szCs w:val="24"/>
          <w:lang w:val="ru-RU"/>
        </w:rPr>
        <w:t xml:space="preserve">на основе </w:t>
      </w:r>
      <w:r w:rsidRPr="00B15806">
        <w:rPr>
          <w:rFonts w:asciiTheme="majorHAnsi" w:hAnsiTheme="majorHAnsi" w:cstheme="majorHAnsi"/>
          <w:color w:val="000000" w:themeColor="text1"/>
          <w:sz w:val="24"/>
          <w:szCs w:val="24"/>
          <w:lang w:val="ro-MD"/>
        </w:rPr>
        <w:t xml:space="preserve"> </w:t>
      </w:r>
      <w:r w:rsidR="00FC6750">
        <w:rPr>
          <w:rFonts w:asciiTheme="majorHAnsi" w:hAnsiTheme="majorHAnsi" w:cstheme="majorHAnsi"/>
          <w:color w:val="000000" w:themeColor="text1"/>
          <w:sz w:val="24"/>
          <w:szCs w:val="24"/>
          <w:lang w:val="ru-RU"/>
        </w:rPr>
        <w:t>Г</w:t>
      </w:r>
      <w:r w:rsidRPr="00B15806">
        <w:rPr>
          <w:rFonts w:asciiTheme="majorHAnsi" w:hAnsiTheme="majorHAnsi" w:cstheme="majorHAnsi"/>
          <w:color w:val="000000" w:themeColor="text1"/>
          <w:sz w:val="24"/>
          <w:szCs w:val="24"/>
          <w:lang w:val="ro-MD"/>
        </w:rPr>
        <w:t>радостроитель</w:t>
      </w:r>
      <w:r w:rsidR="00FC6750">
        <w:rPr>
          <w:rFonts w:asciiTheme="majorHAnsi" w:hAnsiTheme="majorHAnsi" w:cstheme="majorHAnsi"/>
          <w:color w:val="000000" w:themeColor="text1"/>
          <w:sz w:val="24"/>
          <w:szCs w:val="24"/>
          <w:lang w:val="ru-RU"/>
        </w:rPr>
        <w:t>ного сертификата</w:t>
      </w:r>
      <w:r w:rsidR="00FC6750" w:rsidRPr="00B13B9A">
        <w:rPr>
          <w:rStyle w:val="a9"/>
          <w:rFonts w:asciiTheme="majorHAnsi" w:hAnsiTheme="majorHAnsi" w:cstheme="majorHAnsi"/>
          <w:color w:val="000000" w:themeColor="text1"/>
          <w:sz w:val="24"/>
          <w:szCs w:val="24"/>
          <w:lang w:val="ro-MD"/>
        </w:rPr>
        <w:footnoteReference w:id="29"/>
      </w:r>
      <w:r w:rsidRPr="00B15806">
        <w:rPr>
          <w:rFonts w:asciiTheme="majorHAnsi" w:hAnsiTheme="majorHAnsi" w:cstheme="majorHAnsi"/>
          <w:color w:val="000000" w:themeColor="text1"/>
          <w:sz w:val="24"/>
          <w:szCs w:val="24"/>
          <w:lang w:val="ro-MD"/>
        </w:rPr>
        <w:t>, проект</w:t>
      </w:r>
      <w:r w:rsidR="00FC6750">
        <w:rPr>
          <w:rFonts w:asciiTheme="majorHAnsi" w:hAnsiTheme="majorHAnsi" w:cstheme="majorHAnsi"/>
          <w:color w:val="000000" w:themeColor="text1"/>
          <w:sz w:val="24"/>
          <w:szCs w:val="24"/>
          <w:lang w:val="ru-RU"/>
        </w:rPr>
        <w:t>а</w:t>
      </w:r>
      <w:r w:rsidRPr="00B15806">
        <w:rPr>
          <w:rFonts w:asciiTheme="majorHAnsi" w:hAnsiTheme="majorHAnsi" w:cstheme="majorHAnsi"/>
          <w:color w:val="000000" w:themeColor="text1"/>
          <w:sz w:val="24"/>
          <w:szCs w:val="24"/>
          <w:lang w:val="ro-MD"/>
        </w:rPr>
        <w:t xml:space="preserve"> исполнения</w:t>
      </w:r>
      <w:r w:rsidR="00FC6750" w:rsidRPr="00B13B9A">
        <w:rPr>
          <w:rStyle w:val="a9"/>
          <w:rFonts w:asciiTheme="majorHAnsi" w:hAnsiTheme="majorHAnsi" w:cstheme="majorHAnsi"/>
          <w:color w:val="000000" w:themeColor="text1"/>
          <w:sz w:val="24"/>
          <w:szCs w:val="24"/>
          <w:lang w:val="ro-MD"/>
        </w:rPr>
        <w:footnoteReference w:id="30"/>
      </w:r>
      <w:r w:rsidRPr="00B15806">
        <w:rPr>
          <w:rFonts w:asciiTheme="majorHAnsi" w:hAnsiTheme="majorHAnsi" w:cstheme="majorHAnsi"/>
          <w:color w:val="000000" w:themeColor="text1"/>
          <w:sz w:val="24"/>
          <w:szCs w:val="24"/>
          <w:lang w:val="ro-MD"/>
        </w:rPr>
        <w:t>, разработанно</w:t>
      </w:r>
      <w:r w:rsidR="00FC6750">
        <w:rPr>
          <w:rFonts w:asciiTheme="majorHAnsi" w:hAnsiTheme="majorHAnsi" w:cstheme="majorHAnsi"/>
          <w:color w:val="000000" w:themeColor="text1"/>
          <w:sz w:val="24"/>
          <w:szCs w:val="24"/>
          <w:lang w:val="ru-RU"/>
        </w:rPr>
        <w:t xml:space="preserve">го </w:t>
      </w:r>
      <w:r w:rsidRPr="00B15806">
        <w:rPr>
          <w:rFonts w:asciiTheme="majorHAnsi" w:hAnsiTheme="majorHAnsi" w:cstheme="majorHAnsi"/>
          <w:color w:val="000000" w:themeColor="text1"/>
          <w:sz w:val="24"/>
          <w:szCs w:val="24"/>
          <w:lang w:val="ro-MD"/>
        </w:rPr>
        <w:t xml:space="preserve"> </w:t>
      </w:r>
      <w:r w:rsidR="00FC6750">
        <w:rPr>
          <w:rFonts w:asciiTheme="majorHAnsi" w:hAnsiTheme="majorHAnsi" w:cstheme="majorHAnsi"/>
          <w:color w:val="000000" w:themeColor="text1"/>
          <w:sz w:val="24"/>
          <w:szCs w:val="24"/>
          <w:lang w:val="ru-RU"/>
        </w:rPr>
        <w:t xml:space="preserve">КО </w:t>
      </w:r>
      <w:r w:rsidR="00FC6750" w:rsidRPr="00B13B9A">
        <w:rPr>
          <w:rFonts w:asciiTheme="majorHAnsi" w:hAnsiTheme="majorHAnsi" w:cstheme="majorHAnsi"/>
          <w:color w:val="000000" w:themeColor="text1"/>
          <w:sz w:val="24"/>
          <w:szCs w:val="24"/>
          <w:lang w:val="ro-MD"/>
        </w:rPr>
        <w:t>„ROSTRAL”</w:t>
      </w:r>
      <w:r w:rsidR="00FC6750">
        <w:rPr>
          <w:rFonts w:asciiTheme="majorHAnsi" w:hAnsiTheme="majorHAnsi" w:cstheme="majorHAnsi"/>
          <w:color w:val="000000" w:themeColor="text1"/>
          <w:sz w:val="24"/>
          <w:szCs w:val="24"/>
          <w:lang w:val="ru-RU"/>
        </w:rPr>
        <w:t xml:space="preserve"> ООО</w:t>
      </w:r>
      <w:r w:rsidRPr="00B15806">
        <w:rPr>
          <w:rFonts w:asciiTheme="majorHAnsi" w:hAnsiTheme="majorHAnsi" w:cstheme="majorHAnsi"/>
          <w:color w:val="000000" w:themeColor="text1"/>
          <w:sz w:val="24"/>
          <w:szCs w:val="24"/>
          <w:lang w:val="ro-MD"/>
        </w:rPr>
        <w:t xml:space="preserve">, </w:t>
      </w:r>
      <w:r w:rsidR="00FC6750">
        <w:rPr>
          <w:rFonts w:asciiTheme="majorHAnsi" w:hAnsiTheme="majorHAnsi" w:cstheme="majorHAnsi"/>
          <w:color w:val="000000" w:themeColor="text1"/>
          <w:sz w:val="24"/>
          <w:szCs w:val="24"/>
          <w:lang w:val="ru-RU"/>
        </w:rPr>
        <w:t>а</w:t>
      </w:r>
      <w:r w:rsidRPr="00B15806">
        <w:rPr>
          <w:rFonts w:asciiTheme="majorHAnsi" w:hAnsiTheme="majorHAnsi" w:cstheme="majorHAnsi"/>
          <w:color w:val="000000" w:themeColor="text1"/>
          <w:sz w:val="24"/>
          <w:szCs w:val="24"/>
          <w:lang w:val="ro-MD"/>
        </w:rPr>
        <w:t xml:space="preserve"> работы по реконструкции были выполнены компанией</w:t>
      </w:r>
      <w:r w:rsidR="00FC6750">
        <w:rPr>
          <w:rFonts w:asciiTheme="majorHAnsi" w:hAnsiTheme="majorHAnsi" w:cstheme="majorHAnsi"/>
          <w:color w:val="000000" w:themeColor="text1"/>
          <w:sz w:val="24"/>
          <w:szCs w:val="24"/>
          <w:lang w:val="ru-RU"/>
        </w:rPr>
        <w:t xml:space="preserve"> </w:t>
      </w:r>
      <w:r w:rsidR="00FC6750" w:rsidRPr="00B13B9A">
        <w:rPr>
          <w:rFonts w:asciiTheme="majorHAnsi" w:hAnsiTheme="majorHAnsi" w:cstheme="majorHAnsi"/>
          <w:color w:val="000000" w:themeColor="text1"/>
          <w:sz w:val="24"/>
          <w:szCs w:val="24"/>
          <w:lang w:val="ro-MD"/>
        </w:rPr>
        <w:t xml:space="preserve">„Monolit” </w:t>
      </w:r>
      <w:r w:rsidR="00FC6750">
        <w:rPr>
          <w:rFonts w:asciiTheme="majorHAnsi" w:hAnsiTheme="majorHAnsi" w:cstheme="majorHAnsi"/>
          <w:color w:val="000000" w:themeColor="text1"/>
          <w:sz w:val="24"/>
          <w:szCs w:val="24"/>
          <w:lang w:val="ru-RU"/>
        </w:rPr>
        <w:t>АО</w:t>
      </w:r>
      <w:r w:rsidR="00FC6750" w:rsidRPr="00B13B9A">
        <w:rPr>
          <w:rStyle w:val="a9"/>
          <w:rFonts w:asciiTheme="majorHAnsi" w:hAnsiTheme="majorHAnsi" w:cstheme="majorHAnsi"/>
          <w:color w:val="000000" w:themeColor="text1"/>
          <w:sz w:val="24"/>
          <w:szCs w:val="24"/>
          <w:lang w:val="ro-MD"/>
        </w:rPr>
        <w:footnoteReference w:id="31"/>
      </w:r>
      <w:r w:rsidRPr="00B15806">
        <w:rPr>
          <w:rFonts w:asciiTheme="majorHAnsi" w:hAnsiTheme="majorHAnsi" w:cstheme="majorHAnsi"/>
          <w:color w:val="000000" w:themeColor="text1"/>
          <w:sz w:val="24"/>
          <w:szCs w:val="24"/>
          <w:lang w:val="ro-MD"/>
        </w:rPr>
        <w:t xml:space="preserve">. </w:t>
      </w:r>
      <w:r w:rsidR="00FC6750">
        <w:rPr>
          <w:rFonts w:asciiTheme="majorHAnsi" w:hAnsiTheme="majorHAnsi" w:cstheme="majorHAnsi"/>
          <w:color w:val="000000" w:themeColor="text1"/>
          <w:sz w:val="24"/>
          <w:szCs w:val="24"/>
          <w:lang w:val="ru-RU"/>
        </w:rPr>
        <w:t>Согласно</w:t>
      </w:r>
      <w:r w:rsidRPr="00B15806">
        <w:rPr>
          <w:rFonts w:asciiTheme="majorHAnsi" w:hAnsiTheme="majorHAnsi" w:cstheme="majorHAnsi"/>
          <w:color w:val="000000" w:themeColor="text1"/>
          <w:sz w:val="24"/>
          <w:szCs w:val="24"/>
          <w:lang w:val="ro-MD"/>
        </w:rPr>
        <w:t xml:space="preserve"> данным </w:t>
      </w:r>
      <w:r w:rsidR="00FC6750">
        <w:rPr>
          <w:rFonts w:asciiTheme="majorHAnsi" w:hAnsiTheme="majorHAnsi" w:cstheme="majorHAnsi"/>
          <w:color w:val="000000" w:themeColor="text1"/>
          <w:sz w:val="24"/>
          <w:szCs w:val="24"/>
          <w:lang w:val="ru-RU"/>
        </w:rPr>
        <w:t>из РНИ</w:t>
      </w:r>
      <w:r w:rsidRPr="00B15806">
        <w:rPr>
          <w:rFonts w:asciiTheme="majorHAnsi" w:hAnsiTheme="majorHAnsi" w:cstheme="majorHAnsi"/>
          <w:color w:val="000000" w:themeColor="text1"/>
          <w:sz w:val="24"/>
          <w:szCs w:val="24"/>
          <w:lang w:val="ro-MD"/>
        </w:rPr>
        <w:t>, на территории клиники Ворничень расположены 2 здания</w:t>
      </w:r>
      <w:r w:rsidR="00FC6750" w:rsidRPr="00B13B9A">
        <w:rPr>
          <w:rStyle w:val="a9"/>
          <w:rFonts w:asciiTheme="majorHAnsi" w:hAnsiTheme="majorHAnsi" w:cstheme="majorHAnsi"/>
          <w:color w:val="000000" w:themeColor="text1"/>
          <w:sz w:val="24"/>
          <w:szCs w:val="24"/>
          <w:lang w:val="ro-MD"/>
        </w:rPr>
        <w:footnoteReference w:id="32"/>
      </w:r>
      <w:r w:rsidRPr="00B15806">
        <w:rPr>
          <w:rFonts w:asciiTheme="majorHAnsi" w:hAnsiTheme="majorHAnsi" w:cstheme="majorHAnsi"/>
          <w:color w:val="000000" w:themeColor="text1"/>
          <w:sz w:val="24"/>
          <w:szCs w:val="24"/>
          <w:lang w:val="ro-MD"/>
        </w:rPr>
        <w:t xml:space="preserve">, которые в результате работ были </w:t>
      </w:r>
      <w:r w:rsidR="00FC6750">
        <w:rPr>
          <w:rFonts w:asciiTheme="majorHAnsi" w:hAnsiTheme="majorHAnsi" w:cstheme="majorHAnsi"/>
          <w:color w:val="000000" w:themeColor="text1"/>
          <w:sz w:val="24"/>
          <w:szCs w:val="24"/>
          <w:lang w:val="ru-RU"/>
        </w:rPr>
        <w:t>со</w:t>
      </w:r>
      <w:r w:rsidRPr="00B15806">
        <w:rPr>
          <w:rFonts w:asciiTheme="majorHAnsi" w:hAnsiTheme="majorHAnsi" w:cstheme="majorHAnsi"/>
          <w:color w:val="000000" w:themeColor="text1"/>
          <w:sz w:val="24"/>
          <w:szCs w:val="24"/>
          <w:lang w:val="ro-MD"/>
        </w:rPr>
        <w:t xml:space="preserve">единены. Хотя работы по реконструкции были завершены в 2015 году, до сих пор </w:t>
      </w:r>
      <w:r w:rsidR="009A5A63">
        <w:rPr>
          <w:rFonts w:asciiTheme="majorHAnsi" w:hAnsiTheme="majorHAnsi" w:cstheme="majorHAnsi"/>
          <w:color w:val="000000" w:themeColor="text1"/>
          <w:sz w:val="24"/>
          <w:szCs w:val="24"/>
          <w:lang w:val="ro-MD"/>
        </w:rPr>
        <w:t>корпус</w:t>
      </w:r>
      <w:r w:rsidRPr="00B15806">
        <w:rPr>
          <w:rFonts w:asciiTheme="majorHAnsi" w:hAnsiTheme="majorHAnsi" w:cstheme="majorHAnsi"/>
          <w:color w:val="000000" w:themeColor="text1"/>
          <w:sz w:val="24"/>
          <w:szCs w:val="24"/>
          <w:lang w:val="ro-MD"/>
        </w:rPr>
        <w:t xml:space="preserve"> не сдан в эксплуатацию, соответственно, более 8 лет он не используется</w:t>
      </w:r>
      <w:r w:rsidR="005F0A30" w:rsidRPr="00B13B9A">
        <w:rPr>
          <w:rFonts w:asciiTheme="majorHAnsi" w:hAnsiTheme="majorHAnsi" w:cstheme="majorHAnsi"/>
          <w:color w:val="000000" w:themeColor="text1"/>
          <w:sz w:val="24"/>
          <w:szCs w:val="24"/>
          <w:lang w:val="ro-MD"/>
        </w:rPr>
        <w:t>.</w:t>
      </w:r>
    </w:p>
    <w:p w14:paraId="58DA1F5B" w14:textId="77777777" w:rsidR="00AB3CDC" w:rsidRPr="00B13B9A" w:rsidRDefault="00AB3CDC" w:rsidP="00AB3CDC">
      <w:pPr>
        <w:pStyle w:val="a7"/>
        <w:spacing w:after="0" w:line="276" w:lineRule="auto"/>
        <w:ind w:left="0"/>
        <w:jc w:val="both"/>
        <w:rPr>
          <w:rFonts w:asciiTheme="majorHAnsi" w:hAnsiTheme="majorHAnsi" w:cstheme="majorHAnsi"/>
          <w:color w:val="000000" w:themeColor="text1"/>
          <w:sz w:val="24"/>
          <w:szCs w:val="24"/>
          <w:lang w:val="ro-MD"/>
        </w:rPr>
      </w:pPr>
    </w:p>
    <w:p w14:paraId="3ED5A876" w14:textId="41057097" w:rsidR="00B15806" w:rsidRPr="008A1035" w:rsidRDefault="00B15806" w:rsidP="00B15806">
      <w:pPr>
        <w:pStyle w:val="a7"/>
        <w:spacing w:after="0" w:line="276" w:lineRule="auto"/>
        <w:ind w:left="0"/>
        <w:jc w:val="both"/>
        <w:rPr>
          <w:rFonts w:asciiTheme="majorHAnsi" w:hAnsiTheme="majorHAnsi" w:cstheme="majorHAnsi"/>
          <w:i/>
          <w:color w:val="000000" w:themeColor="text1"/>
          <w:sz w:val="24"/>
          <w:szCs w:val="24"/>
          <w:lang w:val="ro-MD"/>
        </w:rPr>
      </w:pPr>
      <w:r w:rsidRPr="00B15806">
        <w:rPr>
          <w:rFonts w:asciiTheme="majorHAnsi" w:hAnsiTheme="majorHAnsi" w:cstheme="majorHAnsi"/>
          <w:color w:val="000000" w:themeColor="text1"/>
          <w:sz w:val="24"/>
          <w:szCs w:val="24"/>
          <w:lang w:val="ro-MD"/>
        </w:rPr>
        <w:t xml:space="preserve">Следует отметить, что по запросу </w:t>
      </w:r>
      <w:r w:rsidR="0045040C">
        <w:rPr>
          <w:rFonts w:asciiTheme="majorHAnsi" w:hAnsiTheme="majorHAnsi" w:cstheme="majorHAnsi"/>
          <w:color w:val="000000" w:themeColor="text1"/>
          <w:sz w:val="24"/>
          <w:szCs w:val="24"/>
          <w:lang w:val="ro-MD"/>
        </w:rPr>
        <w:t>ПМСУ ИФП</w:t>
      </w:r>
      <w:r w:rsidRPr="00B15806">
        <w:rPr>
          <w:rFonts w:asciiTheme="majorHAnsi" w:hAnsiTheme="majorHAnsi" w:cstheme="majorHAnsi"/>
          <w:color w:val="000000" w:themeColor="text1"/>
          <w:sz w:val="24"/>
          <w:szCs w:val="24"/>
          <w:lang w:val="ro-MD"/>
        </w:rPr>
        <w:t xml:space="preserve"> „Кирилл Драганюк” был подготовлен </w:t>
      </w:r>
      <w:r w:rsidR="00FC6750">
        <w:rPr>
          <w:rFonts w:asciiTheme="majorHAnsi" w:hAnsiTheme="majorHAnsi" w:cstheme="majorHAnsi"/>
          <w:color w:val="000000" w:themeColor="text1"/>
          <w:sz w:val="24"/>
          <w:szCs w:val="24"/>
          <w:lang w:val="ru-RU"/>
        </w:rPr>
        <w:t>О</w:t>
      </w:r>
      <w:r w:rsidRPr="00B15806">
        <w:rPr>
          <w:rFonts w:asciiTheme="majorHAnsi" w:hAnsiTheme="majorHAnsi" w:cstheme="majorHAnsi"/>
          <w:color w:val="000000" w:themeColor="text1"/>
          <w:sz w:val="24"/>
          <w:szCs w:val="24"/>
          <w:lang w:val="ro-MD"/>
        </w:rPr>
        <w:t>тчет о технической экспертизе</w:t>
      </w:r>
      <w:r w:rsidR="00FC6750" w:rsidRPr="00B13B9A">
        <w:rPr>
          <w:rStyle w:val="a9"/>
          <w:rFonts w:asciiTheme="majorHAnsi" w:hAnsiTheme="majorHAnsi" w:cstheme="majorHAnsi"/>
          <w:color w:val="000000" w:themeColor="text1"/>
          <w:sz w:val="24"/>
          <w:szCs w:val="24"/>
          <w:lang w:val="ro-MD"/>
        </w:rPr>
        <w:footnoteReference w:id="33"/>
      </w:r>
      <w:r w:rsidRPr="00B15806">
        <w:rPr>
          <w:rFonts w:asciiTheme="majorHAnsi" w:hAnsiTheme="majorHAnsi" w:cstheme="majorHAnsi"/>
          <w:color w:val="000000" w:themeColor="text1"/>
          <w:sz w:val="24"/>
          <w:szCs w:val="24"/>
          <w:lang w:val="ro-MD"/>
        </w:rPr>
        <w:t xml:space="preserve">, </w:t>
      </w:r>
      <w:r w:rsidR="00FC6750">
        <w:rPr>
          <w:rFonts w:asciiTheme="majorHAnsi" w:hAnsiTheme="majorHAnsi" w:cstheme="majorHAnsi"/>
          <w:color w:val="000000" w:themeColor="text1"/>
          <w:sz w:val="24"/>
          <w:szCs w:val="24"/>
          <w:lang w:val="ru-RU"/>
        </w:rPr>
        <w:t>в котором отмечены многочисленные</w:t>
      </w:r>
      <w:r w:rsidRPr="00B15806">
        <w:rPr>
          <w:rFonts w:asciiTheme="majorHAnsi" w:hAnsiTheme="majorHAnsi" w:cstheme="majorHAnsi"/>
          <w:color w:val="000000" w:themeColor="text1"/>
          <w:sz w:val="24"/>
          <w:szCs w:val="24"/>
          <w:lang w:val="ro-MD"/>
        </w:rPr>
        <w:t xml:space="preserve"> проблем</w:t>
      </w:r>
      <w:r w:rsidR="00FC6750">
        <w:rPr>
          <w:rFonts w:asciiTheme="majorHAnsi" w:hAnsiTheme="majorHAnsi" w:cstheme="majorHAnsi"/>
          <w:color w:val="000000" w:themeColor="text1"/>
          <w:sz w:val="24"/>
          <w:szCs w:val="24"/>
          <w:lang w:val="ru-RU"/>
        </w:rPr>
        <w:t>ы, связанные с</w:t>
      </w:r>
      <w:r w:rsidRPr="00B15806">
        <w:rPr>
          <w:rFonts w:asciiTheme="majorHAnsi" w:hAnsiTheme="majorHAnsi" w:cstheme="majorHAnsi"/>
          <w:color w:val="000000" w:themeColor="text1"/>
          <w:sz w:val="24"/>
          <w:szCs w:val="24"/>
          <w:lang w:val="ro-MD"/>
        </w:rPr>
        <w:t xml:space="preserve"> выполнени</w:t>
      </w:r>
      <w:r w:rsidR="00FC6750">
        <w:rPr>
          <w:rFonts w:asciiTheme="majorHAnsi" w:hAnsiTheme="majorHAnsi" w:cstheme="majorHAnsi"/>
          <w:color w:val="000000" w:themeColor="text1"/>
          <w:sz w:val="24"/>
          <w:szCs w:val="24"/>
          <w:lang w:val="ru-RU"/>
        </w:rPr>
        <w:t>ем</w:t>
      </w:r>
      <w:r w:rsidRPr="00B15806">
        <w:rPr>
          <w:rFonts w:asciiTheme="majorHAnsi" w:hAnsiTheme="majorHAnsi" w:cstheme="majorHAnsi"/>
          <w:color w:val="000000" w:themeColor="text1"/>
          <w:sz w:val="24"/>
          <w:szCs w:val="24"/>
          <w:lang w:val="ro-MD"/>
        </w:rPr>
        <w:t xml:space="preserve"> работ по реконструкции. Так</w:t>
      </w:r>
      <w:r w:rsidR="00742E63" w:rsidRPr="00B13B9A">
        <w:rPr>
          <w:rFonts w:asciiTheme="majorHAnsi" w:hAnsiTheme="majorHAnsi" w:cstheme="majorHAnsi"/>
          <w:color w:val="000000" w:themeColor="text1"/>
          <w:sz w:val="24"/>
          <w:szCs w:val="24"/>
          <w:lang w:val="ro-MD"/>
        </w:rPr>
        <w:t>,</w:t>
      </w:r>
      <w:r w:rsidR="00541EA0" w:rsidRPr="00B13B9A">
        <w:rPr>
          <w:rFonts w:asciiTheme="majorHAnsi" w:hAnsiTheme="majorHAnsi" w:cstheme="majorHAnsi"/>
          <w:color w:val="000000" w:themeColor="text1"/>
          <w:sz w:val="24"/>
          <w:szCs w:val="24"/>
          <w:lang w:val="ro-MD"/>
        </w:rPr>
        <w:t xml:space="preserve"> „</w:t>
      </w:r>
      <w:r w:rsidRPr="00FC6750">
        <w:rPr>
          <w:rFonts w:asciiTheme="majorHAnsi" w:hAnsiTheme="majorHAnsi" w:cstheme="majorHAnsi"/>
          <w:i/>
          <w:color w:val="000000" w:themeColor="text1"/>
          <w:sz w:val="24"/>
          <w:szCs w:val="24"/>
          <w:lang w:val="ro-MD"/>
        </w:rPr>
        <w:t xml:space="preserve">проект реконструкции </w:t>
      </w:r>
      <w:r w:rsidR="009A5A63" w:rsidRPr="00FC6750">
        <w:rPr>
          <w:rFonts w:asciiTheme="majorHAnsi" w:hAnsiTheme="majorHAnsi" w:cstheme="majorHAnsi"/>
          <w:i/>
          <w:color w:val="000000" w:themeColor="text1"/>
          <w:sz w:val="24"/>
          <w:szCs w:val="24"/>
          <w:lang w:val="ro-MD"/>
        </w:rPr>
        <w:t>корпуса</w:t>
      </w:r>
      <w:r w:rsidRPr="00FC6750">
        <w:rPr>
          <w:rFonts w:asciiTheme="majorHAnsi" w:hAnsiTheme="majorHAnsi" w:cstheme="majorHAnsi"/>
          <w:i/>
          <w:color w:val="000000" w:themeColor="text1"/>
          <w:sz w:val="24"/>
          <w:szCs w:val="24"/>
          <w:lang w:val="ro-MD"/>
        </w:rPr>
        <w:t xml:space="preserve"> не был проверен </w:t>
      </w:r>
      <w:r w:rsidR="00FC6750">
        <w:rPr>
          <w:rFonts w:asciiTheme="majorHAnsi" w:hAnsiTheme="majorHAnsi" w:cstheme="majorHAnsi"/>
          <w:i/>
          <w:color w:val="000000" w:themeColor="text1"/>
          <w:sz w:val="24"/>
          <w:szCs w:val="24"/>
          <w:lang w:val="ru-RU"/>
        </w:rPr>
        <w:t>У</w:t>
      </w:r>
      <w:r w:rsidRPr="00FC6750">
        <w:rPr>
          <w:rFonts w:asciiTheme="majorHAnsi" w:hAnsiTheme="majorHAnsi" w:cstheme="majorHAnsi"/>
          <w:i/>
          <w:color w:val="000000" w:themeColor="text1"/>
          <w:sz w:val="24"/>
          <w:szCs w:val="24"/>
          <w:lang w:val="ro-MD"/>
        </w:rPr>
        <w:t xml:space="preserve">правлением </w:t>
      </w:r>
      <w:r w:rsidR="00FC6750">
        <w:rPr>
          <w:rFonts w:asciiTheme="majorHAnsi" w:hAnsiTheme="majorHAnsi" w:cstheme="majorHAnsi"/>
          <w:i/>
          <w:color w:val="000000" w:themeColor="text1"/>
          <w:sz w:val="24"/>
          <w:szCs w:val="24"/>
          <w:lang w:val="ru-RU"/>
        </w:rPr>
        <w:t xml:space="preserve">по </w:t>
      </w:r>
      <w:r w:rsidRPr="00FC6750">
        <w:rPr>
          <w:rFonts w:asciiTheme="majorHAnsi" w:hAnsiTheme="majorHAnsi" w:cstheme="majorHAnsi"/>
          <w:i/>
          <w:color w:val="000000" w:themeColor="text1"/>
          <w:sz w:val="24"/>
          <w:szCs w:val="24"/>
          <w:lang w:val="ro-MD"/>
        </w:rPr>
        <w:t>проверк</w:t>
      </w:r>
      <w:r w:rsidR="00FC6750">
        <w:rPr>
          <w:rFonts w:asciiTheme="majorHAnsi" w:hAnsiTheme="majorHAnsi" w:cstheme="majorHAnsi"/>
          <w:i/>
          <w:color w:val="000000" w:themeColor="text1"/>
          <w:sz w:val="24"/>
          <w:szCs w:val="24"/>
          <w:lang w:val="ru-RU"/>
        </w:rPr>
        <w:t>е</w:t>
      </w:r>
      <w:r w:rsidRPr="00FC6750">
        <w:rPr>
          <w:rFonts w:asciiTheme="majorHAnsi" w:hAnsiTheme="majorHAnsi" w:cstheme="majorHAnsi"/>
          <w:i/>
          <w:color w:val="000000" w:themeColor="text1"/>
          <w:sz w:val="24"/>
          <w:szCs w:val="24"/>
          <w:lang w:val="ro-MD"/>
        </w:rPr>
        <w:t xml:space="preserve"> и технической экспертизы существующего здания, как того треб</w:t>
      </w:r>
      <w:r w:rsidR="00FC6750">
        <w:rPr>
          <w:rFonts w:asciiTheme="majorHAnsi" w:hAnsiTheme="majorHAnsi" w:cstheme="majorHAnsi"/>
          <w:i/>
          <w:color w:val="000000" w:themeColor="text1"/>
          <w:sz w:val="24"/>
          <w:szCs w:val="24"/>
          <w:lang w:val="ru-RU"/>
        </w:rPr>
        <w:t>овало техническое задание</w:t>
      </w:r>
      <w:r w:rsidRPr="00FC6750">
        <w:rPr>
          <w:rFonts w:asciiTheme="majorHAnsi" w:hAnsiTheme="majorHAnsi" w:cstheme="majorHAnsi"/>
          <w:i/>
          <w:color w:val="000000" w:themeColor="text1"/>
          <w:sz w:val="24"/>
          <w:szCs w:val="24"/>
          <w:lang w:val="ro-MD"/>
        </w:rPr>
        <w:t xml:space="preserve">, по крайней мере, в представленной документации отсутствуют вышеупомянутые отчеты. (...) Согласно </w:t>
      </w:r>
      <w:r w:rsidR="00FC6750" w:rsidRPr="00FC6750">
        <w:rPr>
          <w:rFonts w:asciiTheme="majorHAnsi" w:hAnsiTheme="majorHAnsi" w:cstheme="majorHAnsi"/>
          <w:i/>
          <w:color w:val="000000" w:themeColor="text1"/>
          <w:sz w:val="24"/>
          <w:szCs w:val="24"/>
          <w:lang w:val="ro-MD"/>
        </w:rPr>
        <w:t>К</w:t>
      </w:r>
      <w:r w:rsidRPr="00FC6750">
        <w:rPr>
          <w:rFonts w:asciiTheme="majorHAnsi" w:hAnsiTheme="majorHAnsi" w:cstheme="majorHAnsi"/>
          <w:i/>
          <w:color w:val="000000" w:themeColor="text1"/>
          <w:sz w:val="24"/>
          <w:szCs w:val="24"/>
          <w:lang w:val="ro-MD"/>
        </w:rPr>
        <w:t>арте сейсмического зонирования территории РМ</w:t>
      </w:r>
      <w:r w:rsidR="00FC6750" w:rsidRPr="00B13B9A">
        <w:rPr>
          <w:rStyle w:val="a9"/>
          <w:rFonts w:asciiTheme="majorHAnsi" w:hAnsiTheme="majorHAnsi" w:cstheme="majorHAnsi"/>
          <w:i/>
          <w:color w:val="000000" w:themeColor="text1"/>
          <w:sz w:val="24"/>
          <w:szCs w:val="24"/>
          <w:lang w:val="ro-MD"/>
        </w:rPr>
        <w:footnoteReference w:id="34"/>
      </w:r>
      <w:r w:rsidR="00FC6750" w:rsidRPr="00FC6750">
        <w:rPr>
          <w:rFonts w:asciiTheme="majorHAnsi" w:hAnsiTheme="majorHAnsi" w:cstheme="majorHAnsi"/>
          <w:i/>
          <w:color w:val="000000" w:themeColor="text1"/>
          <w:sz w:val="24"/>
          <w:szCs w:val="24"/>
          <w:lang w:val="ro-MD"/>
        </w:rPr>
        <w:t>,</w:t>
      </w:r>
      <w:r w:rsidRPr="00FC6750">
        <w:rPr>
          <w:rFonts w:asciiTheme="majorHAnsi" w:hAnsiTheme="majorHAnsi" w:cstheme="majorHAnsi"/>
          <w:i/>
          <w:color w:val="000000" w:themeColor="text1"/>
          <w:sz w:val="24"/>
          <w:szCs w:val="24"/>
          <w:lang w:val="ro-MD"/>
        </w:rPr>
        <w:t xml:space="preserve"> земля, на которой расположено исследуемое здание, имеет сейсмическую интенсивность 7 градусов</w:t>
      </w:r>
      <w:r w:rsidRPr="00B15806">
        <w:rPr>
          <w:rFonts w:asciiTheme="majorHAnsi" w:hAnsiTheme="majorHAnsi" w:cstheme="majorHAnsi"/>
          <w:color w:val="000000" w:themeColor="text1"/>
          <w:sz w:val="24"/>
          <w:szCs w:val="24"/>
          <w:lang w:val="ro-MD"/>
        </w:rPr>
        <w:t>.</w:t>
      </w:r>
      <w:r w:rsidR="00FC6750" w:rsidRPr="00B13B9A">
        <w:rPr>
          <w:rFonts w:asciiTheme="majorHAnsi" w:hAnsiTheme="majorHAnsi" w:cstheme="majorHAnsi"/>
          <w:i/>
          <w:color w:val="000000" w:themeColor="text1"/>
          <w:sz w:val="24"/>
          <w:szCs w:val="24"/>
          <w:lang w:val="ro-MD"/>
        </w:rPr>
        <w:t xml:space="preserve"> </w:t>
      </w:r>
      <w:r w:rsidRPr="00FC6750">
        <w:rPr>
          <w:rFonts w:asciiTheme="majorHAnsi" w:hAnsiTheme="majorHAnsi" w:cstheme="majorHAnsi"/>
          <w:i/>
          <w:color w:val="000000" w:themeColor="text1"/>
          <w:sz w:val="24"/>
          <w:szCs w:val="24"/>
          <w:lang w:val="ro-MD"/>
        </w:rPr>
        <w:t xml:space="preserve">После реконструкции </w:t>
      </w:r>
      <w:r w:rsidR="00FC6750" w:rsidRPr="00FC6750">
        <w:rPr>
          <w:rFonts w:asciiTheme="majorHAnsi" w:hAnsiTheme="majorHAnsi" w:cstheme="majorHAnsi"/>
          <w:i/>
          <w:color w:val="000000" w:themeColor="text1"/>
          <w:sz w:val="24"/>
          <w:szCs w:val="24"/>
          <w:lang w:val="ru-RU"/>
        </w:rPr>
        <w:t>Л</w:t>
      </w:r>
      <w:r w:rsidRPr="00FC6750">
        <w:rPr>
          <w:rFonts w:asciiTheme="majorHAnsi" w:hAnsiTheme="majorHAnsi" w:cstheme="majorHAnsi"/>
          <w:i/>
          <w:color w:val="000000" w:themeColor="text1"/>
          <w:sz w:val="24"/>
          <w:szCs w:val="24"/>
          <w:lang w:val="ro-MD"/>
        </w:rPr>
        <w:t xml:space="preserve">ечебный </w:t>
      </w:r>
      <w:r w:rsidR="009A5A63" w:rsidRPr="00FC6750">
        <w:rPr>
          <w:rFonts w:asciiTheme="majorHAnsi" w:hAnsiTheme="majorHAnsi" w:cstheme="majorHAnsi"/>
          <w:i/>
          <w:color w:val="000000" w:themeColor="text1"/>
          <w:sz w:val="24"/>
          <w:szCs w:val="24"/>
          <w:lang w:val="ro-MD"/>
        </w:rPr>
        <w:t>корпус</w:t>
      </w:r>
      <w:r w:rsidRPr="00FC6750">
        <w:rPr>
          <w:rFonts w:asciiTheme="majorHAnsi" w:hAnsiTheme="majorHAnsi" w:cstheme="majorHAnsi"/>
          <w:i/>
          <w:color w:val="000000" w:themeColor="text1"/>
          <w:sz w:val="24"/>
          <w:szCs w:val="24"/>
          <w:lang w:val="ro-MD"/>
        </w:rPr>
        <w:t xml:space="preserve"> №2 не подвергался сейсмическим воздействиям высокой степени.</w:t>
      </w:r>
      <w:r w:rsidRPr="00B15806">
        <w:rPr>
          <w:rFonts w:asciiTheme="majorHAnsi" w:hAnsiTheme="majorHAnsi" w:cstheme="majorHAnsi"/>
          <w:color w:val="000000" w:themeColor="text1"/>
          <w:sz w:val="24"/>
          <w:szCs w:val="24"/>
          <w:lang w:val="ro-MD"/>
        </w:rPr>
        <w:t xml:space="preserve"> </w:t>
      </w:r>
      <w:r w:rsidRPr="008A1035">
        <w:rPr>
          <w:rFonts w:asciiTheme="majorHAnsi" w:hAnsiTheme="majorHAnsi" w:cstheme="majorHAnsi"/>
          <w:i/>
          <w:color w:val="000000" w:themeColor="text1"/>
          <w:sz w:val="24"/>
          <w:szCs w:val="24"/>
          <w:lang w:val="ro-MD"/>
        </w:rPr>
        <w:t>Таким образом, изуч</w:t>
      </w:r>
      <w:r w:rsidR="008A1035">
        <w:rPr>
          <w:rFonts w:asciiTheme="majorHAnsi" w:hAnsiTheme="majorHAnsi" w:cstheme="majorHAnsi"/>
          <w:i/>
          <w:color w:val="000000" w:themeColor="text1"/>
          <w:sz w:val="24"/>
          <w:szCs w:val="24"/>
          <w:lang w:val="ru-RU"/>
        </w:rPr>
        <w:t>ив</w:t>
      </w:r>
      <w:r w:rsidRPr="008A1035">
        <w:rPr>
          <w:rFonts w:asciiTheme="majorHAnsi" w:hAnsiTheme="majorHAnsi" w:cstheme="majorHAnsi"/>
          <w:i/>
          <w:color w:val="000000" w:themeColor="text1"/>
          <w:sz w:val="24"/>
          <w:szCs w:val="24"/>
          <w:lang w:val="ro-MD"/>
        </w:rPr>
        <w:t xml:space="preserve"> проектн</w:t>
      </w:r>
      <w:r w:rsidR="008A1035">
        <w:rPr>
          <w:rFonts w:asciiTheme="majorHAnsi" w:hAnsiTheme="majorHAnsi" w:cstheme="majorHAnsi"/>
          <w:i/>
          <w:color w:val="000000" w:themeColor="text1"/>
          <w:sz w:val="24"/>
          <w:szCs w:val="24"/>
          <w:lang w:val="ru-RU"/>
        </w:rPr>
        <w:t>ую</w:t>
      </w:r>
      <w:r w:rsidRPr="008A1035">
        <w:rPr>
          <w:rFonts w:asciiTheme="majorHAnsi" w:hAnsiTheme="majorHAnsi" w:cstheme="majorHAnsi"/>
          <w:i/>
          <w:color w:val="000000" w:themeColor="text1"/>
          <w:sz w:val="24"/>
          <w:szCs w:val="24"/>
          <w:lang w:val="ro-MD"/>
        </w:rPr>
        <w:t xml:space="preserve"> документаци</w:t>
      </w:r>
      <w:r w:rsidR="008A1035">
        <w:rPr>
          <w:rFonts w:asciiTheme="majorHAnsi" w:hAnsiTheme="majorHAnsi" w:cstheme="majorHAnsi"/>
          <w:i/>
          <w:color w:val="000000" w:themeColor="text1"/>
          <w:sz w:val="24"/>
          <w:szCs w:val="24"/>
          <w:lang w:val="ru-RU"/>
        </w:rPr>
        <w:t>ю</w:t>
      </w:r>
      <w:r w:rsidRPr="008A1035">
        <w:rPr>
          <w:rFonts w:asciiTheme="majorHAnsi" w:hAnsiTheme="majorHAnsi" w:cstheme="majorHAnsi"/>
          <w:i/>
          <w:color w:val="000000" w:themeColor="text1"/>
          <w:sz w:val="24"/>
          <w:szCs w:val="24"/>
          <w:lang w:val="ro-MD"/>
        </w:rPr>
        <w:t xml:space="preserve"> и фактической проверки </w:t>
      </w:r>
      <w:r w:rsidR="008A1035">
        <w:rPr>
          <w:rFonts w:asciiTheme="majorHAnsi" w:hAnsiTheme="majorHAnsi" w:cstheme="majorHAnsi"/>
          <w:i/>
          <w:color w:val="000000" w:themeColor="text1"/>
          <w:sz w:val="24"/>
          <w:szCs w:val="24"/>
          <w:lang w:val="ru-RU"/>
        </w:rPr>
        <w:t>строения</w:t>
      </w:r>
      <w:r w:rsidRPr="008A1035">
        <w:rPr>
          <w:rFonts w:asciiTheme="majorHAnsi" w:hAnsiTheme="majorHAnsi" w:cstheme="majorHAnsi"/>
          <w:i/>
          <w:color w:val="000000" w:themeColor="text1"/>
          <w:sz w:val="24"/>
          <w:szCs w:val="24"/>
          <w:lang w:val="ro-MD"/>
        </w:rPr>
        <w:t xml:space="preserve"> компанией, проводящей проверку, было обнаружено </w:t>
      </w:r>
      <w:r w:rsidR="008A1035">
        <w:rPr>
          <w:rFonts w:asciiTheme="majorHAnsi" w:hAnsiTheme="majorHAnsi" w:cstheme="majorHAnsi"/>
          <w:i/>
          <w:color w:val="000000" w:themeColor="text1"/>
          <w:sz w:val="24"/>
          <w:szCs w:val="24"/>
          <w:lang w:val="ru-RU"/>
        </w:rPr>
        <w:t>множество</w:t>
      </w:r>
      <w:r w:rsidRPr="008A1035">
        <w:rPr>
          <w:rFonts w:asciiTheme="majorHAnsi" w:hAnsiTheme="majorHAnsi" w:cstheme="majorHAnsi"/>
          <w:i/>
          <w:color w:val="000000" w:themeColor="text1"/>
          <w:sz w:val="24"/>
          <w:szCs w:val="24"/>
          <w:lang w:val="ro-MD"/>
        </w:rPr>
        <w:t xml:space="preserve"> изменений, которые были допущены автором проекта. Стоит отметить, что сами внутренние и наружные отделочные работы выполнялись на качественно удовлетворительном уровне. В то же время</w:t>
      </w:r>
      <w:r w:rsidR="008A1035">
        <w:rPr>
          <w:rFonts w:asciiTheme="majorHAnsi" w:hAnsiTheme="majorHAnsi" w:cstheme="majorHAnsi"/>
          <w:i/>
          <w:color w:val="000000" w:themeColor="text1"/>
          <w:sz w:val="24"/>
          <w:szCs w:val="24"/>
          <w:lang w:val="ru-RU"/>
        </w:rPr>
        <w:t>,</w:t>
      </w:r>
      <w:r w:rsidRPr="008A1035">
        <w:rPr>
          <w:rFonts w:asciiTheme="majorHAnsi" w:hAnsiTheme="majorHAnsi" w:cstheme="majorHAnsi"/>
          <w:i/>
          <w:color w:val="000000" w:themeColor="text1"/>
          <w:sz w:val="24"/>
          <w:szCs w:val="24"/>
          <w:lang w:val="ro-MD"/>
        </w:rPr>
        <w:t xml:space="preserve"> при осмотре помещений в подвале здания, где расположен</w:t>
      </w:r>
      <w:r w:rsidR="008A1035">
        <w:rPr>
          <w:rFonts w:asciiTheme="majorHAnsi" w:hAnsiTheme="majorHAnsi" w:cstheme="majorHAnsi"/>
          <w:i/>
          <w:color w:val="000000" w:themeColor="text1"/>
          <w:sz w:val="24"/>
          <w:szCs w:val="24"/>
          <w:lang w:val="ru-RU"/>
        </w:rPr>
        <w:t>о</w:t>
      </w:r>
      <w:r w:rsidRPr="008A1035">
        <w:rPr>
          <w:rFonts w:asciiTheme="majorHAnsi" w:hAnsiTheme="majorHAnsi" w:cstheme="majorHAnsi"/>
          <w:i/>
          <w:color w:val="000000" w:themeColor="text1"/>
          <w:sz w:val="24"/>
          <w:szCs w:val="24"/>
          <w:lang w:val="ro-MD"/>
        </w:rPr>
        <w:t xml:space="preserve"> инженерн</w:t>
      </w:r>
      <w:r w:rsidR="008A1035">
        <w:rPr>
          <w:rFonts w:asciiTheme="majorHAnsi" w:hAnsiTheme="majorHAnsi" w:cstheme="majorHAnsi"/>
          <w:i/>
          <w:color w:val="000000" w:themeColor="text1"/>
          <w:sz w:val="24"/>
          <w:szCs w:val="24"/>
          <w:lang w:val="ru-RU"/>
        </w:rPr>
        <w:t>ое</w:t>
      </w:r>
      <w:r w:rsidRPr="008A1035">
        <w:rPr>
          <w:rFonts w:asciiTheme="majorHAnsi" w:hAnsiTheme="majorHAnsi" w:cstheme="majorHAnsi"/>
          <w:i/>
          <w:color w:val="000000" w:themeColor="text1"/>
          <w:sz w:val="24"/>
          <w:szCs w:val="24"/>
          <w:lang w:val="ro-MD"/>
        </w:rPr>
        <w:t xml:space="preserve"> </w:t>
      </w:r>
      <w:r w:rsidR="008A1035">
        <w:rPr>
          <w:rFonts w:asciiTheme="majorHAnsi" w:hAnsiTheme="majorHAnsi" w:cstheme="majorHAnsi"/>
          <w:i/>
          <w:color w:val="000000" w:themeColor="text1"/>
          <w:sz w:val="24"/>
          <w:szCs w:val="24"/>
          <w:lang w:val="ru-RU"/>
        </w:rPr>
        <w:t>оборудование</w:t>
      </w:r>
      <w:r w:rsidRPr="008A1035">
        <w:rPr>
          <w:rFonts w:asciiTheme="majorHAnsi" w:hAnsiTheme="majorHAnsi" w:cstheme="majorHAnsi"/>
          <w:i/>
          <w:color w:val="000000" w:themeColor="text1"/>
          <w:sz w:val="24"/>
          <w:szCs w:val="24"/>
          <w:lang w:val="ro-MD"/>
        </w:rPr>
        <w:t xml:space="preserve">, в том числе автоматизированная система их эксплуатации и управления, было обнаружено, что в данных помещениях происходит проникновение атмосферных и подземных вод, что ставит под угрозу работу и управление инженерными системами, предназначенными для обеспечения функциональности клинического </w:t>
      </w:r>
      <w:r w:rsidR="009A5A63" w:rsidRPr="008A1035">
        <w:rPr>
          <w:rFonts w:asciiTheme="majorHAnsi" w:hAnsiTheme="majorHAnsi" w:cstheme="majorHAnsi"/>
          <w:i/>
          <w:color w:val="000000" w:themeColor="text1"/>
          <w:sz w:val="24"/>
          <w:szCs w:val="24"/>
          <w:lang w:val="ro-MD"/>
        </w:rPr>
        <w:t>корпуса</w:t>
      </w:r>
      <w:r w:rsidRPr="008A1035">
        <w:rPr>
          <w:rFonts w:asciiTheme="majorHAnsi" w:hAnsiTheme="majorHAnsi" w:cstheme="majorHAnsi"/>
          <w:i/>
          <w:color w:val="000000" w:themeColor="text1"/>
          <w:sz w:val="24"/>
          <w:szCs w:val="24"/>
          <w:lang w:val="ro-MD"/>
        </w:rPr>
        <w:t>.</w:t>
      </w:r>
    </w:p>
    <w:p w14:paraId="4F786AEF" w14:textId="6C344E3C" w:rsidR="007031FD" w:rsidRPr="008A1035" w:rsidRDefault="008A1035" w:rsidP="00AB3CDC">
      <w:pPr>
        <w:pStyle w:val="a7"/>
        <w:spacing w:after="0" w:line="276" w:lineRule="auto"/>
        <w:ind w:left="0"/>
        <w:jc w:val="both"/>
        <w:rPr>
          <w:rFonts w:asciiTheme="majorHAnsi" w:hAnsiTheme="majorHAnsi" w:cstheme="majorHAnsi"/>
          <w:i/>
          <w:color w:val="000000" w:themeColor="text1"/>
          <w:sz w:val="24"/>
          <w:szCs w:val="24"/>
          <w:lang w:val="ro-MD"/>
        </w:rPr>
      </w:pPr>
      <w:r w:rsidRPr="008A1035">
        <w:rPr>
          <w:rFonts w:asciiTheme="majorHAnsi" w:hAnsiTheme="majorHAnsi" w:cstheme="majorHAnsi"/>
          <w:i/>
          <w:color w:val="000000" w:themeColor="text1"/>
          <w:sz w:val="24"/>
          <w:szCs w:val="24"/>
          <w:lang w:val="ru-RU"/>
        </w:rPr>
        <w:t>Однов</w:t>
      </w:r>
      <w:r w:rsidR="00B15806" w:rsidRPr="008A1035">
        <w:rPr>
          <w:rFonts w:asciiTheme="majorHAnsi" w:hAnsiTheme="majorHAnsi" w:cstheme="majorHAnsi"/>
          <w:i/>
          <w:color w:val="000000" w:themeColor="text1"/>
          <w:sz w:val="24"/>
          <w:szCs w:val="24"/>
          <w:lang w:val="ro-MD"/>
        </w:rPr>
        <w:t>рем</w:t>
      </w:r>
      <w:r w:rsidRPr="008A1035">
        <w:rPr>
          <w:rFonts w:asciiTheme="majorHAnsi" w:hAnsiTheme="majorHAnsi" w:cstheme="majorHAnsi"/>
          <w:i/>
          <w:color w:val="000000" w:themeColor="text1"/>
          <w:sz w:val="24"/>
          <w:szCs w:val="24"/>
          <w:lang w:val="ru-RU"/>
        </w:rPr>
        <w:t>енно,</w:t>
      </w:r>
      <w:r w:rsidR="00B15806" w:rsidRPr="008A1035">
        <w:rPr>
          <w:rFonts w:asciiTheme="majorHAnsi" w:hAnsiTheme="majorHAnsi" w:cstheme="majorHAnsi"/>
          <w:i/>
          <w:color w:val="000000" w:themeColor="text1"/>
          <w:sz w:val="24"/>
          <w:szCs w:val="24"/>
          <w:lang w:val="ro-MD"/>
        </w:rPr>
        <w:t xml:space="preserve"> было установлено, что система отвода ливневых вод с крыши здания организована на поверхности </w:t>
      </w:r>
      <w:r>
        <w:rPr>
          <w:rFonts w:asciiTheme="majorHAnsi" w:hAnsiTheme="majorHAnsi" w:cstheme="majorHAnsi"/>
          <w:i/>
          <w:color w:val="000000" w:themeColor="text1"/>
          <w:sz w:val="24"/>
          <w:szCs w:val="24"/>
          <w:lang w:val="ru-RU"/>
        </w:rPr>
        <w:t>з</w:t>
      </w:r>
      <w:r w:rsidR="00B15806" w:rsidRPr="008A1035">
        <w:rPr>
          <w:rFonts w:asciiTheme="majorHAnsi" w:hAnsiTheme="majorHAnsi" w:cstheme="majorHAnsi"/>
          <w:i/>
          <w:color w:val="000000" w:themeColor="text1"/>
          <w:sz w:val="24"/>
          <w:szCs w:val="24"/>
          <w:lang w:val="ro-MD"/>
        </w:rPr>
        <w:t>емли, что может быть одной из причин появления влаги в подвальных помещениях</w:t>
      </w:r>
      <w:r w:rsidR="007031FD" w:rsidRPr="00B13B9A">
        <w:rPr>
          <w:rFonts w:asciiTheme="majorHAnsi" w:hAnsiTheme="majorHAnsi" w:cstheme="majorHAnsi"/>
          <w:i/>
          <w:color w:val="000000" w:themeColor="text1"/>
          <w:sz w:val="24"/>
          <w:szCs w:val="24"/>
          <w:lang w:val="ro-MD"/>
        </w:rPr>
        <w:t>.</w:t>
      </w:r>
      <w:r w:rsidR="007031FD" w:rsidRPr="00B13B9A">
        <w:rPr>
          <w:rFonts w:asciiTheme="majorHAnsi" w:hAnsiTheme="majorHAnsi" w:cstheme="majorHAnsi"/>
          <w:color w:val="000000" w:themeColor="text1"/>
          <w:sz w:val="24"/>
          <w:szCs w:val="24"/>
          <w:lang w:val="ro-MD"/>
        </w:rPr>
        <w:t>”</w:t>
      </w:r>
      <w:r w:rsidR="00211AE7" w:rsidRPr="00B13B9A">
        <w:rPr>
          <w:rFonts w:asciiTheme="majorHAnsi" w:hAnsiTheme="majorHAnsi" w:cstheme="majorHAnsi"/>
          <w:color w:val="000000" w:themeColor="text1"/>
          <w:sz w:val="24"/>
          <w:szCs w:val="24"/>
          <w:lang w:val="ro-MD"/>
        </w:rPr>
        <w:t>.</w:t>
      </w:r>
    </w:p>
    <w:p w14:paraId="59AB295D" w14:textId="72D5F98C" w:rsidR="007031FD" w:rsidRPr="00B13B9A" w:rsidRDefault="00B15806" w:rsidP="00F4064A">
      <w:pPr>
        <w:pStyle w:val="a7"/>
        <w:spacing w:after="0" w:line="276" w:lineRule="auto"/>
        <w:ind w:left="0"/>
        <w:jc w:val="both"/>
        <w:rPr>
          <w:rFonts w:asciiTheme="majorHAnsi" w:hAnsiTheme="majorHAnsi" w:cstheme="majorHAnsi"/>
          <w:color w:val="000000" w:themeColor="text1"/>
          <w:sz w:val="24"/>
          <w:szCs w:val="24"/>
          <w:lang w:val="ro-MD"/>
        </w:rPr>
      </w:pPr>
      <w:r w:rsidRPr="00B15806">
        <w:rPr>
          <w:rFonts w:asciiTheme="majorHAnsi" w:hAnsiTheme="majorHAnsi" w:cstheme="majorHAnsi"/>
          <w:color w:val="000000" w:themeColor="text1"/>
          <w:sz w:val="24"/>
          <w:szCs w:val="24"/>
          <w:lang w:val="ro-MD"/>
        </w:rPr>
        <w:t xml:space="preserve">Следовательно, согласно </w:t>
      </w:r>
      <w:r w:rsidR="0013018D">
        <w:rPr>
          <w:rFonts w:asciiTheme="majorHAnsi" w:hAnsiTheme="majorHAnsi" w:cstheme="majorHAnsi"/>
          <w:color w:val="000000" w:themeColor="text1"/>
          <w:sz w:val="24"/>
          <w:szCs w:val="24"/>
          <w:lang w:val="ru-RU"/>
        </w:rPr>
        <w:t>данн</w:t>
      </w:r>
      <w:r w:rsidRPr="00B15806">
        <w:rPr>
          <w:rFonts w:asciiTheme="majorHAnsi" w:hAnsiTheme="majorHAnsi" w:cstheme="majorHAnsi"/>
          <w:color w:val="000000" w:themeColor="text1"/>
          <w:sz w:val="24"/>
          <w:szCs w:val="24"/>
          <w:lang w:val="ro-MD"/>
        </w:rPr>
        <w:t xml:space="preserve">ому отчету </w:t>
      </w:r>
      <w:r w:rsidR="0013018D">
        <w:rPr>
          <w:rFonts w:asciiTheme="majorHAnsi" w:hAnsiTheme="majorHAnsi" w:cstheme="majorHAnsi"/>
          <w:color w:val="000000" w:themeColor="text1"/>
          <w:sz w:val="24"/>
          <w:szCs w:val="24"/>
          <w:lang w:val="ru-RU"/>
        </w:rPr>
        <w:t>отмечается</w:t>
      </w:r>
      <w:r w:rsidRPr="00B15806">
        <w:rPr>
          <w:rFonts w:asciiTheme="majorHAnsi" w:hAnsiTheme="majorHAnsi" w:cstheme="majorHAnsi"/>
          <w:color w:val="000000" w:themeColor="text1"/>
          <w:sz w:val="24"/>
          <w:szCs w:val="24"/>
          <w:lang w:val="ro-MD"/>
        </w:rPr>
        <w:t xml:space="preserve">, что </w:t>
      </w:r>
      <w:r w:rsidR="0013018D">
        <w:rPr>
          <w:rFonts w:asciiTheme="majorHAnsi" w:hAnsiTheme="majorHAnsi" w:cstheme="majorHAnsi"/>
          <w:color w:val="000000" w:themeColor="text1"/>
          <w:sz w:val="24"/>
          <w:szCs w:val="24"/>
          <w:lang w:val="ru-RU"/>
        </w:rPr>
        <w:t>соответствующий Л</w:t>
      </w:r>
      <w:r w:rsidRPr="00B15806">
        <w:rPr>
          <w:rFonts w:asciiTheme="majorHAnsi" w:hAnsiTheme="majorHAnsi" w:cstheme="majorHAnsi"/>
          <w:color w:val="000000" w:themeColor="text1"/>
          <w:sz w:val="24"/>
          <w:szCs w:val="24"/>
          <w:lang w:val="ro-MD"/>
        </w:rPr>
        <w:t xml:space="preserve">ечебный </w:t>
      </w:r>
      <w:r w:rsidR="009A5A63">
        <w:rPr>
          <w:rFonts w:asciiTheme="majorHAnsi" w:hAnsiTheme="majorHAnsi" w:cstheme="majorHAnsi"/>
          <w:color w:val="000000" w:themeColor="text1"/>
          <w:sz w:val="24"/>
          <w:szCs w:val="24"/>
          <w:lang w:val="ro-MD"/>
        </w:rPr>
        <w:t>корпус</w:t>
      </w:r>
      <w:r w:rsidRPr="00B15806">
        <w:rPr>
          <w:rFonts w:asciiTheme="majorHAnsi" w:hAnsiTheme="majorHAnsi" w:cstheme="majorHAnsi"/>
          <w:color w:val="000000" w:themeColor="text1"/>
          <w:sz w:val="24"/>
          <w:szCs w:val="24"/>
          <w:lang w:val="ro-MD"/>
        </w:rPr>
        <w:t xml:space="preserve"> находился в частично удовлетворительном техническом состоянии, </w:t>
      </w:r>
      <w:r w:rsidR="0013018D">
        <w:rPr>
          <w:rFonts w:asciiTheme="majorHAnsi" w:hAnsiTheme="majorHAnsi" w:cstheme="majorHAnsi"/>
          <w:color w:val="000000" w:themeColor="text1"/>
          <w:sz w:val="24"/>
          <w:szCs w:val="24"/>
          <w:lang w:val="ru-RU"/>
        </w:rPr>
        <w:t>и</w:t>
      </w:r>
      <w:r w:rsidRPr="00B15806">
        <w:rPr>
          <w:rFonts w:asciiTheme="majorHAnsi" w:hAnsiTheme="majorHAnsi" w:cstheme="majorHAnsi"/>
          <w:color w:val="000000" w:themeColor="text1"/>
          <w:sz w:val="24"/>
          <w:szCs w:val="24"/>
          <w:lang w:val="ro-MD"/>
        </w:rPr>
        <w:t xml:space="preserve"> требовал проведения текущих ремонтных работ. В состоянии, установленном и описанном в экспертном отчете, прием и ввод в эксплуатацию </w:t>
      </w:r>
      <w:r w:rsidR="0013018D" w:rsidRPr="0013018D">
        <w:rPr>
          <w:rFonts w:asciiTheme="majorHAnsi" w:hAnsiTheme="majorHAnsi" w:cstheme="majorHAnsi"/>
          <w:color w:val="000000" w:themeColor="text1"/>
          <w:sz w:val="24"/>
          <w:szCs w:val="24"/>
          <w:lang w:val="ro-MD"/>
        </w:rPr>
        <w:t>Л</w:t>
      </w:r>
      <w:r w:rsidRPr="00B15806">
        <w:rPr>
          <w:rFonts w:asciiTheme="majorHAnsi" w:hAnsiTheme="majorHAnsi" w:cstheme="majorHAnsi"/>
          <w:color w:val="000000" w:themeColor="text1"/>
          <w:sz w:val="24"/>
          <w:szCs w:val="24"/>
          <w:lang w:val="ro-MD"/>
        </w:rPr>
        <w:t xml:space="preserve">ечебного </w:t>
      </w:r>
      <w:r w:rsidR="009A5A63">
        <w:rPr>
          <w:rFonts w:asciiTheme="majorHAnsi" w:hAnsiTheme="majorHAnsi" w:cstheme="majorHAnsi"/>
          <w:color w:val="000000" w:themeColor="text1"/>
          <w:sz w:val="24"/>
          <w:szCs w:val="24"/>
          <w:lang w:val="ro-MD"/>
        </w:rPr>
        <w:t>корпуса</w:t>
      </w:r>
      <w:r w:rsidR="0013018D">
        <w:rPr>
          <w:rFonts w:asciiTheme="majorHAnsi" w:hAnsiTheme="majorHAnsi" w:cstheme="majorHAnsi"/>
          <w:color w:val="000000" w:themeColor="text1"/>
          <w:sz w:val="24"/>
          <w:szCs w:val="24"/>
          <w:lang w:val="ro-MD"/>
        </w:rPr>
        <w:t xml:space="preserve"> №</w:t>
      </w:r>
      <w:r w:rsidRPr="00B15806">
        <w:rPr>
          <w:rFonts w:asciiTheme="majorHAnsi" w:hAnsiTheme="majorHAnsi" w:cstheme="majorHAnsi"/>
          <w:color w:val="000000" w:themeColor="text1"/>
          <w:sz w:val="24"/>
          <w:szCs w:val="24"/>
          <w:lang w:val="ro-MD"/>
        </w:rPr>
        <w:t>2 клиники Ворничень невозможн</w:t>
      </w:r>
      <w:r w:rsidR="0013018D" w:rsidRPr="0013018D">
        <w:rPr>
          <w:rFonts w:asciiTheme="majorHAnsi" w:hAnsiTheme="majorHAnsi" w:cstheme="majorHAnsi"/>
          <w:color w:val="000000" w:themeColor="text1"/>
          <w:sz w:val="24"/>
          <w:szCs w:val="24"/>
          <w:lang w:val="ro-MD"/>
        </w:rPr>
        <w:t>ы</w:t>
      </w:r>
      <w:r w:rsidR="007031FD" w:rsidRPr="00B13B9A">
        <w:rPr>
          <w:rFonts w:asciiTheme="majorHAnsi" w:hAnsiTheme="majorHAnsi" w:cstheme="majorHAnsi"/>
          <w:color w:val="000000" w:themeColor="text1"/>
          <w:sz w:val="24"/>
          <w:szCs w:val="24"/>
          <w:lang w:val="ro-MD"/>
        </w:rPr>
        <w:t>.</w:t>
      </w:r>
    </w:p>
    <w:p w14:paraId="165ECD1F" w14:textId="77777777" w:rsidR="00F4064A" w:rsidRPr="00B13B9A" w:rsidRDefault="00F4064A" w:rsidP="00F4064A">
      <w:pPr>
        <w:pStyle w:val="a7"/>
        <w:spacing w:after="0" w:line="276" w:lineRule="auto"/>
        <w:ind w:left="0"/>
        <w:jc w:val="both"/>
        <w:rPr>
          <w:rFonts w:asciiTheme="majorHAnsi" w:hAnsiTheme="majorHAnsi" w:cstheme="majorHAnsi"/>
          <w:color w:val="000000" w:themeColor="text1"/>
          <w:sz w:val="24"/>
          <w:szCs w:val="24"/>
          <w:lang w:val="ro-MD"/>
        </w:rPr>
      </w:pPr>
    </w:p>
    <w:p w14:paraId="4DEFED29" w14:textId="53410B33" w:rsidR="00481DC8" w:rsidRPr="00B13B9A" w:rsidRDefault="00B15806" w:rsidP="00481DC8">
      <w:pPr>
        <w:pStyle w:val="a7"/>
        <w:spacing w:after="0" w:line="276" w:lineRule="auto"/>
        <w:ind w:left="0"/>
        <w:jc w:val="both"/>
        <w:rPr>
          <w:rFonts w:asciiTheme="majorHAnsi" w:hAnsiTheme="majorHAnsi" w:cstheme="majorHAnsi"/>
          <w:color w:val="000000" w:themeColor="text1"/>
          <w:sz w:val="24"/>
          <w:szCs w:val="24"/>
          <w:lang w:val="ro-MD"/>
        </w:rPr>
      </w:pPr>
      <w:r w:rsidRPr="00B15806">
        <w:rPr>
          <w:rFonts w:asciiTheme="majorHAnsi" w:hAnsiTheme="majorHAnsi" w:cstheme="majorHAnsi"/>
          <w:color w:val="000000" w:themeColor="text1"/>
          <w:sz w:val="24"/>
          <w:szCs w:val="24"/>
          <w:lang w:val="ro-MD"/>
        </w:rPr>
        <w:t xml:space="preserve">Для уточнения возможности использования </w:t>
      </w:r>
      <w:r w:rsidR="0013018D">
        <w:rPr>
          <w:rFonts w:asciiTheme="majorHAnsi" w:hAnsiTheme="majorHAnsi" w:cstheme="majorHAnsi"/>
          <w:color w:val="000000" w:themeColor="text1"/>
          <w:sz w:val="24"/>
          <w:szCs w:val="24"/>
          <w:lang w:val="ru-RU"/>
        </w:rPr>
        <w:t>Л</w:t>
      </w:r>
      <w:r w:rsidRPr="00B15806">
        <w:rPr>
          <w:rFonts w:asciiTheme="majorHAnsi" w:hAnsiTheme="majorHAnsi" w:cstheme="majorHAnsi"/>
          <w:color w:val="000000" w:themeColor="text1"/>
          <w:sz w:val="24"/>
          <w:szCs w:val="24"/>
          <w:lang w:val="ro-MD"/>
        </w:rPr>
        <w:t xml:space="preserve">ечебного </w:t>
      </w:r>
      <w:r w:rsidR="009A5A63">
        <w:rPr>
          <w:rFonts w:asciiTheme="majorHAnsi" w:hAnsiTheme="majorHAnsi" w:cstheme="majorHAnsi"/>
          <w:color w:val="000000" w:themeColor="text1"/>
          <w:sz w:val="24"/>
          <w:szCs w:val="24"/>
          <w:lang w:val="ro-MD"/>
        </w:rPr>
        <w:t>корпуса</w:t>
      </w:r>
      <w:r w:rsidR="0013018D">
        <w:rPr>
          <w:rFonts w:asciiTheme="majorHAnsi" w:hAnsiTheme="majorHAnsi" w:cstheme="majorHAnsi"/>
          <w:color w:val="000000" w:themeColor="text1"/>
          <w:sz w:val="24"/>
          <w:szCs w:val="24"/>
          <w:lang w:val="ro-MD"/>
        </w:rPr>
        <w:t xml:space="preserve"> №</w:t>
      </w:r>
      <w:r w:rsidRPr="00B15806">
        <w:rPr>
          <w:rFonts w:asciiTheme="majorHAnsi" w:hAnsiTheme="majorHAnsi" w:cstheme="majorHAnsi"/>
          <w:color w:val="000000" w:themeColor="text1"/>
          <w:sz w:val="24"/>
          <w:szCs w:val="24"/>
          <w:lang w:val="ro-MD"/>
        </w:rPr>
        <w:t xml:space="preserve">2, </w:t>
      </w:r>
      <w:r w:rsidR="0013018D">
        <w:rPr>
          <w:rFonts w:asciiTheme="majorHAnsi" w:hAnsiTheme="majorHAnsi" w:cstheme="majorHAnsi"/>
          <w:color w:val="000000" w:themeColor="text1"/>
          <w:sz w:val="24"/>
          <w:szCs w:val="24"/>
          <w:lang w:val="ru-RU"/>
        </w:rPr>
        <w:t>МЗ</w:t>
      </w:r>
      <w:r w:rsidRPr="00B15806">
        <w:rPr>
          <w:rFonts w:asciiTheme="majorHAnsi" w:hAnsiTheme="majorHAnsi" w:cstheme="majorHAnsi"/>
          <w:color w:val="000000" w:themeColor="text1"/>
          <w:sz w:val="24"/>
          <w:szCs w:val="24"/>
          <w:lang w:val="ro-MD"/>
        </w:rPr>
        <w:t xml:space="preserve"> запросил</w:t>
      </w:r>
      <w:r w:rsidR="0013018D">
        <w:rPr>
          <w:rFonts w:asciiTheme="majorHAnsi" w:hAnsiTheme="majorHAnsi" w:cstheme="majorHAnsi"/>
          <w:color w:val="000000" w:themeColor="text1"/>
          <w:sz w:val="24"/>
          <w:szCs w:val="24"/>
          <w:lang w:val="ru-RU"/>
        </w:rPr>
        <w:t>о</w:t>
      </w:r>
      <w:r w:rsidRPr="00B15806">
        <w:rPr>
          <w:rFonts w:asciiTheme="majorHAnsi" w:hAnsiTheme="majorHAnsi" w:cstheme="majorHAnsi"/>
          <w:color w:val="000000" w:themeColor="text1"/>
          <w:sz w:val="24"/>
          <w:szCs w:val="24"/>
          <w:lang w:val="ro-MD"/>
        </w:rPr>
        <w:t xml:space="preserve"> в 2021 году </w:t>
      </w:r>
      <w:r w:rsidR="0013018D">
        <w:rPr>
          <w:rFonts w:asciiTheme="majorHAnsi" w:hAnsiTheme="majorHAnsi" w:cstheme="majorHAnsi"/>
          <w:color w:val="000000" w:themeColor="text1"/>
          <w:sz w:val="24"/>
          <w:szCs w:val="24"/>
          <w:lang w:val="ru-RU"/>
        </w:rPr>
        <w:t>от МИРР</w:t>
      </w:r>
      <w:r w:rsidRPr="00B15806">
        <w:rPr>
          <w:rFonts w:asciiTheme="majorHAnsi" w:hAnsiTheme="majorHAnsi" w:cstheme="majorHAnsi"/>
          <w:color w:val="000000" w:themeColor="text1"/>
          <w:sz w:val="24"/>
          <w:szCs w:val="24"/>
          <w:lang w:val="ro-MD"/>
        </w:rPr>
        <w:t xml:space="preserve"> рассмотрение ситуации и предоставление поддержки для определения решений. </w:t>
      </w:r>
      <w:r w:rsidR="0013018D">
        <w:rPr>
          <w:rFonts w:asciiTheme="majorHAnsi" w:hAnsiTheme="majorHAnsi" w:cstheme="majorHAnsi"/>
          <w:color w:val="000000" w:themeColor="text1"/>
          <w:sz w:val="24"/>
          <w:szCs w:val="24"/>
          <w:lang w:val="ru-RU"/>
        </w:rPr>
        <w:t>Следовательно,</w:t>
      </w:r>
      <w:r w:rsidRPr="00B15806">
        <w:rPr>
          <w:rFonts w:asciiTheme="majorHAnsi" w:hAnsiTheme="majorHAnsi" w:cstheme="majorHAnsi"/>
          <w:color w:val="000000" w:themeColor="text1"/>
          <w:sz w:val="24"/>
          <w:szCs w:val="24"/>
          <w:lang w:val="ro-MD"/>
        </w:rPr>
        <w:t xml:space="preserve"> в 2022 году было предупреждено о соответствии составления </w:t>
      </w:r>
      <w:r w:rsidR="0013018D">
        <w:rPr>
          <w:rFonts w:asciiTheme="majorHAnsi" w:hAnsiTheme="majorHAnsi" w:cstheme="majorHAnsi"/>
          <w:color w:val="000000" w:themeColor="text1"/>
          <w:sz w:val="24"/>
          <w:szCs w:val="24"/>
          <w:lang w:val="ru-RU"/>
        </w:rPr>
        <w:t>Э</w:t>
      </w:r>
      <w:r w:rsidRPr="00B15806">
        <w:rPr>
          <w:rFonts w:asciiTheme="majorHAnsi" w:hAnsiTheme="majorHAnsi" w:cstheme="majorHAnsi"/>
          <w:color w:val="000000" w:themeColor="text1"/>
          <w:sz w:val="24"/>
          <w:szCs w:val="24"/>
          <w:lang w:val="ro-MD"/>
        </w:rPr>
        <w:t xml:space="preserve">кспертного отчета, и было предложено провести необходимые расчеты для определения степени сейсмичности здания аттестованными </w:t>
      </w:r>
      <w:r w:rsidR="0013018D">
        <w:rPr>
          <w:rFonts w:asciiTheme="majorHAnsi" w:hAnsiTheme="majorHAnsi" w:cstheme="majorHAnsi"/>
          <w:color w:val="000000" w:themeColor="text1"/>
          <w:sz w:val="24"/>
          <w:szCs w:val="24"/>
          <w:lang w:val="ru-RU"/>
        </w:rPr>
        <w:t>проектировщик</w:t>
      </w:r>
      <w:r w:rsidRPr="00B15806">
        <w:rPr>
          <w:rFonts w:asciiTheme="majorHAnsi" w:hAnsiTheme="majorHAnsi" w:cstheme="majorHAnsi"/>
          <w:color w:val="000000" w:themeColor="text1"/>
          <w:sz w:val="24"/>
          <w:szCs w:val="24"/>
          <w:lang w:val="ro-MD"/>
        </w:rPr>
        <w:t xml:space="preserve">ами, с помощью которых будет установлено, имеет ли </w:t>
      </w:r>
      <w:r w:rsidR="0013018D">
        <w:rPr>
          <w:rFonts w:asciiTheme="majorHAnsi" w:hAnsiTheme="majorHAnsi" w:cstheme="majorHAnsi"/>
          <w:color w:val="000000" w:themeColor="text1"/>
          <w:sz w:val="24"/>
          <w:szCs w:val="24"/>
          <w:lang w:val="ru-RU"/>
        </w:rPr>
        <w:t>объект</w:t>
      </w:r>
      <w:r w:rsidRPr="00B15806">
        <w:rPr>
          <w:rFonts w:asciiTheme="majorHAnsi" w:hAnsiTheme="majorHAnsi" w:cstheme="majorHAnsi"/>
          <w:color w:val="000000" w:themeColor="text1"/>
          <w:sz w:val="24"/>
          <w:szCs w:val="24"/>
          <w:lang w:val="ro-MD"/>
        </w:rPr>
        <w:t xml:space="preserve"> сейсмическое сопротивление 8 градусов, учитывая, что для объектов особой важности </w:t>
      </w:r>
      <w:r w:rsidR="005A0116">
        <w:rPr>
          <w:rFonts w:asciiTheme="majorHAnsi" w:hAnsiTheme="majorHAnsi" w:cstheme="majorHAnsi"/>
          <w:color w:val="000000" w:themeColor="text1"/>
          <w:sz w:val="24"/>
          <w:szCs w:val="24"/>
          <w:lang w:val="ru-RU"/>
        </w:rPr>
        <w:t>расчет</w:t>
      </w:r>
      <w:r w:rsidRPr="00B15806">
        <w:rPr>
          <w:rFonts w:asciiTheme="majorHAnsi" w:hAnsiTheme="majorHAnsi" w:cstheme="majorHAnsi"/>
          <w:color w:val="000000" w:themeColor="text1"/>
          <w:sz w:val="24"/>
          <w:szCs w:val="24"/>
          <w:lang w:val="ro-MD"/>
        </w:rPr>
        <w:t>ная сейсмичность увеличивается на одну степень. Впоследствии другие конкретные действия не были предприняты</w:t>
      </w:r>
      <w:r w:rsidR="00B652B1" w:rsidRPr="00B13B9A">
        <w:rPr>
          <w:rFonts w:asciiTheme="majorHAnsi" w:hAnsiTheme="majorHAnsi" w:cstheme="majorHAnsi"/>
          <w:color w:val="000000" w:themeColor="text1"/>
          <w:sz w:val="24"/>
          <w:szCs w:val="24"/>
          <w:lang w:val="ro-MD"/>
        </w:rPr>
        <w:t>.</w:t>
      </w:r>
    </w:p>
    <w:p w14:paraId="597B4A93" w14:textId="2550F09D" w:rsidR="00B15806" w:rsidRPr="00B15806" w:rsidRDefault="00B15806" w:rsidP="00B15806">
      <w:pPr>
        <w:pStyle w:val="a7"/>
        <w:spacing w:after="0" w:line="276" w:lineRule="auto"/>
        <w:ind w:left="0"/>
        <w:jc w:val="both"/>
        <w:rPr>
          <w:rFonts w:asciiTheme="majorHAnsi" w:hAnsiTheme="majorHAnsi" w:cstheme="majorHAnsi"/>
          <w:color w:val="000000" w:themeColor="text1"/>
          <w:sz w:val="24"/>
          <w:szCs w:val="24"/>
          <w:lang w:val="ro-MD"/>
        </w:rPr>
      </w:pPr>
      <w:r w:rsidRPr="00B15806">
        <w:rPr>
          <w:rFonts w:asciiTheme="majorHAnsi" w:hAnsiTheme="majorHAnsi" w:cstheme="majorHAnsi"/>
          <w:color w:val="000000" w:themeColor="text1"/>
          <w:sz w:val="24"/>
          <w:szCs w:val="24"/>
          <w:lang w:val="ro-MD"/>
        </w:rPr>
        <w:t xml:space="preserve">Следует отметить, что в августе 2023 г. </w:t>
      </w:r>
      <w:r w:rsidR="00104556">
        <w:rPr>
          <w:rFonts w:asciiTheme="majorHAnsi" w:hAnsiTheme="majorHAnsi" w:cstheme="majorHAnsi"/>
          <w:color w:val="000000" w:themeColor="text1"/>
          <w:sz w:val="24"/>
          <w:szCs w:val="24"/>
          <w:lang w:val="ro-MD"/>
        </w:rPr>
        <w:t>ПМСУ</w:t>
      </w:r>
      <w:r w:rsidRPr="00B15806">
        <w:rPr>
          <w:rFonts w:asciiTheme="majorHAnsi" w:hAnsiTheme="majorHAnsi" w:cstheme="majorHAnsi"/>
          <w:color w:val="000000" w:themeColor="text1"/>
          <w:sz w:val="24"/>
          <w:szCs w:val="24"/>
          <w:lang w:val="ro-MD"/>
        </w:rPr>
        <w:t xml:space="preserve"> ИФП „Кирилл Драганюк” </w:t>
      </w:r>
      <w:r w:rsidR="005A0116">
        <w:rPr>
          <w:rFonts w:asciiTheme="majorHAnsi" w:hAnsiTheme="majorHAnsi" w:cstheme="majorHAnsi"/>
          <w:color w:val="000000" w:themeColor="text1"/>
          <w:sz w:val="24"/>
          <w:szCs w:val="24"/>
          <w:lang w:val="ru-RU"/>
        </w:rPr>
        <w:t>направи</w:t>
      </w:r>
      <w:r w:rsidRPr="00B15806">
        <w:rPr>
          <w:rFonts w:asciiTheme="majorHAnsi" w:hAnsiTheme="majorHAnsi" w:cstheme="majorHAnsi"/>
          <w:color w:val="000000" w:themeColor="text1"/>
          <w:sz w:val="24"/>
          <w:szCs w:val="24"/>
          <w:lang w:val="ro-MD"/>
        </w:rPr>
        <w:t>л</w:t>
      </w:r>
      <w:r w:rsidR="005A0116">
        <w:rPr>
          <w:rFonts w:asciiTheme="majorHAnsi" w:hAnsiTheme="majorHAnsi" w:cstheme="majorHAnsi"/>
          <w:color w:val="000000" w:themeColor="text1"/>
          <w:sz w:val="24"/>
          <w:szCs w:val="24"/>
          <w:lang w:val="ru-RU"/>
        </w:rPr>
        <w:t>о</w:t>
      </w:r>
      <w:r w:rsidRPr="00B15806">
        <w:rPr>
          <w:rFonts w:asciiTheme="majorHAnsi" w:hAnsiTheme="majorHAnsi" w:cstheme="majorHAnsi"/>
          <w:color w:val="000000" w:themeColor="text1"/>
          <w:sz w:val="24"/>
          <w:szCs w:val="24"/>
          <w:lang w:val="ro-MD"/>
        </w:rPr>
        <w:t xml:space="preserve"> все первичные и подтверждающие документы по проекту реконструкции </w:t>
      </w:r>
      <w:r w:rsidR="005A0116">
        <w:rPr>
          <w:rFonts w:asciiTheme="majorHAnsi" w:hAnsiTheme="majorHAnsi" w:cstheme="majorHAnsi"/>
          <w:color w:val="000000" w:themeColor="text1"/>
          <w:sz w:val="24"/>
          <w:szCs w:val="24"/>
          <w:lang w:val="ru-RU"/>
        </w:rPr>
        <w:t>Л</w:t>
      </w:r>
      <w:r w:rsidRPr="00B15806">
        <w:rPr>
          <w:rFonts w:asciiTheme="majorHAnsi" w:hAnsiTheme="majorHAnsi" w:cstheme="majorHAnsi"/>
          <w:color w:val="000000" w:themeColor="text1"/>
          <w:sz w:val="24"/>
          <w:szCs w:val="24"/>
          <w:lang w:val="ro-MD"/>
        </w:rPr>
        <w:t xml:space="preserve">ечебного </w:t>
      </w:r>
      <w:r w:rsidR="009A5A63">
        <w:rPr>
          <w:rFonts w:asciiTheme="majorHAnsi" w:hAnsiTheme="majorHAnsi" w:cstheme="majorHAnsi"/>
          <w:color w:val="000000" w:themeColor="text1"/>
          <w:sz w:val="24"/>
          <w:szCs w:val="24"/>
          <w:lang w:val="ro-MD"/>
        </w:rPr>
        <w:t>корпуса</w:t>
      </w:r>
      <w:r w:rsidR="005A0116">
        <w:rPr>
          <w:rFonts w:asciiTheme="majorHAnsi" w:hAnsiTheme="majorHAnsi" w:cstheme="majorHAnsi"/>
          <w:color w:val="000000" w:themeColor="text1"/>
          <w:sz w:val="24"/>
          <w:szCs w:val="24"/>
          <w:lang w:val="ro-MD"/>
        </w:rPr>
        <w:t xml:space="preserve"> №</w:t>
      </w:r>
      <w:r w:rsidRPr="00B15806">
        <w:rPr>
          <w:rFonts w:asciiTheme="majorHAnsi" w:hAnsiTheme="majorHAnsi" w:cstheme="majorHAnsi"/>
          <w:color w:val="000000" w:themeColor="text1"/>
          <w:sz w:val="24"/>
          <w:szCs w:val="24"/>
          <w:lang w:val="ro-MD"/>
        </w:rPr>
        <w:t>2 Клиник</w:t>
      </w:r>
      <w:r w:rsidR="005A0116">
        <w:rPr>
          <w:rFonts w:asciiTheme="majorHAnsi" w:hAnsiTheme="majorHAnsi" w:cstheme="majorHAnsi"/>
          <w:color w:val="000000" w:themeColor="text1"/>
          <w:sz w:val="24"/>
          <w:szCs w:val="24"/>
          <w:lang w:val="ru-RU"/>
        </w:rPr>
        <w:t>и</w:t>
      </w:r>
      <w:r w:rsidRPr="00B15806">
        <w:rPr>
          <w:rFonts w:asciiTheme="majorHAnsi" w:hAnsiTheme="majorHAnsi" w:cstheme="majorHAnsi"/>
          <w:color w:val="000000" w:themeColor="text1"/>
          <w:sz w:val="24"/>
          <w:szCs w:val="24"/>
          <w:lang w:val="ro-MD"/>
        </w:rPr>
        <w:t xml:space="preserve"> Ворничень Национальном</w:t>
      </w:r>
      <w:r w:rsidR="005A0116">
        <w:rPr>
          <w:rFonts w:asciiTheme="majorHAnsi" w:hAnsiTheme="majorHAnsi" w:cstheme="majorHAnsi"/>
          <w:color w:val="000000" w:themeColor="text1"/>
          <w:sz w:val="24"/>
          <w:szCs w:val="24"/>
          <w:lang w:val="ru-RU"/>
        </w:rPr>
        <w:t>у</w:t>
      </w:r>
      <w:r w:rsidRPr="00B15806">
        <w:rPr>
          <w:rFonts w:asciiTheme="majorHAnsi" w:hAnsiTheme="majorHAnsi" w:cstheme="majorHAnsi"/>
          <w:color w:val="000000" w:themeColor="text1"/>
          <w:sz w:val="24"/>
          <w:szCs w:val="24"/>
          <w:lang w:val="ro-MD"/>
        </w:rPr>
        <w:t xml:space="preserve"> центр</w:t>
      </w:r>
      <w:r w:rsidR="005A0116">
        <w:rPr>
          <w:rFonts w:asciiTheme="majorHAnsi" w:hAnsiTheme="majorHAnsi" w:cstheme="majorHAnsi"/>
          <w:color w:val="000000" w:themeColor="text1"/>
          <w:sz w:val="24"/>
          <w:szCs w:val="24"/>
          <w:lang w:val="ru-RU"/>
        </w:rPr>
        <w:t>у</w:t>
      </w:r>
      <w:r w:rsidRPr="00B15806">
        <w:rPr>
          <w:rFonts w:asciiTheme="majorHAnsi" w:hAnsiTheme="majorHAnsi" w:cstheme="majorHAnsi"/>
          <w:color w:val="000000" w:themeColor="text1"/>
          <w:sz w:val="24"/>
          <w:szCs w:val="24"/>
          <w:lang w:val="ro-MD"/>
        </w:rPr>
        <w:t xml:space="preserve"> по борьбе с коррупцией, для рассмотрения предполагаемых незаконных действий лиц, принимающих решения </w:t>
      </w:r>
      <w:r w:rsidR="005A0116">
        <w:rPr>
          <w:rFonts w:asciiTheme="majorHAnsi" w:hAnsiTheme="majorHAnsi" w:cstheme="majorHAnsi"/>
          <w:color w:val="000000" w:themeColor="text1"/>
          <w:sz w:val="24"/>
          <w:szCs w:val="24"/>
          <w:lang w:val="ru-RU"/>
        </w:rPr>
        <w:t>в рамках</w:t>
      </w:r>
      <w:r w:rsidRPr="00B15806">
        <w:rPr>
          <w:rFonts w:asciiTheme="majorHAnsi" w:hAnsiTheme="majorHAnsi" w:cstheme="majorHAnsi"/>
          <w:color w:val="000000" w:themeColor="text1"/>
          <w:sz w:val="24"/>
          <w:szCs w:val="24"/>
          <w:lang w:val="ro-MD"/>
        </w:rPr>
        <w:t xml:space="preserve"> Министерств</w:t>
      </w:r>
      <w:r w:rsidR="005A0116">
        <w:rPr>
          <w:rFonts w:asciiTheme="majorHAnsi" w:hAnsiTheme="majorHAnsi" w:cstheme="majorHAnsi"/>
          <w:color w:val="000000" w:themeColor="text1"/>
          <w:sz w:val="24"/>
          <w:szCs w:val="24"/>
          <w:lang w:val="ru-RU"/>
        </w:rPr>
        <w:t>а</w:t>
      </w:r>
      <w:r w:rsidRPr="00B15806">
        <w:rPr>
          <w:rFonts w:asciiTheme="majorHAnsi" w:hAnsiTheme="majorHAnsi" w:cstheme="majorHAnsi"/>
          <w:color w:val="000000" w:themeColor="text1"/>
          <w:sz w:val="24"/>
          <w:szCs w:val="24"/>
          <w:lang w:val="ro-MD"/>
        </w:rPr>
        <w:t xml:space="preserve"> здравоохранения, а также в рамках </w:t>
      </w:r>
      <w:r w:rsidR="005A0116">
        <w:rPr>
          <w:rFonts w:asciiTheme="majorHAnsi" w:hAnsiTheme="majorHAnsi" w:cstheme="majorHAnsi"/>
          <w:color w:val="000000" w:themeColor="text1"/>
          <w:sz w:val="24"/>
          <w:szCs w:val="24"/>
          <w:lang w:val="ru-RU"/>
        </w:rPr>
        <w:t>АО</w:t>
      </w:r>
      <w:r w:rsidR="005A0116" w:rsidRPr="00B13B9A">
        <w:rPr>
          <w:rFonts w:asciiTheme="majorHAnsi" w:hAnsiTheme="majorHAnsi" w:cstheme="majorHAnsi"/>
          <w:color w:val="000000" w:themeColor="text1"/>
          <w:sz w:val="24"/>
          <w:szCs w:val="24"/>
          <w:lang w:val="ro-MD"/>
        </w:rPr>
        <w:t xml:space="preserve"> „Monolit”</w:t>
      </w:r>
      <w:r w:rsidRPr="00B15806">
        <w:rPr>
          <w:rFonts w:asciiTheme="majorHAnsi" w:hAnsiTheme="majorHAnsi" w:cstheme="majorHAnsi"/>
          <w:color w:val="000000" w:themeColor="text1"/>
          <w:sz w:val="24"/>
          <w:szCs w:val="24"/>
          <w:lang w:val="ro-MD"/>
        </w:rPr>
        <w:t xml:space="preserve">, </w:t>
      </w:r>
      <w:r w:rsidR="005A0116">
        <w:rPr>
          <w:rFonts w:asciiTheme="majorHAnsi" w:hAnsiTheme="majorHAnsi" w:cstheme="majorHAnsi"/>
          <w:color w:val="000000" w:themeColor="text1"/>
          <w:sz w:val="24"/>
          <w:szCs w:val="24"/>
          <w:lang w:val="ru-RU"/>
        </w:rPr>
        <w:t>выраж</w:t>
      </w:r>
      <w:r w:rsidRPr="00B15806">
        <w:rPr>
          <w:rFonts w:asciiTheme="majorHAnsi" w:hAnsiTheme="majorHAnsi" w:cstheme="majorHAnsi"/>
          <w:color w:val="000000" w:themeColor="text1"/>
          <w:sz w:val="24"/>
          <w:szCs w:val="24"/>
          <w:lang w:val="ro-MD"/>
        </w:rPr>
        <w:t xml:space="preserve">енных </w:t>
      </w:r>
      <w:r w:rsidR="005A0116">
        <w:rPr>
          <w:rFonts w:asciiTheme="majorHAnsi" w:hAnsiTheme="majorHAnsi" w:cstheme="majorHAnsi"/>
          <w:color w:val="000000" w:themeColor="text1"/>
          <w:sz w:val="24"/>
          <w:szCs w:val="24"/>
          <w:lang w:val="ru-RU"/>
        </w:rPr>
        <w:t xml:space="preserve">в </w:t>
      </w:r>
      <w:r w:rsidRPr="00B15806">
        <w:rPr>
          <w:rFonts w:asciiTheme="majorHAnsi" w:hAnsiTheme="majorHAnsi" w:cstheme="majorHAnsi"/>
          <w:color w:val="000000" w:themeColor="text1"/>
          <w:sz w:val="24"/>
          <w:szCs w:val="24"/>
          <w:lang w:val="ro-MD"/>
        </w:rPr>
        <w:t>некачественн</w:t>
      </w:r>
      <w:r w:rsidR="005A0116">
        <w:rPr>
          <w:rFonts w:asciiTheme="majorHAnsi" w:hAnsiTheme="majorHAnsi" w:cstheme="majorHAnsi"/>
          <w:color w:val="000000" w:themeColor="text1"/>
          <w:sz w:val="24"/>
          <w:szCs w:val="24"/>
          <w:lang w:val="ru-RU"/>
        </w:rPr>
        <w:t>о</w:t>
      </w:r>
      <w:r w:rsidRPr="00B15806">
        <w:rPr>
          <w:rFonts w:asciiTheme="majorHAnsi" w:hAnsiTheme="majorHAnsi" w:cstheme="majorHAnsi"/>
          <w:color w:val="000000" w:themeColor="text1"/>
          <w:sz w:val="24"/>
          <w:szCs w:val="24"/>
          <w:lang w:val="ro-MD"/>
        </w:rPr>
        <w:t>м выполнени</w:t>
      </w:r>
      <w:r w:rsidR="005A0116">
        <w:rPr>
          <w:rFonts w:asciiTheme="majorHAnsi" w:hAnsiTheme="majorHAnsi" w:cstheme="majorHAnsi"/>
          <w:color w:val="000000" w:themeColor="text1"/>
          <w:sz w:val="24"/>
          <w:szCs w:val="24"/>
          <w:lang w:val="ru-RU"/>
        </w:rPr>
        <w:t>и</w:t>
      </w:r>
      <w:r w:rsidRPr="00B15806">
        <w:rPr>
          <w:rFonts w:asciiTheme="majorHAnsi" w:hAnsiTheme="majorHAnsi" w:cstheme="majorHAnsi"/>
          <w:color w:val="000000" w:themeColor="text1"/>
          <w:sz w:val="24"/>
          <w:szCs w:val="24"/>
          <w:lang w:val="ro-MD"/>
        </w:rPr>
        <w:t xml:space="preserve"> строительных работ </w:t>
      </w:r>
      <w:r w:rsidR="005A0116">
        <w:rPr>
          <w:rFonts w:asciiTheme="majorHAnsi" w:hAnsiTheme="majorHAnsi" w:cstheme="majorHAnsi"/>
          <w:color w:val="000000" w:themeColor="text1"/>
          <w:sz w:val="24"/>
          <w:szCs w:val="24"/>
          <w:lang w:val="ru-RU"/>
        </w:rPr>
        <w:t>по Л</w:t>
      </w:r>
      <w:r w:rsidRPr="00B15806">
        <w:rPr>
          <w:rFonts w:asciiTheme="majorHAnsi" w:hAnsiTheme="majorHAnsi" w:cstheme="majorHAnsi"/>
          <w:color w:val="000000" w:themeColor="text1"/>
          <w:sz w:val="24"/>
          <w:szCs w:val="24"/>
          <w:lang w:val="ro-MD"/>
        </w:rPr>
        <w:t>ечебно</w:t>
      </w:r>
      <w:r w:rsidR="005A0116">
        <w:rPr>
          <w:rFonts w:asciiTheme="majorHAnsi" w:hAnsiTheme="majorHAnsi" w:cstheme="majorHAnsi"/>
          <w:color w:val="000000" w:themeColor="text1"/>
          <w:sz w:val="24"/>
          <w:szCs w:val="24"/>
          <w:lang w:val="ru-RU"/>
        </w:rPr>
        <w:t>му</w:t>
      </w:r>
      <w:r w:rsidRPr="00B15806">
        <w:rPr>
          <w:rFonts w:asciiTheme="majorHAnsi" w:hAnsiTheme="majorHAnsi" w:cstheme="majorHAnsi"/>
          <w:color w:val="000000" w:themeColor="text1"/>
          <w:sz w:val="24"/>
          <w:szCs w:val="24"/>
          <w:lang w:val="ro-MD"/>
        </w:rPr>
        <w:t xml:space="preserve"> </w:t>
      </w:r>
      <w:r w:rsidR="009A5A63">
        <w:rPr>
          <w:rFonts w:asciiTheme="majorHAnsi" w:hAnsiTheme="majorHAnsi" w:cstheme="majorHAnsi"/>
          <w:color w:val="000000" w:themeColor="text1"/>
          <w:sz w:val="24"/>
          <w:szCs w:val="24"/>
          <w:lang w:val="ro-MD"/>
        </w:rPr>
        <w:t>корпус</w:t>
      </w:r>
      <w:r w:rsidR="005A0116">
        <w:rPr>
          <w:rFonts w:asciiTheme="majorHAnsi" w:hAnsiTheme="majorHAnsi" w:cstheme="majorHAnsi"/>
          <w:color w:val="000000" w:themeColor="text1"/>
          <w:sz w:val="24"/>
          <w:szCs w:val="24"/>
          <w:lang w:val="ru-RU"/>
        </w:rPr>
        <w:t>у</w:t>
      </w:r>
      <w:r w:rsidRPr="00B15806">
        <w:rPr>
          <w:rFonts w:asciiTheme="majorHAnsi" w:hAnsiTheme="majorHAnsi" w:cstheme="majorHAnsi"/>
          <w:color w:val="000000" w:themeColor="text1"/>
          <w:sz w:val="24"/>
          <w:szCs w:val="24"/>
          <w:lang w:val="ro-MD"/>
        </w:rPr>
        <w:t xml:space="preserve"> №2. По</w:t>
      </w:r>
      <w:r w:rsidR="005A0116">
        <w:rPr>
          <w:rFonts w:asciiTheme="majorHAnsi" w:hAnsiTheme="majorHAnsi" w:cstheme="majorHAnsi"/>
          <w:color w:val="000000" w:themeColor="text1"/>
          <w:sz w:val="24"/>
          <w:szCs w:val="24"/>
          <w:lang w:val="ru-RU"/>
        </w:rPr>
        <w:t xml:space="preserve">сле </w:t>
      </w:r>
      <w:r w:rsidRPr="00B15806">
        <w:rPr>
          <w:rFonts w:asciiTheme="majorHAnsi" w:hAnsiTheme="majorHAnsi" w:cstheme="majorHAnsi"/>
          <w:color w:val="000000" w:themeColor="text1"/>
          <w:sz w:val="24"/>
          <w:szCs w:val="24"/>
          <w:lang w:val="ro-MD"/>
        </w:rPr>
        <w:t>дат</w:t>
      </w:r>
      <w:r w:rsidR="005A0116">
        <w:rPr>
          <w:rFonts w:asciiTheme="majorHAnsi" w:hAnsiTheme="majorHAnsi" w:cstheme="majorHAnsi"/>
          <w:color w:val="000000" w:themeColor="text1"/>
          <w:sz w:val="24"/>
          <w:szCs w:val="24"/>
          <w:lang w:val="ru-RU"/>
        </w:rPr>
        <w:t>ы</w:t>
      </w:r>
      <w:r w:rsidRPr="00B15806">
        <w:rPr>
          <w:rFonts w:asciiTheme="majorHAnsi" w:hAnsiTheme="majorHAnsi" w:cstheme="majorHAnsi"/>
          <w:color w:val="000000" w:themeColor="text1"/>
          <w:sz w:val="24"/>
          <w:szCs w:val="24"/>
          <w:lang w:val="ro-MD"/>
        </w:rPr>
        <w:t xml:space="preserve"> завершения работ по реконструкции в 2014 году</w:t>
      </w:r>
      <w:r w:rsidR="005A0116">
        <w:rPr>
          <w:rFonts w:asciiTheme="majorHAnsi" w:hAnsiTheme="majorHAnsi" w:cstheme="majorHAnsi"/>
          <w:color w:val="000000" w:themeColor="text1"/>
          <w:sz w:val="24"/>
          <w:szCs w:val="24"/>
          <w:lang w:val="ru-RU"/>
        </w:rPr>
        <w:t>,</w:t>
      </w:r>
      <w:r w:rsidRPr="00B15806">
        <w:rPr>
          <w:rFonts w:asciiTheme="majorHAnsi" w:hAnsiTheme="majorHAnsi" w:cstheme="majorHAnsi"/>
          <w:color w:val="000000" w:themeColor="text1"/>
          <w:sz w:val="24"/>
          <w:szCs w:val="24"/>
          <w:lang w:val="ro-MD"/>
        </w:rPr>
        <w:t xml:space="preserve"> не был</w:t>
      </w:r>
      <w:r w:rsidR="005A0116">
        <w:rPr>
          <w:rFonts w:asciiTheme="majorHAnsi" w:hAnsiTheme="majorHAnsi" w:cstheme="majorHAnsi"/>
          <w:color w:val="000000" w:themeColor="text1"/>
          <w:sz w:val="24"/>
          <w:szCs w:val="24"/>
          <w:lang w:val="ru-RU"/>
        </w:rPr>
        <w:t>и</w:t>
      </w:r>
      <w:r w:rsidRPr="00B15806">
        <w:rPr>
          <w:rFonts w:asciiTheme="majorHAnsi" w:hAnsiTheme="majorHAnsi" w:cstheme="majorHAnsi"/>
          <w:color w:val="000000" w:themeColor="text1"/>
          <w:sz w:val="24"/>
          <w:szCs w:val="24"/>
          <w:lang w:val="ro-MD"/>
        </w:rPr>
        <w:t xml:space="preserve"> принят</w:t>
      </w:r>
      <w:r w:rsidR="005A0116">
        <w:rPr>
          <w:rFonts w:asciiTheme="majorHAnsi" w:hAnsiTheme="majorHAnsi" w:cstheme="majorHAnsi"/>
          <w:color w:val="000000" w:themeColor="text1"/>
          <w:sz w:val="24"/>
          <w:szCs w:val="24"/>
          <w:lang w:val="ru-RU"/>
        </w:rPr>
        <w:t>ы</w:t>
      </w:r>
      <w:r w:rsidRPr="00B15806">
        <w:rPr>
          <w:rFonts w:asciiTheme="majorHAnsi" w:hAnsiTheme="majorHAnsi" w:cstheme="majorHAnsi"/>
          <w:color w:val="000000" w:themeColor="text1"/>
          <w:sz w:val="24"/>
          <w:szCs w:val="24"/>
          <w:lang w:val="ro-MD"/>
        </w:rPr>
        <w:t xml:space="preserve"> </w:t>
      </w:r>
      <w:r w:rsidR="005A0116">
        <w:rPr>
          <w:rFonts w:asciiTheme="majorHAnsi" w:hAnsiTheme="majorHAnsi" w:cstheme="majorHAnsi"/>
          <w:color w:val="000000" w:themeColor="text1"/>
          <w:sz w:val="24"/>
          <w:szCs w:val="24"/>
          <w:lang w:val="ru-RU"/>
        </w:rPr>
        <w:t xml:space="preserve">никакие </w:t>
      </w:r>
      <w:r w:rsidRPr="00B15806">
        <w:rPr>
          <w:rFonts w:asciiTheme="majorHAnsi" w:hAnsiTheme="majorHAnsi" w:cstheme="majorHAnsi"/>
          <w:color w:val="000000" w:themeColor="text1"/>
          <w:sz w:val="24"/>
          <w:szCs w:val="24"/>
          <w:lang w:val="ro-MD"/>
        </w:rPr>
        <w:t xml:space="preserve">решения о сдаче в эксплуатацию объекта недвижимости. </w:t>
      </w:r>
    </w:p>
    <w:p w14:paraId="6AA72740" w14:textId="5A5B30B3" w:rsidR="00B9390C" w:rsidRPr="00B13B9A" w:rsidRDefault="005A0116" w:rsidP="00F51A54">
      <w:pPr>
        <w:pStyle w:val="a7"/>
        <w:spacing w:after="0" w:line="276" w:lineRule="auto"/>
        <w:ind w:left="0"/>
        <w:jc w:val="both"/>
        <w:rPr>
          <w:rFonts w:asciiTheme="majorHAnsi" w:hAnsiTheme="majorHAnsi" w:cstheme="majorHAnsi"/>
          <w:color w:val="000000" w:themeColor="text1"/>
          <w:sz w:val="24"/>
          <w:szCs w:val="24"/>
          <w:lang w:val="ro-MD"/>
        </w:rPr>
      </w:pPr>
      <w:r>
        <w:rPr>
          <w:rFonts w:asciiTheme="majorHAnsi" w:hAnsiTheme="majorHAnsi" w:cstheme="majorHAnsi"/>
          <w:color w:val="000000" w:themeColor="text1"/>
          <w:sz w:val="24"/>
          <w:szCs w:val="24"/>
          <w:lang w:val="ru-RU"/>
        </w:rPr>
        <w:t>Также отмеча</w:t>
      </w:r>
      <w:r w:rsidR="00B15806" w:rsidRPr="00B15806">
        <w:rPr>
          <w:rFonts w:asciiTheme="majorHAnsi" w:hAnsiTheme="majorHAnsi" w:cstheme="majorHAnsi"/>
          <w:color w:val="000000" w:themeColor="text1"/>
          <w:sz w:val="24"/>
          <w:szCs w:val="24"/>
          <w:lang w:val="ro-MD"/>
        </w:rPr>
        <w:t xml:space="preserve">ется, что </w:t>
      </w:r>
      <w:r>
        <w:rPr>
          <w:rFonts w:asciiTheme="majorHAnsi" w:hAnsiTheme="majorHAnsi" w:cstheme="majorHAnsi"/>
          <w:color w:val="000000" w:themeColor="text1"/>
          <w:sz w:val="24"/>
          <w:szCs w:val="24"/>
          <w:lang w:val="ru-RU"/>
        </w:rPr>
        <w:t xml:space="preserve">начиная </w:t>
      </w:r>
      <w:r w:rsidR="00B15806" w:rsidRPr="00B15806">
        <w:rPr>
          <w:rFonts w:asciiTheme="majorHAnsi" w:hAnsiTheme="majorHAnsi" w:cstheme="majorHAnsi"/>
          <w:color w:val="000000" w:themeColor="text1"/>
          <w:sz w:val="24"/>
          <w:szCs w:val="24"/>
          <w:lang w:val="ro-MD"/>
        </w:rPr>
        <w:t xml:space="preserve">с 2018 года Счетная палата </w:t>
      </w:r>
      <w:r>
        <w:rPr>
          <w:rFonts w:asciiTheme="majorHAnsi" w:hAnsiTheme="majorHAnsi" w:cstheme="majorHAnsi"/>
          <w:color w:val="000000" w:themeColor="text1"/>
          <w:sz w:val="24"/>
          <w:szCs w:val="24"/>
          <w:lang w:val="ru-RU"/>
        </w:rPr>
        <w:t>отмеча</w:t>
      </w:r>
      <w:r w:rsidR="00B15806" w:rsidRPr="00B15806">
        <w:rPr>
          <w:rFonts w:asciiTheme="majorHAnsi" w:hAnsiTheme="majorHAnsi" w:cstheme="majorHAnsi"/>
          <w:color w:val="000000" w:themeColor="text1"/>
          <w:sz w:val="24"/>
          <w:szCs w:val="24"/>
          <w:lang w:val="ro-MD"/>
        </w:rPr>
        <w:t xml:space="preserve">ла </w:t>
      </w:r>
      <w:r>
        <w:rPr>
          <w:rFonts w:asciiTheme="majorHAnsi" w:hAnsiTheme="majorHAnsi" w:cstheme="majorHAnsi"/>
          <w:color w:val="000000" w:themeColor="text1"/>
          <w:sz w:val="24"/>
          <w:szCs w:val="24"/>
          <w:lang w:val="ru-RU"/>
        </w:rPr>
        <w:t>вопрос, касающийся ненадлежащего менеджмента</w:t>
      </w:r>
      <w:r w:rsidR="00B15806" w:rsidRPr="00B15806">
        <w:rPr>
          <w:rFonts w:asciiTheme="majorHAnsi" w:hAnsiTheme="majorHAnsi" w:cstheme="majorHAnsi"/>
          <w:color w:val="000000" w:themeColor="text1"/>
          <w:sz w:val="24"/>
          <w:szCs w:val="24"/>
          <w:lang w:val="ro-MD"/>
        </w:rPr>
        <w:t xml:space="preserve"> инвестици</w:t>
      </w:r>
      <w:r>
        <w:rPr>
          <w:rFonts w:asciiTheme="majorHAnsi" w:hAnsiTheme="majorHAnsi" w:cstheme="majorHAnsi"/>
          <w:color w:val="000000" w:themeColor="text1"/>
          <w:sz w:val="24"/>
          <w:szCs w:val="24"/>
          <w:lang w:val="ru-RU"/>
        </w:rPr>
        <w:t>й</w:t>
      </w:r>
      <w:r w:rsidR="00B15806" w:rsidRPr="00B15806">
        <w:rPr>
          <w:rFonts w:asciiTheme="majorHAnsi" w:hAnsiTheme="majorHAnsi" w:cstheme="majorHAnsi"/>
          <w:color w:val="000000" w:themeColor="text1"/>
          <w:sz w:val="24"/>
          <w:szCs w:val="24"/>
          <w:lang w:val="ro-MD"/>
        </w:rPr>
        <w:t xml:space="preserve"> в </w:t>
      </w:r>
      <w:r>
        <w:rPr>
          <w:rFonts w:asciiTheme="majorHAnsi" w:hAnsiTheme="majorHAnsi" w:cstheme="majorHAnsi"/>
          <w:color w:val="000000" w:themeColor="text1"/>
          <w:sz w:val="24"/>
          <w:szCs w:val="24"/>
          <w:lang w:val="ru-RU"/>
        </w:rPr>
        <w:t>Л</w:t>
      </w:r>
      <w:r w:rsidR="00B15806" w:rsidRPr="00B15806">
        <w:rPr>
          <w:rFonts w:asciiTheme="majorHAnsi" w:hAnsiTheme="majorHAnsi" w:cstheme="majorHAnsi"/>
          <w:color w:val="000000" w:themeColor="text1"/>
          <w:sz w:val="24"/>
          <w:szCs w:val="24"/>
          <w:lang w:val="ro-MD"/>
        </w:rPr>
        <w:t xml:space="preserve">ечебный </w:t>
      </w:r>
      <w:r w:rsidR="009A5A63">
        <w:rPr>
          <w:rFonts w:asciiTheme="majorHAnsi" w:hAnsiTheme="majorHAnsi" w:cstheme="majorHAnsi"/>
          <w:color w:val="000000" w:themeColor="text1"/>
          <w:sz w:val="24"/>
          <w:szCs w:val="24"/>
          <w:lang w:val="ro-MD"/>
        </w:rPr>
        <w:t>корпус</w:t>
      </w:r>
      <w:r w:rsidR="00B15806" w:rsidRPr="00B15806">
        <w:rPr>
          <w:rFonts w:asciiTheme="majorHAnsi" w:hAnsiTheme="majorHAnsi" w:cstheme="majorHAnsi"/>
          <w:color w:val="000000" w:themeColor="text1"/>
          <w:sz w:val="24"/>
          <w:szCs w:val="24"/>
          <w:lang w:val="ro-MD"/>
        </w:rPr>
        <w:t xml:space="preserve"> №2 </w:t>
      </w:r>
      <w:r w:rsidR="00400E8D">
        <w:rPr>
          <w:rFonts w:asciiTheme="majorHAnsi" w:hAnsiTheme="majorHAnsi" w:cstheme="majorHAnsi"/>
          <w:color w:val="000000" w:themeColor="text1"/>
          <w:sz w:val="24"/>
          <w:szCs w:val="24"/>
          <w:lang w:val="ro-MD"/>
        </w:rPr>
        <w:t>ПМСУ ИФП</w:t>
      </w:r>
      <w:r w:rsidR="00B15806" w:rsidRPr="00B15806">
        <w:rPr>
          <w:rFonts w:asciiTheme="majorHAnsi" w:hAnsiTheme="majorHAnsi" w:cstheme="majorHAnsi"/>
          <w:color w:val="000000" w:themeColor="text1"/>
          <w:sz w:val="24"/>
          <w:szCs w:val="24"/>
          <w:lang w:val="ro-MD"/>
        </w:rPr>
        <w:t xml:space="preserve"> </w:t>
      </w:r>
      <w:r w:rsidR="00AC00D0">
        <w:rPr>
          <w:rFonts w:asciiTheme="majorHAnsi" w:hAnsiTheme="majorHAnsi" w:cstheme="majorHAnsi"/>
          <w:color w:val="000000" w:themeColor="text1"/>
          <w:sz w:val="24"/>
          <w:szCs w:val="24"/>
          <w:lang w:val="ro-MD"/>
        </w:rPr>
        <w:t>„</w:t>
      </w:r>
      <w:r w:rsidR="00AC00D0">
        <w:rPr>
          <w:rFonts w:asciiTheme="majorHAnsi" w:hAnsiTheme="majorHAnsi" w:cs="Calibri Light"/>
          <w:sz w:val="24"/>
          <w:szCs w:val="24"/>
          <w:lang w:val="ru-MD" w:eastAsia="ru-RU"/>
        </w:rPr>
        <w:t>Кирилл Драганюк</w:t>
      </w:r>
      <w:r w:rsidR="00F56EC1">
        <w:rPr>
          <w:rFonts w:asciiTheme="majorHAnsi" w:hAnsiTheme="majorHAnsi" w:cstheme="majorHAnsi"/>
          <w:color w:val="000000" w:themeColor="text1"/>
          <w:sz w:val="24"/>
          <w:szCs w:val="24"/>
          <w:lang w:val="ro-MD"/>
        </w:rPr>
        <w:t>”</w:t>
      </w:r>
      <w:r w:rsidR="00B15806" w:rsidRPr="00B15806">
        <w:rPr>
          <w:rFonts w:asciiTheme="majorHAnsi" w:hAnsiTheme="majorHAnsi" w:cstheme="majorHAnsi"/>
          <w:color w:val="000000" w:themeColor="text1"/>
          <w:sz w:val="24"/>
          <w:szCs w:val="24"/>
          <w:lang w:val="ro-MD"/>
        </w:rPr>
        <w:t>. Так, постановлениям</w:t>
      </w:r>
      <w:r>
        <w:rPr>
          <w:rFonts w:asciiTheme="majorHAnsi" w:hAnsiTheme="majorHAnsi" w:cstheme="majorHAnsi"/>
          <w:color w:val="000000" w:themeColor="text1"/>
          <w:sz w:val="24"/>
          <w:szCs w:val="24"/>
          <w:lang w:val="ru-RU"/>
        </w:rPr>
        <w:t>и</w:t>
      </w:r>
      <w:r w:rsidR="00B15806" w:rsidRPr="00B15806">
        <w:rPr>
          <w:rFonts w:asciiTheme="majorHAnsi" w:hAnsiTheme="majorHAnsi" w:cstheme="majorHAnsi"/>
          <w:color w:val="000000" w:themeColor="text1"/>
          <w:sz w:val="24"/>
          <w:szCs w:val="24"/>
          <w:lang w:val="ro-MD"/>
        </w:rPr>
        <w:t xml:space="preserve"> Счетной палаты ежегодно </w:t>
      </w:r>
      <w:r>
        <w:rPr>
          <w:rFonts w:asciiTheme="majorHAnsi" w:hAnsiTheme="majorHAnsi" w:cstheme="majorHAnsi"/>
          <w:color w:val="000000" w:themeColor="text1"/>
          <w:sz w:val="24"/>
          <w:szCs w:val="24"/>
          <w:lang w:val="ru-RU"/>
        </w:rPr>
        <w:t>предлагались</w:t>
      </w:r>
      <w:r w:rsidR="00B15806" w:rsidRPr="00B15806">
        <w:rPr>
          <w:rFonts w:asciiTheme="majorHAnsi" w:hAnsiTheme="majorHAnsi" w:cstheme="majorHAnsi"/>
          <w:color w:val="000000" w:themeColor="text1"/>
          <w:sz w:val="24"/>
          <w:szCs w:val="24"/>
          <w:lang w:val="ro-MD"/>
        </w:rPr>
        <w:t xml:space="preserve"> рекомендации о приняти</w:t>
      </w:r>
      <w:r>
        <w:rPr>
          <w:rFonts w:asciiTheme="majorHAnsi" w:hAnsiTheme="majorHAnsi" w:cstheme="majorHAnsi"/>
          <w:color w:val="000000" w:themeColor="text1"/>
          <w:sz w:val="24"/>
          <w:szCs w:val="24"/>
          <w:lang w:val="ru-RU"/>
        </w:rPr>
        <w:t>и</w:t>
      </w:r>
      <w:r w:rsidR="00B15806" w:rsidRPr="00B15806">
        <w:rPr>
          <w:rFonts w:asciiTheme="majorHAnsi" w:hAnsiTheme="majorHAnsi" w:cstheme="majorHAnsi"/>
          <w:color w:val="000000" w:themeColor="text1"/>
          <w:sz w:val="24"/>
          <w:szCs w:val="24"/>
          <w:lang w:val="ro-MD"/>
        </w:rPr>
        <w:t xml:space="preserve"> мер по </w:t>
      </w:r>
      <w:r>
        <w:rPr>
          <w:rFonts w:asciiTheme="majorHAnsi" w:hAnsiTheme="majorHAnsi" w:cstheme="majorHAnsi"/>
          <w:color w:val="000000" w:themeColor="text1"/>
          <w:sz w:val="24"/>
          <w:szCs w:val="24"/>
          <w:lang w:val="ru-RU"/>
        </w:rPr>
        <w:t>вы</w:t>
      </w:r>
      <w:r w:rsidR="00B15806" w:rsidRPr="00B15806">
        <w:rPr>
          <w:rFonts w:asciiTheme="majorHAnsi" w:hAnsiTheme="majorHAnsi" w:cstheme="majorHAnsi"/>
          <w:color w:val="000000" w:themeColor="text1"/>
          <w:sz w:val="24"/>
          <w:szCs w:val="24"/>
          <w:lang w:val="ro-MD"/>
        </w:rPr>
        <w:t xml:space="preserve">яснению ситуации с </w:t>
      </w:r>
      <w:r>
        <w:rPr>
          <w:rFonts w:asciiTheme="majorHAnsi" w:hAnsiTheme="majorHAnsi" w:cstheme="majorHAnsi"/>
          <w:color w:val="000000" w:themeColor="text1"/>
          <w:sz w:val="24"/>
          <w:szCs w:val="24"/>
          <w:lang w:val="ru-RU"/>
        </w:rPr>
        <w:t>Л</w:t>
      </w:r>
      <w:r w:rsidR="00B15806" w:rsidRPr="00B15806">
        <w:rPr>
          <w:rFonts w:asciiTheme="majorHAnsi" w:hAnsiTheme="majorHAnsi" w:cstheme="majorHAnsi"/>
          <w:color w:val="000000" w:themeColor="text1"/>
          <w:sz w:val="24"/>
          <w:szCs w:val="24"/>
          <w:lang w:val="ro-MD"/>
        </w:rPr>
        <w:t xml:space="preserve">ечебным </w:t>
      </w:r>
      <w:r w:rsidR="009A5A63">
        <w:rPr>
          <w:rFonts w:asciiTheme="majorHAnsi" w:hAnsiTheme="majorHAnsi" w:cstheme="majorHAnsi"/>
          <w:color w:val="000000" w:themeColor="text1"/>
          <w:sz w:val="24"/>
          <w:szCs w:val="24"/>
          <w:lang w:val="ro-MD"/>
        </w:rPr>
        <w:t>корпус</w:t>
      </w:r>
      <w:r w:rsidR="00B15806" w:rsidRPr="00B15806">
        <w:rPr>
          <w:rFonts w:asciiTheme="majorHAnsi" w:hAnsiTheme="majorHAnsi" w:cstheme="majorHAnsi"/>
          <w:color w:val="000000" w:themeColor="text1"/>
          <w:sz w:val="24"/>
          <w:szCs w:val="24"/>
          <w:lang w:val="ro-MD"/>
        </w:rPr>
        <w:t>ом №2 и определени</w:t>
      </w:r>
      <w:r w:rsidR="00237C25">
        <w:rPr>
          <w:rFonts w:asciiTheme="majorHAnsi" w:hAnsiTheme="majorHAnsi" w:cstheme="majorHAnsi"/>
          <w:color w:val="000000" w:themeColor="text1"/>
          <w:sz w:val="24"/>
          <w:szCs w:val="24"/>
          <w:lang w:val="ru-RU"/>
        </w:rPr>
        <w:t>ю</w:t>
      </w:r>
      <w:r w:rsidR="00B15806" w:rsidRPr="00B15806">
        <w:rPr>
          <w:rFonts w:asciiTheme="majorHAnsi" w:hAnsiTheme="majorHAnsi" w:cstheme="majorHAnsi"/>
          <w:color w:val="000000" w:themeColor="text1"/>
          <w:sz w:val="24"/>
          <w:szCs w:val="24"/>
          <w:lang w:val="ro-MD"/>
        </w:rPr>
        <w:t xml:space="preserve"> оптимальных решений, которые до сих пор не были выполнены</w:t>
      </w:r>
      <w:r w:rsidR="00F51A54" w:rsidRPr="00B13B9A">
        <w:rPr>
          <w:rStyle w:val="a9"/>
          <w:rFonts w:asciiTheme="majorHAnsi" w:hAnsiTheme="majorHAnsi" w:cstheme="majorHAnsi"/>
          <w:color w:val="000000" w:themeColor="text1"/>
          <w:sz w:val="24"/>
          <w:szCs w:val="24"/>
          <w:lang w:val="ro-MD"/>
        </w:rPr>
        <w:footnoteReference w:id="35"/>
      </w:r>
      <w:r w:rsidR="00B9390C" w:rsidRPr="00B13B9A">
        <w:rPr>
          <w:rFonts w:asciiTheme="majorHAnsi" w:hAnsiTheme="majorHAnsi" w:cstheme="majorHAnsi"/>
          <w:color w:val="000000" w:themeColor="text1"/>
          <w:sz w:val="24"/>
          <w:szCs w:val="24"/>
          <w:lang w:val="ro-MD"/>
        </w:rPr>
        <w:t>.</w:t>
      </w:r>
    </w:p>
    <w:p w14:paraId="2999A681" w14:textId="3C0A27BC" w:rsidR="00C811EF" w:rsidRDefault="00B15806" w:rsidP="00B9390C">
      <w:pPr>
        <w:pStyle w:val="cn"/>
        <w:spacing w:line="276" w:lineRule="auto"/>
        <w:ind w:right="71"/>
        <w:jc w:val="both"/>
        <w:rPr>
          <w:rFonts w:asciiTheme="majorHAnsi" w:eastAsiaTheme="minorHAnsi" w:hAnsiTheme="majorHAnsi" w:cstheme="minorHAnsi"/>
          <w:lang w:val="ro-MD" w:eastAsia="en-US"/>
        </w:rPr>
      </w:pPr>
      <w:r w:rsidRPr="006A2C5C">
        <w:rPr>
          <w:rFonts w:asciiTheme="majorHAnsi" w:eastAsiaTheme="minorHAnsi" w:hAnsiTheme="majorHAnsi" w:cstheme="minorHAnsi"/>
          <w:lang w:val="ro-MD" w:eastAsia="en-US"/>
        </w:rPr>
        <w:t xml:space="preserve">В этом смысле </w:t>
      </w:r>
      <w:r w:rsidR="006A2C5C">
        <w:rPr>
          <w:rFonts w:asciiTheme="majorHAnsi" w:eastAsiaTheme="minorHAnsi" w:hAnsiTheme="majorHAnsi" w:cstheme="minorHAnsi"/>
          <w:lang w:eastAsia="en-US"/>
        </w:rPr>
        <w:t xml:space="preserve">отношении </w:t>
      </w:r>
      <w:r w:rsidRPr="006A2C5C">
        <w:rPr>
          <w:rFonts w:asciiTheme="majorHAnsi" w:eastAsiaTheme="minorHAnsi" w:hAnsiTheme="majorHAnsi" w:cstheme="minorHAnsi"/>
          <w:lang w:val="ro-MD" w:eastAsia="en-US"/>
        </w:rPr>
        <w:t xml:space="preserve">аудит отмечает, что с течением времени неиспользуемые объекты деградируют и подвергаются риску морального износа или их потери. Так, ранее было совершено 2 кражи товаров из </w:t>
      </w:r>
      <w:r w:rsidR="006A2C5C">
        <w:rPr>
          <w:rFonts w:asciiTheme="majorHAnsi" w:eastAsiaTheme="minorHAnsi" w:hAnsiTheme="majorHAnsi" w:cstheme="minorHAnsi"/>
          <w:lang w:eastAsia="en-US"/>
        </w:rPr>
        <w:t>указанны</w:t>
      </w:r>
      <w:r w:rsidRPr="006A2C5C">
        <w:rPr>
          <w:rFonts w:asciiTheme="majorHAnsi" w:eastAsiaTheme="minorHAnsi" w:hAnsiTheme="majorHAnsi" w:cstheme="minorHAnsi"/>
          <w:lang w:val="ro-MD" w:eastAsia="en-US"/>
        </w:rPr>
        <w:t>х помещений на сумму 160,3 тыс. леев. Счетная палата</w:t>
      </w:r>
      <w:r w:rsidRPr="00B15806">
        <w:rPr>
          <w:rFonts w:asciiTheme="majorHAnsi" w:eastAsiaTheme="minorHAnsi" w:hAnsiTheme="majorHAnsi" w:cstheme="minorHAnsi"/>
          <w:lang w:val="ro-MD" w:eastAsia="en-US"/>
        </w:rPr>
        <w:t xml:space="preserve"> поддерживает ранее представленные рекомендации для обеспечения эффективности использования управляемого имущества</w:t>
      </w:r>
      <w:r w:rsidR="0092679F" w:rsidRPr="00B13B9A">
        <w:rPr>
          <w:rFonts w:asciiTheme="majorHAnsi" w:eastAsiaTheme="minorHAnsi" w:hAnsiTheme="majorHAnsi" w:cstheme="minorHAnsi"/>
          <w:lang w:val="ro-MD" w:eastAsia="en-US"/>
        </w:rPr>
        <w:t>.</w:t>
      </w:r>
    </w:p>
    <w:p w14:paraId="6CA338ED" w14:textId="77777777" w:rsidR="006A2C5C" w:rsidRPr="00B13B9A" w:rsidRDefault="006A2C5C" w:rsidP="00B9390C">
      <w:pPr>
        <w:pStyle w:val="cn"/>
        <w:spacing w:line="276" w:lineRule="auto"/>
        <w:ind w:right="71"/>
        <w:jc w:val="both"/>
        <w:rPr>
          <w:rFonts w:asciiTheme="majorHAnsi" w:eastAsiaTheme="minorHAnsi" w:hAnsiTheme="majorHAnsi" w:cstheme="minorHAnsi"/>
          <w:lang w:val="ro-MD" w:eastAsia="en-US"/>
        </w:rPr>
      </w:pPr>
    </w:p>
    <w:p w14:paraId="301194BC" w14:textId="1757CA95" w:rsidR="00C063FB" w:rsidRPr="00B13B9A" w:rsidRDefault="00872B86" w:rsidP="00FB605B">
      <w:pPr>
        <w:pStyle w:val="a7"/>
        <w:numPr>
          <w:ilvl w:val="2"/>
          <w:numId w:val="10"/>
        </w:numPr>
        <w:tabs>
          <w:tab w:val="left" w:pos="810"/>
          <w:tab w:val="left" w:pos="851"/>
        </w:tabs>
        <w:snapToGrid w:val="0"/>
        <w:spacing w:after="0" w:line="276" w:lineRule="auto"/>
        <w:ind w:left="0" w:firstLine="284"/>
        <w:jc w:val="both"/>
        <w:outlineLvl w:val="2"/>
        <w:rPr>
          <w:rFonts w:asciiTheme="majorHAnsi" w:hAnsiTheme="majorHAnsi"/>
          <w:b/>
          <w:sz w:val="24"/>
          <w:lang w:val="ro-MD"/>
        </w:rPr>
      </w:pPr>
      <w:bookmarkStart w:id="27" w:name="_Toc158317233"/>
      <w:r w:rsidRPr="00872B86">
        <w:rPr>
          <w:rFonts w:asciiTheme="majorHAnsi" w:hAnsiTheme="majorHAnsi"/>
          <w:b/>
          <w:sz w:val="24"/>
          <w:lang w:val="ro-MD"/>
        </w:rPr>
        <w:t xml:space="preserve">Долги по имуществу, полученному в </w:t>
      </w:r>
      <w:r w:rsidR="006A2C5C">
        <w:rPr>
          <w:rFonts w:asciiTheme="majorHAnsi" w:hAnsiTheme="majorHAnsi"/>
          <w:b/>
          <w:sz w:val="24"/>
          <w:lang w:val="ru-RU"/>
        </w:rPr>
        <w:t>экономическ</w:t>
      </w:r>
      <w:r w:rsidRPr="00872B86">
        <w:rPr>
          <w:rFonts w:asciiTheme="majorHAnsi" w:hAnsiTheme="majorHAnsi"/>
          <w:b/>
          <w:sz w:val="24"/>
          <w:lang w:val="ro-MD"/>
        </w:rPr>
        <w:t xml:space="preserve">ом управлении, и, соответственно, по </w:t>
      </w:r>
      <w:r w:rsidR="006A2C5C" w:rsidRPr="006A2C5C">
        <w:rPr>
          <w:rFonts w:asciiTheme="majorHAnsi" w:hAnsiTheme="majorHAnsi"/>
          <w:b/>
          <w:sz w:val="24"/>
          <w:lang w:val="ro-MD"/>
        </w:rPr>
        <w:t>имуще</w:t>
      </w:r>
      <w:r w:rsidRPr="00872B86">
        <w:rPr>
          <w:rFonts w:asciiTheme="majorHAnsi" w:hAnsiTheme="majorHAnsi"/>
          <w:b/>
          <w:sz w:val="24"/>
          <w:lang w:val="ro-MD"/>
        </w:rPr>
        <w:t xml:space="preserve">ству, полученному от государства с правом собственности, </w:t>
      </w:r>
      <w:r w:rsidR="006A2C5C" w:rsidRPr="00872B86">
        <w:rPr>
          <w:rFonts w:asciiTheme="majorHAnsi" w:hAnsiTheme="majorHAnsi"/>
          <w:b/>
          <w:sz w:val="24"/>
          <w:lang w:val="ro-MD"/>
        </w:rPr>
        <w:t>не</w:t>
      </w:r>
      <w:r w:rsidR="006A2C5C" w:rsidRPr="006A2C5C">
        <w:rPr>
          <w:rFonts w:asciiTheme="majorHAnsi" w:hAnsiTheme="majorHAnsi"/>
          <w:b/>
          <w:sz w:val="24"/>
          <w:lang w:val="ro-MD"/>
        </w:rPr>
        <w:t xml:space="preserve"> </w:t>
      </w:r>
      <w:r w:rsidRPr="00872B86">
        <w:rPr>
          <w:rFonts w:asciiTheme="majorHAnsi" w:hAnsiTheme="majorHAnsi"/>
          <w:b/>
          <w:sz w:val="24"/>
          <w:lang w:val="ro-MD"/>
        </w:rPr>
        <w:t xml:space="preserve">отражаются </w:t>
      </w:r>
      <w:r w:rsidR="006A2C5C" w:rsidRPr="006A2C5C">
        <w:rPr>
          <w:rFonts w:asciiTheme="majorHAnsi" w:hAnsiTheme="majorHAnsi"/>
          <w:b/>
          <w:sz w:val="24"/>
          <w:lang w:val="ro-MD"/>
        </w:rPr>
        <w:t xml:space="preserve">в </w:t>
      </w:r>
      <w:r w:rsidR="006A2C5C">
        <w:rPr>
          <w:rFonts w:asciiTheme="majorHAnsi" w:hAnsiTheme="majorHAnsi"/>
          <w:b/>
          <w:sz w:val="24"/>
          <w:lang w:val="ru-RU"/>
        </w:rPr>
        <w:t>установленно</w:t>
      </w:r>
      <w:r w:rsidRPr="00872B86">
        <w:rPr>
          <w:rFonts w:asciiTheme="majorHAnsi" w:hAnsiTheme="majorHAnsi"/>
          <w:b/>
          <w:sz w:val="24"/>
          <w:lang w:val="ro-MD"/>
        </w:rPr>
        <w:t xml:space="preserve">м </w:t>
      </w:r>
      <w:r w:rsidR="006A2C5C">
        <w:rPr>
          <w:rFonts w:asciiTheme="majorHAnsi" w:hAnsiTheme="majorHAnsi"/>
          <w:b/>
          <w:sz w:val="24"/>
          <w:lang w:val="ru-RU"/>
        </w:rPr>
        <w:t>порядке</w:t>
      </w:r>
      <w:r w:rsidR="00067991" w:rsidRPr="00B13B9A">
        <w:rPr>
          <w:rFonts w:asciiTheme="majorHAnsi" w:hAnsiTheme="majorHAnsi"/>
          <w:b/>
          <w:sz w:val="24"/>
          <w:lang w:val="ro-MD"/>
        </w:rPr>
        <w:t>.</w:t>
      </w:r>
      <w:bookmarkEnd w:id="27"/>
      <w:r w:rsidR="00C063FB" w:rsidRPr="00B13B9A">
        <w:rPr>
          <w:rFonts w:asciiTheme="majorHAnsi" w:hAnsiTheme="majorHAnsi"/>
          <w:b/>
          <w:sz w:val="24"/>
          <w:lang w:val="ro-MD"/>
        </w:rPr>
        <w:t xml:space="preserve"> </w:t>
      </w:r>
    </w:p>
    <w:p w14:paraId="2D83CC3C" w14:textId="756AA983" w:rsidR="00651BC8" w:rsidRPr="00B13B9A" w:rsidRDefault="00872B86" w:rsidP="00A9607D">
      <w:pPr>
        <w:spacing w:after="0" w:line="276" w:lineRule="auto"/>
        <w:jc w:val="both"/>
        <w:rPr>
          <w:rFonts w:asciiTheme="majorHAnsi" w:hAnsiTheme="majorHAnsi"/>
          <w:sz w:val="24"/>
          <w:lang w:val="ro-MD"/>
        </w:rPr>
      </w:pPr>
      <w:r w:rsidRPr="00872B86">
        <w:rPr>
          <w:rFonts w:asciiTheme="majorHAnsi" w:hAnsiTheme="majorHAnsi"/>
          <w:sz w:val="24"/>
          <w:lang w:val="ro-MD"/>
        </w:rPr>
        <w:t xml:space="preserve">С основанием </w:t>
      </w:r>
      <w:r w:rsidR="006A2C5C">
        <w:rPr>
          <w:rFonts w:asciiTheme="majorHAnsi" w:hAnsiTheme="majorHAnsi"/>
          <w:sz w:val="24"/>
          <w:lang w:val="ru-RU"/>
        </w:rPr>
        <w:t>публич</w:t>
      </w:r>
      <w:r w:rsidRPr="00872B86">
        <w:rPr>
          <w:rFonts w:asciiTheme="majorHAnsi" w:hAnsiTheme="majorHAnsi"/>
          <w:sz w:val="24"/>
          <w:lang w:val="ro-MD"/>
        </w:rPr>
        <w:t xml:space="preserve">ного медико-санитарного учреждения Институт </w:t>
      </w:r>
      <w:r w:rsidR="0045040C">
        <w:rPr>
          <w:rFonts w:asciiTheme="majorHAnsi" w:hAnsiTheme="majorHAnsi"/>
          <w:sz w:val="24"/>
          <w:lang w:val="ro-MD"/>
        </w:rPr>
        <w:t>Фтизиопульмонологии</w:t>
      </w:r>
      <w:r w:rsidRPr="00872B86">
        <w:rPr>
          <w:rFonts w:asciiTheme="majorHAnsi" w:hAnsiTheme="majorHAnsi"/>
          <w:sz w:val="24"/>
          <w:lang w:val="ro-MD"/>
        </w:rPr>
        <w:t xml:space="preserve">, </w:t>
      </w:r>
      <w:r w:rsidR="006A2C5C">
        <w:rPr>
          <w:rFonts w:asciiTheme="majorHAnsi" w:hAnsiTheme="majorHAnsi"/>
          <w:sz w:val="24"/>
          <w:lang w:val="ru-RU"/>
        </w:rPr>
        <w:t>действу</w:t>
      </w:r>
      <w:r w:rsidRPr="00872B86">
        <w:rPr>
          <w:rFonts w:asciiTheme="majorHAnsi" w:hAnsiTheme="majorHAnsi"/>
          <w:sz w:val="24"/>
          <w:lang w:val="ro-MD"/>
        </w:rPr>
        <w:t>ющего по принципу самофинансирования и некоммерческ</w:t>
      </w:r>
      <w:r w:rsidR="006A2C5C">
        <w:rPr>
          <w:rFonts w:asciiTheme="majorHAnsi" w:hAnsiTheme="majorHAnsi"/>
          <w:sz w:val="24"/>
          <w:lang w:val="ru-RU"/>
        </w:rPr>
        <w:t>ой</w:t>
      </w:r>
      <w:r w:rsidRPr="00872B86">
        <w:rPr>
          <w:rFonts w:asciiTheme="majorHAnsi" w:hAnsiTheme="majorHAnsi"/>
          <w:sz w:val="24"/>
          <w:lang w:val="ro-MD"/>
        </w:rPr>
        <w:t xml:space="preserve"> </w:t>
      </w:r>
      <w:r w:rsidR="006A2C5C">
        <w:rPr>
          <w:rFonts w:asciiTheme="majorHAnsi" w:hAnsiTheme="majorHAnsi"/>
          <w:sz w:val="24"/>
          <w:lang w:val="ru-RU"/>
        </w:rPr>
        <w:t>деятельности</w:t>
      </w:r>
      <w:r w:rsidRPr="00872B86">
        <w:rPr>
          <w:rFonts w:asciiTheme="majorHAnsi" w:hAnsiTheme="majorHAnsi"/>
          <w:sz w:val="24"/>
          <w:lang w:val="ro-MD"/>
        </w:rPr>
        <w:t xml:space="preserve">, было разработано </w:t>
      </w:r>
      <w:r w:rsidR="006A2C5C">
        <w:rPr>
          <w:rFonts w:asciiTheme="majorHAnsi" w:hAnsiTheme="majorHAnsi"/>
          <w:sz w:val="24"/>
          <w:lang w:val="ru-RU"/>
        </w:rPr>
        <w:t>много</w:t>
      </w:r>
      <w:r w:rsidRPr="00872B86">
        <w:rPr>
          <w:rFonts w:asciiTheme="majorHAnsi" w:hAnsiTheme="majorHAnsi"/>
          <w:sz w:val="24"/>
          <w:lang w:val="ro-MD"/>
        </w:rPr>
        <w:t>численное количество уставов и положений, а самое последнее положение об организации и функционировании</w:t>
      </w:r>
      <w:r w:rsidR="006A2C5C" w:rsidRPr="006A2C5C">
        <w:rPr>
          <w:rFonts w:asciiTheme="majorHAnsi" w:hAnsiTheme="majorHAnsi"/>
          <w:sz w:val="24"/>
          <w:lang w:val="ro-MD"/>
        </w:rPr>
        <w:t xml:space="preserve"> </w:t>
      </w:r>
      <w:r w:rsidR="006A2C5C" w:rsidRPr="00872B86">
        <w:rPr>
          <w:rFonts w:asciiTheme="majorHAnsi" w:hAnsiTheme="majorHAnsi"/>
          <w:sz w:val="24"/>
          <w:lang w:val="ro-MD"/>
        </w:rPr>
        <w:t>было разработано в 2023 году</w:t>
      </w:r>
      <w:r w:rsidRPr="00872B86">
        <w:rPr>
          <w:rFonts w:asciiTheme="majorHAnsi" w:hAnsiTheme="majorHAnsi"/>
          <w:sz w:val="24"/>
          <w:lang w:val="ro-MD"/>
        </w:rPr>
        <w:t xml:space="preserve">. Таким образом, в соответствии с этим </w:t>
      </w:r>
      <w:r w:rsidR="006A2C5C">
        <w:rPr>
          <w:rFonts w:asciiTheme="majorHAnsi" w:hAnsiTheme="majorHAnsi"/>
          <w:sz w:val="24"/>
          <w:lang w:val="ru-RU"/>
        </w:rPr>
        <w:t>положением,</w:t>
      </w:r>
      <w:r w:rsidRPr="00872B86">
        <w:rPr>
          <w:rFonts w:asciiTheme="majorHAnsi" w:hAnsiTheme="majorHAnsi"/>
          <w:sz w:val="24"/>
          <w:lang w:val="ro-MD"/>
        </w:rPr>
        <w:t xml:space="preserve"> учредителем </w:t>
      </w:r>
      <w:r w:rsidR="006A2C5C">
        <w:rPr>
          <w:rFonts w:asciiTheme="majorHAnsi" w:hAnsiTheme="majorHAnsi"/>
          <w:sz w:val="24"/>
          <w:lang w:val="ru-RU"/>
        </w:rPr>
        <w:t>ПМСУ</w:t>
      </w:r>
      <w:r w:rsidRPr="00872B86">
        <w:rPr>
          <w:rFonts w:asciiTheme="majorHAnsi" w:hAnsiTheme="majorHAnsi"/>
          <w:sz w:val="24"/>
          <w:lang w:val="ro-MD"/>
        </w:rPr>
        <w:t xml:space="preserve"> Институт </w:t>
      </w:r>
      <w:r w:rsidR="0045040C">
        <w:rPr>
          <w:rFonts w:asciiTheme="majorHAnsi" w:hAnsiTheme="majorHAnsi"/>
          <w:sz w:val="24"/>
          <w:lang w:val="ro-MD"/>
        </w:rPr>
        <w:t>Фтизиопульмонологии</w:t>
      </w:r>
      <w:r w:rsidRPr="00872B86">
        <w:rPr>
          <w:rFonts w:asciiTheme="majorHAnsi" w:hAnsiTheme="majorHAnsi"/>
          <w:sz w:val="24"/>
          <w:lang w:val="ro-MD"/>
        </w:rPr>
        <w:t xml:space="preserve"> им. Кирилла Драганюка является Министерство здравоохранения, а последнее имеет право передавать </w:t>
      </w:r>
      <w:r w:rsidR="006A2C5C" w:rsidRPr="006A2C5C">
        <w:rPr>
          <w:rFonts w:asciiTheme="majorHAnsi" w:hAnsiTheme="majorHAnsi"/>
          <w:sz w:val="24"/>
          <w:lang w:val="ro-MD"/>
        </w:rPr>
        <w:t>имущество</w:t>
      </w:r>
      <w:r w:rsidRPr="00872B86">
        <w:rPr>
          <w:rFonts w:asciiTheme="majorHAnsi" w:hAnsiTheme="majorHAnsi"/>
          <w:sz w:val="24"/>
          <w:lang w:val="ro-MD"/>
        </w:rPr>
        <w:t xml:space="preserve"> из своего управления в экономическое управление учреждения</w:t>
      </w:r>
      <w:r w:rsidR="006A2C5C" w:rsidRPr="006A2C5C">
        <w:rPr>
          <w:rFonts w:asciiTheme="majorHAnsi" w:hAnsiTheme="majorHAnsi"/>
          <w:sz w:val="24"/>
          <w:lang w:val="ro-MD"/>
        </w:rPr>
        <w:t>,</w:t>
      </w:r>
      <w:r w:rsidRPr="00872B86">
        <w:rPr>
          <w:rFonts w:asciiTheme="majorHAnsi" w:hAnsiTheme="majorHAnsi"/>
          <w:sz w:val="24"/>
          <w:lang w:val="ro-MD"/>
        </w:rPr>
        <w:t xml:space="preserve"> </w:t>
      </w:r>
      <w:r w:rsidR="006A2C5C" w:rsidRPr="006A2C5C">
        <w:rPr>
          <w:rFonts w:asciiTheme="majorHAnsi" w:hAnsiTheme="majorHAnsi"/>
          <w:sz w:val="24"/>
          <w:lang w:val="ro-MD"/>
        </w:rPr>
        <w:t xml:space="preserve">на основе </w:t>
      </w:r>
      <w:r w:rsidRPr="00872B86">
        <w:rPr>
          <w:rFonts w:asciiTheme="majorHAnsi" w:hAnsiTheme="majorHAnsi"/>
          <w:sz w:val="24"/>
          <w:lang w:val="ro-MD"/>
        </w:rPr>
        <w:t>договор</w:t>
      </w:r>
      <w:r w:rsidR="006A2C5C" w:rsidRPr="006A2C5C">
        <w:rPr>
          <w:rFonts w:asciiTheme="majorHAnsi" w:hAnsiTheme="majorHAnsi"/>
          <w:sz w:val="24"/>
          <w:lang w:val="ro-MD"/>
        </w:rPr>
        <w:t>а безвозмездного пользования</w:t>
      </w:r>
      <w:r w:rsidR="003E31BE" w:rsidRPr="00B13B9A">
        <w:rPr>
          <w:rFonts w:asciiTheme="majorHAnsi" w:hAnsiTheme="majorHAnsi"/>
          <w:sz w:val="24"/>
          <w:lang w:val="ro-MD"/>
        </w:rPr>
        <w:t>.</w:t>
      </w:r>
    </w:p>
    <w:p w14:paraId="343EEEC4" w14:textId="54944DE4" w:rsidR="003E31BE" w:rsidRPr="00B13B9A" w:rsidRDefault="00872B86" w:rsidP="009708AE">
      <w:pPr>
        <w:spacing w:line="276" w:lineRule="auto"/>
        <w:jc w:val="both"/>
        <w:rPr>
          <w:rFonts w:asciiTheme="majorHAnsi" w:hAnsiTheme="majorHAnsi"/>
          <w:sz w:val="24"/>
          <w:lang w:val="ro-MD"/>
        </w:rPr>
      </w:pPr>
      <w:r w:rsidRPr="00872B86">
        <w:rPr>
          <w:rFonts w:asciiTheme="majorHAnsi" w:hAnsiTheme="majorHAnsi"/>
          <w:bCs/>
          <w:sz w:val="24"/>
          <w:lang w:val="ro-MD"/>
        </w:rPr>
        <w:t xml:space="preserve">В то же время, в соответствии с </w:t>
      </w:r>
      <w:r w:rsidR="007E41F7" w:rsidRPr="007E41F7">
        <w:rPr>
          <w:rFonts w:asciiTheme="majorHAnsi" w:hAnsiTheme="majorHAnsi"/>
          <w:bCs/>
          <w:sz w:val="24"/>
          <w:lang w:val="ro-MD"/>
        </w:rPr>
        <w:t>З</w:t>
      </w:r>
      <w:r w:rsidRPr="00872B86">
        <w:rPr>
          <w:rFonts w:asciiTheme="majorHAnsi" w:hAnsiTheme="majorHAnsi"/>
          <w:bCs/>
          <w:sz w:val="24"/>
          <w:lang w:val="ro-MD"/>
        </w:rPr>
        <w:t xml:space="preserve">аконом </w:t>
      </w:r>
      <w:r w:rsidR="007E41F7" w:rsidRPr="007E41F7">
        <w:rPr>
          <w:rFonts w:asciiTheme="majorHAnsi" w:hAnsiTheme="majorHAnsi"/>
          <w:bCs/>
          <w:sz w:val="24"/>
          <w:lang w:val="ro-MD"/>
        </w:rPr>
        <w:t>о</w:t>
      </w:r>
      <w:r w:rsidRPr="00872B86">
        <w:rPr>
          <w:rFonts w:asciiTheme="majorHAnsi" w:hAnsiTheme="majorHAnsi"/>
          <w:bCs/>
          <w:sz w:val="24"/>
          <w:lang w:val="ro-MD"/>
        </w:rPr>
        <w:t xml:space="preserve"> разграничении </w:t>
      </w:r>
      <w:r w:rsidR="007E41F7" w:rsidRPr="007E41F7">
        <w:rPr>
          <w:rFonts w:asciiTheme="majorHAnsi" w:hAnsiTheme="majorHAnsi"/>
          <w:bCs/>
          <w:sz w:val="24"/>
          <w:lang w:val="ro-MD"/>
        </w:rPr>
        <w:t>публич</w:t>
      </w:r>
      <w:r w:rsidRPr="00872B86">
        <w:rPr>
          <w:rFonts w:asciiTheme="majorHAnsi" w:hAnsiTheme="majorHAnsi"/>
          <w:bCs/>
          <w:sz w:val="24"/>
          <w:lang w:val="ro-MD"/>
        </w:rPr>
        <w:t>ной собственности</w:t>
      </w:r>
      <w:r w:rsidR="007E41F7" w:rsidRPr="00B13B9A">
        <w:rPr>
          <w:rFonts w:asciiTheme="majorHAnsi" w:hAnsiTheme="majorHAnsi"/>
          <w:sz w:val="24"/>
          <w:vertAlign w:val="superscript"/>
          <w:lang w:val="ro-MD"/>
        </w:rPr>
        <w:footnoteReference w:id="36"/>
      </w:r>
      <w:r w:rsidRPr="00872B86">
        <w:rPr>
          <w:rFonts w:asciiTheme="majorHAnsi" w:hAnsiTheme="majorHAnsi"/>
          <w:bCs/>
          <w:sz w:val="24"/>
          <w:lang w:val="ro-MD"/>
        </w:rPr>
        <w:t xml:space="preserve">, </w:t>
      </w:r>
      <w:r w:rsidR="007E41F7" w:rsidRPr="007E41F7">
        <w:rPr>
          <w:rFonts w:asciiTheme="majorHAnsi" w:hAnsiTheme="majorHAnsi"/>
          <w:bCs/>
          <w:sz w:val="24"/>
          <w:lang w:val="ro-MD"/>
        </w:rPr>
        <w:t>к публичной сфере государства относятся</w:t>
      </w:r>
      <w:r w:rsidRPr="00872B86">
        <w:rPr>
          <w:rFonts w:asciiTheme="majorHAnsi" w:hAnsiTheme="majorHAnsi"/>
          <w:bCs/>
          <w:sz w:val="24"/>
          <w:lang w:val="ro-MD"/>
        </w:rPr>
        <w:t xml:space="preserve"> </w:t>
      </w:r>
      <w:r w:rsidR="007E41F7" w:rsidRPr="007E41F7">
        <w:rPr>
          <w:rFonts w:asciiTheme="majorHAnsi" w:hAnsiTheme="majorHAnsi"/>
          <w:bCs/>
          <w:sz w:val="24"/>
          <w:lang w:val="ro-MD"/>
        </w:rPr>
        <w:t>здания, включая отдельные строения, и земли публичной собственности государства, в которых/на которых осуществляют свою деятельность</w:t>
      </w:r>
      <w:r w:rsidRPr="00872B86">
        <w:rPr>
          <w:rFonts w:asciiTheme="majorHAnsi" w:hAnsiTheme="majorHAnsi"/>
          <w:bCs/>
          <w:sz w:val="24"/>
          <w:lang w:val="ro-MD"/>
        </w:rPr>
        <w:t xml:space="preserve"> </w:t>
      </w:r>
      <w:r w:rsidR="007E41F7" w:rsidRPr="007E41F7">
        <w:rPr>
          <w:rFonts w:asciiTheme="majorHAnsi" w:hAnsiTheme="majorHAnsi"/>
          <w:bCs/>
          <w:sz w:val="24"/>
          <w:lang w:val="ro-MD"/>
        </w:rPr>
        <w:t>публич</w:t>
      </w:r>
      <w:r w:rsidRPr="00872B86">
        <w:rPr>
          <w:rFonts w:asciiTheme="majorHAnsi" w:hAnsiTheme="majorHAnsi"/>
          <w:bCs/>
          <w:sz w:val="24"/>
          <w:lang w:val="ro-MD"/>
        </w:rPr>
        <w:t xml:space="preserve">ные учреждения </w:t>
      </w:r>
      <w:r w:rsidR="007E41F7" w:rsidRPr="007E41F7">
        <w:rPr>
          <w:rFonts w:asciiTheme="majorHAnsi" w:hAnsiTheme="majorHAnsi"/>
          <w:bCs/>
          <w:sz w:val="24"/>
          <w:lang w:val="ro-MD"/>
        </w:rPr>
        <w:t>на</w:t>
      </w:r>
      <w:r w:rsidRPr="00872B86">
        <w:rPr>
          <w:rFonts w:asciiTheme="majorHAnsi" w:hAnsiTheme="majorHAnsi"/>
          <w:bCs/>
          <w:sz w:val="24"/>
          <w:lang w:val="ro-MD"/>
        </w:rPr>
        <w:t xml:space="preserve"> само</w:t>
      </w:r>
      <w:r w:rsidR="007E41F7" w:rsidRPr="007E41F7">
        <w:rPr>
          <w:rFonts w:asciiTheme="majorHAnsi" w:hAnsiTheme="majorHAnsi"/>
          <w:bCs/>
          <w:sz w:val="24"/>
          <w:lang w:val="ro-MD"/>
        </w:rPr>
        <w:t>финансировании</w:t>
      </w:r>
      <w:r w:rsidRPr="00872B86">
        <w:rPr>
          <w:rFonts w:asciiTheme="majorHAnsi" w:hAnsiTheme="majorHAnsi"/>
          <w:bCs/>
          <w:sz w:val="24"/>
          <w:lang w:val="ro-MD"/>
        </w:rPr>
        <w:t xml:space="preserve">, </w:t>
      </w:r>
      <w:r w:rsidR="007E41F7" w:rsidRPr="007E41F7">
        <w:rPr>
          <w:rFonts w:asciiTheme="majorHAnsi" w:hAnsiTheme="majorHAnsi"/>
          <w:bCs/>
          <w:sz w:val="24"/>
          <w:lang w:val="ro-MD"/>
        </w:rPr>
        <w:t xml:space="preserve">находящиеся в </w:t>
      </w:r>
      <w:r w:rsidRPr="00872B86">
        <w:rPr>
          <w:rFonts w:asciiTheme="majorHAnsi" w:hAnsiTheme="majorHAnsi"/>
          <w:bCs/>
          <w:sz w:val="24"/>
          <w:lang w:val="ro-MD"/>
        </w:rPr>
        <w:t>подчинен</w:t>
      </w:r>
      <w:r w:rsidR="007E41F7" w:rsidRPr="007E41F7">
        <w:rPr>
          <w:rFonts w:asciiTheme="majorHAnsi" w:hAnsiTheme="majorHAnsi"/>
          <w:bCs/>
          <w:sz w:val="24"/>
          <w:lang w:val="ro-MD"/>
        </w:rPr>
        <w:t>ии</w:t>
      </w:r>
      <w:r w:rsidRPr="00872B86">
        <w:rPr>
          <w:rFonts w:asciiTheme="majorHAnsi" w:hAnsiTheme="majorHAnsi"/>
          <w:bCs/>
          <w:sz w:val="24"/>
          <w:lang w:val="ro-MD"/>
        </w:rPr>
        <w:t xml:space="preserve"> министерств, и эт</w:t>
      </w:r>
      <w:r w:rsidR="007E41F7" w:rsidRPr="007E41F7">
        <w:rPr>
          <w:rFonts w:asciiTheme="majorHAnsi" w:hAnsiTheme="majorHAnsi"/>
          <w:bCs/>
          <w:sz w:val="24"/>
          <w:lang w:val="ro-MD"/>
        </w:rPr>
        <w:t>о</w:t>
      </w:r>
      <w:r w:rsidRPr="00872B86">
        <w:rPr>
          <w:rFonts w:asciiTheme="majorHAnsi" w:hAnsiTheme="majorHAnsi"/>
          <w:bCs/>
          <w:sz w:val="24"/>
          <w:lang w:val="ro-MD"/>
        </w:rPr>
        <w:t xml:space="preserve"> </w:t>
      </w:r>
      <w:r w:rsidR="007E41F7" w:rsidRPr="007E41F7">
        <w:rPr>
          <w:rFonts w:asciiTheme="majorHAnsi" w:hAnsiTheme="majorHAnsi"/>
          <w:bCs/>
          <w:sz w:val="24"/>
          <w:lang w:val="ro-MD"/>
        </w:rPr>
        <w:t>имущество не может быть отчуждено и на которое не может быть обращено взыскание, к нему не применяется срок исковой давности и гражданский оборот этого имущества ограничивается согласно закону</w:t>
      </w:r>
      <w:r w:rsidR="00A9607D" w:rsidRPr="00B13B9A">
        <w:rPr>
          <w:rFonts w:asciiTheme="majorHAnsi" w:hAnsiTheme="majorHAnsi"/>
          <w:sz w:val="24"/>
          <w:vertAlign w:val="superscript"/>
          <w:lang w:val="ro-MD"/>
        </w:rPr>
        <w:footnoteReference w:id="37"/>
      </w:r>
      <w:r w:rsidR="00A9607D" w:rsidRPr="00B13B9A">
        <w:rPr>
          <w:rFonts w:asciiTheme="majorHAnsi" w:hAnsiTheme="majorHAnsi"/>
          <w:sz w:val="24"/>
          <w:lang w:val="ro-MD"/>
        </w:rPr>
        <w:t>.</w:t>
      </w:r>
    </w:p>
    <w:p w14:paraId="6D5AAE4A" w14:textId="46725A77" w:rsidR="004477EB" w:rsidRPr="00B13B9A" w:rsidRDefault="00872B86" w:rsidP="004477EB">
      <w:pPr>
        <w:spacing w:after="0" w:line="276" w:lineRule="auto"/>
        <w:jc w:val="both"/>
        <w:rPr>
          <w:rFonts w:asciiTheme="majorHAnsi" w:hAnsiTheme="majorHAnsi"/>
          <w:sz w:val="24"/>
          <w:lang w:val="ro-MD"/>
        </w:rPr>
      </w:pPr>
      <w:r w:rsidRPr="00872B86">
        <w:rPr>
          <w:rFonts w:asciiTheme="majorHAnsi" w:hAnsiTheme="majorHAnsi"/>
          <w:sz w:val="24"/>
          <w:lang w:val="ro-MD"/>
        </w:rPr>
        <w:t xml:space="preserve">Таким образом, отмечается, что </w:t>
      </w:r>
      <w:r w:rsidR="00744F21" w:rsidRPr="00744F21">
        <w:rPr>
          <w:rFonts w:asciiTheme="majorHAnsi" w:hAnsiTheme="majorHAnsi"/>
          <w:sz w:val="24"/>
          <w:lang w:val="ro-MD"/>
        </w:rPr>
        <w:t>на протяжении</w:t>
      </w:r>
      <w:r w:rsidRPr="00872B86">
        <w:rPr>
          <w:rFonts w:asciiTheme="majorHAnsi" w:hAnsiTheme="majorHAnsi"/>
          <w:sz w:val="24"/>
          <w:lang w:val="ro-MD"/>
        </w:rPr>
        <w:t xml:space="preserve"> 20 лет обязательства по имуществу, полученному в хозяйственном управлении</w:t>
      </w:r>
      <w:r w:rsidR="00744F21" w:rsidRPr="00744F21">
        <w:rPr>
          <w:rFonts w:asciiTheme="majorHAnsi" w:hAnsiTheme="majorHAnsi"/>
          <w:sz w:val="24"/>
          <w:lang w:val="ro-MD"/>
        </w:rPr>
        <w:t>,</w:t>
      </w:r>
      <w:r w:rsidRPr="00872B86">
        <w:rPr>
          <w:rFonts w:asciiTheme="majorHAnsi" w:hAnsiTheme="majorHAnsi"/>
          <w:sz w:val="24"/>
          <w:lang w:val="ro-MD"/>
        </w:rPr>
        <w:t xml:space="preserve"> и</w:t>
      </w:r>
      <w:r w:rsidR="00744F21" w:rsidRPr="00744F21">
        <w:rPr>
          <w:rFonts w:asciiTheme="majorHAnsi" w:hAnsiTheme="majorHAnsi"/>
          <w:sz w:val="24"/>
          <w:lang w:val="ro-MD"/>
        </w:rPr>
        <w:t>,</w:t>
      </w:r>
      <w:r w:rsidRPr="00872B86">
        <w:rPr>
          <w:rFonts w:asciiTheme="majorHAnsi" w:hAnsiTheme="majorHAnsi"/>
          <w:sz w:val="24"/>
          <w:lang w:val="ro-MD"/>
        </w:rPr>
        <w:t xml:space="preserve"> </w:t>
      </w:r>
      <w:r w:rsidR="00744F21" w:rsidRPr="00744F21">
        <w:rPr>
          <w:rFonts w:asciiTheme="majorHAnsi" w:hAnsiTheme="majorHAnsi"/>
          <w:sz w:val="24"/>
          <w:lang w:val="ro-MD"/>
        </w:rPr>
        <w:t>соответственно, по</w:t>
      </w:r>
      <w:r w:rsidRPr="00872B86">
        <w:rPr>
          <w:rFonts w:asciiTheme="majorHAnsi" w:hAnsiTheme="majorHAnsi"/>
          <w:sz w:val="24"/>
          <w:lang w:val="ro-MD"/>
        </w:rPr>
        <w:t xml:space="preserve"> имуществ</w:t>
      </w:r>
      <w:r w:rsidR="00744F21" w:rsidRPr="00744F21">
        <w:rPr>
          <w:rFonts w:asciiTheme="majorHAnsi" w:hAnsiTheme="majorHAnsi"/>
          <w:sz w:val="24"/>
          <w:lang w:val="ro-MD"/>
        </w:rPr>
        <w:t>у</w:t>
      </w:r>
      <w:r w:rsidRPr="00872B86">
        <w:rPr>
          <w:rFonts w:asciiTheme="majorHAnsi" w:hAnsiTheme="majorHAnsi"/>
          <w:sz w:val="24"/>
          <w:lang w:val="ro-MD"/>
        </w:rPr>
        <w:t>, полученн</w:t>
      </w:r>
      <w:r w:rsidR="00744F21" w:rsidRPr="00744F21">
        <w:rPr>
          <w:rFonts w:asciiTheme="majorHAnsi" w:hAnsiTheme="majorHAnsi"/>
          <w:sz w:val="24"/>
          <w:lang w:val="ro-MD"/>
        </w:rPr>
        <w:t>ому</w:t>
      </w:r>
      <w:r w:rsidRPr="00872B86">
        <w:rPr>
          <w:rFonts w:asciiTheme="majorHAnsi" w:hAnsiTheme="majorHAnsi"/>
          <w:sz w:val="24"/>
          <w:lang w:val="ro-MD"/>
        </w:rPr>
        <w:t xml:space="preserve"> от государства с правом собственности, отраж</w:t>
      </w:r>
      <w:r w:rsidR="00744F21" w:rsidRPr="00744F21">
        <w:rPr>
          <w:rFonts w:asciiTheme="majorHAnsi" w:hAnsiTheme="majorHAnsi"/>
          <w:sz w:val="24"/>
          <w:lang w:val="ro-MD"/>
        </w:rPr>
        <w:t>ались ПМСУ</w:t>
      </w:r>
      <w:r w:rsidRPr="00872B86">
        <w:rPr>
          <w:rFonts w:asciiTheme="majorHAnsi" w:hAnsiTheme="majorHAnsi"/>
          <w:sz w:val="24"/>
          <w:lang w:val="ro-MD"/>
        </w:rPr>
        <w:t xml:space="preserve"> не</w:t>
      </w:r>
      <w:r w:rsidR="00744F21" w:rsidRPr="00744F21">
        <w:rPr>
          <w:rFonts w:asciiTheme="majorHAnsi" w:hAnsiTheme="majorHAnsi"/>
          <w:sz w:val="24"/>
          <w:lang w:val="ro-MD"/>
        </w:rPr>
        <w:t>надлежащим образом на</w:t>
      </w:r>
      <w:r w:rsidRPr="00872B86">
        <w:rPr>
          <w:rFonts w:asciiTheme="majorHAnsi" w:hAnsiTheme="majorHAnsi"/>
          <w:sz w:val="24"/>
          <w:lang w:val="ro-MD"/>
        </w:rPr>
        <w:t xml:space="preserve"> счета</w:t>
      </w:r>
      <w:r w:rsidR="00744F21" w:rsidRPr="00744F21">
        <w:rPr>
          <w:rFonts w:asciiTheme="majorHAnsi" w:hAnsiTheme="majorHAnsi"/>
          <w:sz w:val="24"/>
          <w:lang w:val="ro-MD"/>
        </w:rPr>
        <w:t>х</w:t>
      </w:r>
      <w:r w:rsidRPr="00872B86">
        <w:rPr>
          <w:rFonts w:asciiTheme="majorHAnsi" w:hAnsiTheme="majorHAnsi"/>
          <w:sz w:val="24"/>
          <w:lang w:val="ro-MD"/>
        </w:rPr>
        <w:t xml:space="preserve">: </w:t>
      </w:r>
      <w:r w:rsidR="00744F21" w:rsidRPr="00744F21">
        <w:rPr>
          <w:rFonts w:asciiTheme="majorHAnsi" w:hAnsiTheme="majorHAnsi"/>
          <w:sz w:val="24"/>
          <w:lang w:val="ro-MD"/>
        </w:rPr>
        <w:t>Устав</w:t>
      </w:r>
      <w:r w:rsidRPr="00872B86">
        <w:rPr>
          <w:rFonts w:asciiTheme="majorHAnsi" w:hAnsiTheme="majorHAnsi"/>
          <w:sz w:val="24"/>
          <w:lang w:val="ro-MD"/>
        </w:rPr>
        <w:t xml:space="preserve">ный капитал (имущество, переданное учредителем); </w:t>
      </w:r>
      <w:r w:rsidR="00744F21" w:rsidRPr="00744F21">
        <w:rPr>
          <w:rFonts w:asciiTheme="majorHAnsi" w:hAnsiTheme="majorHAnsi"/>
          <w:sz w:val="24"/>
          <w:lang w:val="ro-MD"/>
        </w:rPr>
        <w:t>С</w:t>
      </w:r>
      <w:r w:rsidRPr="00872B86">
        <w:rPr>
          <w:rFonts w:asciiTheme="majorHAnsi" w:hAnsiTheme="majorHAnsi"/>
          <w:sz w:val="24"/>
          <w:lang w:val="ro-MD"/>
        </w:rPr>
        <w:t xml:space="preserve">убсидии, относящиеся к активам </w:t>
      </w:r>
      <w:r w:rsidR="00744F21">
        <w:rPr>
          <w:rFonts w:asciiTheme="majorHAnsi" w:hAnsiTheme="majorHAnsi"/>
          <w:sz w:val="24"/>
          <w:lang w:val="ru-RU"/>
        </w:rPr>
        <w:t>субъектов с публичной собственностью</w:t>
      </w:r>
      <w:r w:rsidRPr="00872B86">
        <w:rPr>
          <w:rFonts w:asciiTheme="majorHAnsi" w:hAnsiTheme="majorHAnsi"/>
          <w:sz w:val="24"/>
          <w:lang w:val="ro-MD"/>
        </w:rPr>
        <w:t xml:space="preserve"> (стоимость долгосрочных активов, полученных бесплатно, пожертвования); Другие элементы собственного капитала</w:t>
      </w:r>
      <w:r w:rsidR="00744F21" w:rsidRPr="00744F21">
        <w:rPr>
          <w:rFonts w:asciiTheme="majorHAnsi" w:hAnsiTheme="majorHAnsi"/>
          <w:sz w:val="24"/>
          <w:lang w:val="ro-MD"/>
        </w:rPr>
        <w:t xml:space="preserve"> </w:t>
      </w:r>
      <w:r w:rsidRPr="00872B86">
        <w:rPr>
          <w:rFonts w:asciiTheme="majorHAnsi" w:hAnsiTheme="majorHAnsi"/>
          <w:sz w:val="24"/>
          <w:lang w:val="ro-MD"/>
        </w:rPr>
        <w:t xml:space="preserve">(средства, переданные учредителем для выполнения работ по </w:t>
      </w:r>
      <w:r w:rsidR="00744F21" w:rsidRPr="00744F21">
        <w:rPr>
          <w:rFonts w:asciiTheme="majorHAnsi" w:hAnsiTheme="majorHAnsi"/>
          <w:sz w:val="24"/>
          <w:lang w:val="ro-MD"/>
        </w:rPr>
        <w:t>незавершенн</w:t>
      </w:r>
      <w:r w:rsidRPr="00872B86">
        <w:rPr>
          <w:rFonts w:asciiTheme="majorHAnsi" w:hAnsiTheme="majorHAnsi"/>
          <w:sz w:val="24"/>
          <w:lang w:val="ro-MD"/>
        </w:rPr>
        <w:t xml:space="preserve">ым материальным активам и для поддержки технико-материальной базы); </w:t>
      </w:r>
      <w:r w:rsidR="00F74A58" w:rsidRPr="00F74A58">
        <w:rPr>
          <w:rFonts w:asciiTheme="majorHAnsi" w:hAnsiTheme="majorHAnsi"/>
          <w:sz w:val="24"/>
          <w:lang w:val="ro-MD"/>
        </w:rPr>
        <w:t>Долгосрочные целевые ф</w:t>
      </w:r>
      <w:r w:rsidRPr="00872B86">
        <w:rPr>
          <w:rFonts w:asciiTheme="majorHAnsi" w:hAnsiTheme="majorHAnsi"/>
          <w:sz w:val="24"/>
          <w:lang w:val="ro-MD"/>
        </w:rPr>
        <w:t>инансировани</w:t>
      </w:r>
      <w:r w:rsidR="00F74A58" w:rsidRPr="00F74A58">
        <w:rPr>
          <w:rFonts w:asciiTheme="majorHAnsi" w:hAnsiTheme="majorHAnsi"/>
          <w:sz w:val="24"/>
          <w:lang w:val="ro-MD"/>
        </w:rPr>
        <w:t>е</w:t>
      </w:r>
      <w:r w:rsidRPr="00872B86">
        <w:rPr>
          <w:rFonts w:asciiTheme="majorHAnsi" w:hAnsiTheme="majorHAnsi"/>
          <w:sz w:val="24"/>
          <w:lang w:val="ro-MD"/>
        </w:rPr>
        <w:t xml:space="preserve"> и поступления; </w:t>
      </w:r>
      <w:r w:rsidR="00F74A58" w:rsidRPr="00F74A58">
        <w:rPr>
          <w:rFonts w:asciiTheme="majorHAnsi" w:hAnsiTheme="majorHAnsi"/>
          <w:bCs/>
          <w:sz w:val="24"/>
          <w:lang w:val="ro-MD"/>
        </w:rPr>
        <w:t>Текущие</w:t>
      </w:r>
      <w:r w:rsidR="00F74A58" w:rsidRPr="00F74A58">
        <w:rPr>
          <w:rFonts w:asciiTheme="majorHAnsi" w:hAnsiTheme="majorHAnsi"/>
          <w:sz w:val="24"/>
          <w:lang w:val="ro-MD"/>
        </w:rPr>
        <w:t> целевые </w:t>
      </w:r>
      <w:r w:rsidR="00F74A58" w:rsidRPr="00F74A58">
        <w:rPr>
          <w:rFonts w:asciiTheme="majorHAnsi" w:hAnsiTheme="majorHAnsi"/>
          <w:bCs/>
          <w:sz w:val="24"/>
          <w:lang w:val="ro-MD"/>
        </w:rPr>
        <w:t>финансирование</w:t>
      </w:r>
      <w:r w:rsidR="00F74A58" w:rsidRPr="00F74A58">
        <w:rPr>
          <w:rFonts w:asciiTheme="majorHAnsi" w:hAnsiTheme="majorHAnsi"/>
          <w:sz w:val="24"/>
          <w:lang w:val="ro-MD"/>
        </w:rPr>
        <w:t> и </w:t>
      </w:r>
      <w:r w:rsidR="00F74A58" w:rsidRPr="00F74A58">
        <w:rPr>
          <w:rFonts w:asciiTheme="majorHAnsi" w:hAnsiTheme="majorHAnsi"/>
          <w:bCs/>
          <w:sz w:val="24"/>
          <w:lang w:val="ro-MD"/>
        </w:rPr>
        <w:t>поступления</w:t>
      </w:r>
      <w:r w:rsidRPr="00872B86">
        <w:rPr>
          <w:rFonts w:asciiTheme="majorHAnsi" w:hAnsiTheme="majorHAnsi"/>
          <w:sz w:val="24"/>
          <w:lang w:val="ro-MD"/>
        </w:rPr>
        <w:t xml:space="preserve">, их </w:t>
      </w:r>
      <w:r w:rsidR="00F74A58" w:rsidRPr="00F74A58">
        <w:rPr>
          <w:rFonts w:asciiTheme="majorHAnsi" w:hAnsiTheme="majorHAnsi"/>
          <w:sz w:val="24"/>
          <w:lang w:val="ro-MD"/>
        </w:rPr>
        <w:t>размеры по состоянию</w:t>
      </w:r>
      <w:r w:rsidRPr="00872B86">
        <w:rPr>
          <w:rFonts w:asciiTheme="majorHAnsi" w:hAnsiTheme="majorHAnsi"/>
          <w:sz w:val="24"/>
          <w:lang w:val="ro-MD"/>
        </w:rPr>
        <w:t xml:space="preserve"> на 30.06.2023 отража</w:t>
      </w:r>
      <w:r w:rsidR="00F74A58" w:rsidRPr="00F74A58">
        <w:rPr>
          <w:rFonts w:asciiTheme="majorHAnsi" w:hAnsiTheme="majorHAnsi"/>
          <w:sz w:val="24"/>
          <w:lang w:val="ro-MD"/>
        </w:rPr>
        <w:t>ю</w:t>
      </w:r>
      <w:r w:rsidRPr="00872B86">
        <w:rPr>
          <w:rFonts w:asciiTheme="majorHAnsi" w:hAnsiTheme="majorHAnsi"/>
          <w:sz w:val="24"/>
          <w:lang w:val="ro-MD"/>
        </w:rPr>
        <w:t>тся в таблице ниже</w:t>
      </w:r>
      <w:r w:rsidR="004477EB" w:rsidRPr="00B13B9A">
        <w:rPr>
          <w:rFonts w:asciiTheme="majorHAnsi" w:hAnsiTheme="majorHAnsi"/>
          <w:sz w:val="24"/>
          <w:lang w:val="ro-MD"/>
        </w:rPr>
        <w:t xml:space="preserve">. </w:t>
      </w:r>
    </w:p>
    <w:p w14:paraId="4ADD4BF6" w14:textId="216F6D0D" w:rsidR="00290F4E" w:rsidRPr="00B13B9A" w:rsidRDefault="00F74A58" w:rsidP="00A178F1">
      <w:pPr>
        <w:spacing w:after="0" w:line="276" w:lineRule="auto"/>
        <w:jc w:val="right"/>
        <w:rPr>
          <w:rFonts w:asciiTheme="majorHAnsi" w:hAnsiTheme="majorHAnsi"/>
          <w:sz w:val="24"/>
          <w:lang w:val="ro-MD"/>
        </w:rPr>
      </w:pPr>
      <w:r>
        <w:rPr>
          <w:rFonts w:asciiTheme="majorHAnsi" w:hAnsiTheme="majorHAnsi"/>
          <w:sz w:val="24"/>
          <w:lang w:val="ru-RU"/>
        </w:rPr>
        <w:t>Таблица №</w:t>
      </w:r>
      <w:r w:rsidR="00D37D8A" w:rsidRPr="00B13B9A">
        <w:rPr>
          <w:rFonts w:asciiTheme="majorHAnsi" w:hAnsiTheme="majorHAnsi"/>
          <w:sz w:val="24"/>
          <w:lang w:val="ro-MD"/>
        </w:rPr>
        <w:t>1</w:t>
      </w:r>
    </w:p>
    <w:p w14:paraId="26B7F89B" w14:textId="5843FA14" w:rsidR="00A178F1" w:rsidRPr="00B13B9A" w:rsidRDefault="00F74A58" w:rsidP="00A178F1">
      <w:pPr>
        <w:spacing w:after="0" w:line="276" w:lineRule="auto"/>
        <w:jc w:val="center"/>
        <w:rPr>
          <w:rFonts w:asciiTheme="majorHAnsi" w:hAnsiTheme="majorHAnsi"/>
          <w:b/>
          <w:sz w:val="24"/>
          <w:lang w:val="ro-MD"/>
        </w:rPr>
      </w:pPr>
      <w:r w:rsidRPr="00F74A58">
        <w:rPr>
          <w:rFonts w:asciiTheme="majorHAnsi" w:hAnsiTheme="majorHAnsi"/>
          <w:b/>
          <w:sz w:val="24"/>
          <w:lang w:val="ro-MD"/>
        </w:rPr>
        <w:t xml:space="preserve">Выписка из бухгалтерского баланса ПМСУ ИФП </w:t>
      </w:r>
      <w:r w:rsidR="00AC00D0">
        <w:rPr>
          <w:rFonts w:asciiTheme="majorHAnsi" w:hAnsiTheme="majorHAnsi"/>
          <w:b/>
          <w:sz w:val="24"/>
          <w:lang w:val="ro-MD"/>
        </w:rPr>
        <w:t>„</w:t>
      </w:r>
      <w:r w:rsidR="00AC00D0" w:rsidRPr="00AC00D0">
        <w:rPr>
          <w:rFonts w:asciiTheme="majorHAnsi" w:hAnsiTheme="majorHAnsi"/>
          <w:b/>
          <w:sz w:val="24"/>
          <w:lang w:val="ru-MD"/>
        </w:rPr>
        <w:t>Кирилл Драганюк</w:t>
      </w:r>
      <w:r w:rsidR="00F56EC1">
        <w:rPr>
          <w:rFonts w:asciiTheme="majorHAnsi" w:hAnsiTheme="majorHAnsi"/>
          <w:b/>
          <w:sz w:val="24"/>
          <w:lang w:val="ro-MD"/>
        </w:rPr>
        <w:t>”</w:t>
      </w:r>
      <w:r w:rsidRPr="00F74A58">
        <w:rPr>
          <w:rFonts w:asciiTheme="majorHAnsi" w:hAnsiTheme="majorHAnsi"/>
          <w:b/>
          <w:sz w:val="24"/>
          <w:lang w:val="ro-MD"/>
        </w:rPr>
        <w:t xml:space="preserve"> на 30.06.2023</w:t>
      </w:r>
    </w:p>
    <w:tbl>
      <w:tblPr>
        <w:tblW w:w="865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6163"/>
        <w:gridCol w:w="1732"/>
      </w:tblGrid>
      <w:tr w:rsidR="00651BC8" w:rsidRPr="00F74A58" w14:paraId="6DD16EA5" w14:textId="77777777" w:rsidTr="00290F4E">
        <w:trPr>
          <w:trHeight w:val="170"/>
        </w:trPr>
        <w:tc>
          <w:tcPr>
            <w:tcW w:w="762" w:type="dxa"/>
            <w:shd w:val="clear" w:color="auto" w:fill="auto"/>
            <w:vAlign w:val="center"/>
          </w:tcPr>
          <w:p w14:paraId="7AC91CC9" w14:textId="25171265" w:rsidR="00651BC8" w:rsidRPr="00F74A58" w:rsidRDefault="00F74A58" w:rsidP="001F0EA2">
            <w:pPr>
              <w:spacing w:after="0" w:line="276" w:lineRule="auto"/>
              <w:jc w:val="center"/>
              <w:rPr>
                <w:rFonts w:asciiTheme="majorHAnsi" w:eastAsia="Calibri" w:hAnsiTheme="majorHAnsi" w:cstheme="majorHAnsi"/>
                <w:sz w:val="20"/>
                <w:szCs w:val="20"/>
                <w:lang w:val="ru-RU"/>
              </w:rPr>
            </w:pPr>
            <w:r>
              <w:rPr>
                <w:rFonts w:asciiTheme="majorHAnsi" w:eastAsia="Calibri" w:hAnsiTheme="majorHAnsi" w:cstheme="majorHAnsi"/>
                <w:sz w:val="20"/>
                <w:szCs w:val="20"/>
                <w:lang w:val="ru-RU"/>
              </w:rPr>
              <w:t>Счет</w:t>
            </w:r>
          </w:p>
        </w:tc>
        <w:tc>
          <w:tcPr>
            <w:tcW w:w="6163" w:type="dxa"/>
            <w:shd w:val="clear" w:color="auto" w:fill="auto"/>
            <w:vAlign w:val="center"/>
          </w:tcPr>
          <w:p w14:paraId="106239FE" w14:textId="07840FD7" w:rsidR="00651BC8" w:rsidRPr="00F74A58" w:rsidRDefault="00F74A58" w:rsidP="001F0EA2">
            <w:pPr>
              <w:spacing w:after="0" w:line="276" w:lineRule="auto"/>
              <w:jc w:val="center"/>
              <w:rPr>
                <w:rFonts w:asciiTheme="majorHAnsi" w:eastAsia="Calibri" w:hAnsiTheme="majorHAnsi" w:cstheme="majorHAnsi"/>
                <w:b/>
                <w:sz w:val="20"/>
                <w:szCs w:val="20"/>
                <w:lang w:val="ru-RU"/>
              </w:rPr>
            </w:pPr>
            <w:r>
              <w:rPr>
                <w:rFonts w:asciiTheme="majorHAnsi" w:eastAsia="Calibri" w:hAnsiTheme="majorHAnsi" w:cstheme="majorHAnsi"/>
                <w:b/>
                <w:sz w:val="20"/>
                <w:szCs w:val="20"/>
                <w:lang w:val="ru-RU"/>
              </w:rPr>
              <w:t>Название счета</w:t>
            </w:r>
          </w:p>
        </w:tc>
        <w:tc>
          <w:tcPr>
            <w:tcW w:w="1732" w:type="dxa"/>
            <w:shd w:val="clear" w:color="auto" w:fill="auto"/>
            <w:vAlign w:val="center"/>
          </w:tcPr>
          <w:p w14:paraId="23577933" w14:textId="75D56C04" w:rsidR="00651BC8" w:rsidRPr="00F74A58" w:rsidRDefault="00F74A58" w:rsidP="00A178F1">
            <w:pPr>
              <w:spacing w:after="0" w:line="276" w:lineRule="auto"/>
              <w:jc w:val="center"/>
              <w:rPr>
                <w:rFonts w:asciiTheme="majorHAnsi" w:eastAsia="Calibri" w:hAnsiTheme="majorHAnsi" w:cstheme="majorHAnsi"/>
                <w:b/>
                <w:sz w:val="20"/>
                <w:szCs w:val="20"/>
                <w:lang w:val="ru-RU"/>
              </w:rPr>
            </w:pPr>
            <w:r>
              <w:rPr>
                <w:rFonts w:asciiTheme="majorHAnsi" w:eastAsia="Calibri" w:hAnsiTheme="majorHAnsi" w:cstheme="majorHAnsi"/>
                <w:b/>
                <w:sz w:val="20"/>
                <w:szCs w:val="20"/>
                <w:lang w:val="ru-RU"/>
              </w:rPr>
              <w:t>тыс</w:t>
            </w:r>
            <w:r w:rsidRPr="00F74A58">
              <w:rPr>
                <w:rFonts w:asciiTheme="majorHAnsi" w:eastAsia="Calibri" w:hAnsiTheme="majorHAnsi" w:cstheme="majorHAnsi"/>
                <w:b/>
                <w:sz w:val="20"/>
                <w:szCs w:val="20"/>
                <w:lang w:val="fr-FR"/>
              </w:rPr>
              <w:t xml:space="preserve">. </w:t>
            </w:r>
            <w:r>
              <w:rPr>
                <w:rFonts w:asciiTheme="majorHAnsi" w:eastAsia="Calibri" w:hAnsiTheme="majorHAnsi" w:cstheme="majorHAnsi"/>
                <w:b/>
                <w:sz w:val="20"/>
                <w:szCs w:val="20"/>
                <w:lang w:val="ru-RU"/>
              </w:rPr>
              <w:t>леев</w:t>
            </w:r>
          </w:p>
        </w:tc>
      </w:tr>
      <w:tr w:rsidR="00651BC8" w:rsidRPr="00F74A58" w14:paraId="452FBA3C" w14:textId="77777777" w:rsidTr="00290F4E">
        <w:trPr>
          <w:trHeight w:val="170"/>
        </w:trPr>
        <w:tc>
          <w:tcPr>
            <w:tcW w:w="762" w:type="dxa"/>
            <w:shd w:val="clear" w:color="auto" w:fill="auto"/>
          </w:tcPr>
          <w:p w14:paraId="168E96F8" w14:textId="77777777" w:rsidR="00651BC8" w:rsidRPr="00B13B9A" w:rsidRDefault="00651BC8" w:rsidP="001F0EA2">
            <w:pPr>
              <w:spacing w:after="0" w:line="276" w:lineRule="auto"/>
              <w:rPr>
                <w:rFonts w:asciiTheme="majorHAnsi" w:eastAsia="Calibri" w:hAnsiTheme="majorHAnsi" w:cstheme="majorHAnsi"/>
                <w:sz w:val="20"/>
                <w:szCs w:val="20"/>
                <w:lang w:val="ro-MD"/>
              </w:rPr>
            </w:pPr>
            <w:r w:rsidRPr="00B13B9A">
              <w:rPr>
                <w:rFonts w:asciiTheme="majorHAnsi" w:eastAsia="Calibri" w:hAnsiTheme="majorHAnsi" w:cstheme="majorHAnsi"/>
                <w:sz w:val="20"/>
                <w:szCs w:val="20"/>
                <w:lang w:val="ro-MD"/>
              </w:rPr>
              <w:t>121.1</w:t>
            </w:r>
          </w:p>
        </w:tc>
        <w:tc>
          <w:tcPr>
            <w:tcW w:w="6163" w:type="dxa"/>
            <w:shd w:val="clear" w:color="auto" w:fill="auto"/>
          </w:tcPr>
          <w:p w14:paraId="774278A3" w14:textId="73F95D88" w:rsidR="00651BC8" w:rsidRPr="00B13B9A" w:rsidRDefault="00F74A58" w:rsidP="001F0EA2">
            <w:pPr>
              <w:spacing w:after="0" w:line="276" w:lineRule="auto"/>
              <w:rPr>
                <w:rFonts w:asciiTheme="majorHAnsi" w:eastAsia="Calibri" w:hAnsiTheme="majorHAnsi" w:cstheme="majorHAnsi"/>
                <w:sz w:val="20"/>
                <w:szCs w:val="20"/>
                <w:lang w:val="ro-MD"/>
              </w:rPr>
            </w:pPr>
            <w:r w:rsidRPr="00F74A58">
              <w:rPr>
                <w:rFonts w:asciiTheme="majorHAnsi" w:eastAsia="Calibri" w:hAnsiTheme="majorHAnsi" w:cstheme="majorHAnsi"/>
                <w:sz w:val="20"/>
                <w:szCs w:val="20"/>
                <w:lang w:val="ro-MD"/>
              </w:rPr>
              <w:t>Незавершенное строительство (здания)</w:t>
            </w:r>
          </w:p>
        </w:tc>
        <w:tc>
          <w:tcPr>
            <w:tcW w:w="1732" w:type="dxa"/>
            <w:shd w:val="clear" w:color="auto" w:fill="auto"/>
          </w:tcPr>
          <w:p w14:paraId="4C1B0F88" w14:textId="77777777" w:rsidR="00651BC8" w:rsidRPr="00B13B9A" w:rsidRDefault="00A178F1" w:rsidP="00A178F1">
            <w:pPr>
              <w:spacing w:after="0" w:line="276" w:lineRule="auto"/>
              <w:jc w:val="right"/>
              <w:rPr>
                <w:rFonts w:asciiTheme="majorHAnsi" w:eastAsia="Calibri" w:hAnsiTheme="majorHAnsi" w:cstheme="majorHAnsi"/>
                <w:sz w:val="20"/>
                <w:szCs w:val="20"/>
                <w:lang w:val="ro-MD"/>
              </w:rPr>
            </w:pPr>
            <w:r w:rsidRPr="00B13B9A">
              <w:rPr>
                <w:rFonts w:asciiTheme="majorHAnsi" w:eastAsia="Calibri" w:hAnsiTheme="majorHAnsi" w:cstheme="majorHAnsi"/>
                <w:sz w:val="20"/>
                <w:szCs w:val="20"/>
                <w:lang w:val="ro-MD"/>
              </w:rPr>
              <w:t>74 277,6</w:t>
            </w:r>
          </w:p>
        </w:tc>
      </w:tr>
      <w:tr w:rsidR="00651BC8" w:rsidRPr="00F74A58" w14:paraId="3F43842C" w14:textId="77777777" w:rsidTr="00290F4E">
        <w:trPr>
          <w:trHeight w:val="170"/>
        </w:trPr>
        <w:tc>
          <w:tcPr>
            <w:tcW w:w="762" w:type="dxa"/>
            <w:shd w:val="clear" w:color="auto" w:fill="auto"/>
          </w:tcPr>
          <w:p w14:paraId="530863DE" w14:textId="77777777" w:rsidR="00651BC8" w:rsidRPr="00B13B9A" w:rsidRDefault="00651BC8" w:rsidP="001F0EA2">
            <w:pPr>
              <w:spacing w:after="0" w:line="276" w:lineRule="auto"/>
              <w:rPr>
                <w:rFonts w:asciiTheme="majorHAnsi" w:eastAsia="Times New Roman" w:hAnsiTheme="majorHAnsi" w:cstheme="majorHAnsi"/>
                <w:sz w:val="20"/>
                <w:szCs w:val="20"/>
                <w:lang w:val="ro-MD"/>
              </w:rPr>
            </w:pPr>
            <w:r w:rsidRPr="00B13B9A">
              <w:rPr>
                <w:rFonts w:asciiTheme="majorHAnsi" w:eastAsia="Calibri" w:hAnsiTheme="majorHAnsi" w:cstheme="majorHAnsi"/>
                <w:sz w:val="20"/>
                <w:szCs w:val="20"/>
                <w:lang w:val="ro-MD"/>
              </w:rPr>
              <w:t>122</w:t>
            </w:r>
          </w:p>
        </w:tc>
        <w:tc>
          <w:tcPr>
            <w:tcW w:w="6163" w:type="dxa"/>
            <w:shd w:val="clear" w:color="auto" w:fill="auto"/>
          </w:tcPr>
          <w:p w14:paraId="03EC0DD9" w14:textId="45C9B745" w:rsidR="00651BC8" w:rsidRPr="00F74A58" w:rsidRDefault="00F74A58" w:rsidP="001F0EA2">
            <w:pPr>
              <w:spacing w:after="0" w:line="276" w:lineRule="auto"/>
              <w:rPr>
                <w:rFonts w:asciiTheme="majorHAnsi" w:eastAsia="Times New Roman" w:hAnsiTheme="majorHAnsi" w:cstheme="majorHAnsi"/>
                <w:sz w:val="20"/>
                <w:szCs w:val="20"/>
                <w:lang w:val="ru-RU"/>
              </w:rPr>
            </w:pPr>
            <w:r>
              <w:rPr>
                <w:rFonts w:asciiTheme="majorHAnsi" w:eastAsia="Calibri" w:hAnsiTheme="majorHAnsi" w:cstheme="majorHAnsi"/>
                <w:sz w:val="20"/>
                <w:szCs w:val="20"/>
                <w:lang w:val="ru-RU"/>
              </w:rPr>
              <w:t>Земельные участки</w:t>
            </w:r>
          </w:p>
        </w:tc>
        <w:tc>
          <w:tcPr>
            <w:tcW w:w="1732" w:type="dxa"/>
            <w:shd w:val="clear" w:color="auto" w:fill="auto"/>
          </w:tcPr>
          <w:p w14:paraId="11DBFB47" w14:textId="77777777" w:rsidR="00651BC8" w:rsidRPr="00B13B9A" w:rsidRDefault="00A178F1" w:rsidP="00A178F1">
            <w:pPr>
              <w:spacing w:after="0" w:line="276" w:lineRule="auto"/>
              <w:jc w:val="right"/>
              <w:rPr>
                <w:rFonts w:asciiTheme="majorHAnsi" w:eastAsia="Times New Roman" w:hAnsiTheme="majorHAnsi" w:cstheme="majorHAnsi"/>
                <w:sz w:val="20"/>
                <w:szCs w:val="20"/>
                <w:lang w:val="ro-MD"/>
              </w:rPr>
            </w:pPr>
            <w:r w:rsidRPr="00B13B9A">
              <w:rPr>
                <w:rFonts w:asciiTheme="majorHAnsi" w:eastAsia="Calibri" w:hAnsiTheme="majorHAnsi" w:cstheme="majorHAnsi"/>
                <w:sz w:val="20"/>
                <w:szCs w:val="20"/>
                <w:lang w:val="ro-MD"/>
              </w:rPr>
              <w:t>8 088,9</w:t>
            </w:r>
          </w:p>
        </w:tc>
      </w:tr>
      <w:tr w:rsidR="00651BC8" w:rsidRPr="00F74A58" w14:paraId="1B0321B3" w14:textId="77777777" w:rsidTr="00290F4E">
        <w:trPr>
          <w:trHeight w:val="170"/>
        </w:trPr>
        <w:tc>
          <w:tcPr>
            <w:tcW w:w="762" w:type="dxa"/>
            <w:shd w:val="clear" w:color="auto" w:fill="auto"/>
          </w:tcPr>
          <w:p w14:paraId="1C325A5D" w14:textId="77777777" w:rsidR="00651BC8" w:rsidRPr="00B13B9A" w:rsidRDefault="00651BC8" w:rsidP="001F0EA2">
            <w:pPr>
              <w:spacing w:after="0" w:line="276" w:lineRule="auto"/>
              <w:rPr>
                <w:rFonts w:asciiTheme="majorHAnsi" w:eastAsia="Times New Roman" w:hAnsiTheme="majorHAnsi" w:cstheme="majorHAnsi"/>
                <w:sz w:val="20"/>
                <w:szCs w:val="20"/>
                <w:lang w:val="ro-MD"/>
              </w:rPr>
            </w:pPr>
            <w:r w:rsidRPr="00B13B9A">
              <w:rPr>
                <w:rFonts w:asciiTheme="majorHAnsi" w:eastAsia="Calibri" w:hAnsiTheme="majorHAnsi" w:cstheme="majorHAnsi"/>
                <w:sz w:val="20"/>
                <w:szCs w:val="20"/>
                <w:lang w:val="ro-MD"/>
              </w:rPr>
              <w:t>123.1</w:t>
            </w:r>
          </w:p>
        </w:tc>
        <w:tc>
          <w:tcPr>
            <w:tcW w:w="6163" w:type="dxa"/>
            <w:shd w:val="clear" w:color="auto" w:fill="auto"/>
          </w:tcPr>
          <w:p w14:paraId="52C1551C" w14:textId="31DC474E" w:rsidR="00651BC8" w:rsidRPr="00F74A58" w:rsidRDefault="00F74A58" w:rsidP="001F0EA2">
            <w:pPr>
              <w:spacing w:after="0" w:line="276" w:lineRule="auto"/>
              <w:rPr>
                <w:rFonts w:asciiTheme="majorHAnsi" w:eastAsia="Times New Roman" w:hAnsiTheme="majorHAnsi" w:cstheme="majorHAnsi"/>
                <w:sz w:val="20"/>
                <w:szCs w:val="20"/>
                <w:lang w:val="ru-RU"/>
              </w:rPr>
            </w:pPr>
            <w:r>
              <w:rPr>
                <w:rFonts w:asciiTheme="majorHAnsi" w:eastAsia="Calibri" w:hAnsiTheme="majorHAnsi" w:cstheme="majorHAnsi"/>
                <w:sz w:val="20"/>
                <w:szCs w:val="20"/>
                <w:lang w:val="ru-RU"/>
              </w:rPr>
              <w:t>Здания</w:t>
            </w:r>
          </w:p>
        </w:tc>
        <w:tc>
          <w:tcPr>
            <w:tcW w:w="1732" w:type="dxa"/>
            <w:shd w:val="clear" w:color="auto" w:fill="auto"/>
          </w:tcPr>
          <w:p w14:paraId="5DEAFD45" w14:textId="77777777" w:rsidR="00651BC8" w:rsidRPr="00B13B9A" w:rsidRDefault="00A178F1" w:rsidP="00A178F1">
            <w:pPr>
              <w:spacing w:after="0" w:line="276" w:lineRule="auto"/>
              <w:jc w:val="right"/>
              <w:rPr>
                <w:rFonts w:asciiTheme="majorHAnsi" w:eastAsia="Calibri" w:hAnsiTheme="majorHAnsi" w:cstheme="majorHAnsi"/>
                <w:sz w:val="20"/>
                <w:szCs w:val="20"/>
                <w:lang w:val="ro-MD"/>
              </w:rPr>
            </w:pPr>
            <w:r w:rsidRPr="00B13B9A">
              <w:rPr>
                <w:rFonts w:asciiTheme="majorHAnsi" w:eastAsia="Calibri" w:hAnsiTheme="majorHAnsi" w:cstheme="majorHAnsi"/>
                <w:sz w:val="20"/>
                <w:szCs w:val="20"/>
                <w:lang w:val="ro-MD"/>
              </w:rPr>
              <w:t>169 016,0</w:t>
            </w:r>
          </w:p>
        </w:tc>
      </w:tr>
      <w:tr w:rsidR="00651BC8" w:rsidRPr="00B13B9A" w14:paraId="0FA04B7C" w14:textId="77777777" w:rsidTr="00290F4E">
        <w:trPr>
          <w:trHeight w:val="170"/>
        </w:trPr>
        <w:tc>
          <w:tcPr>
            <w:tcW w:w="762" w:type="dxa"/>
            <w:shd w:val="clear" w:color="auto" w:fill="auto"/>
          </w:tcPr>
          <w:p w14:paraId="62309D80" w14:textId="77777777" w:rsidR="00651BC8" w:rsidRPr="00B13B9A" w:rsidRDefault="00651BC8" w:rsidP="001F0EA2">
            <w:pPr>
              <w:spacing w:after="0" w:line="276" w:lineRule="auto"/>
              <w:rPr>
                <w:rFonts w:asciiTheme="majorHAnsi" w:eastAsia="Calibri" w:hAnsiTheme="majorHAnsi" w:cstheme="majorHAnsi"/>
                <w:b/>
                <w:sz w:val="20"/>
                <w:szCs w:val="20"/>
                <w:lang w:val="ro-MD"/>
              </w:rPr>
            </w:pPr>
          </w:p>
        </w:tc>
        <w:tc>
          <w:tcPr>
            <w:tcW w:w="6163" w:type="dxa"/>
            <w:shd w:val="clear" w:color="auto" w:fill="auto"/>
          </w:tcPr>
          <w:p w14:paraId="7E1730A8" w14:textId="6DF3E355" w:rsidR="00651BC8" w:rsidRPr="00B13B9A" w:rsidRDefault="00F74A58" w:rsidP="001F0EA2">
            <w:pPr>
              <w:spacing w:after="0" w:line="276" w:lineRule="auto"/>
              <w:rPr>
                <w:rFonts w:asciiTheme="majorHAnsi" w:eastAsia="Calibri" w:hAnsiTheme="majorHAnsi" w:cstheme="majorHAnsi"/>
                <w:b/>
                <w:sz w:val="20"/>
                <w:szCs w:val="20"/>
                <w:lang w:val="ro-MD"/>
              </w:rPr>
            </w:pPr>
            <w:r w:rsidRPr="00F74A58">
              <w:rPr>
                <w:rFonts w:asciiTheme="majorHAnsi" w:eastAsia="Calibri" w:hAnsiTheme="majorHAnsi" w:cstheme="majorHAnsi"/>
                <w:b/>
                <w:sz w:val="20"/>
                <w:szCs w:val="20"/>
                <w:lang w:val="ro-MD"/>
              </w:rPr>
              <w:t>Всего активов, полученных в экономическом управлении</w:t>
            </w:r>
          </w:p>
        </w:tc>
        <w:tc>
          <w:tcPr>
            <w:tcW w:w="1732" w:type="dxa"/>
            <w:shd w:val="clear" w:color="auto" w:fill="auto"/>
          </w:tcPr>
          <w:p w14:paraId="5AB29238" w14:textId="77777777" w:rsidR="00651BC8" w:rsidRPr="00B13B9A" w:rsidRDefault="00A178F1" w:rsidP="00A178F1">
            <w:pPr>
              <w:spacing w:after="0" w:line="276" w:lineRule="auto"/>
              <w:jc w:val="right"/>
              <w:rPr>
                <w:rFonts w:asciiTheme="majorHAnsi" w:eastAsia="Calibri" w:hAnsiTheme="majorHAnsi" w:cstheme="majorHAnsi"/>
                <w:b/>
                <w:sz w:val="20"/>
                <w:szCs w:val="20"/>
                <w:lang w:val="ro-MD"/>
              </w:rPr>
            </w:pPr>
            <w:r w:rsidRPr="00B13B9A">
              <w:rPr>
                <w:rFonts w:asciiTheme="majorHAnsi" w:eastAsia="Calibri" w:hAnsiTheme="majorHAnsi" w:cstheme="majorHAnsi"/>
                <w:b/>
                <w:sz w:val="20"/>
                <w:szCs w:val="20"/>
                <w:lang w:val="ro-MD"/>
              </w:rPr>
              <w:t>251 382,5</w:t>
            </w:r>
          </w:p>
        </w:tc>
      </w:tr>
      <w:tr w:rsidR="00651BC8" w:rsidRPr="00B13B9A" w14:paraId="083F2A4F" w14:textId="77777777" w:rsidTr="00290F4E">
        <w:trPr>
          <w:trHeight w:val="170"/>
        </w:trPr>
        <w:tc>
          <w:tcPr>
            <w:tcW w:w="762" w:type="dxa"/>
            <w:shd w:val="clear" w:color="auto" w:fill="auto"/>
            <w:hideMark/>
          </w:tcPr>
          <w:p w14:paraId="137C7F0F" w14:textId="77777777" w:rsidR="00651BC8" w:rsidRPr="00B13B9A" w:rsidRDefault="00651BC8" w:rsidP="001F0EA2">
            <w:pPr>
              <w:spacing w:after="0" w:line="276" w:lineRule="auto"/>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311</w:t>
            </w:r>
          </w:p>
        </w:tc>
        <w:tc>
          <w:tcPr>
            <w:tcW w:w="6163" w:type="dxa"/>
            <w:shd w:val="clear" w:color="auto" w:fill="auto"/>
            <w:hideMark/>
          </w:tcPr>
          <w:p w14:paraId="2A231FF8" w14:textId="41136C72" w:rsidR="00651BC8" w:rsidRPr="00F74A58" w:rsidRDefault="00F74A58" w:rsidP="001F0EA2">
            <w:pPr>
              <w:spacing w:after="0" w:line="276" w:lineRule="auto"/>
              <w:rPr>
                <w:rFonts w:asciiTheme="majorHAnsi" w:eastAsia="Times New Roman" w:hAnsiTheme="majorHAnsi" w:cstheme="majorHAnsi"/>
                <w:sz w:val="20"/>
                <w:szCs w:val="20"/>
                <w:lang w:val="ru-RU"/>
              </w:rPr>
            </w:pPr>
            <w:r>
              <w:rPr>
                <w:rFonts w:asciiTheme="majorHAnsi" w:eastAsia="Times New Roman" w:hAnsiTheme="majorHAnsi" w:cstheme="majorHAnsi"/>
                <w:sz w:val="20"/>
                <w:szCs w:val="20"/>
                <w:lang w:val="ru-RU"/>
              </w:rPr>
              <w:t>Собственный капитал</w:t>
            </w:r>
          </w:p>
        </w:tc>
        <w:tc>
          <w:tcPr>
            <w:tcW w:w="1732" w:type="dxa"/>
            <w:shd w:val="clear" w:color="auto" w:fill="auto"/>
            <w:hideMark/>
          </w:tcPr>
          <w:p w14:paraId="208E2571" w14:textId="77777777" w:rsidR="00651BC8" w:rsidRPr="00B13B9A" w:rsidRDefault="00A178F1" w:rsidP="00A178F1">
            <w:pPr>
              <w:spacing w:after="0" w:line="276" w:lineRule="auto"/>
              <w:jc w:val="right"/>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73 814,4</w:t>
            </w:r>
          </w:p>
        </w:tc>
      </w:tr>
      <w:tr w:rsidR="00651BC8" w:rsidRPr="00B13B9A" w14:paraId="781130F4" w14:textId="77777777" w:rsidTr="00290F4E">
        <w:trPr>
          <w:trHeight w:val="170"/>
        </w:trPr>
        <w:tc>
          <w:tcPr>
            <w:tcW w:w="762" w:type="dxa"/>
            <w:shd w:val="clear" w:color="auto" w:fill="auto"/>
            <w:hideMark/>
          </w:tcPr>
          <w:p w14:paraId="7A46CC66" w14:textId="77777777" w:rsidR="00651BC8" w:rsidRPr="00B13B9A" w:rsidRDefault="00651BC8" w:rsidP="001F0EA2">
            <w:pPr>
              <w:spacing w:after="0" w:line="276" w:lineRule="auto"/>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342</w:t>
            </w:r>
          </w:p>
        </w:tc>
        <w:tc>
          <w:tcPr>
            <w:tcW w:w="6163" w:type="dxa"/>
            <w:shd w:val="clear" w:color="auto" w:fill="auto"/>
            <w:hideMark/>
          </w:tcPr>
          <w:p w14:paraId="091C4BA3" w14:textId="7E7133DC" w:rsidR="00651BC8" w:rsidRPr="00B13B9A" w:rsidRDefault="00F74A58" w:rsidP="001F0EA2">
            <w:pPr>
              <w:spacing w:after="0" w:line="276" w:lineRule="auto"/>
              <w:rPr>
                <w:rFonts w:asciiTheme="majorHAnsi" w:eastAsia="Times New Roman" w:hAnsiTheme="majorHAnsi" w:cstheme="majorHAnsi"/>
                <w:sz w:val="20"/>
                <w:szCs w:val="20"/>
                <w:lang w:val="ro-MD"/>
              </w:rPr>
            </w:pPr>
            <w:r w:rsidRPr="00F74A58">
              <w:rPr>
                <w:rFonts w:asciiTheme="majorHAnsi" w:eastAsia="Times New Roman" w:hAnsiTheme="majorHAnsi" w:cstheme="majorHAnsi"/>
                <w:sz w:val="20"/>
                <w:szCs w:val="20"/>
                <w:lang w:val="ro-MD"/>
              </w:rPr>
              <w:t xml:space="preserve">Субсидии, относящиеся к активам </w:t>
            </w:r>
            <w:r w:rsidRPr="00F74A58">
              <w:rPr>
                <w:rFonts w:asciiTheme="majorHAnsi" w:eastAsia="Times New Roman" w:hAnsiTheme="majorHAnsi" w:cstheme="majorHAnsi"/>
                <w:sz w:val="20"/>
                <w:szCs w:val="20"/>
                <w:lang w:val="ru-RU"/>
              </w:rPr>
              <w:t>субъектов с публичной собственностью</w:t>
            </w:r>
          </w:p>
        </w:tc>
        <w:tc>
          <w:tcPr>
            <w:tcW w:w="1732" w:type="dxa"/>
            <w:shd w:val="clear" w:color="auto" w:fill="auto"/>
            <w:hideMark/>
          </w:tcPr>
          <w:p w14:paraId="1D8E52F5" w14:textId="77777777" w:rsidR="00651BC8" w:rsidRPr="00B13B9A" w:rsidRDefault="00A178F1" w:rsidP="00A178F1">
            <w:pPr>
              <w:spacing w:after="0" w:line="276" w:lineRule="auto"/>
              <w:jc w:val="right"/>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68 291,6</w:t>
            </w:r>
          </w:p>
        </w:tc>
      </w:tr>
      <w:tr w:rsidR="00651BC8" w:rsidRPr="00B13B9A" w14:paraId="1E1C83AB" w14:textId="77777777" w:rsidTr="00290F4E">
        <w:trPr>
          <w:trHeight w:val="170"/>
        </w:trPr>
        <w:tc>
          <w:tcPr>
            <w:tcW w:w="762" w:type="dxa"/>
            <w:shd w:val="clear" w:color="auto" w:fill="auto"/>
            <w:hideMark/>
          </w:tcPr>
          <w:p w14:paraId="46900A6F" w14:textId="77777777" w:rsidR="00651BC8" w:rsidRPr="00B13B9A" w:rsidRDefault="00651BC8" w:rsidP="001F0EA2">
            <w:pPr>
              <w:spacing w:after="0" w:line="276" w:lineRule="auto"/>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344</w:t>
            </w:r>
          </w:p>
        </w:tc>
        <w:tc>
          <w:tcPr>
            <w:tcW w:w="6163" w:type="dxa"/>
            <w:shd w:val="clear" w:color="auto" w:fill="auto"/>
            <w:hideMark/>
          </w:tcPr>
          <w:p w14:paraId="1EED1FAA" w14:textId="156477C9" w:rsidR="00651BC8" w:rsidRPr="00B13B9A" w:rsidRDefault="00F74A58" w:rsidP="001F0EA2">
            <w:pPr>
              <w:spacing w:after="0" w:line="276" w:lineRule="auto"/>
              <w:rPr>
                <w:rFonts w:asciiTheme="majorHAnsi" w:eastAsia="Times New Roman" w:hAnsiTheme="majorHAnsi" w:cstheme="majorHAnsi"/>
                <w:sz w:val="20"/>
                <w:szCs w:val="20"/>
                <w:lang w:val="ro-MD"/>
              </w:rPr>
            </w:pPr>
            <w:r w:rsidRPr="00F74A58">
              <w:rPr>
                <w:rFonts w:asciiTheme="majorHAnsi" w:eastAsia="Times New Roman" w:hAnsiTheme="majorHAnsi" w:cstheme="majorHAnsi"/>
                <w:sz w:val="20"/>
                <w:szCs w:val="20"/>
                <w:lang w:val="ro-MD"/>
              </w:rPr>
              <w:t>Другие элементы собственного капитала</w:t>
            </w:r>
          </w:p>
        </w:tc>
        <w:tc>
          <w:tcPr>
            <w:tcW w:w="1732" w:type="dxa"/>
            <w:shd w:val="clear" w:color="auto" w:fill="auto"/>
            <w:hideMark/>
          </w:tcPr>
          <w:p w14:paraId="09E48059" w14:textId="77777777" w:rsidR="00651BC8" w:rsidRPr="00B13B9A" w:rsidRDefault="00A178F1" w:rsidP="00A178F1">
            <w:pPr>
              <w:spacing w:after="0" w:line="276" w:lineRule="auto"/>
              <w:jc w:val="right"/>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85 069,8</w:t>
            </w:r>
          </w:p>
        </w:tc>
      </w:tr>
      <w:tr w:rsidR="00651BC8" w:rsidRPr="00B13B9A" w14:paraId="1AEE1D70" w14:textId="77777777" w:rsidTr="00290F4E">
        <w:trPr>
          <w:trHeight w:val="170"/>
        </w:trPr>
        <w:tc>
          <w:tcPr>
            <w:tcW w:w="762" w:type="dxa"/>
            <w:shd w:val="clear" w:color="auto" w:fill="auto"/>
          </w:tcPr>
          <w:p w14:paraId="46F3E67A" w14:textId="77777777" w:rsidR="00651BC8" w:rsidRPr="00B13B9A" w:rsidRDefault="00651BC8" w:rsidP="001F0EA2">
            <w:pPr>
              <w:spacing w:after="0" w:line="276" w:lineRule="auto"/>
              <w:rPr>
                <w:rFonts w:asciiTheme="majorHAnsi" w:eastAsia="Times New Roman" w:hAnsiTheme="majorHAnsi" w:cstheme="majorHAnsi"/>
                <w:b/>
                <w:sz w:val="20"/>
                <w:szCs w:val="20"/>
                <w:lang w:val="ro-MD"/>
              </w:rPr>
            </w:pPr>
          </w:p>
        </w:tc>
        <w:tc>
          <w:tcPr>
            <w:tcW w:w="6163" w:type="dxa"/>
            <w:shd w:val="clear" w:color="auto" w:fill="auto"/>
          </w:tcPr>
          <w:p w14:paraId="15DDA85F" w14:textId="27967A92" w:rsidR="00651BC8" w:rsidRPr="00F74A58" w:rsidRDefault="00F74A58" w:rsidP="001F0EA2">
            <w:pPr>
              <w:spacing w:after="0" w:line="276" w:lineRule="auto"/>
              <w:rPr>
                <w:rFonts w:asciiTheme="majorHAnsi" w:eastAsia="Times New Roman" w:hAnsiTheme="majorHAnsi" w:cstheme="majorHAnsi"/>
                <w:b/>
                <w:sz w:val="20"/>
                <w:szCs w:val="20"/>
                <w:lang w:val="ru-RU"/>
              </w:rPr>
            </w:pPr>
            <w:r>
              <w:rPr>
                <w:rFonts w:asciiTheme="majorHAnsi" w:eastAsia="Times New Roman" w:hAnsiTheme="majorHAnsi" w:cstheme="majorHAnsi"/>
                <w:b/>
                <w:sz w:val="20"/>
                <w:szCs w:val="20"/>
                <w:lang w:val="ru-RU"/>
              </w:rPr>
              <w:t>Всего собственного капитала</w:t>
            </w:r>
          </w:p>
        </w:tc>
        <w:tc>
          <w:tcPr>
            <w:tcW w:w="1732" w:type="dxa"/>
            <w:shd w:val="clear" w:color="auto" w:fill="auto"/>
          </w:tcPr>
          <w:p w14:paraId="7390F403" w14:textId="77777777" w:rsidR="00651BC8" w:rsidRPr="00B13B9A" w:rsidRDefault="00A178F1" w:rsidP="00A178F1">
            <w:pPr>
              <w:spacing w:after="0" w:line="276" w:lineRule="auto"/>
              <w:jc w:val="right"/>
              <w:rPr>
                <w:rFonts w:asciiTheme="majorHAnsi" w:eastAsia="Times New Roman" w:hAnsiTheme="majorHAnsi" w:cstheme="majorHAnsi"/>
                <w:b/>
                <w:sz w:val="20"/>
                <w:szCs w:val="20"/>
                <w:lang w:val="ro-MD"/>
              </w:rPr>
            </w:pPr>
            <w:r w:rsidRPr="00B13B9A">
              <w:rPr>
                <w:rFonts w:asciiTheme="majorHAnsi" w:eastAsia="Times New Roman" w:hAnsiTheme="majorHAnsi" w:cstheme="majorHAnsi"/>
                <w:b/>
                <w:sz w:val="20"/>
                <w:szCs w:val="20"/>
                <w:lang w:val="ro-MD"/>
              </w:rPr>
              <w:t>227 175,8</w:t>
            </w:r>
          </w:p>
        </w:tc>
      </w:tr>
      <w:tr w:rsidR="00651BC8" w:rsidRPr="00B13B9A" w14:paraId="21C5CC77" w14:textId="77777777" w:rsidTr="00290F4E">
        <w:trPr>
          <w:trHeight w:val="170"/>
        </w:trPr>
        <w:tc>
          <w:tcPr>
            <w:tcW w:w="762" w:type="dxa"/>
            <w:shd w:val="clear" w:color="auto" w:fill="auto"/>
            <w:hideMark/>
          </w:tcPr>
          <w:p w14:paraId="3BEC1F64" w14:textId="77777777" w:rsidR="00651BC8" w:rsidRPr="00B13B9A" w:rsidRDefault="00651BC8" w:rsidP="001F0EA2">
            <w:pPr>
              <w:spacing w:after="0" w:line="276" w:lineRule="auto"/>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425</w:t>
            </w:r>
          </w:p>
        </w:tc>
        <w:tc>
          <w:tcPr>
            <w:tcW w:w="6163" w:type="dxa"/>
            <w:shd w:val="clear" w:color="auto" w:fill="auto"/>
            <w:hideMark/>
          </w:tcPr>
          <w:p w14:paraId="6C7D00AA" w14:textId="1094288C" w:rsidR="00651BC8" w:rsidRPr="00B13B9A" w:rsidRDefault="00F74A58" w:rsidP="001F0EA2">
            <w:pPr>
              <w:spacing w:after="0" w:line="276" w:lineRule="auto"/>
              <w:rPr>
                <w:rFonts w:asciiTheme="majorHAnsi" w:eastAsia="Times New Roman" w:hAnsiTheme="majorHAnsi" w:cstheme="majorHAnsi"/>
                <w:sz w:val="20"/>
                <w:szCs w:val="20"/>
                <w:lang w:val="ro-MD"/>
              </w:rPr>
            </w:pPr>
            <w:r w:rsidRPr="00F74A58">
              <w:rPr>
                <w:rFonts w:asciiTheme="majorHAnsi" w:eastAsia="Times New Roman" w:hAnsiTheme="majorHAnsi" w:cstheme="majorHAnsi"/>
                <w:sz w:val="20"/>
                <w:szCs w:val="20"/>
                <w:lang w:val="ro-MD"/>
              </w:rPr>
              <w:t>Долгосрочные целевые финансирование и поступления</w:t>
            </w:r>
          </w:p>
        </w:tc>
        <w:tc>
          <w:tcPr>
            <w:tcW w:w="1732" w:type="dxa"/>
            <w:shd w:val="clear" w:color="auto" w:fill="auto"/>
            <w:hideMark/>
          </w:tcPr>
          <w:p w14:paraId="128F6296" w14:textId="77777777" w:rsidR="00651BC8" w:rsidRPr="00B13B9A" w:rsidRDefault="00A178F1" w:rsidP="00A178F1">
            <w:pPr>
              <w:spacing w:after="0" w:line="276" w:lineRule="auto"/>
              <w:jc w:val="right"/>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13 706,9</w:t>
            </w:r>
          </w:p>
        </w:tc>
      </w:tr>
      <w:tr w:rsidR="004477EB" w:rsidRPr="00B13B9A" w14:paraId="0EF3D24F" w14:textId="77777777" w:rsidTr="00290F4E">
        <w:trPr>
          <w:trHeight w:val="170"/>
        </w:trPr>
        <w:tc>
          <w:tcPr>
            <w:tcW w:w="762" w:type="dxa"/>
            <w:shd w:val="clear" w:color="auto" w:fill="auto"/>
          </w:tcPr>
          <w:p w14:paraId="3C41BF02" w14:textId="77777777" w:rsidR="004477EB" w:rsidRPr="00B13B9A" w:rsidRDefault="004477EB" w:rsidP="004477EB">
            <w:pPr>
              <w:spacing w:after="0" w:line="276" w:lineRule="auto"/>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535</w:t>
            </w:r>
          </w:p>
        </w:tc>
        <w:tc>
          <w:tcPr>
            <w:tcW w:w="6163" w:type="dxa"/>
            <w:shd w:val="clear" w:color="auto" w:fill="auto"/>
          </w:tcPr>
          <w:p w14:paraId="41497808" w14:textId="78E5F0A0" w:rsidR="004477EB" w:rsidRPr="008354B5" w:rsidRDefault="008354B5" w:rsidP="004477EB">
            <w:pPr>
              <w:spacing w:after="0" w:line="276" w:lineRule="auto"/>
              <w:rPr>
                <w:rFonts w:asciiTheme="majorHAnsi" w:eastAsia="Times New Roman" w:hAnsiTheme="majorHAnsi" w:cstheme="majorHAnsi"/>
                <w:sz w:val="20"/>
                <w:szCs w:val="20"/>
                <w:lang w:val="ru-RU"/>
              </w:rPr>
            </w:pPr>
            <w:r>
              <w:rPr>
                <w:rFonts w:asciiTheme="majorHAnsi" w:eastAsia="Times New Roman" w:hAnsiTheme="majorHAnsi" w:cstheme="majorHAnsi"/>
                <w:sz w:val="20"/>
                <w:szCs w:val="20"/>
                <w:lang w:val="ru-RU"/>
              </w:rPr>
              <w:t>Ожидаемый доход текущего периода</w:t>
            </w:r>
          </w:p>
        </w:tc>
        <w:tc>
          <w:tcPr>
            <w:tcW w:w="1732" w:type="dxa"/>
            <w:shd w:val="clear" w:color="auto" w:fill="auto"/>
          </w:tcPr>
          <w:p w14:paraId="3A8EAF9C" w14:textId="77777777" w:rsidR="004477EB" w:rsidRPr="00B13B9A" w:rsidRDefault="004477EB" w:rsidP="004477EB">
            <w:pPr>
              <w:spacing w:after="0" w:line="276" w:lineRule="auto"/>
              <w:jc w:val="right"/>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21.408,7</w:t>
            </w:r>
          </w:p>
        </w:tc>
      </w:tr>
      <w:tr w:rsidR="004477EB" w:rsidRPr="00B13B9A" w14:paraId="4F24A343" w14:textId="77777777" w:rsidTr="00290F4E">
        <w:trPr>
          <w:trHeight w:val="170"/>
        </w:trPr>
        <w:tc>
          <w:tcPr>
            <w:tcW w:w="762" w:type="dxa"/>
            <w:shd w:val="clear" w:color="auto" w:fill="auto"/>
          </w:tcPr>
          <w:p w14:paraId="3AD7E3FC" w14:textId="77777777" w:rsidR="004477EB" w:rsidRPr="00B13B9A" w:rsidRDefault="004477EB" w:rsidP="004477EB">
            <w:pPr>
              <w:spacing w:after="0" w:line="276" w:lineRule="auto"/>
              <w:rPr>
                <w:rFonts w:asciiTheme="majorHAnsi" w:eastAsia="Calibri" w:hAnsiTheme="majorHAnsi" w:cstheme="majorHAnsi"/>
                <w:sz w:val="20"/>
                <w:szCs w:val="20"/>
                <w:lang w:val="ro-MD"/>
              </w:rPr>
            </w:pPr>
            <w:r w:rsidRPr="00B13B9A">
              <w:rPr>
                <w:rFonts w:asciiTheme="majorHAnsi" w:eastAsia="Calibri" w:hAnsiTheme="majorHAnsi" w:cstheme="majorHAnsi"/>
                <w:sz w:val="20"/>
                <w:szCs w:val="20"/>
                <w:lang w:val="ro-MD"/>
              </w:rPr>
              <w:t>537</w:t>
            </w:r>
          </w:p>
        </w:tc>
        <w:tc>
          <w:tcPr>
            <w:tcW w:w="6163" w:type="dxa"/>
            <w:shd w:val="clear" w:color="auto" w:fill="auto"/>
          </w:tcPr>
          <w:p w14:paraId="075218BC" w14:textId="2690F3D4" w:rsidR="004477EB" w:rsidRPr="00B13B9A" w:rsidRDefault="00F74A58" w:rsidP="004477EB">
            <w:pPr>
              <w:spacing w:after="0" w:line="276" w:lineRule="auto"/>
              <w:rPr>
                <w:rFonts w:asciiTheme="majorHAnsi" w:eastAsia="Calibri" w:hAnsiTheme="majorHAnsi" w:cstheme="majorHAnsi"/>
                <w:sz w:val="20"/>
                <w:szCs w:val="20"/>
                <w:lang w:val="ro-MD"/>
              </w:rPr>
            </w:pPr>
            <w:r w:rsidRPr="00F74A58">
              <w:rPr>
                <w:rFonts w:asciiTheme="majorHAnsi" w:eastAsia="Calibri" w:hAnsiTheme="majorHAnsi" w:cstheme="majorHAnsi"/>
                <w:bCs/>
                <w:sz w:val="20"/>
                <w:szCs w:val="20"/>
                <w:lang w:val="ro-MD"/>
              </w:rPr>
              <w:t>Текущие</w:t>
            </w:r>
            <w:r w:rsidRPr="00F74A58">
              <w:rPr>
                <w:rFonts w:asciiTheme="majorHAnsi" w:eastAsia="Calibri" w:hAnsiTheme="majorHAnsi" w:cstheme="majorHAnsi"/>
                <w:sz w:val="20"/>
                <w:szCs w:val="20"/>
                <w:lang w:val="ro-MD"/>
              </w:rPr>
              <w:t> целевые </w:t>
            </w:r>
            <w:r w:rsidRPr="00F74A58">
              <w:rPr>
                <w:rFonts w:asciiTheme="majorHAnsi" w:eastAsia="Calibri" w:hAnsiTheme="majorHAnsi" w:cstheme="majorHAnsi"/>
                <w:bCs/>
                <w:sz w:val="20"/>
                <w:szCs w:val="20"/>
                <w:lang w:val="ro-MD"/>
              </w:rPr>
              <w:t>финансирование</w:t>
            </w:r>
            <w:r w:rsidRPr="00F74A58">
              <w:rPr>
                <w:rFonts w:asciiTheme="majorHAnsi" w:eastAsia="Calibri" w:hAnsiTheme="majorHAnsi" w:cstheme="majorHAnsi"/>
                <w:sz w:val="20"/>
                <w:szCs w:val="20"/>
                <w:lang w:val="ro-MD"/>
              </w:rPr>
              <w:t> и </w:t>
            </w:r>
            <w:r w:rsidRPr="00F74A58">
              <w:rPr>
                <w:rFonts w:asciiTheme="majorHAnsi" w:eastAsia="Calibri" w:hAnsiTheme="majorHAnsi" w:cstheme="majorHAnsi"/>
                <w:bCs/>
                <w:sz w:val="20"/>
                <w:szCs w:val="20"/>
                <w:lang w:val="ro-MD"/>
              </w:rPr>
              <w:t>поступления</w:t>
            </w:r>
          </w:p>
        </w:tc>
        <w:tc>
          <w:tcPr>
            <w:tcW w:w="1732" w:type="dxa"/>
            <w:shd w:val="clear" w:color="auto" w:fill="auto"/>
          </w:tcPr>
          <w:p w14:paraId="738BA422" w14:textId="77777777" w:rsidR="004477EB" w:rsidRPr="00B13B9A" w:rsidRDefault="004477EB" w:rsidP="004477EB">
            <w:pPr>
              <w:spacing w:after="0" w:line="276" w:lineRule="auto"/>
              <w:jc w:val="right"/>
              <w:rPr>
                <w:rFonts w:asciiTheme="majorHAnsi" w:eastAsia="Calibri" w:hAnsiTheme="majorHAnsi" w:cstheme="majorHAnsi"/>
                <w:sz w:val="20"/>
                <w:szCs w:val="20"/>
                <w:lang w:val="ro-MD"/>
              </w:rPr>
            </w:pPr>
            <w:r w:rsidRPr="00B13B9A">
              <w:rPr>
                <w:rFonts w:asciiTheme="majorHAnsi" w:eastAsia="Calibri" w:hAnsiTheme="majorHAnsi" w:cstheme="majorHAnsi"/>
                <w:sz w:val="20"/>
                <w:szCs w:val="20"/>
                <w:lang w:val="ro-MD"/>
              </w:rPr>
              <w:t>8 418,1</w:t>
            </w:r>
          </w:p>
        </w:tc>
      </w:tr>
    </w:tbl>
    <w:p w14:paraId="4B98255E" w14:textId="19F267A1" w:rsidR="00290F4E" w:rsidRPr="00B13B9A" w:rsidRDefault="00FE6601" w:rsidP="00651BC8">
      <w:pPr>
        <w:spacing w:after="0" w:line="276" w:lineRule="auto"/>
        <w:ind w:firstLine="709"/>
        <w:jc w:val="both"/>
        <w:rPr>
          <w:rFonts w:asciiTheme="majorHAnsi" w:hAnsiTheme="majorHAnsi"/>
          <w:i/>
          <w:sz w:val="20"/>
          <w:szCs w:val="20"/>
          <w:lang w:val="ro-MD"/>
        </w:rPr>
      </w:pPr>
      <w:r>
        <w:rPr>
          <w:rFonts w:asciiTheme="majorHAnsi" w:hAnsiTheme="majorHAnsi"/>
          <w:b/>
          <w:i/>
          <w:sz w:val="20"/>
          <w:szCs w:val="20"/>
          <w:lang w:val="ro-MD"/>
        </w:rPr>
        <w:t>Источник</w:t>
      </w:r>
      <w:r w:rsidR="00A178F1" w:rsidRPr="00B13B9A">
        <w:rPr>
          <w:rFonts w:asciiTheme="majorHAnsi" w:hAnsiTheme="majorHAnsi"/>
          <w:i/>
          <w:sz w:val="20"/>
          <w:szCs w:val="20"/>
          <w:lang w:val="ro-MD"/>
        </w:rPr>
        <w:t xml:space="preserve">: </w:t>
      </w:r>
      <w:r w:rsidR="00A66F8A">
        <w:rPr>
          <w:rFonts w:asciiTheme="majorHAnsi" w:hAnsiTheme="majorHAnsi"/>
          <w:i/>
          <w:sz w:val="20"/>
          <w:szCs w:val="20"/>
          <w:lang w:val="ro-MD"/>
        </w:rPr>
        <w:t>Бухгалтерский учет</w:t>
      </w:r>
      <w:r w:rsidR="008354B5">
        <w:rPr>
          <w:rFonts w:asciiTheme="majorHAnsi" w:hAnsiTheme="majorHAnsi"/>
          <w:i/>
          <w:sz w:val="20"/>
          <w:szCs w:val="20"/>
          <w:lang w:val="ru-RU"/>
        </w:rPr>
        <w:t xml:space="preserve"> </w:t>
      </w:r>
      <w:r w:rsidR="00400E8D">
        <w:rPr>
          <w:rFonts w:asciiTheme="majorHAnsi" w:hAnsiTheme="majorHAnsi"/>
          <w:i/>
          <w:sz w:val="20"/>
          <w:szCs w:val="20"/>
          <w:lang w:val="ro-MD"/>
        </w:rPr>
        <w:t>ПМСУ ИФП</w:t>
      </w:r>
      <w:r w:rsidR="004F6906" w:rsidRPr="00B13B9A">
        <w:rPr>
          <w:rFonts w:asciiTheme="majorHAnsi" w:hAnsiTheme="majorHAnsi"/>
          <w:i/>
          <w:sz w:val="20"/>
          <w:szCs w:val="20"/>
          <w:lang w:val="ro-MD"/>
        </w:rPr>
        <w:t>.</w:t>
      </w:r>
    </w:p>
    <w:p w14:paraId="26DE73CC" w14:textId="77777777" w:rsidR="00AB3CDC" w:rsidRPr="00B13B9A" w:rsidRDefault="00AB3CDC" w:rsidP="00651BC8">
      <w:pPr>
        <w:spacing w:after="0" w:line="276" w:lineRule="auto"/>
        <w:ind w:firstLine="709"/>
        <w:jc w:val="both"/>
        <w:rPr>
          <w:rFonts w:asciiTheme="majorHAnsi" w:hAnsiTheme="majorHAnsi"/>
          <w:sz w:val="24"/>
          <w:lang w:val="ro-MD"/>
        </w:rPr>
      </w:pPr>
    </w:p>
    <w:p w14:paraId="3F0D1B1F" w14:textId="0E16B97A" w:rsidR="00651BC8" w:rsidRPr="00B13B9A" w:rsidRDefault="00872B86" w:rsidP="00290F4E">
      <w:pPr>
        <w:spacing w:after="0" w:line="276" w:lineRule="auto"/>
        <w:jc w:val="both"/>
        <w:rPr>
          <w:rFonts w:asciiTheme="majorHAnsi" w:hAnsiTheme="majorHAnsi" w:cstheme="majorHAnsi"/>
          <w:sz w:val="24"/>
          <w:szCs w:val="24"/>
          <w:lang w:val="ro-MD"/>
        </w:rPr>
      </w:pPr>
      <w:r w:rsidRPr="00872B86">
        <w:rPr>
          <w:rFonts w:asciiTheme="majorHAnsi" w:hAnsiTheme="majorHAnsi"/>
          <w:sz w:val="24"/>
          <w:lang w:val="ro-MD"/>
        </w:rPr>
        <w:t xml:space="preserve">Таким образом, имущество не было зарегистрировано </w:t>
      </w:r>
      <w:r w:rsidR="008354B5" w:rsidRPr="008354B5">
        <w:rPr>
          <w:rFonts w:asciiTheme="majorHAnsi" w:hAnsiTheme="majorHAnsi"/>
          <w:sz w:val="24"/>
          <w:lang w:val="ro-MD"/>
        </w:rPr>
        <w:t>на</w:t>
      </w:r>
      <w:r w:rsidRPr="00872B86">
        <w:rPr>
          <w:rFonts w:asciiTheme="majorHAnsi" w:hAnsiTheme="majorHAnsi"/>
          <w:sz w:val="24"/>
          <w:lang w:val="ro-MD"/>
        </w:rPr>
        <w:t xml:space="preserve"> долгосрочн</w:t>
      </w:r>
      <w:r w:rsidR="008354B5" w:rsidRPr="008354B5">
        <w:rPr>
          <w:rFonts w:asciiTheme="majorHAnsi" w:hAnsiTheme="majorHAnsi"/>
          <w:sz w:val="24"/>
          <w:lang w:val="ro-MD"/>
        </w:rPr>
        <w:t>ых</w:t>
      </w:r>
      <w:r w:rsidRPr="00872B86">
        <w:rPr>
          <w:rFonts w:asciiTheme="majorHAnsi" w:hAnsiTheme="majorHAnsi"/>
          <w:sz w:val="24"/>
          <w:lang w:val="ro-MD"/>
        </w:rPr>
        <w:t xml:space="preserve"> </w:t>
      </w:r>
      <w:r w:rsidR="008354B5" w:rsidRPr="008354B5">
        <w:rPr>
          <w:rFonts w:asciiTheme="majorHAnsi" w:hAnsiTheme="majorHAnsi"/>
          <w:sz w:val="24"/>
          <w:lang w:val="ro-MD"/>
        </w:rPr>
        <w:t>обязательствах</w:t>
      </w:r>
      <w:r w:rsidRPr="00872B86">
        <w:rPr>
          <w:rFonts w:asciiTheme="majorHAnsi" w:hAnsiTheme="majorHAnsi"/>
          <w:sz w:val="24"/>
          <w:lang w:val="ro-MD"/>
        </w:rPr>
        <w:t xml:space="preserve"> по имуществу, полученному в </w:t>
      </w:r>
      <w:r w:rsidR="008354B5" w:rsidRPr="008354B5">
        <w:rPr>
          <w:rFonts w:asciiTheme="majorHAnsi" w:hAnsiTheme="majorHAnsi"/>
          <w:sz w:val="24"/>
          <w:lang w:val="ro-MD"/>
        </w:rPr>
        <w:t>экономическ</w:t>
      </w:r>
      <w:r w:rsidRPr="00872B86">
        <w:rPr>
          <w:rFonts w:asciiTheme="majorHAnsi" w:hAnsiTheme="majorHAnsi"/>
          <w:sz w:val="24"/>
          <w:lang w:val="ro-MD"/>
        </w:rPr>
        <w:t xml:space="preserve">ом управлении (427), и имуществу, полученному от государства с правом собственности  </w:t>
      </w:r>
      <w:r w:rsidR="00AB3CDC" w:rsidRPr="00B13B9A">
        <w:rPr>
          <w:rFonts w:asciiTheme="majorHAnsi" w:hAnsiTheme="majorHAnsi" w:cstheme="majorHAnsi"/>
          <w:bCs/>
          <w:sz w:val="24"/>
          <w:szCs w:val="24"/>
          <w:lang w:val="ro-MD"/>
        </w:rPr>
        <w:t>(</w:t>
      </w:r>
      <w:r w:rsidR="00AB3CDC" w:rsidRPr="00B13B9A">
        <w:rPr>
          <w:rFonts w:asciiTheme="majorHAnsi" w:hAnsiTheme="majorHAnsi" w:cstheme="majorHAnsi"/>
          <w:sz w:val="24"/>
          <w:szCs w:val="24"/>
          <w:lang w:val="ro-MD"/>
        </w:rPr>
        <w:t>316)</w:t>
      </w:r>
      <w:r w:rsidR="00290F4E" w:rsidRPr="00B13B9A">
        <w:rPr>
          <w:rFonts w:asciiTheme="majorHAnsi" w:hAnsiTheme="majorHAnsi" w:cstheme="majorHAnsi"/>
          <w:sz w:val="24"/>
          <w:szCs w:val="24"/>
          <w:lang w:val="ro-MD"/>
        </w:rPr>
        <w:t>.</w:t>
      </w:r>
    </w:p>
    <w:p w14:paraId="74D64F12" w14:textId="77777777" w:rsidR="00290F4E" w:rsidRPr="00B13B9A" w:rsidRDefault="00290F4E" w:rsidP="00290F4E">
      <w:pPr>
        <w:spacing w:after="0" w:line="276" w:lineRule="auto"/>
        <w:jc w:val="both"/>
        <w:rPr>
          <w:rFonts w:asciiTheme="majorHAnsi" w:hAnsiTheme="majorHAnsi" w:cstheme="majorHAnsi"/>
          <w:sz w:val="24"/>
          <w:szCs w:val="24"/>
          <w:lang w:val="ro-MD"/>
        </w:rPr>
      </w:pPr>
    </w:p>
    <w:p w14:paraId="5CA46B6F" w14:textId="1FEDC7AD" w:rsidR="004477EB" w:rsidRPr="00B13B9A" w:rsidRDefault="00872B86" w:rsidP="00945DDD">
      <w:pPr>
        <w:spacing w:after="0" w:line="276" w:lineRule="auto"/>
        <w:jc w:val="both"/>
        <w:rPr>
          <w:rFonts w:asciiTheme="majorHAnsi" w:eastAsia="Calibri" w:hAnsiTheme="majorHAnsi" w:cstheme="majorHAnsi"/>
          <w:sz w:val="24"/>
          <w:szCs w:val="24"/>
          <w:lang w:val="ro-MD"/>
        </w:rPr>
      </w:pPr>
      <w:r w:rsidRPr="00872B86">
        <w:rPr>
          <w:rFonts w:asciiTheme="majorHAnsi" w:eastAsia="Calibri" w:hAnsiTheme="majorHAnsi" w:cstheme="majorHAnsi"/>
          <w:sz w:val="24"/>
          <w:szCs w:val="24"/>
          <w:lang w:val="ro-MD"/>
        </w:rPr>
        <w:t xml:space="preserve">В </w:t>
      </w:r>
      <w:r w:rsidR="00502576" w:rsidRPr="00502576">
        <w:rPr>
          <w:rFonts w:asciiTheme="majorHAnsi" w:eastAsia="Calibri" w:hAnsiTheme="majorHAnsi" w:cstheme="majorHAnsi"/>
          <w:sz w:val="24"/>
          <w:szCs w:val="24"/>
          <w:lang w:val="ro-MD"/>
        </w:rPr>
        <w:t>итог</w:t>
      </w:r>
      <w:r w:rsidRPr="00872B86">
        <w:rPr>
          <w:rFonts w:asciiTheme="majorHAnsi" w:eastAsia="Calibri" w:hAnsiTheme="majorHAnsi" w:cstheme="majorHAnsi"/>
          <w:sz w:val="24"/>
          <w:szCs w:val="24"/>
          <w:lang w:val="ro-MD"/>
        </w:rPr>
        <w:t xml:space="preserve">е, хотя в 2023 году были внесены изменения в Положение о функционировании </w:t>
      </w:r>
      <w:r w:rsidR="00502576">
        <w:rPr>
          <w:rFonts w:asciiTheme="majorHAnsi" w:eastAsia="Calibri" w:hAnsiTheme="majorHAnsi" w:cstheme="majorHAnsi"/>
          <w:sz w:val="24"/>
          <w:szCs w:val="24"/>
          <w:lang w:val="ro-MD"/>
        </w:rPr>
        <w:t>ПМСУ</w:t>
      </w:r>
      <w:r w:rsidRPr="00872B86">
        <w:rPr>
          <w:rFonts w:asciiTheme="majorHAnsi" w:eastAsia="Calibri" w:hAnsiTheme="majorHAnsi" w:cstheme="majorHAnsi"/>
          <w:sz w:val="24"/>
          <w:szCs w:val="24"/>
          <w:lang w:val="ro-MD"/>
        </w:rPr>
        <w:t xml:space="preserve">, </w:t>
      </w:r>
      <w:r w:rsidR="00502576" w:rsidRPr="00502576">
        <w:rPr>
          <w:rFonts w:asciiTheme="majorHAnsi" w:eastAsia="Calibri" w:hAnsiTheme="majorHAnsi" w:cstheme="majorHAnsi"/>
          <w:sz w:val="24"/>
          <w:szCs w:val="24"/>
          <w:lang w:val="ro-MD"/>
        </w:rPr>
        <w:t xml:space="preserve">с </w:t>
      </w:r>
      <w:r w:rsidRPr="00872B86">
        <w:rPr>
          <w:rFonts w:asciiTheme="majorHAnsi" w:eastAsia="Calibri" w:hAnsiTheme="majorHAnsi" w:cstheme="majorHAnsi"/>
          <w:sz w:val="24"/>
          <w:szCs w:val="24"/>
          <w:lang w:val="ro-MD"/>
        </w:rPr>
        <w:t>исключен</w:t>
      </w:r>
      <w:r w:rsidR="00502576" w:rsidRPr="00502576">
        <w:rPr>
          <w:rFonts w:asciiTheme="majorHAnsi" w:eastAsia="Calibri" w:hAnsiTheme="majorHAnsi" w:cstheme="majorHAnsi"/>
          <w:sz w:val="24"/>
          <w:szCs w:val="24"/>
          <w:lang w:val="ro-MD"/>
        </w:rPr>
        <w:t>ием</w:t>
      </w:r>
      <w:r w:rsidRPr="00872B86">
        <w:rPr>
          <w:rFonts w:asciiTheme="majorHAnsi" w:eastAsia="Calibri" w:hAnsiTheme="majorHAnsi" w:cstheme="majorHAnsi"/>
          <w:sz w:val="24"/>
          <w:szCs w:val="24"/>
          <w:lang w:val="ro-MD"/>
        </w:rPr>
        <w:t xml:space="preserve"> положени</w:t>
      </w:r>
      <w:r w:rsidR="00502576" w:rsidRPr="00502576">
        <w:rPr>
          <w:rFonts w:asciiTheme="majorHAnsi" w:eastAsia="Calibri" w:hAnsiTheme="majorHAnsi" w:cstheme="majorHAnsi"/>
          <w:sz w:val="24"/>
          <w:szCs w:val="24"/>
          <w:lang w:val="ro-MD"/>
        </w:rPr>
        <w:t>я</w:t>
      </w:r>
      <w:r w:rsidRPr="00872B86">
        <w:rPr>
          <w:rFonts w:asciiTheme="majorHAnsi" w:eastAsia="Calibri" w:hAnsiTheme="majorHAnsi" w:cstheme="majorHAnsi"/>
          <w:sz w:val="24"/>
          <w:szCs w:val="24"/>
          <w:lang w:val="ro-MD"/>
        </w:rPr>
        <w:t xml:space="preserve">, касающееся уставного капитала </w:t>
      </w:r>
      <w:r w:rsidR="00502576">
        <w:rPr>
          <w:rFonts w:asciiTheme="majorHAnsi" w:eastAsia="Calibri" w:hAnsiTheme="majorHAnsi" w:cstheme="majorHAnsi"/>
          <w:sz w:val="24"/>
          <w:szCs w:val="24"/>
          <w:lang w:val="ro-MD"/>
        </w:rPr>
        <w:t>ПМСУ</w:t>
      </w:r>
      <w:r w:rsidRPr="00872B86">
        <w:rPr>
          <w:rFonts w:asciiTheme="majorHAnsi" w:eastAsia="Calibri" w:hAnsiTheme="majorHAnsi" w:cstheme="majorHAnsi"/>
          <w:sz w:val="24"/>
          <w:szCs w:val="24"/>
          <w:lang w:val="ro-MD"/>
        </w:rPr>
        <w:t xml:space="preserve">, </w:t>
      </w:r>
      <w:r w:rsidR="00502576" w:rsidRPr="00502576">
        <w:rPr>
          <w:rFonts w:asciiTheme="majorHAnsi" w:eastAsia="Calibri" w:hAnsiTheme="majorHAnsi" w:cstheme="majorHAnsi"/>
          <w:sz w:val="24"/>
          <w:szCs w:val="24"/>
          <w:lang w:val="ro-MD"/>
        </w:rPr>
        <w:t>учреди</w:t>
      </w:r>
      <w:r w:rsidRPr="00872B86">
        <w:rPr>
          <w:rFonts w:asciiTheme="majorHAnsi" w:eastAsia="Calibri" w:hAnsiTheme="majorHAnsi" w:cstheme="majorHAnsi"/>
          <w:sz w:val="24"/>
          <w:szCs w:val="24"/>
          <w:lang w:val="ro-MD"/>
        </w:rPr>
        <w:t xml:space="preserve">тель (Министерство </w:t>
      </w:r>
      <w:r w:rsidR="00502576" w:rsidRPr="00502576">
        <w:rPr>
          <w:rFonts w:asciiTheme="majorHAnsi" w:eastAsia="Calibri" w:hAnsiTheme="majorHAnsi" w:cstheme="majorHAnsi"/>
          <w:sz w:val="24"/>
          <w:szCs w:val="24"/>
          <w:lang w:val="ro-MD"/>
        </w:rPr>
        <w:t>з</w:t>
      </w:r>
      <w:r w:rsidRPr="00872B86">
        <w:rPr>
          <w:rFonts w:asciiTheme="majorHAnsi" w:eastAsia="Calibri" w:hAnsiTheme="majorHAnsi" w:cstheme="majorHAnsi"/>
          <w:sz w:val="24"/>
          <w:szCs w:val="24"/>
          <w:lang w:val="ro-MD"/>
        </w:rPr>
        <w:t xml:space="preserve">дравоохранения) не указал </w:t>
      </w:r>
      <w:r w:rsidR="00502576" w:rsidRPr="00502576">
        <w:rPr>
          <w:rFonts w:asciiTheme="majorHAnsi" w:eastAsia="Calibri" w:hAnsiTheme="majorHAnsi" w:cstheme="majorHAnsi"/>
          <w:sz w:val="24"/>
          <w:szCs w:val="24"/>
          <w:lang w:val="ro-MD"/>
        </w:rPr>
        <w:t>имущество</w:t>
      </w:r>
      <w:r w:rsidRPr="00872B86">
        <w:rPr>
          <w:rFonts w:asciiTheme="majorHAnsi" w:eastAsia="Calibri" w:hAnsiTheme="majorHAnsi" w:cstheme="majorHAnsi"/>
          <w:sz w:val="24"/>
          <w:szCs w:val="24"/>
          <w:lang w:val="ro-MD"/>
        </w:rPr>
        <w:t>, переданн</w:t>
      </w:r>
      <w:r w:rsidR="00502576" w:rsidRPr="00502576">
        <w:rPr>
          <w:rFonts w:asciiTheme="majorHAnsi" w:eastAsia="Calibri" w:hAnsiTheme="majorHAnsi" w:cstheme="majorHAnsi"/>
          <w:sz w:val="24"/>
          <w:szCs w:val="24"/>
          <w:lang w:val="ro-MD"/>
        </w:rPr>
        <w:t>о</w:t>
      </w:r>
      <w:r w:rsidRPr="00872B86">
        <w:rPr>
          <w:rFonts w:asciiTheme="majorHAnsi" w:eastAsia="Calibri" w:hAnsiTheme="majorHAnsi" w:cstheme="majorHAnsi"/>
          <w:sz w:val="24"/>
          <w:szCs w:val="24"/>
          <w:lang w:val="ro-MD"/>
        </w:rPr>
        <w:t xml:space="preserve">е в </w:t>
      </w:r>
      <w:r w:rsidR="00502576">
        <w:rPr>
          <w:rFonts w:asciiTheme="majorHAnsi" w:eastAsia="Calibri" w:hAnsiTheme="majorHAnsi" w:cstheme="majorHAnsi"/>
          <w:sz w:val="24"/>
          <w:szCs w:val="24"/>
          <w:lang w:val="ro-MD"/>
        </w:rPr>
        <w:t>экономическ</w:t>
      </w:r>
      <w:r w:rsidRPr="00872B86">
        <w:rPr>
          <w:rFonts w:asciiTheme="majorHAnsi" w:eastAsia="Calibri" w:hAnsiTheme="majorHAnsi" w:cstheme="majorHAnsi"/>
          <w:sz w:val="24"/>
          <w:szCs w:val="24"/>
          <w:lang w:val="ro-MD"/>
        </w:rPr>
        <w:t xml:space="preserve">ое управление </w:t>
      </w:r>
      <w:r w:rsidR="00502576">
        <w:rPr>
          <w:rFonts w:asciiTheme="majorHAnsi" w:eastAsia="Calibri" w:hAnsiTheme="majorHAnsi" w:cstheme="majorHAnsi"/>
          <w:sz w:val="24"/>
          <w:szCs w:val="24"/>
          <w:lang w:val="ro-MD"/>
        </w:rPr>
        <w:t>ПМСУ</w:t>
      </w:r>
      <w:r w:rsidRPr="00872B86">
        <w:rPr>
          <w:rFonts w:asciiTheme="majorHAnsi" w:eastAsia="Calibri" w:hAnsiTheme="majorHAnsi" w:cstheme="majorHAnsi"/>
          <w:sz w:val="24"/>
          <w:szCs w:val="24"/>
          <w:lang w:val="ro-MD"/>
        </w:rPr>
        <w:t>, а также не внес корректи</w:t>
      </w:r>
      <w:r w:rsidR="00502576" w:rsidRPr="00502576">
        <w:rPr>
          <w:rFonts w:asciiTheme="majorHAnsi" w:eastAsia="Calibri" w:hAnsiTheme="majorHAnsi" w:cstheme="majorHAnsi"/>
          <w:sz w:val="24"/>
          <w:szCs w:val="24"/>
          <w:lang w:val="ro-MD"/>
        </w:rPr>
        <w:t>ровки</w:t>
      </w:r>
      <w:r w:rsidRPr="00872B86">
        <w:rPr>
          <w:rFonts w:asciiTheme="majorHAnsi" w:eastAsia="Calibri" w:hAnsiTheme="majorHAnsi" w:cstheme="majorHAnsi"/>
          <w:sz w:val="24"/>
          <w:szCs w:val="24"/>
          <w:lang w:val="ro-MD"/>
        </w:rPr>
        <w:t xml:space="preserve">, связанные с </w:t>
      </w:r>
      <w:r w:rsidR="00502576" w:rsidRPr="00502576">
        <w:rPr>
          <w:rFonts w:asciiTheme="majorHAnsi" w:eastAsia="Calibri" w:hAnsiTheme="majorHAnsi" w:cstheme="majorHAnsi"/>
          <w:sz w:val="24"/>
          <w:szCs w:val="24"/>
          <w:lang w:val="ro-MD"/>
        </w:rPr>
        <w:t>его учетом</w:t>
      </w:r>
      <w:r w:rsidR="00ED0107" w:rsidRPr="00B13B9A">
        <w:rPr>
          <w:rFonts w:asciiTheme="majorHAnsi" w:eastAsia="Calibri" w:hAnsiTheme="majorHAnsi" w:cstheme="majorHAnsi"/>
          <w:sz w:val="24"/>
          <w:szCs w:val="24"/>
          <w:lang w:val="ro-MD"/>
        </w:rPr>
        <w:t>.</w:t>
      </w:r>
    </w:p>
    <w:p w14:paraId="2ABA71F1" w14:textId="32F49D9A" w:rsidR="004477EB" w:rsidRPr="00B13B9A" w:rsidRDefault="00872B86" w:rsidP="004477EB">
      <w:pPr>
        <w:spacing w:after="0" w:line="276" w:lineRule="auto"/>
        <w:jc w:val="both"/>
        <w:rPr>
          <w:rFonts w:asciiTheme="majorHAnsi" w:eastAsia="Calibri" w:hAnsiTheme="majorHAnsi" w:cstheme="majorHAnsi"/>
          <w:bCs/>
          <w:color w:val="0D0D0D" w:themeColor="text1" w:themeTint="F2"/>
          <w:sz w:val="24"/>
          <w:szCs w:val="24"/>
          <w:lang w:val="ro-MD"/>
        </w:rPr>
      </w:pPr>
      <w:r w:rsidRPr="00872B86">
        <w:rPr>
          <w:rFonts w:asciiTheme="majorHAnsi" w:eastAsia="Calibri" w:hAnsiTheme="majorHAnsi" w:cstheme="majorHAnsi"/>
          <w:sz w:val="24"/>
          <w:szCs w:val="24"/>
          <w:lang w:val="ro-MD"/>
        </w:rPr>
        <w:t xml:space="preserve">Аудит также отмечает, что нет подтверждающих документов о составе уставного капитала </w:t>
      </w:r>
      <w:r w:rsidR="00104556">
        <w:rPr>
          <w:rFonts w:asciiTheme="majorHAnsi" w:eastAsia="Calibri" w:hAnsiTheme="majorHAnsi" w:cstheme="majorHAnsi"/>
          <w:sz w:val="24"/>
          <w:szCs w:val="24"/>
          <w:lang w:val="ro-MD"/>
        </w:rPr>
        <w:t>ПМСУ</w:t>
      </w:r>
      <w:r w:rsidRPr="00872B86">
        <w:rPr>
          <w:rFonts w:asciiTheme="majorHAnsi" w:eastAsia="Calibri" w:hAnsiTheme="majorHAnsi" w:cstheme="majorHAnsi"/>
          <w:sz w:val="24"/>
          <w:szCs w:val="24"/>
          <w:lang w:val="ro-MD"/>
        </w:rPr>
        <w:t xml:space="preserve"> ИФП „Кирилл Драганюк”. </w:t>
      </w:r>
      <w:r w:rsidR="00502576" w:rsidRPr="00502576">
        <w:rPr>
          <w:rFonts w:asciiTheme="majorHAnsi" w:eastAsia="Calibri" w:hAnsiTheme="majorHAnsi" w:cstheme="majorHAnsi"/>
          <w:sz w:val="24"/>
          <w:szCs w:val="24"/>
          <w:lang w:val="ro-MD"/>
        </w:rPr>
        <w:t>Боле</w:t>
      </w:r>
      <w:r w:rsidRPr="00872B86">
        <w:rPr>
          <w:rFonts w:asciiTheme="majorHAnsi" w:eastAsia="Calibri" w:hAnsiTheme="majorHAnsi" w:cstheme="majorHAnsi"/>
          <w:sz w:val="24"/>
          <w:szCs w:val="24"/>
          <w:lang w:val="ro-MD"/>
        </w:rPr>
        <w:t>е того, при поглощении клиники Ворничень в 2012 году</w:t>
      </w:r>
      <w:r w:rsidR="00502576" w:rsidRPr="00502576">
        <w:rPr>
          <w:rFonts w:asciiTheme="majorHAnsi" w:eastAsia="Calibri" w:hAnsiTheme="majorHAnsi" w:cstheme="majorHAnsi"/>
          <w:sz w:val="24"/>
          <w:szCs w:val="24"/>
          <w:lang w:val="ro-MD"/>
        </w:rPr>
        <w:t>,</w:t>
      </w:r>
      <w:r w:rsidRPr="00872B86">
        <w:rPr>
          <w:rFonts w:asciiTheme="majorHAnsi" w:eastAsia="Calibri" w:hAnsiTheme="majorHAnsi" w:cstheme="majorHAnsi"/>
          <w:sz w:val="24"/>
          <w:szCs w:val="24"/>
          <w:lang w:val="ro-MD"/>
        </w:rPr>
        <w:t xml:space="preserve"> в договоре о слиянии путем поглощения от 17.01.2012 у</w:t>
      </w:r>
      <w:r w:rsidR="00502576" w:rsidRPr="00502576">
        <w:rPr>
          <w:rFonts w:asciiTheme="majorHAnsi" w:eastAsia="Calibri" w:hAnsiTheme="majorHAnsi" w:cstheme="majorHAnsi"/>
          <w:sz w:val="24"/>
          <w:szCs w:val="24"/>
          <w:lang w:val="ro-MD"/>
        </w:rPr>
        <w:t>казан</w:t>
      </w:r>
      <w:r w:rsidRPr="00872B86">
        <w:rPr>
          <w:rFonts w:asciiTheme="majorHAnsi" w:eastAsia="Calibri" w:hAnsiTheme="majorHAnsi" w:cstheme="majorHAnsi"/>
          <w:sz w:val="24"/>
          <w:szCs w:val="24"/>
          <w:lang w:val="ro-MD"/>
        </w:rPr>
        <w:t xml:space="preserve"> размер уставного капитала в </w:t>
      </w:r>
      <w:r w:rsidR="00502576" w:rsidRPr="00502576">
        <w:rPr>
          <w:rFonts w:asciiTheme="majorHAnsi" w:eastAsia="Calibri" w:hAnsiTheme="majorHAnsi" w:cstheme="majorHAnsi"/>
          <w:sz w:val="24"/>
          <w:szCs w:val="24"/>
          <w:lang w:val="ro-MD"/>
        </w:rPr>
        <w:t>сумм</w:t>
      </w:r>
      <w:r w:rsidRPr="00872B86">
        <w:rPr>
          <w:rFonts w:asciiTheme="majorHAnsi" w:eastAsia="Calibri" w:hAnsiTheme="majorHAnsi" w:cstheme="majorHAnsi"/>
          <w:sz w:val="24"/>
          <w:szCs w:val="24"/>
          <w:lang w:val="ro-MD"/>
        </w:rPr>
        <w:t>е 73 814,5 тыс. леев</w:t>
      </w:r>
      <w:r w:rsidR="00502576" w:rsidRPr="00502576">
        <w:rPr>
          <w:rFonts w:asciiTheme="majorHAnsi" w:eastAsia="Calibri" w:hAnsiTheme="majorHAnsi" w:cstheme="majorHAnsi"/>
          <w:sz w:val="24"/>
          <w:szCs w:val="24"/>
          <w:lang w:val="ro-MD"/>
        </w:rPr>
        <w:t>,</w:t>
      </w:r>
      <w:r w:rsidRPr="00872B86">
        <w:rPr>
          <w:rFonts w:asciiTheme="majorHAnsi" w:eastAsia="Calibri" w:hAnsiTheme="majorHAnsi" w:cstheme="majorHAnsi"/>
          <w:sz w:val="24"/>
          <w:szCs w:val="24"/>
          <w:lang w:val="ro-MD"/>
        </w:rPr>
        <w:t xml:space="preserve"> без деления доли, </w:t>
      </w:r>
      <w:r w:rsidR="00502576" w:rsidRPr="00502576">
        <w:rPr>
          <w:rFonts w:asciiTheme="majorHAnsi" w:eastAsia="Calibri" w:hAnsiTheme="majorHAnsi" w:cstheme="majorHAnsi"/>
          <w:sz w:val="24"/>
          <w:szCs w:val="24"/>
          <w:lang w:val="ro-MD"/>
        </w:rPr>
        <w:t>принадлежащей</w:t>
      </w:r>
      <w:r w:rsidRPr="00872B86">
        <w:rPr>
          <w:rFonts w:asciiTheme="majorHAnsi" w:eastAsia="Calibri" w:hAnsiTheme="majorHAnsi" w:cstheme="majorHAnsi"/>
          <w:sz w:val="24"/>
          <w:szCs w:val="24"/>
          <w:lang w:val="ro-MD"/>
        </w:rPr>
        <w:t xml:space="preserve"> поглощающем</w:t>
      </w:r>
      <w:r w:rsidR="00502576" w:rsidRPr="00502576">
        <w:rPr>
          <w:rFonts w:asciiTheme="majorHAnsi" w:eastAsia="Calibri" w:hAnsiTheme="majorHAnsi" w:cstheme="majorHAnsi"/>
          <w:sz w:val="24"/>
          <w:szCs w:val="24"/>
          <w:lang w:val="ro-MD"/>
        </w:rPr>
        <w:t>у</w:t>
      </w:r>
      <w:r w:rsidRPr="00872B86">
        <w:rPr>
          <w:rFonts w:asciiTheme="majorHAnsi" w:eastAsia="Calibri" w:hAnsiTheme="majorHAnsi" w:cstheme="majorHAnsi"/>
          <w:sz w:val="24"/>
          <w:szCs w:val="24"/>
          <w:lang w:val="ro-MD"/>
        </w:rPr>
        <w:t xml:space="preserve"> учреждени</w:t>
      </w:r>
      <w:r w:rsidR="00502576">
        <w:rPr>
          <w:rFonts w:asciiTheme="majorHAnsi" w:eastAsia="Calibri" w:hAnsiTheme="majorHAnsi" w:cstheme="majorHAnsi"/>
          <w:sz w:val="24"/>
          <w:szCs w:val="24"/>
          <w:lang w:val="ru-RU"/>
        </w:rPr>
        <w:t>ю</w:t>
      </w:r>
      <w:r w:rsidRPr="00872B86">
        <w:rPr>
          <w:rFonts w:asciiTheme="majorHAnsi" w:eastAsia="Calibri" w:hAnsiTheme="majorHAnsi" w:cstheme="majorHAnsi"/>
          <w:sz w:val="24"/>
          <w:szCs w:val="24"/>
          <w:lang w:val="ro-MD"/>
        </w:rPr>
        <w:t xml:space="preserve"> (</w:t>
      </w:r>
      <w:r w:rsidR="00400E8D">
        <w:rPr>
          <w:rFonts w:asciiTheme="majorHAnsi" w:eastAsia="Calibri" w:hAnsiTheme="majorHAnsi" w:cstheme="majorHAnsi"/>
          <w:sz w:val="24"/>
          <w:szCs w:val="24"/>
          <w:lang w:val="ro-MD"/>
        </w:rPr>
        <w:t>ПМСУ ИФП</w:t>
      </w:r>
      <w:r w:rsidRPr="00872B86">
        <w:rPr>
          <w:rFonts w:asciiTheme="majorHAnsi" w:eastAsia="Calibri" w:hAnsiTheme="majorHAnsi" w:cstheme="majorHAnsi"/>
          <w:sz w:val="24"/>
          <w:szCs w:val="24"/>
          <w:lang w:val="ro-MD"/>
        </w:rPr>
        <w:t xml:space="preserve"> „Кирилл Драганюк”) и поглощенном</w:t>
      </w:r>
      <w:r w:rsidR="00FF51EA" w:rsidRPr="00FF51EA">
        <w:rPr>
          <w:rFonts w:asciiTheme="majorHAnsi" w:eastAsia="Calibri" w:hAnsiTheme="majorHAnsi" w:cstheme="majorHAnsi"/>
          <w:sz w:val="24"/>
          <w:szCs w:val="24"/>
          <w:lang w:val="ro-MD"/>
        </w:rPr>
        <w:t>у субъекту</w:t>
      </w:r>
      <w:r w:rsidRPr="00872B86">
        <w:rPr>
          <w:rFonts w:asciiTheme="majorHAnsi" w:eastAsia="Calibri" w:hAnsiTheme="majorHAnsi" w:cstheme="majorHAnsi"/>
          <w:sz w:val="24"/>
          <w:szCs w:val="24"/>
          <w:lang w:val="ro-MD"/>
        </w:rPr>
        <w:t xml:space="preserve"> (Клиник</w:t>
      </w:r>
      <w:r w:rsidR="00FF51EA" w:rsidRPr="00FF51EA">
        <w:rPr>
          <w:rFonts w:asciiTheme="majorHAnsi" w:eastAsia="Calibri" w:hAnsiTheme="majorHAnsi" w:cstheme="majorHAnsi"/>
          <w:sz w:val="24"/>
          <w:szCs w:val="24"/>
          <w:lang w:val="ro-MD"/>
        </w:rPr>
        <w:t>е</w:t>
      </w:r>
      <w:r w:rsidRPr="00872B86">
        <w:rPr>
          <w:rFonts w:asciiTheme="majorHAnsi" w:eastAsia="Calibri" w:hAnsiTheme="majorHAnsi" w:cstheme="majorHAnsi"/>
          <w:sz w:val="24"/>
          <w:szCs w:val="24"/>
          <w:lang w:val="ro-MD"/>
        </w:rPr>
        <w:t xml:space="preserve"> Ворничень)</w:t>
      </w:r>
      <w:r w:rsidR="004477EB" w:rsidRPr="00B13B9A">
        <w:rPr>
          <w:rFonts w:asciiTheme="majorHAnsi" w:eastAsia="Calibri" w:hAnsiTheme="majorHAnsi" w:cstheme="majorHAnsi"/>
          <w:bCs/>
          <w:color w:val="0D0D0D" w:themeColor="text1" w:themeTint="F2"/>
          <w:sz w:val="24"/>
          <w:szCs w:val="24"/>
          <w:lang w:val="ro-MD"/>
        </w:rPr>
        <w:t>.</w:t>
      </w:r>
    </w:p>
    <w:p w14:paraId="4DB2049D" w14:textId="42D09F5A" w:rsidR="004477EB" w:rsidRPr="00B13B9A" w:rsidRDefault="00872B86" w:rsidP="004477EB">
      <w:pPr>
        <w:spacing w:after="0" w:line="276" w:lineRule="auto"/>
        <w:jc w:val="both"/>
        <w:rPr>
          <w:rFonts w:asciiTheme="majorHAnsi" w:eastAsia="Calibri" w:hAnsiTheme="majorHAnsi" w:cstheme="majorHAnsi"/>
          <w:sz w:val="24"/>
          <w:szCs w:val="24"/>
          <w:lang w:val="ro-MD"/>
        </w:rPr>
      </w:pPr>
      <w:r w:rsidRPr="00872B86">
        <w:rPr>
          <w:rFonts w:asciiTheme="majorHAnsi" w:eastAsia="Calibri" w:hAnsiTheme="majorHAnsi" w:cstheme="majorHAnsi"/>
          <w:bCs/>
          <w:color w:val="0D0D0D" w:themeColor="text1" w:themeTint="F2"/>
          <w:sz w:val="24"/>
          <w:szCs w:val="24"/>
          <w:lang w:val="ro-MD"/>
        </w:rPr>
        <w:t>Не</w:t>
      </w:r>
      <w:r w:rsidR="00FF51EA">
        <w:rPr>
          <w:rFonts w:asciiTheme="majorHAnsi" w:eastAsia="Calibri" w:hAnsiTheme="majorHAnsi" w:cstheme="majorHAnsi"/>
          <w:bCs/>
          <w:color w:val="0D0D0D" w:themeColor="text1" w:themeTint="F2"/>
          <w:sz w:val="24"/>
          <w:szCs w:val="24"/>
          <w:lang w:val="ru-RU"/>
        </w:rPr>
        <w:t>завершение</w:t>
      </w:r>
      <w:r w:rsidRPr="00872B86">
        <w:rPr>
          <w:rFonts w:asciiTheme="majorHAnsi" w:eastAsia="Calibri" w:hAnsiTheme="majorHAnsi" w:cstheme="majorHAnsi"/>
          <w:bCs/>
          <w:color w:val="0D0D0D" w:themeColor="text1" w:themeTint="F2"/>
          <w:sz w:val="24"/>
          <w:szCs w:val="24"/>
          <w:lang w:val="ro-MD"/>
        </w:rPr>
        <w:t xml:space="preserve"> процесса разграничения недвижимого имущества и не</w:t>
      </w:r>
      <w:r w:rsidR="00FF51EA">
        <w:rPr>
          <w:rFonts w:asciiTheme="majorHAnsi" w:eastAsia="Calibri" w:hAnsiTheme="majorHAnsi" w:cstheme="majorHAnsi"/>
          <w:bCs/>
          <w:color w:val="0D0D0D" w:themeColor="text1" w:themeTint="F2"/>
          <w:sz w:val="24"/>
          <w:szCs w:val="24"/>
          <w:lang w:val="ru-RU"/>
        </w:rPr>
        <w:t>заключен</w:t>
      </w:r>
      <w:r w:rsidRPr="00872B86">
        <w:rPr>
          <w:rFonts w:asciiTheme="majorHAnsi" w:eastAsia="Calibri" w:hAnsiTheme="majorHAnsi" w:cstheme="majorHAnsi"/>
          <w:bCs/>
          <w:color w:val="0D0D0D" w:themeColor="text1" w:themeTint="F2"/>
          <w:sz w:val="24"/>
          <w:szCs w:val="24"/>
          <w:lang w:val="ro-MD"/>
        </w:rPr>
        <w:t>ие М</w:t>
      </w:r>
      <w:r w:rsidR="00FF51EA">
        <w:rPr>
          <w:rFonts w:asciiTheme="majorHAnsi" w:eastAsia="Calibri" w:hAnsiTheme="majorHAnsi" w:cstheme="majorHAnsi"/>
          <w:bCs/>
          <w:color w:val="0D0D0D" w:themeColor="text1" w:themeTint="F2"/>
          <w:sz w:val="24"/>
          <w:szCs w:val="24"/>
          <w:lang w:val="ru-RU"/>
        </w:rPr>
        <w:t>З</w:t>
      </w:r>
      <w:r w:rsidRPr="00872B86">
        <w:rPr>
          <w:rFonts w:asciiTheme="majorHAnsi" w:eastAsia="Calibri" w:hAnsiTheme="majorHAnsi" w:cstheme="majorHAnsi"/>
          <w:bCs/>
          <w:color w:val="0D0D0D" w:themeColor="text1" w:themeTint="F2"/>
          <w:sz w:val="24"/>
          <w:szCs w:val="24"/>
          <w:lang w:val="ro-MD"/>
        </w:rPr>
        <w:t xml:space="preserve"> (учредител</w:t>
      </w:r>
      <w:r w:rsidR="00FF51EA">
        <w:rPr>
          <w:rFonts w:asciiTheme="majorHAnsi" w:eastAsia="Calibri" w:hAnsiTheme="majorHAnsi" w:cstheme="majorHAnsi"/>
          <w:bCs/>
          <w:color w:val="0D0D0D" w:themeColor="text1" w:themeTint="F2"/>
          <w:sz w:val="24"/>
          <w:szCs w:val="24"/>
          <w:lang w:val="ru-RU"/>
        </w:rPr>
        <w:t>ь</w:t>
      </w:r>
      <w:r w:rsidRPr="00872B86">
        <w:rPr>
          <w:rFonts w:asciiTheme="majorHAnsi" w:eastAsia="Calibri" w:hAnsiTheme="majorHAnsi" w:cstheme="majorHAnsi"/>
          <w:bCs/>
          <w:color w:val="0D0D0D" w:themeColor="text1" w:themeTint="F2"/>
          <w:sz w:val="24"/>
          <w:szCs w:val="24"/>
          <w:lang w:val="ro-MD"/>
        </w:rPr>
        <w:t xml:space="preserve"> </w:t>
      </w:r>
      <w:r w:rsidR="00104556">
        <w:rPr>
          <w:rFonts w:asciiTheme="majorHAnsi" w:eastAsia="Calibri" w:hAnsiTheme="majorHAnsi" w:cstheme="majorHAnsi"/>
          <w:bCs/>
          <w:color w:val="0D0D0D" w:themeColor="text1" w:themeTint="F2"/>
          <w:sz w:val="24"/>
          <w:szCs w:val="24"/>
          <w:lang w:val="ro-MD"/>
        </w:rPr>
        <w:t>ПМСУ</w:t>
      </w:r>
      <w:r w:rsidRPr="00872B86">
        <w:rPr>
          <w:rFonts w:asciiTheme="majorHAnsi" w:eastAsia="Calibri" w:hAnsiTheme="majorHAnsi" w:cstheme="majorHAnsi"/>
          <w:bCs/>
          <w:color w:val="0D0D0D" w:themeColor="text1" w:themeTint="F2"/>
          <w:sz w:val="24"/>
          <w:szCs w:val="24"/>
          <w:lang w:val="ro-MD"/>
        </w:rPr>
        <w:t>) и А</w:t>
      </w:r>
      <w:r w:rsidR="00FF51EA">
        <w:rPr>
          <w:rFonts w:asciiTheme="majorHAnsi" w:eastAsia="Calibri" w:hAnsiTheme="majorHAnsi" w:cstheme="majorHAnsi"/>
          <w:bCs/>
          <w:color w:val="0D0D0D" w:themeColor="text1" w:themeTint="F2"/>
          <w:sz w:val="24"/>
          <w:szCs w:val="24"/>
          <w:lang w:val="ru-RU"/>
        </w:rPr>
        <w:t>ПС</w:t>
      </w:r>
      <w:r w:rsidRPr="00872B86">
        <w:rPr>
          <w:rFonts w:asciiTheme="majorHAnsi" w:eastAsia="Calibri" w:hAnsiTheme="majorHAnsi" w:cstheme="majorHAnsi"/>
          <w:bCs/>
          <w:color w:val="0D0D0D" w:themeColor="text1" w:themeTint="F2"/>
          <w:sz w:val="24"/>
          <w:szCs w:val="24"/>
          <w:lang w:val="ro-MD"/>
        </w:rPr>
        <w:t xml:space="preserve"> (</w:t>
      </w:r>
      <w:r w:rsidR="00FF51EA">
        <w:rPr>
          <w:rFonts w:asciiTheme="majorHAnsi" w:eastAsia="Calibri" w:hAnsiTheme="majorHAnsi" w:cstheme="majorHAnsi"/>
          <w:bCs/>
          <w:color w:val="0D0D0D" w:themeColor="text1" w:themeTint="F2"/>
          <w:sz w:val="24"/>
          <w:szCs w:val="24"/>
          <w:lang w:val="ru-RU"/>
        </w:rPr>
        <w:t>администратор земельных участков</w:t>
      </w:r>
      <w:r w:rsidRPr="00872B86">
        <w:rPr>
          <w:rFonts w:asciiTheme="majorHAnsi" w:eastAsia="Calibri" w:hAnsiTheme="majorHAnsi" w:cstheme="majorHAnsi"/>
          <w:bCs/>
          <w:color w:val="0D0D0D" w:themeColor="text1" w:themeTint="F2"/>
          <w:sz w:val="24"/>
          <w:szCs w:val="24"/>
          <w:lang w:val="ro-MD"/>
        </w:rPr>
        <w:t xml:space="preserve">) договоров </w:t>
      </w:r>
      <w:r w:rsidR="00FF51EA">
        <w:rPr>
          <w:rFonts w:asciiTheme="majorHAnsi" w:eastAsia="Calibri" w:hAnsiTheme="majorHAnsi" w:cstheme="majorHAnsi"/>
          <w:bCs/>
          <w:color w:val="0D0D0D" w:themeColor="text1" w:themeTint="F2"/>
          <w:sz w:val="24"/>
          <w:szCs w:val="24"/>
          <w:lang w:val="ru-RU"/>
        </w:rPr>
        <w:t>безвозмездного пользования</w:t>
      </w:r>
      <w:r w:rsidRPr="00872B86">
        <w:rPr>
          <w:rFonts w:asciiTheme="majorHAnsi" w:eastAsia="Calibri" w:hAnsiTheme="majorHAnsi" w:cstheme="majorHAnsi"/>
          <w:bCs/>
          <w:color w:val="0D0D0D" w:themeColor="text1" w:themeTint="F2"/>
          <w:sz w:val="24"/>
          <w:szCs w:val="24"/>
          <w:lang w:val="ro-MD"/>
        </w:rPr>
        <w:t xml:space="preserve"> </w:t>
      </w:r>
      <w:r w:rsidR="00FF51EA">
        <w:rPr>
          <w:rFonts w:asciiTheme="majorHAnsi" w:eastAsia="Calibri" w:hAnsiTheme="majorHAnsi" w:cstheme="majorHAnsi"/>
          <w:bCs/>
          <w:color w:val="0D0D0D" w:themeColor="text1" w:themeTint="F2"/>
          <w:sz w:val="24"/>
          <w:szCs w:val="24"/>
          <w:lang w:val="ru-RU"/>
        </w:rPr>
        <w:t xml:space="preserve">при </w:t>
      </w:r>
      <w:r w:rsidRPr="00872B86">
        <w:rPr>
          <w:rFonts w:asciiTheme="majorHAnsi" w:eastAsia="Calibri" w:hAnsiTheme="majorHAnsi" w:cstheme="majorHAnsi"/>
          <w:bCs/>
          <w:color w:val="0D0D0D" w:themeColor="text1" w:themeTint="F2"/>
          <w:sz w:val="24"/>
          <w:szCs w:val="24"/>
          <w:lang w:val="ro-MD"/>
        </w:rPr>
        <w:t xml:space="preserve">передаче в </w:t>
      </w:r>
      <w:r w:rsidR="00502576">
        <w:rPr>
          <w:rFonts w:asciiTheme="majorHAnsi" w:eastAsia="Calibri" w:hAnsiTheme="majorHAnsi" w:cstheme="majorHAnsi"/>
          <w:bCs/>
          <w:color w:val="0D0D0D" w:themeColor="text1" w:themeTint="F2"/>
          <w:sz w:val="24"/>
          <w:szCs w:val="24"/>
          <w:lang w:val="ro-MD"/>
        </w:rPr>
        <w:t>экономическ</w:t>
      </w:r>
      <w:r w:rsidRPr="00872B86">
        <w:rPr>
          <w:rFonts w:asciiTheme="majorHAnsi" w:eastAsia="Calibri" w:hAnsiTheme="majorHAnsi" w:cstheme="majorHAnsi"/>
          <w:bCs/>
          <w:color w:val="0D0D0D" w:themeColor="text1" w:themeTint="F2"/>
          <w:sz w:val="24"/>
          <w:szCs w:val="24"/>
          <w:lang w:val="ro-MD"/>
        </w:rPr>
        <w:t xml:space="preserve">ое управление </w:t>
      </w:r>
      <w:r w:rsidR="00104556">
        <w:rPr>
          <w:rFonts w:asciiTheme="majorHAnsi" w:eastAsia="Calibri" w:hAnsiTheme="majorHAnsi" w:cstheme="majorHAnsi"/>
          <w:bCs/>
          <w:color w:val="0D0D0D" w:themeColor="text1" w:themeTint="F2"/>
          <w:sz w:val="24"/>
          <w:szCs w:val="24"/>
          <w:lang w:val="ro-MD"/>
        </w:rPr>
        <w:t>ПМСУ</w:t>
      </w:r>
      <w:r w:rsidRPr="00872B86">
        <w:rPr>
          <w:rFonts w:asciiTheme="majorHAnsi" w:eastAsia="Calibri" w:hAnsiTheme="majorHAnsi" w:cstheme="majorHAnsi"/>
          <w:bCs/>
          <w:color w:val="0D0D0D" w:themeColor="text1" w:themeTint="F2"/>
          <w:sz w:val="24"/>
          <w:szCs w:val="24"/>
          <w:lang w:val="ro-MD"/>
        </w:rPr>
        <w:t xml:space="preserve"> имущества </w:t>
      </w:r>
      <w:r w:rsidR="00FF51EA">
        <w:rPr>
          <w:rFonts w:asciiTheme="majorHAnsi" w:eastAsia="Calibri" w:hAnsiTheme="majorHAnsi" w:cstheme="majorHAnsi"/>
          <w:bCs/>
          <w:color w:val="0D0D0D" w:themeColor="text1" w:themeTint="F2"/>
          <w:sz w:val="24"/>
          <w:szCs w:val="24"/>
          <w:lang w:val="ru-RU"/>
        </w:rPr>
        <w:t>публич</w:t>
      </w:r>
      <w:r w:rsidRPr="00872B86">
        <w:rPr>
          <w:rFonts w:asciiTheme="majorHAnsi" w:eastAsia="Calibri" w:hAnsiTheme="majorHAnsi" w:cstheme="majorHAnsi"/>
          <w:bCs/>
          <w:color w:val="0D0D0D" w:themeColor="text1" w:themeTint="F2"/>
          <w:sz w:val="24"/>
          <w:szCs w:val="24"/>
          <w:lang w:val="ro-MD"/>
        </w:rPr>
        <w:t xml:space="preserve">ной собственности </w:t>
      </w:r>
      <w:r w:rsidR="00FF51EA" w:rsidRPr="00872B86">
        <w:rPr>
          <w:rFonts w:asciiTheme="majorHAnsi" w:eastAsia="Calibri" w:hAnsiTheme="majorHAnsi" w:cstheme="majorHAnsi"/>
          <w:bCs/>
          <w:color w:val="0D0D0D" w:themeColor="text1" w:themeTint="F2"/>
          <w:sz w:val="24"/>
          <w:szCs w:val="24"/>
          <w:lang w:val="ro-MD"/>
        </w:rPr>
        <w:t>государств</w:t>
      </w:r>
      <w:r w:rsidR="00FF51EA">
        <w:rPr>
          <w:rFonts w:asciiTheme="majorHAnsi" w:eastAsia="Calibri" w:hAnsiTheme="majorHAnsi" w:cstheme="majorHAnsi"/>
          <w:bCs/>
          <w:color w:val="0D0D0D" w:themeColor="text1" w:themeTint="F2"/>
          <w:sz w:val="24"/>
          <w:szCs w:val="24"/>
          <w:lang w:val="ru-RU"/>
        </w:rPr>
        <w:t>а</w:t>
      </w:r>
      <w:r w:rsidRPr="00872B86">
        <w:rPr>
          <w:rFonts w:asciiTheme="majorHAnsi" w:eastAsia="Calibri" w:hAnsiTheme="majorHAnsi" w:cstheme="majorHAnsi"/>
          <w:bCs/>
          <w:color w:val="0D0D0D" w:themeColor="text1" w:themeTint="F2"/>
          <w:sz w:val="24"/>
          <w:szCs w:val="24"/>
          <w:lang w:val="ro-MD"/>
        </w:rPr>
        <w:t xml:space="preserve">, не </w:t>
      </w:r>
      <w:r w:rsidR="00FF51EA">
        <w:rPr>
          <w:rFonts w:asciiTheme="majorHAnsi" w:eastAsia="Calibri" w:hAnsiTheme="majorHAnsi" w:cstheme="majorHAnsi"/>
          <w:bCs/>
          <w:color w:val="0D0D0D" w:themeColor="text1" w:themeTint="F2"/>
          <w:sz w:val="24"/>
          <w:szCs w:val="24"/>
          <w:lang w:val="ru-RU"/>
        </w:rPr>
        <w:t>обеспечив</w:t>
      </w:r>
      <w:r w:rsidRPr="00872B86">
        <w:rPr>
          <w:rFonts w:asciiTheme="majorHAnsi" w:eastAsia="Calibri" w:hAnsiTheme="majorHAnsi" w:cstheme="majorHAnsi"/>
          <w:bCs/>
          <w:color w:val="0D0D0D" w:themeColor="text1" w:themeTint="F2"/>
          <w:sz w:val="24"/>
          <w:szCs w:val="24"/>
          <w:lang w:val="ro-MD"/>
        </w:rPr>
        <w:t>ает точных данных</w:t>
      </w:r>
      <w:r w:rsidR="00FF51EA">
        <w:rPr>
          <w:rFonts w:asciiTheme="majorHAnsi" w:eastAsia="Calibri" w:hAnsiTheme="majorHAnsi" w:cstheme="majorHAnsi"/>
          <w:bCs/>
          <w:color w:val="0D0D0D" w:themeColor="text1" w:themeTint="F2"/>
          <w:sz w:val="24"/>
          <w:szCs w:val="24"/>
          <w:lang w:val="ru-RU"/>
        </w:rPr>
        <w:t xml:space="preserve"> об</w:t>
      </w:r>
      <w:r w:rsidRPr="00872B86">
        <w:rPr>
          <w:rFonts w:asciiTheme="majorHAnsi" w:eastAsia="Calibri" w:hAnsiTheme="majorHAnsi" w:cstheme="majorHAnsi"/>
          <w:bCs/>
          <w:color w:val="0D0D0D" w:themeColor="text1" w:themeTint="F2"/>
          <w:sz w:val="24"/>
          <w:szCs w:val="24"/>
          <w:lang w:val="ro-MD"/>
        </w:rPr>
        <w:t xml:space="preserve"> </w:t>
      </w:r>
      <w:r w:rsidR="00502576">
        <w:rPr>
          <w:rFonts w:asciiTheme="majorHAnsi" w:eastAsia="Calibri" w:hAnsiTheme="majorHAnsi" w:cstheme="majorHAnsi"/>
          <w:bCs/>
          <w:color w:val="0D0D0D" w:themeColor="text1" w:themeTint="F2"/>
          <w:sz w:val="24"/>
          <w:szCs w:val="24"/>
          <w:lang w:val="ro-MD"/>
        </w:rPr>
        <w:t>экономическ</w:t>
      </w:r>
      <w:r w:rsidR="00FF51EA">
        <w:rPr>
          <w:rFonts w:asciiTheme="majorHAnsi" w:eastAsia="Calibri" w:hAnsiTheme="majorHAnsi" w:cstheme="majorHAnsi"/>
          <w:bCs/>
          <w:color w:val="0D0D0D" w:themeColor="text1" w:themeTint="F2"/>
          <w:sz w:val="24"/>
          <w:szCs w:val="24"/>
          <w:lang w:val="ru-RU"/>
        </w:rPr>
        <w:t>их</w:t>
      </w:r>
      <w:r w:rsidRPr="00872B86">
        <w:rPr>
          <w:rFonts w:asciiTheme="majorHAnsi" w:eastAsia="Calibri" w:hAnsiTheme="majorHAnsi" w:cstheme="majorHAnsi"/>
          <w:bCs/>
          <w:color w:val="0D0D0D" w:themeColor="text1" w:themeTint="F2"/>
          <w:sz w:val="24"/>
          <w:szCs w:val="24"/>
          <w:lang w:val="ro-MD"/>
        </w:rPr>
        <w:t xml:space="preserve"> операция</w:t>
      </w:r>
      <w:r w:rsidR="00FF51EA">
        <w:rPr>
          <w:rFonts w:asciiTheme="majorHAnsi" w:eastAsia="Calibri" w:hAnsiTheme="majorHAnsi" w:cstheme="majorHAnsi"/>
          <w:bCs/>
          <w:color w:val="0D0D0D" w:themeColor="text1" w:themeTint="F2"/>
          <w:sz w:val="24"/>
          <w:szCs w:val="24"/>
          <w:lang w:val="ru-RU"/>
        </w:rPr>
        <w:t>х</w:t>
      </w:r>
      <w:r w:rsidRPr="00872B86">
        <w:rPr>
          <w:rFonts w:asciiTheme="majorHAnsi" w:eastAsia="Calibri" w:hAnsiTheme="majorHAnsi" w:cstheme="majorHAnsi"/>
          <w:bCs/>
          <w:color w:val="0D0D0D" w:themeColor="text1" w:themeTint="F2"/>
          <w:sz w:val="24"/>
          <w:szCs w:val="24"/>
          <w:lang w:val="ro-MD"/>
        </w:rPr>
        <w:t xml:space="preserve">, </w:t>
      </w:r>
      <w:r w:rsidR="00FF51EA">
        <w:rPr>
          <w:rFonts w:asciiTheme="majorHAnsi" w:eastAsia="Calibri" w:hAnsiTheme="majorHAnsi" w:cstheme="majorHAnsi"/>
          <w:bCs/>
          <w:color w:val="0D0D0D" w:themeColor="text1" w:themeTint="F2"/>
          <w:sz w:val="24"/>
          <w:szCs w:val="24"/>
          <w:lang w:val="ru-RU"/>
        </w:rPr>
        <w:t>связанных с</w:t>
      </w:r>
      <w:r w:rsidRPr="00872B86">
        <w:rPr>
          <w:rFonts w:asciiTheme="majorHAnsi" w:eastAsia="Calibri" w:hAnsiTheme="majorHAnsi" w:cstheme="majorHAnsi"/>
          <w:bCs/>
          <w:color w:val="0D0D0D" w:themeColor="text1" w:themeTint="F2"/>
          <w:sz w:val="24"/>
          <w:szCs w:val="24"/>
          <w:lang w:val="ro-MD"/>
        </w:rPr>
        <w:t xml:space="preserve"> </w:t>
      </w:r>
      <w:r w:rsidR="00FF51EA">
        <w:rPr>
          <w:rFonts w:asciiTheme="majorHAnsi" w:eastAsia="Calibri" w:hAnsiTheme="majorHAnsi" w:cstheme="majorHAnsi"/>
          <w:bCs/>
          <w:color w:val="0D0D0D" w:themeColor="text1" w:themeTint="F2"/>
          <w:sz w:val="24"/>
          <w:szCs w:val="24"/>
          <w:lang w:val="ru-RU"/>
        </w:rPr>
        <w:t>Д</w:t>
      </w:r>
      <w:r w:rsidRPr="00872B86">
        <w:rPr>
          <w:rFonts w:asciiTheme="majorHAnsi" w:eastAsia="Calibri" w:hAnsiTheme="majorHAnsi" w:cstheme="majorHAnsi"/>
          <w:bCs/>
          <w:color w:val="0D0D0D" w:themeColor="text1" w:themeTint="F2"/>
          <w:sz w:val="24"/>
          <w:szCs w:val="24"/>
          <w:lang w:val="ro-MD"/>
        </w:rPr>
        <w:t>олгосрочны</w:t>
      </w:r>
      <w:r w:rsidR="00FF51EA">
        <w:rPr>
          <w:rFonts w:asciiTheme="majorHAnsi" w:eastAsia="Calibri" w:hAnsiTheme="majorHAnsi" w:cstheme="majorHAnsi"/>
          <w:bCs/>
          <w:color w:val="0D0D0D" w:themeColor="text1" w:themeTint="F2"/>
          <w:sz w:val="24"/>
          <w:szCs w:val="24"/>
          <w:lang w:val="ru-RU"/>
        </w:rPr>
        <w:t>ми</w:t>
      </w:r>
      <w:r w:rsidRPr="00872B86">
        <w:rPr>
          <w:rFonts w:asciiTheme="majorHAnsi" w:eastAsia="Calibri" w:hAnsiTheme="majorHAnsi" w:cstheme="majorHAnsi"/>
          <w:bCs/>
          <w:color w:val="0D0D0D" w:themeColor="text1" w:themeTint="F2"/>
          <w:sz w:val="24"/>
          <w:szCs w:val="24"/>
          <w:lang w:val="ro-MD"/>
        </w:rPr>
        <w:t xml:space="preserve"> </w:t>
      </w:r>
      <w:r w:rsidR="00FF51EA">
        <w:rPr>
          <w:rFonts w:asciiTheme="majorHAnsi" w:eastAsia="Calibri" w:hAnsiTheme="majorHAnsi" w:cstheme="majorHAnsi"/>
          <w:bCs/>
          <w:color w:val="0D0D0D" w:themeColor="text1" w:themeTint="F2"/>
          <w:sz w:val="24"/>
          <w:szCs w:val="24"/>
          <w:lang w:val="ru-RU"/>
        </w:rPr>
        <w:t xml:space="preserve">обязательствами </w:t>
      </w:r>
      <w:r w:rsidRPr="00872B86">
        <w:rPr>
          <w:rFonts w:asciiTheme="majorHAnsi" w:eastAsia="Calibri" w:hAnsiTheme="majorHAnsi" w:cstheme="majorHAnsi"/>
          <w:bCs/>
          <w:color w:val="0D0D0D" w:themeColor="text1" w:themeTint="F2"/>
          <w:sz w:val="24"/>
          <w:szCs w:val="24"/>
          <w:lang w:val="ro-MD"/>
        </w:rPr>
        <w:t xml:space="preserve">по </w:t>
      </w:r>
      <w:r w:rsidR="00FF51EA">
        <w:rPr>
          <w:rFonts w:asciiTheme="majorHAnsi" w:eastAsia="Calibri" w:hAnsiTheme="majorHAnsi" w:cstheme="majorHAnsi"/>
          <w:bCs/>
          <w:color w:val="0D0D0D" w:themeColor="text1" w:themeTint="F2"/>
          <w:sz w:val="24"/>
          <w:szCs w:val="24"/>
          <w:lang w:val="ru-RU"/>
        </w:rPr>
        <w:t>имуществу</w:t>
      </w:r>
      <w:r w:rsidRPr="00872B86">
        <w:rPr>
          <w:rFonts w:asciiTheme="majorHAnsi" w:eastAsia="Calibri" w:hAnsiTheme="majorHAnsi" w:cstheme="majorHAnsi"/>
          <w:bCs/>
          <w:color w:val="0D0D0D" w:themeColor="text1" w:themeTint="F2"/>
          <w:sz w:val="24"/>
          <w:szCs w:val="24"/>
          <w:lang w:val="ro-MD"/>
        </w:rPr>
        <w:t>, полученн</w:t>
      </w:r>
      <w:r w:rsidR="00FF51EA">
        <w:rPr>
          <w:rFonts w:asciiTheme="majorHAnsi" w:eastAsia="Calibri" w:hAnsiTheme="majorHAnsi" w:cstheme="majorHAnsi"/>
          <w:bCs/>
          <w:color w:val="0D0D0D" w:themeColor="text1" w:themeTint="F2"/>
          <w:sz w:val="24"/>
          <w:szCs w:val="24"/>
          <w:lang w:val="ru-RU"/>
        </w:rPr>
        <w:t>ому</w:t>
      </w:r>
      <w:r w:rsidRPr="00872B86">
        <w:rPr>
          <w:rFonts w:asciiTheme="majorHAnsi" w:eastAsia="Calibri" w:hAnsiTheme="majorHAnsi" w:cstheme="majorHAnsi"/>
          <w:bCs/>
          <w:color w:val="0D0D0D" w:themeColor="text1" w:themeTint="F2"/>
          <w:sz w:val="24"/>
          <w:szCs w:val="24"/>
          <w:lang w:val="ro-MD"/>
        </w:rPr>
        <w:t xml:space="preserve"> в </w:t>
      </w:r>
      <w:r w:rsidR="00502576">
        <w:rPr>
          <w:rFonts w:asciiTheme="majorHAnsi" w:eastAsia="Calibri" w:hAnsiTheme="majorHAnsi" w:cstheme="majorHAnsi"/>
          <w:bCs/>
          <w:color w:val="0D0D0D" w:themeColor="text1" w:themeTint="F2"/>
          <w:sz w:val="24"/>
          <w:szCs w:val="24"/>
          <w:lang w:val="ro-MD"/>
        </w:rPr>
        <w:t>экономическ</w:t>
      </w:r>
      <w:r w:rsidRPr="00872B86">
        <w:rPr>
          <w:rFonts w:asciiTheme="majorHAnsi" w:eastAsia="Calibri" w:hAnsiTheme="majorHAnsi" w:cstheme="majorHAnsi"/>
          <w:bCs/>
          <w:color w:val="0D0D0D" w:themeColor="text1" w:themeTint="F2"/>
          <w:sz w:val="24"/>
          <w:szCs w:val="24"/>
          <w:lang w:val="ro-MD"/>
        </w:rPr>
        <w:t xml:space="preserve">ом управлении, и по </w:t>
      </w:r>
      <w:r w:rsidR="00FF51EA">
        <w:rPr>
          <w:rFonts w:asciiTheme="majorHAnsi" w:eastAsia="Calibri" w:hAnsiTheme="majorHAnsi" w:cstheme="majorHAnsi"/>
          <w:bCs/>
          <w:color w:val="0D0D0D" w:themeColor="text1" w:themeTint="F2"/>
          <w:sz w:val="24"/>
          <w:szCs w:val="24"/>
          <w:lang w:val="ru-RU"/>
        </w:rPr>
        <w:t>И</w:t>
      </w:r>
      <w:r w:rsidRPr="00872B86">
        <w:rPr>
          <w:rFonts w:asciiTheme="majorHAnsi" w:eastAsia="Calibri" w:hAnsiTheme="majorHAnsi" w:cstheme="majorHAnsi"/>
          <w:bCs/>
          <w:color w:val="0D0D0D" w:themeColor="text1" w:themeTint="F2"/>
          <w:sz w:val="24"/>
          <w:szCs w:val="24"/>
          <w:lang w:val="ro-MD"/>
        </w:rPr>
        <w:t>муществу, полученному от государства с правом собственности</w:t>
      </w:r>
      <w:r w:rsidR="004477EB" w:rsidRPr="00B13B9A">
        <w:rPr>
          <w:rFonts w:asciiTheme="majorHAnsi" w:eastAsia="Calibri" w:hAnsiTheme="majorHAnsi" w:cstheme="majorHAnsi"/>
          <w:sz w:val="24"/>
          <w:szCs w:val="24"/>
          <w:lang w:val="ro-MD"/>
        </w:rPr>
        <w:t>.</w:t>
      </w:r>
    </w:p>
    <w:p w14:paraId="4167E19D" w14:textId="1387ED08" w:rsidR="009708AE" w:rsidRPr="00B13B9A" w:rsidRDefault="00872B86" w:rsidP="00E220FF">
      <w:pPr>
        <w:pStyle w:val="Default"/>
        <w:spacing w:line="276" w:lineRule="auto"/>
        <w:jc w:val="both"/>
        <w:rPr>
          <w:rFonts w:asciiTheme="majorHAnsi" w:eastAsia="Calibri" w:hAnsiTheme="majorHAnsi" w:cstheme="majorHAnsi"/>
          <w:bCs/>
          <w:color w:val="0D0D0D" w:themeColor="text1" w:themeTint="F2"/>
          <w:lang w:val="ro-MD"/>
        </w:rPr>
      </w:pPr>
      <w:r w:rsidRPr="00872B86">
        <w:rPr>
          <w:rFonts w:asciiTheme="majorHAnsi" w:eastAsia="Calibri" w:hAnsiTheme="majorHAnsi" w:cstheme="majorHAnsi"/>
          <w:bCs/>
          <w:color w:val="0D0D0D" w:themeColor="text1" w:themeTint="F2"/>
          <w:lang w:val="ro-MD"/>
        </w:rPr>
        <w:t>В этом контексте</w:t>
      </w:r>
      <w:r w:rsidR="00FF51EA">
        <w:rPr>
          <w:rFonts w:asciiTheme="majorHAnsi" w:eastAsia="Calibri" w:hAnsiTheme="majorHAnsi" w:cstheme="majorHAnsi"/>
          <w:bCs/>
          <w:color w:val="0D0D0D" w:themeColor="text1" w:themeTint="F2"/>
          <w:lang w:val="ru-RU"/>
        </w:rPr>
        <w:t>,</w:t>
      </w:r>
      <w:r w:rsidRPr="00872B86">
        <w:rPr>
          <w:rFonts w:asciiTheme="majorHAnsi" w:eastAsia="Calibri" w:hAnsiTheme="majorHAnsi" w:cstheme="majorHAnsi"/>
          <w:bCs/>
          <w:color w:val="0D0D0D" w:themeColor="text1" w:themeTint="F2"/>
          <w:lang w:val="ro-MD"/>
        </w:rPr>
        <w:t xml:space="preserve"> по запросу Счетной палаты Министерство финансов проинформировало о способе исправления ошибок, допущенных в предыдущие периоды управления.  Так </w:t>
      </w:r>
      <w:r w:rsidRPr="00FF51EA">
        <w:rPr>
          <w:rFonts w:asciiTheme="majorHAnsi" w:eastAsia="Calibri" w:hAnsiTheme="majorHAnsi" w:cstheme="majorHAnsi"/>
          <w:bCs/>
          <w:i/>
          <w:color w:val="0D0D0D" w:themeColor="text1" w:themeTint="F2"/>
          <w:lang w:val="ro-MD"/>
        </w:rPr>
        <w:t xml:space="preserve">„в случае выявления ошибки, обусловливающей возникновение </w:t>
      </w:r>
      <w:r w:rsidR="00FF51EA" w:rsidRPr="00FF51EA">
        <w:rPr>
          <w:rFonts w:asciiTheme="majorHAnsi" w:eastAsia="Calibri" w:hAnsiTheme="majorHAnsi" w:cstheme="majorHAnsi"/>
          <w:bCs/>
          <w:i/>
          <w:color w:val="0D0D0D" w:themeColor="text1" w:themeTint="F2"/>
          <w:lang w:val="ro-MD"/>
        </w:rPr>
        <w:t>убытка</w:t>
      </w:r>
      <w:r w:rsidRPr="00FF51EA">
        <w:rPr>
          <w:rFonts w:asciiTheme="majorHAnsi" w:eastAsia="Calibri" w:hAnsiTheme="majorHAnsi" w:cstheme="majorHAnsi"/>
          <w:bCs/>
          <w:i/>
          <w:color w:val="0D0D0D" w:themeColor="text1" w:themeTint="F2"/>
          <w:lang w:val="ro-MD"/>
        </w:rPr>
        <w:t xml:space="preserve"> предыдущих периодов</w:t>
      </w:r>
      <w:r w:rsidR="00FF51EA" w:rsidRPr="00FF51EA">
        <w:rPr>
          <w:rFonts w:asciiTheme="majorHAnsi" w:eastAsia="Calibri" w:hAnsiTheme="majorHAnsi" w:cstheme="majorHAnsi"/>
          <w:bCs/>
          <w:i/>
          <w:color w:val="0D0D0D" w:themeColor="text1" w:themeTint="F2"/>
          <w:lang w:val="ro-MD"/>
        </w:rPr>
        <w:t xml:space="preserve"> </w:t>
      </w:r>
      <w:r w:rsidRPr="00FF51EA">
        <w:rPr>
          <w:rFonts w:asciiTheme="majorHAnsi" w:eastAsia="Calibri" w:hAnsiTheme="majorHAnsi" w:cstheme="majorHAnsi"/>
          <w:bCs/>
          <w:i/>
          <w:color w:val="0D0D0D" w:themeColor="text1" w:themeTint="F2"/>
          <w:lang w:val="ro-MD"/>
        </w:rPr>
        <w:t xml:space="preserve">-регистрируется как уменьшение </w:t>
      </w:r>
      <w:r w:rsidR="00FF51EA" w:rsidRPr="00FF51EA">
        <w:rPr>
          <w:rFonts w:asciiTheme="majorHAnsi" w:eastAsia="Calibri" w:hAnsiTheme="majorHAnsi" w:cstheme="majorHAnsi"/>
          <w:bCs/>
          <w:i/>
          <w:color w:val="0D0D0D" w:themeColor="text1" w:themeTint="F2"/>
          <w:lang w:val="ro-MD"/>
        </w:rPr>
        <w:t>исправления</w:t>
      </w:r>
      <w:r w:rsidRPr="00FF51EA">
        <w:rPr>
          <w:rFonts w:asciiTheme="majorHAnsi" w:eastAsia="Calibri" w:hAnsiTheme="majorHAnsi" w:cstheme="majorHAnsi"/>
          <w:bCs/>
          <w:i/>
          <w:color w:val="0D0D0D" w:themeColor="text1" w:themeTint="F2"/>
          <w:lang w:val="ro-MD"/>
        </w:rPr>
        <w:t xml:space="preserve"> результатов предыдущих периодов одновременно с уменьшением дебиторской задолженности или других активов, увеличением долга, амортизацией или обесценением активов</w:t>
      </w:r>
      <w:r w:rsidR="00E220FF" w:rsidRPr="00B13B9A">
        <w:rPr>
          <w:rStyle w:val="a9"/>
          <w:rFonts w:asciiTheme="majorHAnsi" w:eastAsia="Calibri" w:hAnsiTheme="majorHAnsi" w:cstheme="majorHAnsi"/>
          <w:bCs/>
          <w:i/>
          <w:color w:val="0D0D0D" w:themeColor="text1" w:themeTint="F2"/>
          <w:sz w:val="24"/>
          <w:lang w:val="ro-MD"/>
        </w:rPr>
        <w:footnoteReference w:id="38"/>
      </w:r>
      <w:r w:rsidR="002820A9" w:rsidRPr="00B13B9A">
        <w:rPr>
          <w:rFonts w:asciiTheme="majorHAnsi" w:eastAsia="Calibri" w:hAnsiTheme="majorHAnsi" w:cstheme="majorHAnsi"/>
          <w:bCs/>
          <w:i/>
          <w:color w:val="0D0D0D" w:themeColor="text1" w:themeTint="F2"/>
          <w:lang w:val="ro-MD"/>
        </w:rPr>
        <w:t>”</w:t>
      </w:r>
      <w:r w:rsidR="009708AE" w:rsidRPr="00B13B9A">
        <w:rPr>
          <w:rFonts w:asciiTheme="majorHAnsi" w:eastAsia="Calibri" w:hAnsiTheme="majorHAnsi" w:cstheme="majorHAnsi"/>
          <w:bCs/>
          <w:i/>
          <w:color w:val="0D0D0D" w:themeColor="text1" w:themeTint="F2"/>
          <w:lang w:val="ro-MD"/>
        </w:rPr>
        <w:t xml:space="preserve">. </w:t>
      </w:r>
    </w:p>
    <w:p w14:paraId="49471110" w14:textId="29C22DE7" w:rsidR="00DB1FD6" w:rsidRPr="00B13B9A" w:rsidRDefault="00872B86" w:rsidP="00DB1FD6">
      <w:pPr>
        <w:spacing w:after="0" w:line="276" w:lineRule="auto"/>
        <w:jc w:val="both"/>
        <w:rPr>
          <w:rFonts w:asciiTheme="majorHAnsi" w:hAnsiTheme="majorHAnsi" w:cstheme="majorHAnsi"/>
          <w:sz w:val="24"/>
          <w:szCs w:val="24"/>
          <w:lang w:val="ro-MD"/>
        </w:rPr>
      </w:pPr>
      <w:r w:rsidRPr="00872B86">
        <w:rPr>
          <w:rFonts w:asciiTheme="majorHAnsi" w:eastAsia="Calibri" w:hAnsiTheme="majorHAnsi" w:cstheme="majorHAnsi"/>
          <w:bCs/>
          <w:color w:val="0D0D0D" w:themeColor="text1" w:themeTint="F2"/>
          <w:sz w:val="24"/>
          <w:szCs w:val="24"/>
          <w:lang w:val="ro-MD"/>
        </w:rPr>
        <w:t>В то же время, хотя у учредител</w:t>
      </w:r>
      <w:r w:rsidR="00FF51EA">
        <w:rPr>
          <w:rFonts w:asciiTheme="majorHAnsi" w:eastAsia="Calibri" w:hAnsiTheme="majorHAnsi" w:cstheme="majorHAnsi"/>
          <w:bCs/>
          <w:color w:val="0D0D0D" w:themeColor="text1" w:themeTint="F2"/>
          <w:sz w:val="24"/>
          <w:szCs w:val="24"/>
          <w:lang w:val="ru-RU"/>
        </w:rPr>
        <w:t>ь иеет</w:t>
      </w:r>
      <w:r w:rsidRPr="00872B86">
        <w:rPr>
          <w:rFonts w:asciiTheme="majorHAnsi" w:eastAsia="Calibri" w:hAnsiTheme="majorHAnsi" w:cstheme="majorHAnsi"/>
          <w:bCs/>
          <w:color w:val="0D0D0D" w:themeColor="text1" w:themeTint="F2"/>
          <w:sz w:val="24"/>
          <w:szCs w:val="24"/>
          <w:lang w:val="ro-MD"/>
        </w:rPr>
        <w:t xml:space="preserve"> </w:t>
      </w:r>
      <w:r w:rsidR="00FF51EA">
        <w:rPr>
          <w:rFonts w:asciiTheme="majorHAnsi" w:eastAsia="Calibri" w:hAnsiTheme="majorHAnsi" w:cstheme="majorHAnsi"/>
          <w:bCs/>
          <w:color w:val="0D0D0D" w:themeColor="text1" w:themeTint="F2"/>
          <w:sz w:val="24"/>
          <w:szCs w:val="24"/>
          <w:lang w:val="ru-RU"/>
        </w:rPr>
        <w:t>споего представителя-</w:t>
      </w:r>
      <w:r w:rsidRPr="00872B86">
        <w:rPr>
          <w:rFonts w:asciiTheme="majorHAnsi" w:eastAsia="Calibri" w:hAnsiTheme="majorHAnsi" w:cstheme="majorHAnsi"/>
          <w:bCs/>
          <w:color w:val="0D0D0D" w:themeColor="text1" w:themeTint="F2"/>
          <w:sz w:val="24"/>
          <w:szCs w:val="24"/>
          <w:lang w:val="ro-MD"/>
        </w:rPr>
        <w:t>член</w:t>
      </w:r>
      <w:r w:rsidR="00450944">
        <w:rPr>
          <w:rFonts w:asciiTheme="majorHAnsi" w:eastAsia="Calibri" w:hAnsiTheme="majorHAnsi" w:cstheme="majorHAnsi"/>
          <w:bCs/>
          <w:color w:val="0D0D0D" w:themeColor="text1" w:themeTint="F2"/>
          <w:sz w:val="24"/>
          <w:szCs w:val="24"/>
          <w:lang w:val="ru-RU"/>
        </w:rPr>
        <w:t>а</w:t>
      </w:r>
      <w:r w:rsidRPr="00872B86">
        <w:rPr>
          <w:rFonts w:asciiTheme="majorHAnsi" w:eastAsia="Calibri" w:hAnsiTheme="majorHAnsi" w:cstheme="majorHAnsi"/>
          <w:bCs/>
          <w:color w:val="0D0D0D" w:themeColor="text1" w:themeTint="F2"/>
          <w:sz w:val="24"/>
          <w:szCs w:val="24"/>
          <w:lang w:val="ro-MD"/>
        </w:rPr>
        <w:t xml:space="preserve"> </w:t>
      </w:r>
      <w:r w:rsidR="00450944">
        <w:rPr>
          <w:rFonts w:asciiTheme="majorHAnsi" w:eastAsia="Calibri" w:hAnsiTheme="majorHAnsi" w:cstheme="majorHAnsi"/>
          <w:bCs/>
          <w:color w:val="0D0D0D" w:themeColor="text1" w:themeTint="F2"/>
          <w:sz w:val="24"/>
          <w:szCs w:val="24"/>
          <w:lang w:val="ru-RU"/>
        </w:rPr>
        <w:t>Административного</w:t>
      </w:r>
      <w:r w:rsidRPr="00872B86">
        <w:rPr>
          <w:rFonts w:asciiTheme="majorHAnsi" w:eastAsia="Calibri" w:hAnsiTheme="majorHAnsi" w:cstheme="majorHAnsi"/>
          <w:bCs/>
          <w:color w:val="0D0D0D" w:themeColor="text1" w:themeTint="F2"/>
          <w:sz w:val="24"/>
          <w:szCs w:val="24"/>
          <w:lang w:val="ro-MD"/>
        </w:rPr>
        <w:t xml:space="preserve"> совет</w:t>
      </w:r>
      <w:r w:rsidR="00450944">
        <w:rPr>
          <w:rFonts w:asciiTheme="majorHAnsi" w:eastAsia="Calibri" w:hAnsiTheme="majorHAnsi" w:cstheme="majorHAnsi"/>
          <w:bCs/>
          <w:color w:val="0D0D0D" w:themeColor="text1" w:themeTint="F2"/>
          <w:sz w:val="24"/>
          <w:szCs w:val="24"/>
          <w:lang w:val="ru-RU"/>
        </w:rPr>
        <w:t>а</w:t>
      </w:r>
      <w:r w:rsidRPr="00872B86">
        <w:rPr>
          <w:rFonts w:asciiTheme="majorHAnsi" w:eastAsia="Calibri" w:hAnsiTheme="majorHAnsi" w:cstheme="majorHAnsi"/>
          <w:bCs/>
          <w:color w:val="0D0D0D" w:themeColor="text1" w:themeTint="F2"/>
          <w:sz w:val="24"/>
          <w:szCs w:val="24"/>
          <w:lang w:val="ro-MD"/>
        </w:rPr>
        <w:t xml:space="preserve">, в качестве </w:t>
      </w:r>
      <w:r w:rsidR="00450944">
        <w:rPr>
          <w:rFonts w:asciiTheme="majorHAnsi" w:eastAsia="Calibri" w:hAnsiTheme="majorHAnsi" w:cstheme="majorHAnsi"/>
          <w:bCs/>
          <w:color w:val="0D0D0D" w:themeColor="text1" w:themeTint="F2"/>
          <w:sz w:val="24"/>
          <w:szCs w:val="24"/>
          <w:lang w:val="ru-RU"/>
        </w:rPr>
        <w:t xml:space="preserve">его </w:t>
      </w:r>
      <w:r w:rsidRPr="00872B86">
        <w:rPr>
          <w:rFonts w:asciiTheme="majorHAnsi" w:eastAsia="Calibri" w:hAnsiTheme="majorHAnsi" w:cstheme="majorHAnsi"/>
          <w:bCs/>
          <w:color w:val="0D0D0D" w:themeColor="text1" w:themeTint="F2"/>
          <w:sz w:val="24"/>
          <w:szCs w:val="24"/>
          <w:lang w:val="ro-MD"/>
        </w:rPr>
        <w:t xml:space="preserve">председателя, </w:t>
      </w:r>
      <w:r w:rsidR="00450944">
        <w:rPr>
          <w:rFonts w:asciiTheme="majorHAnsi" w:eastAsia="Calibri" w:hAnsiTheme="majorHAnsi" w:cstheme="majorHAnsi"/>
          <w:bCs/>
          <w:color w:val="0D0D0D" w:themeColor="text1" w:themeTint="F2"/>
          <w:sz w:val="24"/>
          <w:szCs w:val="24"/>
          <w:lang w:val="ru-RU"/>
        </w:rPr>
        <w:t>а</w:t>
      </w:r>
      <w:r w:rsidRPr="00872B86">
        <w:rPr>
          <w:rFonts w:asciiTheme="majorHAnsi" w:eastAsia="Calibri" w:hAnsiTheme="majorHAnsi" w:cstheme="majorHAnsi"/>
          <w:bCs/>
          <w:color w:val="0D0D0D" w:themeColor="text1" w:themeTint="F2"/>
          <w:sz w:val="24"/>
          <w:szCs w:val="24"/>
          <w:lang w:val="ro-MD"/>
        </w:rPr>
        <w:t xml:space="preserve"> Совет несет ответственность за внесение предложений по </w:t>
      </w:r>
      <w:r w:rsidR="00450944">
        <w:rPr>
          <w:rFonts w:asciiTheme="majorHAnsi" w:eastAsia="Calibri" w:hAnsiTheme="majorHAnsi" w:cstheme="majorHAnsi"/>
          <w:bCs/>
          <w:color w:val="0D0D0D" w:themeColor="text1" w:themeTint="F2"/>
          <w:sz w:val="24"/>
          <w:szCs w:val="24"/>
          <w:lang w:val="ru-RU"/>
        </w:rPr>
        <w:t>исправ</w:t>
      </w:r>
      <w:r w:rsidRPr="00872B86">
        <w:rPr>
          <w:rFonts w:asciiTheme="majorHAnsi" w:eastAsia="Calibri" w:hAnsiTheme="majorHAnsi" w:cstheme="majorHAnsi"/>
          <w:bCs/>
          <w:color w:val="0D0D0D" w:themeColor="text1" w:themeTint="F2"/>
          <w:sz w:val="24"/>
          <w:szCs w:val="24"/>
          <w:lang w:val="ro-MD"/>
        </w:rPr>
        <w:t>лению ситуации в случае выявления не</w:t>
      </w:r>
      <w:r w:rsidR="00450944">
        <w:rPr>
          <w:rFonts w:asciiTheme="majorHAnsi" w:eastAsia="Calibri" w:hAnsiTheme="majorHAnsi" w:cstheme="majorHAnsi"/>
          <w:bCs/>
          <w:color w:val="0D0D0D" w:themeColor="text1" w:themeTint="F2"/>
          <w:sz w:val="24"/>
          <w:szCs w:val="24"/>
          <w:lang w:val="ru-RU"/>
        </w:rPr>
        <w:t>соответствий</w:t>
      </w:r>
      <w:r w:rsidRPr="00872B86">
        <w:rPr>
          <w:rFonts w:asciiTheme="majorHAnsi" w:eastAsia="Calibri" w:hAnsiTheme="majorHAnsi" w:cstheme="majorHAnsi"/>
          <w:bCs/>
          <w:color w:val="0D0D0D" w:themeColor="text1" w:themeTint="F2"/>
          <w:sz w:val="24"/>
          <w:szCs w:val="24"/>
          <w:lang w:val="ro-MD"/>
        </w:rPr>
        <w:t xml:space="preserve"> в работе учреждения, анализ деятельности </w:t>
      </w:r>
      <w:r w:rsidR="00450944">
        <w:rPr>
          <w:rFonts w:asciiTheme="majorHAnsi" w:eastAsia="Calibri" w:hAnsiTheme="majorHAnsi" w:cstheme="majorHAnsi"/>
          <w:bCs/>
          <w:color w:val="0D0D0D" w:themeColor="text1" w:themeTint="F2"/>
          <w:sz w:val="24"/>
          <w:szCs w:val="24"/>
          <w:lang w:val="ru-RU"/>
        </w:rPr>
        <w:t xml:space="preserve">Административного </w:t>
      </w:r>
      <w:r w:rsidRPr="00872B86">
        <w:rPr>
          <w:rFonts w:asciiTheme="majorHAnsi" w:eastAsia="Calibri" w:hAnsiTheme="majorHAnsi" w:cstheme="majorHAnsi"/>
          <w:bCs/>
          <w:color w:val="0D0D0D" w:themeColor="text1" w:themeTint="F2"/>
          <w:sz w:val="24"/>
          <w:szCs w:val="24"/>
          <w:lang w:val="ro-MD"/>
        </w:rPr>
        <w:t xml:space="preserve">совета </w:t>
      </w:r>
      <w:r w:rsidR="00450944">
        <w:rPr>
          <w:rFonts w:asciiTheme="majorHAnsi" w:eastAsia="Calibri" w:hAnsiTheme="majorHAnsi" w:cstheme="majorHAnsi"/>
          <w:bCs/>
          <w:color w:val="0D0D0D" w:themeColor="text1" w:themeTint="F2"/>
          <w:sz w:val="24"/>
          <w:szCs w:val="24"/>
          <w:lang w:val="ru-RU"/>
        </w:rPr>
        <w:t>за аудируем</w:t>
      </w:r>
      <w:r w:rsidRPr="00872B86">
        <w:rPr>
          <w:rFonts w:asciiTheme="majorHAnsi" w:eastAsia="Calibri" w:hAnsiTheme="majorHAnsi" w:cstheme="majorHAnsi"/>
          <w:bCs/>
          <w:color w:val="0D0D0D" w:themeColor="text1" w:themeTint="F2"/>
          <w:sz w:val="24"/>
          <w:szCs w:val="24"/>
          <w:lang w:val="ro-MD"/>
        </w:rPr>
        <w:t xml:space="preserve">ый период </w:t>
      </w:r>
      <w:r w:rsidR="00450944">
        <w:rPr>
          <w:rFonts w:asciiTheme="majorHAnsi" w:eastAsia="Calibri" w:hAnsiTheme="majorHAnsi" w:cstheme="majorHAnsi"/>
          <w:bCs/>
          <w:color w:val="0D0D0D" w:themeColor="text1" w:themeTint="F2"/>
          <w:sz w:val="24"/>
          <w:szCs w:val="24"/>
          <w:lang w:val="ru-RU"/>
        </w:rPr>
        <w:t>показал</w:t>
      </w:r>
      <w:r w:rsidRPr="00872B86">
        <w:rPr>
          <w:rFonts w:asciiTheme="majorHAnsi" w:eastAsia="Calibri" w:hAnsiTheme="majorHAnsi" w:cstheme="majorHAnsi"/>
          <w:bCs/>
          <w:color w:val="0D0D0D" w:themeColor="text1" w:themeTint="F2"/>
          <w:sz w:val="24"/>
          <w:szCs w:val="24"/>
          <w:lang w:val="ro-MD"/>
        </w:rPr>
        <w:t xml:space="preserve">, что он был в основном сосредоточен на утверждении </w:t>
      </w:r>
      <w:r w:rsidR="00450944">
        <w:rPr>
          <w:rFonts w:asciiTheme="majorHAnsi" w:eastAsia="Calibri" w:hAnsiTheme="majorHAnsi" w:cstheme="majorHAnsi"/>
          <w:bCs/>
          <w:color w:val="0D0D0D" w:themeColor="text1" w:themeTint="F2"/>
          <w:sz w:val="24"/>
          <w:szCs w:val="24"/>
          <w:lang w:val="ru-RU"/>
        </w:rPr>
        <w:t>сметы</w:t>
      </w:r>
      <w:r w:rsidRPr="00872B86">
        <w:rPr>
          <w:rFonts w:asciiTheme="majorHAnsi" w:eastAsia="Calibri" w:hAnsiTheme="majorHAnsi" w:cstheme="majorHAnsi"/>
          <w:bCs/>
          <w:color w:val="0D0D0D" w:themeColor="text1" w:themeTint="F2"/>
          <w:sz w:val="24"/>
          <w:szCs w:val="24"/>
          <w:lang w:val="ro-MD"/>
        </w:rPr>
        <w:t xml:space="preserve"> доходов и расходов, плана деятельности учреждения, штатных распис</w:t>
      </w:r>
      <w:r w:rsidR="00450944">
        <w:rPr>
          <w:rFonts w:asciiTheme="majorHAnsi" w:eastAsia="Calibri" w:hAnsiTheme="majorHAnsi" w:cstheme="majorHAnsi"/>
          <w:bCs/>
          <w:color w:val="0D0D0D" w:themeColor="text1" w:themeTint="F2"/>
          <w:sz w:val="24"/>
          <w:szCs w:val="24"/>
          <w:lang w:val="ru-RU"/>
        </w:rPr>
        <w:t>аний</w:t>
      </w:r>
      <w:r w:rsidRPr="00872B86">
        <w:rPr>
          <w:rFonts w:asciiTheme="majorHAnsi" w:eastAsia="Calibri" w:hAnsiTheme="majorHAnsi" w:cstheme="majorHAnsi"/>
          <w:bCs/>
          <w:color w:val="0D0D0D" w:themeColor="text1" w:themeTint="F2"/>
          <w:sz w:val="24"/>
          <w:szCs w:val="24"/>
          <w:lang w:val="ro-MD"/>
        </w:rPr>
        <w:t>, а также резу</w:t>
      </w:r>
      <w:r w:rsidR="00450944">
        <w:rPr>
          <w:rFonts w:asciiTheme="majorHAnsi" w:eastAsia="Calibri" w:hAnsiTheme="majorHAnsi" w:cstheme="majorHAnsi"/>
          <w:bCs/>
          <w:color w:val="0D0D0D" w:themeColor="text1" w:themeTint="F2"/>
          <w:sz w:val="24"/>
          <w:szCs w:val="24"/>
          <w:lang w:val="ro-MD"/>
        </w:rPr>
        <w:t>льтатов деятельности учреждения</w:t>
      </w:r>
      <w:r w:rsidR="00DB1FD6" w:rsidRPr="00B13B9A">
        <w:rPr>
          <w:rFonts w:asciiTheme="majorHAnsi" w:hAnsiTheme="majorHAnsi" w:cstheme="majorHAnsi"/>
          <w:sz w:val="24"/>
          <w:szCs w:val="24"/>
          <w:lang w:val="ro-MD"/>
        </w:rPr>
        <w:t xml:space="preserve">. </w:t>
      </w:r>
    </w:p>
    <w:p w14:paraId="46666229" w14:textId="54F4CA7C" w:rsidR="009708AE" w:rsidRPr="00B13B9A" w:rsidRDefault="00A157A4" w:rsidP="00E220FF">
      <w:pPr>
        <w:spacing w:after="0" w:line="276" w:lineRule="auto"/>
        <w:jc w:val="both"/>
        <w:rPr>
          <w:rFonts w:asciiTheme="majorHAnsi" w:eastAsia="Calibri" w:hAnsiTheme="majorHAnsi" w:cstheme="majorHAnsi"/>
          <w:bCs/>
          <w:color w:val="0D0D0D" w:themeColor="text1" w:themeTint="F2"/>
          <w:sz w:val="24"/>
          <w:szCs w:val="24"/>
          <w:lang w:val="ro-MD"/>
        </w:rPr>
      </w:pPr>
      <w:r w:rsidRPr="00A157A4">
        <w:rPr>
          <w:rFonts w:asciiTheme="majorHAnsi" w:eastAsia="Calibri" w:hAnsiTheme="majorHAnsi" w:cstheme="majorHAnsi"/>
          <w:bCs/>
          <w:color w:val="0D0D0D" w:themeColor="text1" w:themeTint="F2"/>
          <w:sz w:val="24"/>
          <w:szCs w:val="24"/>
          <w:lang w:val="ro-MD"/>
        </w:rPr>
        <w:t>Таким образом, субъект должен скорректировать имущественные ситуации на основе подтверждающих документов, исходя из способа получения активов (как имущества, полученного от государства с правом собственности, в экономическом управлении и т. д.)</w:t>
      </w:r>
      <w:r w:rsidR="00450944" w:rsidRPr="00450944">
        <w:rPr>
          <w:rFonts w:asciiTheme="majorHAnsi" w:eastAsia="Calibri" w:hAnsiTheme="majorHAnsi" w:cstheme="majorHAnsi"/>
          <w:bCs/>
          <w:color w:val="0D0D0D" w:themeColor="text1" w:themeTint="F2"/>
          <w:sz w:val="24"/>
          <w:szCs w:val="24"/>
          <w:lang w:val="ro-MD"/>
        </w:rPr>
        <w:t>, для</w:t>
      </w:r>
      <w:r w:rsidRPr="00A157A4">
        <w:rPr>
          <w:rFonts w:asciiTheme="majorHAnsi" w:eastAsia="Calibri" w:hAnsiTheme="majorHAnsi" w:cstheme="majorHAnsi"/>
          <w:bCs/>
          <w:color w:val="0D0D0D" w:themeColor="text1" w:themeTint="F2"/>
          <w:sz w:val="24"/>
          <w:szCs w:val="24"/>
          <w:lang w:val="ro-MD"/>
        </w:rPr>
        <w:t xml:space="preserve"> обеспечения </w:t>
      </w:r>
      <w:r w:rsidR="00450944" w:rsidRPr="00450944">
        <w:rPr>
          <w:rFonts w:asciiTheme="majorHAnsi" w:eastAsia="Calibri" w:hAnsiTheme="majorHAnsi" w:cstheme="majorHAnsi"/>
          <w:bCs/>
          <w:color w:val="0D0D0D" w:themeColor="text1" w:themeTint="F2"/>
          <w:sz w:val="24"/>
          <w:szCs w:val="24"/>
          <w:lang w:val="ro-MD"/>
        </w:rPr>
        <w:t>надлежа</w:t>
      </w:r>
      <w:r w:rsidRPr="00A157A4">
        <w:rPr>
          <w:rFonts w:asciiTheme="majorHAnsi" w:eastAsia="Calibri" w:hAnsiTheme="majorHAnsi" w:cstheme="majorHAnsi"/>
          <w:bCs/>
          <w:color w:val="0D0D0D" w:themeColor="text1" w:themeTint="F2"/>
          <w:sz w:val="24"/>
          <w:szCs w:val="24"/>
          <w:lang w:val="ro-MD"/>
        </w:rPr>
        <w:t>щего отражения полученного имущества</w:t>
      </w:r>
      <w:r w:rsidR="00DB1FD6" w:rsidRPr="00B13B9A">
        <w:rPr>
          <w:rFonts w:asciiTheme="majorHAnsi" w:eastAsia="Calibri" w:hAnsiTheme="majorHAnsi" w:cstheme="majorHAnsi"/>
          <w:bCs/>
          <w:color w:val="0D0D0D" w:themeColor="text1" w:themeTint="F2"/>
          <w:sz w:val="24"/>
          <w:szCs w:val="24"/>
          <w:lang w:val="ro-MD"/>
        </w:rPr>
        <w:t>.</w:t>
      </w:r>
    </w:p>
    <w:p w14:paraId="60D0A672" w14:textId="77777777" w:rsidR="0039787E" w:rsidRPr="00B13B9A" w:rsidRDefault="0039787E" w:rsidP="00D25500">
      <w:pPr>
        <w:spacing w:after="0" w:line="276" w:lineRule="auto"/>
        <w:jc w:val="both"/>
        <w:rPr>
          <w:rFonts w:asciiTheme="majorHAnsi" w:eastAsia="Times New Roman" w:hAnsiTheme="majorHAnsi" w:cstheme="majorHAnsi"/>
          <w:sz w:val="24"/>
          <w:szCs w:val="24"/>
          <w:lang w:val="ro-MD"/>
        </w:rPr>
      </w:pPr>
    </w:p>
    <w:p w14:paraId="3F8E3E4D" w14:textId="079071EC" w:rsidR="0039787E" w:rsidRPr="00B13B9A" w:rsidRDefault="00A157A4" w:rsidP="00FB605B">
      <w:pPr>
        <w:pStyle w:val="a7"/>
        <w:numPr>
          <w:ilvl w:val="2"/>
          <w:numId w:val="10"/>
        </w:numPr>
        <w:shd w:val="clear" w:color="auto" w:fill="FFFFFF" w:themeFill="background1"/>
        <w:tabs>
          <w:tab w:val="left" w:pos="1080"/>
        </w:tabs>
        <w:ind w:left="0" w:firstLine="284"/>
        <w:jc w:val="both"/>
        <w:outlineLvl w:val="2"/>
        <w:rPr>
          <w:rFonts w:asciiTheme="majorHAnsi" w:hAnsiTheme="majorHAnsi" w:cstheme="majorHAnsi"/>
          <w:b/>
          <w:bCs/>
          <w:iCs/>
          <w:sz w:val="24"/>
          <w:szCs w:val="24"/>
          <w:lang w:val="ro-MD"/>
        </w:rPr>
      </w:pPr>
      <w:bookmarkStart w:id="28" w:name="_Toc158317234"/>
      <w:r w:rsidRPr="00A157A4">
        <w:rPr>
          <w:rFonts w:asciiTheme="majorHAnsi" w:hAnsiTheme="majorHAnsi" w:cstheme="majorHAnsi"/>
          <w:b/>
          <w:bCs/>
          <w:iCs/>
          <w:sz w:val="24"/>
          <w:szCs w:val="24"/>
          <w:lang w:val="ro-MD"/>
        </w:rPr>
        <w:t xml:space="preserve">Некоторые медицинские приборы и оборудование на сумму 1 126,1 тыс. леев, полученные </w:t>
      </w:r>
      <w:r w:rsidR="00450944" w:rsidRPr="00450944">
        <w:rPr>
          <w:rFonts w:asciiTheme="majorHAnsi" w:hAnsiTheme="majorHAnsi" w:cstheme="majorHAnsi"/>
          <w:b/>
          <w:bCs/>
          <w:iCs/>
          <w:sz w:val="24"/>
          <w:szCs w:val="24"/>
          <w:lang w:val="ro-MD"/>
        </w:rPr>
        <w:t>на безвозмездной основе</w:t>
      </w:r>
      <w:r w:rsidRPr="00A157A4">
        <w:rPr>
          <w:rFonts w:asciiTheme="majorHAnsi" w:hAnsiTheme="majorHAnsi" w:cstheme="majorHAnsi"/>
          <w:b/>
          <w:bCs/>
          <w:iCs/>
          <w:sz w:val="24"/>
          <w:szCs w:val="24"/>
          <w:lang w:val="ro-MD"/>
        </w:rPr>
        <w:t xml:space="preserve"> в виде гуманитарной помощи и распределенные в пользование, не используются по назначению, </w:t>
      </w:r>
      <w:r w:rsidR="00450944" w:rsidRPr="00450944">
        <w:rPr>
          <w:rFonts w:asciiTheme="majorHAnsi" w:hAnsiTheme="majorHAnsi" w:cstheme="majorHAnsi"/>
          <w:b/>
          <w:bCs/>
          <w:iCs/>
          <w:sz w:val="24"/>
          <w:szCs w:val="24"/>
          <w:lang w:val="ro-MD"/>
        </w:rPr>
        <w:t xml:space="preserve">а </w:t>
      </w:r>
      <w:r w:rsidRPr="00A157A4">
        <w:rPr>
          <w:rFonts w:asciiTheme="majorHAnsi" w:hAnsiTheme="majorHAnsi" w:cstheme="majorHAnsi"/>
          <w:b/>
          <w:bCs/>
          <w:iCs/>
          <w:sz w:val="24"/>
          <w:szCs w:val="24"/>
          <w:lang w:val="ro-MD"/>
        </w:rPr>
        <w:t xml:space="preserve">хранятся </w:t>
      </w:r>
      <w:r w:rsidR="00450944" w:rsidRPr="00450944">
        <w:rPr>
          <w:rFonts w:asciiTheme="majorHAnsi" w:hAnsiTheme="majorHAnsi" w:cstheme="majorHAnsi"/>
          <w:b/>
          <w:bCs/>
          <w:iCs/>
          <w:sz w:val="24"/>
          <w:szCs w:val="24"/>
          <w:lang w:val="ro-MD"/>
        </w:rPr>
        <w:t>в отделениях в</w:t>
      </w:r>
      <w:r w:rsidRPr="00A157A4">
        <w:rPr>
          <w:rFonts w:asciiTheme="majorHAnsi" w:hAnsiTheme="majorHAnsi" w:cstheme="majorHAnsi"/>
          <w:b/>
          <w:bCs/>
          <w:iCs/>
          <w:sz w:val="24"/>
          <w:szCs w:val="24"/>
          <w:lang w:val="ro-MD"/>
        </w:rPr>
        <w:t>нов</w:t>
      </w:r>
      <w:r w:rsidR="00450944" w:rsidRPr="00450944">
        <w:rPr>
          <w:rFonts w:asciiTheme="majorHAnsi" w:hAnsiTheme="majorHAnsi" w:cstheme="majorHAnsi"/>
          <w:b/>
          <w:bCs/>
          <w:iCs/>
          <w:sz w:val="24"/>
          <w:szCs w:val="24"/>
          <w:lang w:val="ro-MD"/>
        </w:rPr>
        <w:t>ом состоянии</w:t>
      </w:r>
      <w:r w:rsidRPr="00A157A4">
        <w:rPr>
          <w:rFonts w:asciiTheme="majorHAnsi" w:hAnsiTheme="majorHAnsi" w:cstheme="majorHAnsi"/>
          <w:b/>
          <w:bCs/>
          <w:iCs/>
          <w:sz w:val="24"/>
          <w:szCs w:val="24"/>
          <w:lang w:val="ro-MD"/>
        </w:rPr>
        <w:t xml:space="preserve">, некоторые </w:t>
      </w:r>
      <w:r w:rsidR="00450944">
        <w:rPr>
          <w:rFonts w:asciiTheme="majorHAnsi" w:hAnsiTheme="majorHAnsi" w:cstheme="majorHAnsi"/>
          <w:b/>
          <w:bCs/>
          <w:iCs/>
          <w:sz w:val="24"/>
          <w:szCs w:val="24"/>
          <w:lang w:val="ru-RU"/>
        </w:rPr>
        <w:t xml:space="preserve">из них </w:t>
      </w:r>
      <w:r w:rsidR="00450944" w:rsidRPr="00450944">
        <w:rPr>
          <w:rFonts w:asciiTheme="majorHAnsi" w:hAnsiTheme="majorHAnsi" w:cstheme="majorHAnsi"/>
          <w:b/>
          <w:bCs/>
          <w:iCs/>
          <w:sz w:val="24"/>
          <w:szCs w:val="24"/>
          <w:lang w:val="ro-MD"/>
        </w:rPr>
        <w:t xml:space="preserve">на протяжении </w:t>
      </w:r>
      <w:r w:rsidRPr="00A157A4">
        <w:rPr>
          <w:rFonts w:asciiTheme="majorHAnsi" w:hAnsiTheme="majorHAnsi" w:cstheme="majorHAnsi"/>
          <w:b/>
          <w:bCs/>
          <w:iCs/>
          <w:sz w:val="24"/>
          <w:szCs w:val="24"/>
          <w:lang w:val="ro-MD"/>
        </w:rPr>
        <w:t>более 10 лет</w:t>
      </w:r>
      <w:r w:rsidR="0039787E" w:rsidRPr="00B13B9A">
        <w:rPr>
          <w:rFonts w:asciiTheme="majorHAnsi" w:hAnsiTheme="majorHAnsi" w:cstheme="majorHAnsi"/>
          <w:b/>
          <w:bCs/>
          <w:iCs/>
          <w:sz w:val="24"/>
          <w:szCs w:val="24"/>
          <w:lang w:val="ro-MD"/>
        </w:rPr>
        <w:t>.</w:t>
      </w:r>
      <w:bookmarkEnd w:id="28"/>
    </w:p>
    <w:p w14:paraId="5DB9B696" w14:textId="0C0B8A2C" w:rsidR="00A157A4" w:rsidRPr="00A157A4" w:rsidRDefault="00450944" w:rsidP="00A157A4">
      <w:pPr>
        <w:spacing w:line="276" w:lineRule="auto"/>
        <w:jc w:val="both"/>
        <w:rPr>
          <w:rFonts w:asciiTheme="majorHAnsi" w:hAnsiTheme="majorHAnsi" w:cstheme="majorHAnsi"/>
          <w:color w:val="000000" w:themeColor="text1"/>
          <w:sz w:val="24"/>
          <w:szCs w:val="24"/>
          <w:lang w:val="ro-MD"/>
        </w:rPr>
      </w:pPr>
      <w:r>
        <w:rPr>
          <w:rFonts w:asciiTheme="majorHAnsi" w:hAnsiTheme="majorHAnsi" w:cstheme="majorHAnsi"/>
          <w:color w:val="000000" w:themeColor="text1"/>
          <w:sz w:val="24"/>
          <w:szCs w:val="24"/>
          <w:lang w:val="ru-RU"/>
        </w:rPr>
        <w:t>Согласно</w:t>
      </w:r>
      <w:r w:rsidR="00A157A4" w:rsidRPr="00A157A4">
        <w:rPr>
          <w:rFonts w:asciiTheme="majorHAnsi" w:hAnsiTheme="majorHAnsi" w:cstheme="majorHAnsi"/>
          <w:color w:val="000000" w:themeColor="text1"/>
          <w:sz w:val="24"/>
          <w:szCs w:val="24"/>
          <w:lang w:val="ro-MD"/>
        </w:rPr>
        <w:t xml:space="preserve"> данным бухгалтерского учета, </w:t>
      </w:r>
      <w:r>
        <w:rPr>
          <w:rFonts w:asciiTheme="majorHAnsi" w:hAnsiTheme="majorHAnsi" w:cstheme="majorHAnsi"/>
          <w:color w:val="000000" w:themeColor="text1"/>
          <w:sz w:val="24"/>
          <w:szCs w:val="24"/>
          <w:lang w:val="ru-RU"/>
        </w:rPr>
        <w:t>в</w:t>
      </w:r>
      <w:r w:rsidR="00A157A4" w:rsidRPr="00A157A4">
        <w:rPr>
          <w:rFonts w:asciiTheme="majorHAnsi" w:hAnsiTheme="majorHAnsi" w:cstheme="majorHAnsi"/>
          <w:color w:val="000000" w:themeColor="text1"/>
          <w:sz w:val="24"/>
          <w:szCs w:val="24"/>
          <w:lang w:val="ro-MD"/>
        </w:rPr>
        <w:t xml:space="preserve"> период 2021-2023 гг. (I семестр) </w:t>
      </w:r>
      <w:r>
        <w:rPr>
          <w:rFonts w:asciiTheme="majorHAnsi" w:hAnsiTheme="majorHAnsi" w:cstheme="majorHAnsi"/>
          <w:color w:val="000000" w:themeColor="text1"/>
          <w:sz w:val="24"/>
          <w:szCs w:val="24"/>
          <w:lang w:val="ru-RU"/>
        </w:rPr>
        <w:t>учреждение</w:t>
      </w:r>
      <w:r w:rsidR="00A157A4" w:rsidRPr="00A157A4">
        <w:rPr>
          <w:rFonts w:asciiTheme="majorHAnsi" w:hAnsiTheme="majorHAnsi" w:cstheme="majorHAnsi"/>
          <w:color w:val="000000" w:themeColor="text1"/>
          <w:sz w:val="24"/>
          <w:szCs w:val="24"/>
          <w:lang w:val="ro-MD"/>
        </w:rPr>
        <w:t xml:space="preserve"> ввело в эксплуатацию медицинское оборудование на сумму 8 875,6 тыс. леев, которое было получено от Министерства здравоохранения, </w:t>
      </w:r>
      <w:r>
        <w:rPr>
          <w:rFonts w:asciiTheme="majorHAnsi" w:hAnsiTheme="majorHAnsi" w:cstheme="majorHAnsi"/>
          <w:color w:val="000000" w:themeColor="text1"/>
          <w:sz w:val="24"/>
          <w:szCs w:val="24"/>
          <w:lang w:val="ru-RU"/>
        </w:rPr>
        <w:t>ПКВМП</w:t>
      </w:r>
      <w:r w:rsidR="00A157A4" w:rsidRPr="00A157A4">
        <w:rPr>
          <w:rFonts w:asciiTheme="majorHAnsi" w:hAnsiTheme="majorHAnsi" w:cstheme="majorHAnsi"/>
          <w:color w:val="000000" w:themeColor="text1"/>
          <w:sz w:val="24"/>
          <w:szCs w:val="24"/>
          <w:lang w:val="ro-MD"/>
        </w:rPr>
        <w:t>, CPAS, информация представлен</w:t>
      </w:r>
      <w:r>
        <w:rPr>
          <w:rFonts w:asciiTheme="majorHAnsi" w:hAnsiTheme="majorHAnsi" w:cstheme="majorHAnsi"/>
          <w:color w:val="000000" w:themeColor="text1"/>
          <w:sz w:val="24"/>
          <w:szCs w:val="24"/>
          <w:lang w:val="ru-RU"/>
        </w:rPr>
        <w:t>а</w:t>
      </w:r>
      <w:r>
        <w:rPr>
          <w:rFonts w:asciiTheme="majorHAnsi" w:hAnsiTheme="majorHAnsi" w:cstheme="majorHAnsi"/>
          <w:color w:val="000000" w:themeColor="text1"/>
          <w:sz w:val="24"/>
          <w:szCs w:val="24"/>
          <w:lang w:val="ro-MD"/>
        </w:rPr>
        <w:t xml:space="preserve"> в приложении №</w:t>
      </w:r>
      <w:r w:rsidR="00A157A4" w:rsidRPr="00A157A4">
        <w:rPr>
          <w:rFonts w:asciiTheme="majorHAnsi" w:hAnsiTheme="majorHAnsi" w:cstheme="majorHAnsi"/>
          <w:color w:val="000000" w:themeColor="text1"/>
          <w:sz w:val="24"/>
          <w:szCs w:val="24"/>
          <w:lang w:val="ro-MD"/>
        </w:rPr>
        <w:t xml:space="preserve">14 к </w:t>
      </w:r>
      <w:r w:rsidR="00EB108A">
        <w:rPr>
          <w:rFonts w:asciiTheme="majorHAnsi" w:hAnsiTheme="majorHAnsi" w:cstheme="majorHAnsi"/>
          <w:color w:val="000000" w:themeColor="text1"/>
          <w:sz w:val="24"/>
          <w:szCs w:val="24"/>
          <w:lang w:val="ro-MD"/>
        </w:rPr>
        <w:t>настоящему Отчету аудита</w:t>
      </w:r>
      <w:r w:rsidR="00A157A4" w:rsidRPr="00A157A4">
        <w:rPr>
          <w:rFonts w:asciiTheme="majorHAnsi" w:hAnsiTheme="majorHAnsi" w:cstheme="majorHAnsi"/>
          <w:color w:val="000000" w:themeColor="text1"/>
          <w:sz w:val="24"/>
          <w:szCs w:val="24"/>
          <w:lang w:val="ro-MD"/>
        </w:rPr>
        <w:t>.</w:t>
      </w:r>
    </w:p>
    <w:p w14:paraId="40146C61" w14:textId="275FC8B2" w:rsidR="0039787E" w:rsidRPr="001B7683" w:rsidRDefault="00A157A4" w:rsidP="001B7683">
      <w:pPr>
        <w:spacing w:line="276" w:lineRule="auto"/>
        <w:jc w:val="both"/>
        <w:rPr>
          <w:rFonts w:asciiTheme="majorHAnsi" w:hAnsiTheme="majorHAnsi" w:cstheme="majorHAnsi"/>
          <w:color w:val="000000" w:themeColor="text1"/>
          <w:sz w:val="24"/>
          <w:szCs w:val="24"/>
          <w:lang w:val="ro-MD"/>
        </w:rPr>
      </w:pPr>
      <w:r w:rsidRPr="00A157A4">
        <w:rPr>
          <w:rFonts w:asciiTheme="majorHAnsi" w:hAnsiTheme="majorHAnsi" w:cstheme="majorHAnsi"/>
          <w:color w:val="000000" w:themeColor="text1"/>
          <w:sz w:val="24"/>
          <w:szCs w:val="24"/>
          <w:lang w:val="ro-MD"/>
        </w:rPr>
        <w:t>Отмечается, что новые, неиспользованные медицинские приборы учитываются как основные средства, которые вв</w:t>
      </w:r>
      <w:r w:rsidR="001B7683">
        <w:rPr>
          <w:rFonts w:asciiTheme="majorHAnsi" w:hAnsiTheme="majorHAnsi" w:cstheme="majorHAnsi"/>
          <w:color w:val="000000" w:themeColor="text1"/>
          <w:sz w:val="24"/>
          <w:szCs w:val="24"/>
          <w:lang w:val="ru-RU"/>
        </w:rPr>
        <w:t>едены</w:t>
      </w:r>
      <w:r w:rsidRPr="00A157A4">
        <w:rPr>
          <w:rFonts w:asciiTheme="majorHAnsi" w:hAnsiTheme="majorHAnsi" w:cstheme="majorHAnsi"/>
          <w:color w:val="000000" w:themeColor="text1"/>
          <w:sz w:val="24"/>
          <w:szCs w:val="24"/>
          <w:lang w:val="ro-MD"/>
        </w:rPr>
        <w:t xml:space="preserve"> в эксплуатацию и используются в операционной деятельности, для </w:t>
      </w:r>
      <w:r w:rsidR="001B7683">
        <w:rPr>
          <w:rFonts w:asciiTheme="majorHAnsi" w:hAnsiTheme="majorHAnsi" w:cstheme="majorHAnsi"/>
          <w:color w:val="000000" w:themeColor="text1"/>
          <w:sz w:val="24"/>
          <w:szCs w:val="24"/>
          <w:lang w:val="ru-RU"/>
        </w:rPr>
        <w:t>которых</w:t>
      </w:r>
      <w:r w:rsidRPr="00A157A4">
        <w:rPr>
          <w:rFonts w:asciiTheme="majorHAnsi" w:hAnsiTheme="majorHAnsi" w:cstheme="majorHAnsi"/>
          <w:color w:val="000000" w:themeColor="text1"/>
          <w:sz w:val="24"/>
          <w:szCs w:val="24"/>
          <w:lang w:val="ro-MD"/>
        </w:rPr>
        <w:t xml:space="preserve"> в обязательном порядке </w:t>
      </w:r>
      <w:r w:rsidR="001B7683">
        <w:rPr>
          <w:rFonts w:asciiTheme="majorHAnsi" w:hAnsiTheme="majorHAnsi" w:cstheme="majorHAnsi"/>
          <w:color w:val="000000" w:themeColor="text1"/>
          <w:sz w:val="24"/>
          <w:szCs w:val="24"/>
          <w:lang w:val="ru-RU"/>
        </w:rPr>
        <w:t>начисля</w:t>
      </w:r>
      <w:r w:rsidRPr="00A157A4">
        <w:rPr>
          <w:rFonts w:asciiTheme="majorHAnsi" w:hAnsiTheme="majorHAnsi" w:cstheme="majorHAnsi"/>
          <w:color w:val="000000" w:themeColor="text1"/>
          <w:sz w:val="24"/>
          <w:szCs w:val="24"/>
          <w:lang w:val="ro-MD"/>
        </w:rPr>
        <w:t xml:space="preserve">ется износ. Таким образом, хотя некоторые </w:t>
      </w:r>
      <w:r w:rsidR="001B7683">
        <w:rPr>
          <w:rFonts w:asciiTheme="majorHAnsi" w:hAnsiTheme="majorHAnsi" w:cstheme="majorHAnsi"/>
          <w:color w:val="000000" w:themeColor="text1"/>
          <w:sz w:val="24"/>
          <w:szCs w:val="24"/>
          <w:lang w:val="ru-RU"/>
        </w:rPr>
        <w:t>оборудования</w:t>
      </w:r>
      <w:r w:rsidRPr="00A157A4">
        <w:rPr>
          <w:rFonts w:asciiTheme="majorHAnsi" w:hAnsiTheme="majorHAnsi" w:cstheme="majorHAnsi"/>
          <w:color w:val="000000" w:themeColor="text1"/>
          <w:sz w:val="24"/>
          <w:szCs w:val="24"/>
          <w:lang w:val="ro-MD"/>
        </w:rPr>
        <w:t xml:space="preserve"> не используются, </w:t>
      </w:r>
      <w:r w:rsidR="00F27552">
        <w:rPr>
          <w:rFonts w:asciiTheme="majorHAnsi" w:hAnsiTheme="majorHAnsi" w:cstheme="majorHAnsi"/>
          <w:color w:val="000000" w:themeColor="text1"/>
          <w:sz w:val="24"/>
          <w:szCs w:val="24"/>
          <w:lang w:val="ro-MD"/>
        </w:rPr>
        <w:t>субъект</w:t>
      </w:r>
      <w:r w:rsidRPr="00A157A4">
        <w:rPr>
          <w:rFonts w:asciiTheme="majorHAnsi" w:hAnsiTheme="majorHAnsi" w:cstheme="majorHAnsi"/>
          <w:color w:val="000000" w:themeColor="text1"/>
          <w:sz w:val="24"/>
          <w:szCs w:val="24"/>
          <w:lang w:val="ro-MD"/>
        </w:rPr>
        <w:t xml:space="preserve"> </w:t>
      </w:r>
      <w:r w:rsidR="001B7683">
        <w:rPr>
          <w:rFonts w:asciiTheme="majorHAnsi" w:hAnsiTheme="majorHAnsi" w:cstheme="majorHAnsi"/>
          <w:color w:val="000000" w:themeColor="text1"/>
          <w:sz w:val="24"/>
          <w:szCs w:val="24"/>
          <w:lang w:val="ru-RU"/>
        </w:rPr>
        <w:t>начисля</w:t>
      </w:r>
      <w:r w:rsidRPr="00A157A4">
        <w:rPr>
          <w:rFonts w:asciiTheme="majorHAnsi" w:hAnsiTheme="majorHAnsi" w:cstheme="majorHAnsi"/>
          <w:color w:val="000000" w:themeColor="text1"/>
          <w:sz w:val="24"/>
          <w:szCs w:val="24"/>
          <w:lang w:val="ro-MD"/>
        </w:rPr>
        <w:t xml:space="preserve">ет износ, который </w:t>
      </w:r>
      <w:r w:rsidR="001B7683">
        <w:rPr>
          <w:rFonts w:asciiTheme="majorHAnsi" w:hAnsiTheme="majorHAnsi" w:cstheme="majorHAnsi"/>
          <w:color w:val="000000" w:themeColor="text1"/>
          <w:sz w:val="24"/>
          <w:szCs w:val="24"/>
          <w:lang w:val="ru-RU"/>
        </w:rPr>
        <w:t>относи</w:t>
      </w:r>
      <w:r w:rsidRPr="00A157A4">
        <w:rPr>
          <w:rFonts w:asciiTheme="majorHAnsi" w:hAnsiTheme="majorHAnsi" w:cstheme="majorHAnsi"/>
          <w:color w:val="000000" w:themeColor="text1"/>
          <w:sz w:val="24"/>
          <w:szCs w:val="24"/>
          <w:lang w:val="ro-MD"/>
        </w:rPr>
        <w:t>тся на расходы, в размере 484,3 тыс. леев</w:t>
      </w:r>
      <w:r w:rsidR="001B7683" w:rsidRPr="00B13B9A">
        <w:rPr>
          <w:rStyle w:val="a9"/>
          <w:rFonts w:asciiTheme="majorHAnsi" w:hAnsiTheme="majorHAnsi" w:cstheme="majorHAnsi"/>
          <w:sz w:val="24"/>
          <w:szCs w:val="24"/>
          <w:lang w:val="ro-MD"/>
        </w:rPr>
        <w:footnoteReference w:id="39"/>
      </w:r>
      <w:r w:rsidRPr="00A157A4">
        <w:rPr>
          <w:rFonts w:asciiTheme="majorHAnsi" w:hAnsiTheme="majorHAnsi" w:cstheme="majorHAnsi"/>
          <w:color w:val="000000" w:themeColor="text1"/>
          <w:sz w:val="24"/>
          <w:szCs w:val="24"/>
          <w:lang w:val="ro-MD"/>
        </w:rPr>
        <w:t xml:space="preserve">, а за </w:t>
      </w:r>
      <w:r w:rsidR="001B7683">
        <w:rPr>
          <w:rFonts w:asciiTheme="majorHAnsi" w:hAnsiTheme="majorHAnsi" w:cstheme="majorHAnsi"/>
          <w:color w:val="000000" w:themeColor="text1"/>
          <w:sz w:val="24"/>
          <w:szCs w:val="24"/>
          <w:lang w:val="ru-RU"/>
        </w:rPr>
        <w:t>аудируем</w:t>
      </w:r>
      <w:r w:rsidRPr="00A157A4">
        <w:rPr>
          <w:rFonts w:asciiTheme="majorHAnsi" w:hAnsiTheme="majorHAnsi" w:cstheme="majorHAnsi"/>
          <w:color w:val="000000" w:themeColor="text1"/>
          <w:sz w:val="24"/>
          <w:szCs w:val="24"/>
          <w:lang w:val="ro-MD"/>
        </w:rPr>
        <w:t xml:space="preserve">ый период износ составляет 151,9 тыс. леев, </w:t>
      </w:r>
      <w:r w:rsidR="001B7683">
        <w:rPr>
          <w:rFonts w:asciiTheme="majorHAnsi" w:hAnsiTheme="majorHAnsi" w:cstheme="majorHAnsi"/>
          <w:color w:val="000000" w:themeColor="text1"/>
          <w:sz w:val="24"/>
          <w:szCs w:val="24"/>
          <w:lang w:val="ru-RU"/>
        </w:rPr>
        <w:t>который был включен</w:t>
      </w:r>
      <w:r w:rsidRPr="00A157A4">
        <w:rPr>
          <w:rFonts w:asciiTheme="majorHAnsi" w:hAnsiTheme="majorHAnsi" w:cstheme="majorHAnsi"/>
          <w:color w:val="000000" w:themeColor="text1"/>
          <w:sz w:val="24"/>
          <w:szCs w:val="24"/>
          <w:lang w:val="ro-MD"/>
        </w:rPr>
        <w:t xml:space="preserve"> в стоимость услуг</w:t>
      </w:r>
      <w:r w:rsidR="0039787E" w:rsidRPr="00B13B9A">
        <w:rPr>
          <w:rFonts w:asciiTheme="majorHAnsi" w:hAnsiTheme="majorHAnsi" w:cstheme="majorHAnsi"/>
          <w:sz w:val="24"/>
          <w:szCs w:val="24"/>
          <w:lang w:val="ro-MD"/>
        </w:rPr>
        <w:t>.</w:t>
      </w:r>
    </w:p>
    <w:p w14:paraId="6A8E98B5" w14:textId="3C7562A0" w:rsidR="00E7729C" w:rsidRPr="00B13B9A" w:rsidRDefault="00A157A4" w:rsidP="00E7729C">
      <w:pPr>
        <w:pStyle w:val="ae"/>
        <w:shd w:val="clear" w:color="auto" w:fill="FFFFFF" w:themeFill="background1"/>
        <w:tabs>
          <w:tab w:val="left" w:pos="284"/>
        </w:tabs>
        <w:spacing w:before="0" w:beforeAutospacing="0" w:after="0" w:afterAutospacing="0" w:line="276" w:lineRule="auto"/>
        <w:jc w:val="both"/>
        <w:textAlignment w:val="baseline"/>
        <w:rPr>
          <w:rFonts w:asciiTheme="majorHAnsi" w:hAnsiTheme="majorHAnsi" w:cstheme="majorHAnsi"/>
          <w:lang w:val="ro-MD"/>
        </w:rPr>
      </w:pPr>
      <w:r w:rsidRPr="00A157A4">
        <w:rPr>
          <w:rFonts w:asciiTheme="majorHAnsi" w:hAnsiTheme="majorHAnsi" w:cstheme="majorHAnsi"/>
          <w:lang w:val="ro-MD"/>
        </w:rPr>
        <w:t xml:space="preserve">Следует отметить, что </w:t>
      </w:r>
      <w:r w:rsidR="001B7683">
        <w:rPr>
          <w:rFonts w:asciiTheme="majorHAnsi" w:hAnsiTheme="majorHAnsi" w:cstheme="majorHAnsi"/>
          <w:lang w:val="ru-RU"/>
        </w:rPr>
        <w:t xml:space="preserve">у </w:t>
      </w:r>
      <w:r w:rsidR="00F27552">
        <w:rPr>
          <w:rFonts w:asciiTheme="majorHAnsi" w:hAnsiTheme="majorHAnsi" w:cstheme="majorHAnsi"/>
          <w:lang w:val="ro-MD"/>
        </w:rPr>
        <w:t>субъект</w:t>
      </w:r>
      <w:r w:rsidR="001B7683">
        <w:rPr>
          <w:rFonts w:asciiTheme="majorHAnsi" w:hAnsiTheme="majorHAnsi" w:cstheme="majorHAnsi"/>
          <w:lang w:val="ru-RU"/>
        </w:rPr>
        <w:t>а</w:t>
      </w:r>
      <w:r w:rsidRPr="00A157A4">
        <w:rPr>
          <w:rFonts w:asciiTheme="majorHAnsi" w:hAnsiTheme="majorHAnsi" w:cstheme="majorHAnsi"/>
          <w:lang w:val="ro-MD"/>
        </w:rPr>
        <w:t xml:space="preserve"> </w:t>
      </w:r>
      <w:r w:rsidR="001B7683">
        <w:rPr>
          <w:rFonts w:asciiTheme="majorHAnsi" w:hAnsiTheme="majorHAnsi" w:cstheme="majorHAnsi"/>
          <w:lang w:val="ru-RU"/>
        </w:rPr>
        <w:t>отсутствуют</w:t>
      </w:r>
      <w:r w:rsidRPr="00A157A4">
        <w:rPr>
          <w:rFonts w:asciiTheme="majorHAnsi" w:hAnsiTheme="majorHAnsi" w:cstheme="majorHAnsi"/>
          <w:lang w:val="ro-MD"/>
        </w:rPr>
        <w:t xml:space="preserve"> внутренни</w:t>
      </w:r>
      <w:r w:rsidR="001B7683">
        <w:rPr>
          <w:rFonts w:asciiTheme="majorHAnsi" w:hAnsiTheme="majorHAnsi" w:cstheme="majorHAnsi"/>
          <w:lang w:val="ru-RU"/>
        </w:rPr>
        <w:t>е</w:t>
      </w:r>
      <w:r w:rsidRPr="00A157A4">
        <w:rPr>
          <w:rFonts w:asciiTheme="majorHAnsi" w:hAnsiTheme="majorHAnsi" w:cstheme="majorHAnsi"/>
          <w:lang w:val="ro-MD"/>
        </w:rPr>
        <w:t xml:space="preserve"> п</w:t>
      </w:r>
      <w:r w:rsidR="001B7683">
        <w:rPr>
          <w:rFonts w:asciiTheme="majorHAnsi" w:hAnsiTheme="majorHAnsi" w:cstheme="majorHAnsi"/>
          <w:lang w:val="ru-RU"/>
        </w:rPr>
        <w:t>оложения о порядке</w:t>
      </w:r>
      <w:r w:rsidRPr="00A157A4">
        <w:rPr>
          <w:rFonts w:asciiTheme="majorHAnsi" w:hAnsiTheme="majorHAnsi" w:cstheme="majorHAnsi"/>
          <w:lang w:val="ro-MD"/>
        </w:rPr>
        <w:t xml:space="preserve"> распредел</w:t>
      </w:r>
      <w:r w:rsidR="001B7683">
        <w:rPr>
          <w:rFonts w:asciiTheme="majorHAnsi" w:hAnsiTheme="majorHAnsi" w:cstheme="majorHAnsi"/>
          <w:lang w:val="ru-RU"/>
        </w:rPr>
        <w:t>ения</w:t>
      </w:r>
      <w:r w:rsidRPr="00A157A4">
        <w:rPr>
          <w:rFonts w:asciiTheme="majorHAnsi" w:hAnsiTheme="majorHAnsi" w:cstheme="majorHAnsi"/>
          <w:lang w:val="ro-MD"/>
        </w:rPr>
        <w:t xml:space="preserve"> медицинск</w:t>
      </w:r>
      <w:r w:rsidR="001B7683">
        <w:rPr>
          <w:rFonts w:asciiTheme="majorHAnsi" w:hAnsiTheme="majorHAnsi" w:cstheme="majorHAnsi"/>
          <w:lang w:val="ru-RU"/>
        </w:rPr>
        <w:t>их приборов</w:t>
      </w:r>
      <w:r w:rsidRPr="00A157A4">
        <w:rPr>
          <w:rFonts w:asciiTheme="majorHAnsi" w:hAnsiTheme="majorHAnsi" w:cstheme="majorHAnsi"/>
          <w:lang w:val="ro-MD"/>
        </w:rPr>
        <w:t xml:space="preserve"> и оборудовани</w:t>
      </w:r>
      <w:r w:rsidR="001B7683">
        <w:rPr>
          <w:rFonts w:asciiTheme="majorHAnsi" w:hAnsiTheme="majorHAnsi" w:cstheme="majorHAnsi"/>
          <w:lang w:val="ru-RU"/>
        </w:rPr>
        <w:t>я</w:t>
      </w:r>
      <w:r w:rsidRPr="00A157A4">
        <w:rPr>
          <w:rFonts w:asciiTheme="majorHAnsi" w:hAnsiTheme="majorHAnsi" w:cstheme="majorHAnsi"/>
          <w:lang w:val="ro-MD"/>
        </w:rPr>
        <w:t xml:space="preserve">, а те, которые получены на складе (в </w:t>
      </w:r>
      <w:r w:rsidR="001B7683">
        <w:rPr>
          <w:rFonts w:asciiTheme="majorHAnsi" w:hAnsiTheme="majorHAnsi" w:cstheme="majorHAnsi"/>
          <w:lang w:val="ru-RU"/>
        </w:rPr>
        <w:t>вид</w:t>
      </w:r>
      <w:r w:rsidRPr="00A157A4">
        <w:rPr>
          <w:rFonts w:asciiTheme="majorHAnsi" w:hAnsiTheme="majorHAnsi" w:cstheme="majorHAnsi"/>
          <w:lang w:val="ro-MD"/>
        </w:rPr>
        <w:t xml:space="preserve">е гуманитарной помощи), распределяются </w:t>
      </w:r>
      <w:r w:rsidR="001B7683">
        <w:rPr>
          <w:rFonts w:asciiTheme="majorHAnsi" w:hAnsiTheme="majorHAnsi" w:cstheme="majorHAnsi"/>
          <w:lang w:val="ru-RU"/>
        </w:rPr>
        <w:t>по отделениям</w:t>
      </w:r>
      <w:r w:rsidRPr="00A157A4">
        <w:rPr>
          <w:rFonts w:asciiTheme="majorHAnsi" w:hAnsiTheme="majorHAnsi" w:cstheme="majorHAnsi"/>
          <w:lang w:val="ro-MD"/>
        </w:rPr>
        <w:t xml:space="preserve"> </w:t>
      </w:r>
      <w:r w:rsidR="001B7683">
        <w:rPr>
          <w:rFonts w:asciiTheme="majorHAnsi" w:hAnsiTheme="majorHAnsi" w:cstheme="majorHAnsi"/>
          <w:lang w:val="ru-RU"/>
        </w:rPr>
        <w:t>на основе</w:t>
      </w:r>
      <w:r w:rsidRPr="00A157A4">
        <w:rPr>
          <w:rFonts w:asciiTheme="majorHAnsi" w:hAnsiTheme="majorHAnsi" w:cstheme="majorHAnsi"/>
          <w:lang w:val="ro-MD"/>
        </w:rPr>
        <w:t xml:space="preserve"> приказ</w:t>
      </w:r>
      <w:r w:rsidR="001B7683">
        <w:rPr>
          <w:rFonts w:asciiTheme="majorHAnsi" w:hAnsiTheme="majorHAnsi" w:cstheme="majorHAnsi"/>
          <w:lang w:val="ru-RU"/>
        </w:rPr>
        <w:t>а</w:t>
      </w:r>
      <w:r w:rsidRPr="00A157A4">
        <w:rPr>
          <w:rFonts w:asciiTheme="majorHAnsi" w:hAnsiTheme="majorHAnsi" w:cstheme="majorHAnsi"/>
          <w:lang w:val="ro-MD"/>
        </w:rPr>
        <w:t xml:space="preserve"> руководства, в отсутствие </w:t>
      </w:r>
      <w:r w:rsidR="001B7683">
        <w:rPr>
          <w:rFonts w:asciiTheme="majorHAnsi" w:hAnsiTheme="majorHAnsi" w:cstheme="majorHAnsi"/>
          <w:lang w:val="ru-RU"/>
        </w:rPr>
        <w:t>запросов о их</w:t>
      </w:r>
      <w:r w:rsidRPr="00A157A4">
        <w:rPr>
          <w:rFonts w:asciiTheme="majorHAnsi" w:hAnsiTheme="majorHAnsi" w:cstheme="majorHAnsi"/>
          <w:lang w:val="ro-MD"/>
        </w:rPr>
        <w:t xml:space="preserve"> необходимости. В результате</w:t>
      </w:r>
      <w:r w:rsidR="001B7683" w:rsidRPr="001B7683">
        <w:rPr>
          <w:rFonts w:asciiTheme="majorHAnsi" w:hAnsiTheme="majorHAnsi" w:cstheme="majorHAnsi"/>
          <w:lang w:val="ro-MD"/>
        </w:rPr>
        <w:t>,</w:t>
      </w:r>
      <w:r w:rsidRPr="00A157A4">
        <w:rPr>
          <w:rFonts w:asciiTheme="majorHAnsi" w:hAnsiTheme="majorHAnsi" w:cstheme="majorHAnsi"/>
          <w:lang w:val="ro-MD"/>
        </w:rPr>
        <w:t xml:space="preserve"> из-за отсутствия реальной необходимости в каком-либо оборудовании</w:t>
      </w:r>
      <w:r w:rsidR="001B7683" w:rsidRPr="001B7683">
        <w:rPr>
          <w:rFonts w:asciiTheme="majorHAnsi" w:hAnsiTheme="majorHAnsi" w:cstheme="majorHAnsi"/>
          <w:lang w:val="ro-MD"/>
        </w:rPr>
        <w:t>,</w:t>
      </w:r>
      <w:r w:rsidRPr="00A157A4">
        <w:rPr>
          <w:rFonts w:asciiTheme="majorHAnsi" w:hAnsiTheme="majorHAnsi" w:cstheme="majorHAnsi"/>
          <w:lang w:val="ro-MD"/>
        </w:rPr>
        <w:t xml:space="preserve"> они не вводятся в эксплуатацию и хранятся новыми на складах</w:t>
      </w:r>
      <w:r w:rsidR="00E7729C" w:rsidRPr="00B13B9A">
        <w:rPr>
          <w:rFonts w:asciiTheme="majorHAnsi" w:hAnsiTheme="majorHAnsi" w:cstheme="majorHAnsi"/>
          <w:lang w:val="ro-MD"/>
        </w:rPr>
        <w:t>.</w:t>
      </w:r>
    </w:p>
    <w:p w14:paraId="76CCB942" w14:textId="18BB8CE3" w:rsidR="00A157A4" w:rsidRPr="00A157A4" w:rsidRDefault="00A157A4" w:rsidP="00A157A4">
      <w:pPr>
        <w:pStyle w:val="ae"/>
        <w:shd w:val="clear" w:color="auto" w:fill="FFFFFF" w:themeFill="background1"/>
        <w:tabs>
          <w:tab w:val="left" w:pos="284"/>
        </w:tabs>
        <w:spacing w:before="0" w:beforeAutospacing="0" w:after="0"/>
        <w:jc w:val="both"/>
        <w:textAlignment w:val="baseline"/>
        <w:rPr>
          <w:rFonts w:asciiTheme="majorHAnsi" w:hAnsiTheme="majorHAnsi" w:cstheme="majorHAnsi"/>
          <w:lang w:val="ro-MD"/>
        </w:rPr>
      </w:pPr>
      <w:r w:rsidRPr="00A157A4">
        <w:rPr>
          <w:rFonts w:asciiTheme="majorHAnsi" w:hAnsiTheme="majorHAnsi" w:cstheme="majorHAnsi"/>
          <w:lang w:val="ro-MD"/>
        </w:rPr>
        <w:t xml:space="preserve">Согласно информативным заметкам </w:t>
      </w:r>
      <w:r w:rsidR="001B7683">
        <w:rPr>
          <w:rFonts w:asciiTheme="majorHAnsi" w:hAnsiTheme="majorHAnsi" w:cstheme="majorHAnsi"/>
          <w:lang w:val="ru-RU"/>
        </w:rPr>
        <w:t>заведующих отделений</w:t>
      </w:r>
      <w:r w:rsidRPr="00A157A4">
        <w:rPr>
          <w:rFonts w:asciiTheme="majorHAnsi" w:hAnsiTheme="majorHAnsi" w:cstheme="majorHAnsi"/>
          <w:lang w:val="ro-MD"/>
        </w:rPr>
        <w:t xml:space="preserve"> </w:t>
      </w:r>
      <w:r w:rsidRPr="001B7683">
        <w:rPr>
          <w:rFonts w:asciiTheme="majorHAnsi" w:hAnsiTheme="majorHAnsi" w:cstheme="majorHAnsi"/>
          <w:i/>
          <w:lang w:val="ro-MD"/>
        </w:rPr>
        <w:t xml:space="preserve">„... медицинские устройства не были введены в эксплуатацию и хранятся в </w:t>
      </w:r>
      <w:r w:rsidR="001B7683">
        <w:rPr>
          <w:rFonts w:asciiTheme="majorHAnsi" w:hAnsiTheme="majorHAnsi" w:cstheme="majorHAnsi"/>
          <w:i/>
          <w:lang w:val="ru-RU"/>
        </w:rPr>
        <w:t>отделения</w:t>
      </w:r>
      <w:r w:rsidRPr="001B7683">
        <w:rPr>
          <w:rFonts w:asciiTheme="majorHAnsi" w:hAnsiTheme="majorHAnsi" w:cstheme="majorHAnsi"/>
          <w:i/>
          <w:lang w:val="ro-MD"/>
        </w:rPr>
        <w:t>х для обеспечения непрерывно</w:t>
      </w:r>
      <w:r w:rsidR="001B7683">
        <w:rPr>
          <w:rFonts w:asciiTheme="majorHAnsi" w:hAnsiTheme="majorHAnsi" w:cstheme="majorHAnsi"/>
          <w:i/>
          <w:lang w:val="ru-RU"/>
        </w:rPr>
        <w:t>сти</w:t>
      </w:r>
      <w:r w:rsidRPr="001B7683">
        <w:rPr>
          <w:rFonts w:asciiTheme="majorHAnsi" w:hAnsiTheme="majorHAnsi" w:cstheme="majorHAnsi"/>
          <w:i/>
          <w:lang w:val="ro-MD"/>
        </w:rPr>
        <w:t xml:space="preserve"> деятельности</w:t>
      </w:r>
      <w:r w:rsidR="001B7683">
        <w:rPr>
          <w:rFonts w:asciiTheme="majorHAnsi" w:hAnsiTheme="majorHAnsi" w:cstheme="majorHAnsi"/>
          <w:i/>
          <w:lang w:val="ru-RU"/>
        </w:rPr>
        <w:t>,</w:t>
      </w:r>
      <w:r w:rsidRPr="001B7683">
        <w:rPr>
          <w:rFonts w:asciiTheme="majorHAnsi" w:hAnsiTheme="majorHAnsi" w:cstheme="majorHAnsi"/>
          <w:i/>
          <w:lang w:val="ro-MD"/>
        </w:rPr>
        <w:t xml:space="preserve"> в случае выхода из строя другого оборудования или невозможности работы </w:t>
      </w:r>
      <w:r w:rsidR="001B7683">
        <w:rPr>
          <w:rFonts w:asciiTheme="majorHAnsi" w:hAnsiTheme="majorHAnsi" w:cstheme="majorHAnsi"/>
          <w:i/>
          <w:lang w:val="ru-RU"/>
        </w:rPr>
        <w:t>из-за</w:t>
      </w:r>
      <w:r w:rsidRPr="001B7683">
        <w:rPr>
          <w:rFonts w:asciiTheme="majorHAnsi" w:hAnsiTheme="majorHAnsi" w:cstheme="majorHAnsi"/>
          <w:i/>
          <w:lang w:val="ro-MD"/>
        </w:rPr>
        <w:t xml:space="preserve"> отсутстви</w:t>
      </w:r>
      <w:r w:rsidR="001B7683">
        <w:rPr>
          <w:rFonts w:asciiTheme="majorHAnsi" w:hAnsiTheme="majorHAnsi" w:cstheme="majorHAnsi"/>
          <w:i/>
          <w:lang w:val="ru-RU"/>
        </w:rPr>
        <w:t>я</w:t>
      </w:r>
      <w:r w:rsidRPr="001B7683">
        <w:rPr>
          <w:rFonts w:asciiTheme="majorHAnsi" w:hAnsiTheme="majorHAnsi" w:cstheme="majorHAnsi"/>
          <w:i/>
          <w:lang w:val="ro-MD"/>
        </w:rPr>
        <w:t xml:space="preserve"> расширения кислородной сети”</w:t>
      </w:r>
      <w:r w:rsidRPr="00A157A4">
        <w:rPr>
          <w:rFonts w:asciiTheme="majorHAnsi" w:hAnsiTheme="majorHAnsi" w:cstheme="majorHAnsi"/>
          <w:lang w:val="ro-MD"/>
        </w:rPr>
        <w:t>.</w:t>
      </w:r>
    </w:p>
    <w:p w14:paraId="7B853EED" w14:textId="6E738CBC" w:rsidR="008C6CAC" w:rsidRPr="00B13B9A" w:rsidRDefault="00433E79" w:rsidP="001B7683">
      <w:pPr>
        <w:pStyle w:val="ae"/>
        <w:shd w:val="clear" w:color="auto" w:fill="FFFFFF" w:themeFill="background1"/>
        <w:tabs>
          <w:tab w:val="left" w:pos="284"/>
        </w:tabs>
        <w:spacing w:before="0" w:beforeAutospacing="0" w:after="0" w:afterAutospacing="0"/>
        <w:jc w:val="both"/>
        <w:textAlignment w:val="baseline"/>
        <w:rPr>
          <w:rFonts w:asciiTheme="majorHAnsi" w:hAnsiTheme="majorHAnsi" w:cstheme="majorHAnsi"/>
          <w:lang w:val="ro-MD"/>
        </w:rPr>
      </w:pPr>
      <w:r>
        <w:rPr>
          <w:rFonts w:asciiTheme="majorHAnsi" w:hAnsiTheme="majorHAnsi" w:cstheme="majorHAnsi"/>
          <w:lang w:val="ru-RU"/>
        </w:rPr>
        <w:t>Одно</w:t>
      </w:r>
      <w:r w:rsidR="00A157A4" w:rsidRPr="00A157A4">
        <w:rPr>
          <w:rFonts w:asciiTheme="majorHAnsi" w:hAnsiTheme="majorHAnsi" w:cstheme="majorHAnsi"/>
          <w:lang w:val="ro-MD"/>
        </w:rPr>
        <w:t>врем</w:t>
      </w:r>
      <w:r>
        <w:rPr>
          <w:rFonts w:asciiTheme="majorHAnsi" w:hAnsiTheme="majorHAnsi" w:cstheme="majorHAnsi"/>
          <w:lang w:val="ru-RU"/>
        </w:rPr>
        <w:t>енно,</w:t>
      </w:r>
      <w:r w:rsidR="00A157A4" w:rsidRPr="00A157A4">
        <w:rPr>
          <w:rFonts w:asciiTheme="majorHAnsi" w:hAnsiTheme="majorHAnsi" w:cstheme="majorHAnsi"/>
          <w:lang w:val="ro-MD"/>
        </w:rPr>
        <w:t xml:space="preserve"> в клинике Ворничень</w:t>
      </w:r>
      <w:r>
        <w:rPr>
          <w:rFonts w:asciiTheme="majorHAnsi" w:hAnsiTheme="majorHAnsi" w:cstheme="majorHAnsi"/>
          <w:lang w:val="ru-RU"/>
        </w:rPr>
        <w:t>,</w:t>
      </w:r>
      <w:r w:rsidR="00A157A4" w:rsidRPr="00A157A4">
        <w:rPr>
          <w:rFonts w:asciiTheme="majorHAnsi" w:hAnsiTheme="majorHAnsi" w:cstheme="majorHAnsi"/>
          <w:lang w:val="ro-MD"/>
        </w:rPr>
        <w:t xml:space="preserve"> в клинико-диагностической лаборатории было выявлено 39 медицинских устройств на сумму 628,5 тыс. леев, которые не используются, лаборатория закрыта с начала 2023 года, а образцы для проведения анализов передаются в лабораторию Кишиневской клиники</w:t>
      </w:r>
      <w:r w:rsidR="0039787E" w:rsidRPr="00B13B9A">
        <w:rPr>
          <w:rFonts w:asciiTheme="majorHAnsi" w:hAnsiTheme="majorHAnsi" w:cstheme="majorHAnsi"/>
          <w:lang w:val="ro-MD"/>
        </w:rPr>
        <w:t>.</w:t>
      </w:r>
    </w:p>
    <w:p w14:paraId="4C6355C1" w14:textId="0A5E40C0" w:rsidR="0039787E" w:rsidRPr="00B13B9A" w:rsidRDefault="00A157A4" w:rsidP="00826699">
      <w:pPr>
        <w:pStyle w:val="ae"/>
        <w:shd w:val="clear" w:color="auto" w:fill="FFFFFF" w:themeFill="background1"/>
        <w:tabs>
          <w:tab w:val="left" w:pos="284"/>
        </w:tabs>
        <w:spacing w:before="0" w:beforeAutospacing="0" w:after="240" w:afterAutospacing="0" w:line="276" w:lineRule="auto"/>
        <w:jc w:val="both"/>
        <w:textAlignment w:val="baseline"/>
        <w:rPr>
          <w:rFonts w:asciiTheme="majorHAnsi" w:hAnsiTheme="majorHAnsi" w:cstheme="majorHAnsi"/>
          <w:lang w:val="ro-MD"/>
        </w:rPr>
      </w:pPr>
      <w:r w:rsidRPr="00A157A4">
        <w:rPr>
          <w:rFonts w:asciiTheme="majorHAnsi" w:hAnsiTheme="majorHAnsi" w:cstheme="majorHAnsi"/>
          <w:lang w:val="ro-MD"/>
        </w:rPr>
        <w:t>В этом контексте аудит отмечает, что, хотя устройства не используются, износ п</w:t>
      </w:r>
      <w:r w:rsidR="00433E79">
        <w:rPr>
          <w:rFonts w:asciiTheme="majorHAnsi" w:hAnsiTheme="majorHAnsi" w:cstheme="majorHAnsi"/>
          <w:lang w:val="ru-RU"/>
        </w:rPr>
        <w:t>родолжает</w:t>
      </w:r>
      <w:r w:rsidRPr="00A157A4">
        <w:rPr>
          <w:rFonts w:asciiTheme="majorHAnsi" w:hAnsiTheme="majorHAnsi" w:cstheme="majorHAnsi"/>
          <w:lang w:val="ro-MD"/>
        </w:rPr>
        <w:t xml:space="preserve"> </w:t>
      </w:r>
      <w:r w:rsidR="00433E79">
        <w:rPr>
          <w:rFonts w:asciiTheme="majorHAnsi" w:hAnsiTheme="majorHAnsi" w:cstheme="majorHAnsi"/>
          <w:lang w:val="ru-RU"/>
        </w:rPr>
        <w:t>начисля</w:t>
      </w:r>
      <w:r w:rsidRPr="00A157A4">
        <w:rPr>
          <w:rFonts w:asciiTheme="majorHAnsi" w:hAnsiTheme="majorHAnsi" w:cstheme="majorHAnsi"/>
          <w:lang w:val="ro-MD"/>
        </w:rPr>
        <w:t xml:space="preserve">ется и </w:t>
      </w:r>
      <w:r w:rsidR="00433E79">
        <w:rPr>
          <w:rFonts w:asciiTheme="majorHAnsi" w:hAnsiTheme="majorHAnsi" w:cstheme="majorHAnsi"/>
          <w:lang w:val="ru-RU"/>
        </w:rPr>
        <w:t>относи</w:t>
      </w:r>
      <w:r w:rsidRPr="00A157A4">
        <w:rPr>
          <w:rFonts w:asciiTheme="majorHAnsi" w:hAnsiTheme="majorHAnsi" w:cstheme="majorHAnsi"/>
          <w:lang w:val="ro-MD"/>
        </w:rPr>
        <w:t xml:space="preserve">тся </w:t>
      </w:r>
      <w:r w:rsidR="00433E79">
        <w:rPr>
          <w:rFonts w:asciiTheme="majorHAnsi" w:hAnsiTheme="majorHAnsi" w:cstheme="majorHAnsi"/>
          <w:lang w:val="ru-RU"/>
        </w:rPr>
        <w:t>на</w:t>
      </w:r>
      <w:r w:rsidRPr="00A157A4">
        <w:rPr>
          <w:rFonts w:asciiTheme="majorHAnsi" w:hAnsiTheme="majorHAnsi" w:cstheme="majorHAnsi"/>
          <w:lang w:val="ro-MD"/>
        </w:rPr>
        <w:t xml:space="preserve"> стоимост</w:t>
      </w:r>
      <w:r w:rsidR="00433E79">
        <w:rPr>
          <w:rFonts w:asciiTheme="majorHAnsi" w:hAnsiTheme="majorHAnsi" w:cstheme="majorHAnsi"/>
          <w:lang w:val="ru-RU"/>
        </w:rPr>
        <w:t>ь</w:t>
      </w:r>
      <w:r w:rsidRPr="00A157A4">
        <w:rPr>
          <w:rFonts w:asciiTheme="majorHAnsi" w:hAnsiTheme="majorHAnsi" w:cstheme="majorHAnsi"/>
          <w:lang w:val="ro-MD"/>
        </w:rPr>
        <w:t xml:space="preserve"> услуг, которая составила 14,8 тыс. леев. </w:t>
      </w:r>
      <w:r w:rsidR="00433E79" w:rsidRPr="00433E79">
        <w:rPr>
          <w:rFonts w:asciiTheme="majorHAnsi" w:hAnsiTheme="majorHAnsi" w:cstheme="majorHAnsi"/>
          <w:lang w:val="ro-MD"/>
        </w:rPr>
        <w:t>Кроме того</w:t>
      </w:r>
      <w:r w:rsidRPr="00A157A4">
        <w:rPr>
          <w:rFonts w:asciiTheme="majorHAnsi" w:hAnsiTheme="majorHAnsi" w:cstheme="majorHAnsi"/>
          <w:lang w:val="ro-MD"/>
        </w:rPr>
        <w:t xml:space="preserve">, хотя </w:t>
      </w:r>
      <w:r w:rsidR="00433E79" w:rsidRPr="00433E79">
        <w:rPr>
          <w:rFonts w:asciiTheme="majorHAnsi" w:hAnsiTheme="majorHAnsi" w:cstheme="majorHAnsi"/>
          <w:lang w:val="ro-MD"/>
        </w:rPr>
        <w:t>НСБУ</w:t>
      </w:r>
      <w:r w:rsidRPr="00A157A4">
        <w:rPr>
          <w:rFonts w:asciiTheme="majorHAnsi" w:hAnsiTheme="majorHAnsi" w:cstheme="majorHAnsi"/>
          <w:lang w:val="ro-MD"/>
        </w:rPr>
        <w:t xml:space="preserve"> предусматривают возможность </w:t>
      </w:r>
      <w:r w:rsidR="00433E79" w:rsidRPr="00433E79">
        <w:rPr>
          <w:rFonts w:asciiTheme="majorHAnsi" w:hAnsiTheme="majorHAnsi" w:cstheme="majorHAnsi"/>
          <w:lang w:val="ro-MD"/>
        </w:rPr>
        <w:t>консервации</w:t>
      </w:r>
      <w:r w:rsidRPr="00A157A4">
        <w:rPr>
          <w:rFonts w:asciiTheme="majorHAnsi" w:hAnsiTheme="majorHAnsi" w:cstheme="majorHAnsi"/>
          <w:lang w:val="ro-MD"/>
        </w:rPr>
        <w:t xml:space="preserve"> неиспользованных основных средств, их износ </w:t>
      </w:r>
      <w:r w:rsidR="00433E79" w:rsidRPr="00433E79">
        <w:rPr>
          <w:rFonts w:asciiTheme="majorHAnsi" w:hAnsiTheme="majorHAnsi" w:cstheme="majorHAnsi"/>
          <w:lang w:val="ro-MD"/>
        </w:rPr>
        <w:t>продолжает</w:t>
      </w:r>
      <w:r w:rsidRPr="00A157A4">
        <w:rPr>
          <w:rFonts w:asciiTheme="majorHAnsi" w:hAnsiTheme="majorHAnsi" w:cstheme="majorHAnsi"/>
          <w:lang w:val="ro-MD"/>
        </w:rPr>
        <w:t xml:space="preserve"> </w:t>
      </w:r>
      <w:r w:rsidR="00433E79" w:rsidRPr="00433E79">
        <w:rPr>
          <w:rFonts w:asciiTheme="majorHAnsi" w:hAnsiTheme="majorHAnsi" w:cstheme="majorHAnsi"/>
          <w:lang w:val="ro-MD"/>
        </w:rPr>
        <w:t>начислять</w:t>
      </w:r>
      <w:r w:rsidRPr="00A157A4">
        <w:rPr>
          <w:rFonts w:asciiTheme="majorHAnsi" w:hAnsiTheme="majorHAnsi" w:cstheme="majorHAnsi"/>
          <w:lang w:val="ro-MD"/>
        </w:rPr>
        <w:t xml:space="preserve">ся, но с отнесением его </w:t>
      </w:r>
      <w:r w:rsidR="00433E79" w:rsidRPr="00433E79">
        <w:rPr>
          <w:rFonts w:asciiTheme="majorHAnsi" w:hAnsiTheme="majorHAnsi" w:cstheme="majorHAnsi"/>
          <w:lang w:val="ro-MD"/>
        </w:rPr>
        <w:t>на</w:t>
      </w:r>
      <w:r w:rsidRPr="00A157A4">
        <w:rPr>
          <w:rFonts w:asciiTheme="majorHAnsi" w:hAnsiTheme="majorHAnsi" w:cstheme="majorHAnsi"/>
          <w:lang w:val="ro-MD"/>
        </w:rPr>
        <w:t xml:space="preserve"> общи</w:t>
      </w:r>
      <w:r w:rsidR="00433E79" w:rsidRPr="00433E79">
        <w:rPr>
          <w:rFonts w:asciiTheme="majorHAnsi" w:hAnsiTheme="majorHAnsi" w:cstheme="majorHAnsi"/>
          <w:lang w:val="ro-MD"/>
        </w:rPr>
        <w:t>е</w:t>
      </w:r>
      <w:r w:rsidRPr="00A157A4">
        <w:rPr>
          <w:rFonts w:asciiTheme="majorHAnsi" w:hAnsiTheme="majorHAnsi" w:cstheme="majorHAnsi"/>
          <w:lang w:val="ro-MD"/>
        </w:rPr>
        <w:t xml:space="preserve"> и административны</w:t>
      </w:r>
      <w:r w:rsidR="00433E79" w:rsidRPr="00433E79">
        <w:rPr>
          <w:rFonts w:asciiTheme="majorHAnsi" w:hAnsiTheme="majorHAnsi" w:cstheme="majorHAnsi"/>
          <w:lang w:val="ro-MD"/>
        </w:rPr>
        <w:t>е</w:t>
      </w:r>
      <w:r w:rsidRPr="00A157A4">
        <w:rPr>
          <w:rFonts w:asciiTheme="majorHAnsi" w:hAnsiTheme="majorHAnsi" w:cstheme="majorHAnsi"/>
          <w:lang w:val="ro-MD"/>
        </w:rPr>
        <w:t xml:space="preserve"> расход</w:t>
      </w:r>
      <w:r w:rsidR="00433E79" w:rsidRPr="00433E79">
        <w:rPr>
          <w:rFonts w:asciiTheme="majorHAnsi" w:hAnsiTheme="majorHAnsi" w:cstheme="majorHAnsi"/>
          <w:lang w:val="ro-MD"/>
        </w:rPr>
        <w:t>ы</w:t>
      </w:r>
      <w:r w:rsidRPr="00A157A4">
        <w:rPr>
          <w:rFonts w:asciiTheme="majorHAnsi" w:hAnsiTheme="majorHAnsi" w:cstheme="majorHAnsi"/>
          <w:lang w:val="ro-MD"/>
        </w:rPr>
        <w:t xml:space="preserve"> субъекта</w:t>
      </w:r>
      <w:r w:rsidR="0039787E" w:rsidRPr="00B13B9A">
        <w:rPr>
          <w:rFonts w:asciiTheme="majorHAnsi" w:hAnsiTheme="majorHAnsi" w:cstheme="majorHAnsi"/>
          <w:lang w:val="ro-MD"/>
        </w:rPr>
        <w:t>.</w:t>
      </w:r>
    </w:p>
    <w:p w14:paraId="19DDB7AA" w14:textId="0E0B3759" w:rsidR="0039787E" w:rsidRPr="00B13B9A" w:rsidRDefault="00433E79" w:rsidP="00826699">
      <w:pPr>
        <w:shd w:val="clear" w:color="auto" w:fill="FFFFFF" w:themeFill="background1"/>
        <w:spacing w:line="256" w:lineRule="auto"/>
        <w:jc w:val="both"/>
        <w:rPr>
          <w:rFonts w:asciiTheme="majorHAnsi" w:hAnsiTheme="majorHAnsi" w:cstheme="majorHAnsi"/>
          <w:sz w:val="24"/>
          <w:szCs w:val="24"/>
          <w:lang w:val="ro-MD"/>
        </w:rPr>
      </w:pPr>
      <w:r w:rsidRPr="00433E79">
        <w:rPr>
          <w:rFonts w:asciiTheme="majorHAnsi" w:hAnsiTheme="majorHAnsi" w:cstheme="majorHAnsi"/>
          <w:sz w:val="24"/>
          <w:szCs w:val="24"/>
          <w:lang w:val="ro-MD"/>
        </w:rPr>
        <w:t>Также</w:t>
      </w:r>
      <w:r w:rsidR="00A157A4" w:rsidRPr="00A157A4">
        <w:rPr>
          <w:rFonts w:asciiTheme="majorHAnsi" w:hAnsiTheme="majorHAnsi" w:cstheme="majorHAnsi"/>
          <w:sz w:val="24"/>
          <w:szCs w:val="24"/>
          <w:lang w:val="ro-MD"/>
        </w:rPr>
        <w:t xml:space="preserve">, </w:t>
      </w:r>
      <w:r w:rsidRPr="00433E79">
        <w:rPr>
          <w:rFonts w:asciiTheme="majorHAnsi" w:hAnsiTheme="majorHAnsi" w:cstheme="majorHAnsi"/>
          <w:sz w:val="24"/>
          <w:szCs w:val="24"/>
          <w:lang w:val="ro-MD"/>
        </w:rPr>
        <w:t>в результате внезапной</w:t>
      </w:r>
      <w:r w:rsidR="00A157A4" w:rsidRPr="00A157A4">
        <w:rPr>
          <w:rFonts w:asciiTheme="majorHAnsi" w:hAnsiTheme="majorHAnsi" w:cstheme="majorHAnsi"/>
          <w:sz w:val="24"/>
          <w:szCs w:val="24"/>
          <w:lang w:val="ro-MD"/>
        </w:rPr>
        <w:t xml:space="preserve"> инвентаризации, проведенной аудитом, были выявлены некоторые медицинские </w:t>
      </w:r>
      <w:r w:rsidRPr="00433E79">
        <w:rPr>
          <w:rFonts w:asciiTheme="majorHAnsi" w:hAnsiTheme="majorHAnsi" w:cstheme="majorHAnsi"/>
          <w:sz w:val="24"/>
          <w:szCs w:val="24"/>
          <w:lang w:val="ro-MD"/>
        </w:rPr>
        <w:t>оборудования</w:t>
      </w:r>
      <w:r w:rsidR="00A157A4" w:rsidRPr="00A157A4">
        <w:rPr>
          <w:rFonts w:asciiTheme="majorHAnsi" w:hAnsiTheme="majorHAnsi" w:cstheme="majorHAnsi"/>
          <w:sz w:val="24"/>
          <w:szCs w:val="24"/>
          <w:lang w:val="ro-MD"/>
        </w:rPr>
        <w:t xml:space="preserve"> и устройства, которые не вводились в эксплуатацию более 18 месяцев</w:t>
      </w:r>
      <w:r w:rsidR="0039787E" w:rsidRPr="00B13B9A">
        <w:rPr>
          <w:rFonts w:asciiTheme="majorHAnsi" w:hAnsiTheme="majorHAnsi" w:cstheme="majorHAnsi"/>
          <w:sz w:val="24"/>
          <w:szCs w:val="24"/>
          <w:lang w:val="ro-MD"/>
        </w:rPr>
        <w:t>:</w:t>
      </w:r>
    </w:p>
    <w:p w14:paraId="69DBB378" w14:textId="43BBC882" w:rsidR="0039787E" w:rsidRPr="00B13B9A" w:rsidRDefault="00433E79" w:rsidP="00433E79">
      <w:pPr>
        <w:pStyle w:val="a7"/>
        <w:numPr>
          <w:ilvl w:val="0"/>
          <w:numId w:val="9"/>
        </w:numPr>
        <w:shd w:val="clear" w:color="auto" w:fill="FFFFFF" w:themeFill="background1"/>
        <w:spacing w:line="256" w:lineRule="auto"/>
        <w:rPr>
          <w:rFonts w:asciiTheme="majorHAnsi" w:hAnsiTheme="majorHAnsi" w:cstheme="majorHAnsi"/>
          <w:sz w:val="24"/>
          <w:szCs w:val="24"/>
          <w:lang w:val="ro-MD"/>
        </w:rPr>
      </w:pPr>
      <w:r w:rsidRPr="00433E79">
        <w:rPr>
          <w:rFonts w:asciiTheme="majorHAnsi" w:hAnsiTheme="majorHAnsi" w:cstheme="majorHAnsi"/>
          <w:sz w:val="24"/>
          <w:szCs w:val="24"/>
          <w:lang w:val="ro-MD"/>
        </w:rPr>
        <w:t>3 портативные рентгеновские аппараты на сумму 3 058,9 тыс. леев, полученные в мае 2022 года</w:t>
      </w:r>
      <w:r w:rsidR="0039787E" w:rsidRPr="00B13B9A">
        <w:rPr>
          <w:rFonts w:asciiTheme="majorHAnsi" w:hAnsiTheme="majorHAnsi" w:cstheme="majorHAnsi"/>
          <w:sz w:val="24"/>
          <w:szCs w:val="24"/>
          <w:lang w:val="ro-MD"/>
        </w:rPr>
        <w:t>;</w:t>
      </w:r>
    </w:p>
    <w:p w14:paraId="2C810412" w14:textId="4CA39E99" w:rsidR="0039787E" w:rsidRPr="00B13B9A" w:rsidRDefault="00433E79" w:rsidP="00433E79">
      <w:pPr>
        <w:pStyle w:val="a7"/>
        <w:numPr>
          <w:ilvl w:val="0"/>
          <w:numId w:val="9"/>
        </w:numPr>
        <w:shd w:val="clear" w:color="auto" w:fill="FFFFFF" w:themeFill="background1"/>
        <w:spacing w:line="256" w:lineRule="auto"/>
        <w:rPr>
          <w:rFonts w:asciiTheme="majorHAnsi" w:hAnsiTheme="majorHAnsi" w:cstheme="majorHAnsi"/>
          <w:sz w:val="24"/>
          <w:szCs w:val="24"/>
          <w:lang w:val="ro-MD"/>
        </w:rPr>
      </w:pPr>
      <w:r w:rsidRPr="00433E79">
        <w:rPr>
          <w:rFonts w:asciiTheme="majorHAnsi" w:hAnsiTheme="majorHAnsi" w:cstheme="majorHAnsi"/>
          <w:sz w:val="24"/>
          <w:szCs w:val="24"/>
          <w:lang w:val="ro-MD"/>
        </w:rPr>
        <w:t>9 кислородных концентраторов, на сумму 194,3 тыс. леев</w:t>
      </w:r>
      <w:r w:rsidR="0039787E" w:rsidRPr="00B13B9A">
        <w:rPr>
          <w:rFonts w:asciiTheme="majorHAnsi" w:hAnsiTheme="majorHAnsi" w:cstheme="majorHAnsi"/>
          <w:sz w:val="24"/>
          <w:szCs w:val="24"/>
          <w:lang w:val="ro-MD"/>
        </w:rPr>
        <w:t>;</w:t>
      </w:r>
    </w:p>
    <w:p w14:paraId="6C85FB95" w14:textId="685686AF" w:rsidR="0039787E" w:rsidRPr="00B13B9A" w:rsidRDefault="00433E79" w:rsidP="00433E79">
      <w:pPr>
        <w:pStyle w:val="a7"/>
        <w:numPr>
          <w:ilvl w:val="0"/>
          <w:numId w:val="9"/>
        </w:numPr>
        <w:shd w:val="clear" w:color="auto" w:fill="FFFFFF" w:themeFill="background1"/>
        <w:spacing w:line="256" w:lineRule="auto"/>
        <w:rPr>
          <w:rFonts w:asciiTheme="majorHAnsi" w:hAnsiTheme="majorHAnsi" w:cstheme="majorHAnsi"/>
          <w:sz w:val="24"/>
          <w:szCs w:val="24"/>
          <w:lang w:val="ro-MD"/>
        </w:rPr>
      </w:pPr>
      <w:r w:rsidRPr="00433E79">
        <w:rPr>
          <w:rFonts w:asciiTheme="majorHAnsi" w:hAnsiTheme="majorHAnsi" w:cstheme="majorHAnsi"/>
          <w:sz w:val="24"/>
          <w:szCs w:val="24"/>
          <w:lang w:val="ro-MD"/>
        </w:rPr>
        <w:t>2 монитора для пациентов Edan IM 60</w:t>
      </w:r>
      <w:r>
        <w:rPr>
          <w:rFonts w:asciiTheme="majorHAnsi" w:hAnsiTheme="majorHAnsi" w:cstheme="majorHAnsi"/>
          <w:sz w:val="24"/>
          <w:szCs w:val="24"/>
          <w:lang w:val="ru-RU"/>
        </w:rPr>
        <w:t>,</w:t>
      </w:r>
      <w:r w:rsidRPr="00433E79">
        <w:rPr>
          <w:rFonts w:asciiTheme="majorHAnsi" w:hAnsiTheme="majorHAnsi" w:cstheme="majorHAnsi"/>
          <w:sz w:val="24"/>
          <w:szCs w:val="24"/>
          <w:lang w:val="ro-MD"/>
        </w:rPr>
        <w:t xml:space="preserve"> на сумму 86,8 тыс. леев</w:t>
      </w:r>
      <w:r w:rsidR="0039787E" w:rsidRPr="00B13B9A">
        <w:rPr>
          <w:rFonts w:asciiTheme="majorHAnsi" w:hAnsiTheme="majorHAnsi" w:cstheme="majorHAnsi"/>
          <w:sz w:val="24"/>
          <w:szCs w:val="24"/>
          <w:lang w:val="ro-MD"/>
        </w:rPr>
        <w:t>;</w:t>
      </w:r>
    </w:p>
    <w:p w14:paraId="6B11632F" w14:textId="0DB2B81C" w:rsidR="0039787E" w:rsidRPr="00B13B9A" w:rsidRDefault="00433E79" w:rsidP="00433E79">
      <w:pPr>
        <w:pStyle w:val="a7"/>
        <w:numPr>
          <w:ilvl w:val="0"/>
          <w:numId w:val="9"/>
        </w:numPr>
        <w:shd w:val="clear" w:color="auto" w:fill="FFFFFF" w:themeFill="background1"/>
        <w:spacing w:line="256" w:lineRule="auto"/>
        <w:rPr>
          <w:rFonts w:asciiTheme="majorHAnsi" w:hAnsiTheme="majorHAnsi" w:cstheme="majorHAnsi"/>
          <w:sz w:val="24"/>
          <w:szCs w:val="24"/>
          <w:lang w:val="ro-MD"/>
        </w:rPr>
      </w:pPr>
      <w:r w:rsidRPr="00433E79">
        <w:rPr>
          <w:rFonts w:asciiTheme="majorHAnsi" w:hAnsiTheme="majorHAnsi" w:cstheme="majorHAnsi"/>
          <w:sz w:val="24"/>
          <w:szCs w:val="24"/>
          <w:lang w:val="ro-MD"/>
        </w:rPr>
        <w:t>2 полуавтоматических дефибриллятора</w:t>
      </w:r>
      <w:r>
        <w:rPr>
          <w:rFonts w:asciiTheme="majorHAnsi" w:hAnsiTheme="majorHAnsi" w:cstheme="majorHAnsi"/>
          <w:sz w:val="24"/>
          <w:szCs w:val="24"/>
          <w:lang w:val="ru-RU"/>
        </w:rPr>
        <w:t>,</w:t>
      </w:r>
      <w:r w:rsidRPr="00433E79">
        <w:rPr>
          <w:rFonts w:asciiTheme="majorHAnsi" w:hAnsiTheme="majorHAnsi" w:cstheme="majorHAnsi"/>
          <w:sz w:val="24"/>
          <w:szCs w:val="24"/>
          <w:lang w:val="ro-MD"/>
        </w:rPr>
        <w:t xml:space="preserve"> на сумму 45,3 тыс. леев</w:t>
      </w:r>
      <w:r w:rsidR="0039787E" w:rsidRPr="00B13B9A">
        <w:rPr>
          <w:rFonts w:asciiTheme="majorHAnsi" w:hAnsiTheme="majorHAnsi" w:cstheme="majorHAnsi"/>
          <w:sz w:val="24"/>
          <w:szCs w:val="24"/>
          <w:lang w:val="ro-MD"/>
        </w:rPr>
        <w:t>.</w:t>
      </w:r>
    </w:p>
    <w:p w14:paraId="1516FD2F" w14:textId="6A30B8EA" w:rsidR="0039787E" w:rsidRPr="00B13B9A" w:rsidRDefault="00D65863" w:rsidP="0039787E">
      <w:pPr>
        <w:shd w:val="clear" w:color="auto" w:fill="FFFFFF" w:themeFill="background1"/>
        <w:spacing w:line="276" w:lineRule="auto"/>
        <w:jc w:val="both"/>
        <w:rPr>
          <w:rFonts w:asciiTheme="majorHAnsi" w:eastAsia="Times New Roman" w:hAnsiTheme="majorHAnsi" w:cstheme="majorHAnsi"/>
          <w:color w:val="000000"/>
          <w:sz w:val="24"/>
          <w:szCs w:val="24"/>
          <w:shd w:val="clear" w:color="auto" w:fill="FFFFFF" w:themeFill="background1"/>
          <w:lang w:val="ro-MD"/>
        </w:rPr>
      </w:pPr>
      <w:r>
        <w:rPr>
          <w:rFonts w:asciiTheme="majorHAnsi" w:hAnsiTheme="majorHAnsi" w:cstheme="majorHAnsi"/>
          <w:sz w:val="24"/>
          <w:szCs w:val="24"/>
          <w:lang w:val="ru-RU"/>
        </w:rPr>
        <w:t>Согласно объяснениям</w:t>
      </w:r>
      <w:r w:rsidR="00A157A4" w:rsidRPr="00A157A4">
        <w:rPr>
          <w:rFonts w:asciiTheme="majorHAnsi" w:hAnsiTheme="majorHAnsi" w:cstheme="majorHAnsi"/>
          <w:sz w:val="24"/>
          <w:szCs w:val="24"/>
          <w:lang w:val="ro-MD"/>
        </w:rPr>
        <w:t xml:space="preserve"> ответственных лиц </w:t>
      </w:r>
      <w:r w:rsidR="00F25383">
        <w:rPr>
          <w:rFonts w:asciiTheme="majorHAnsi" w:hAnsiTheme="majorHAnsi" w:cstheme="majorHAnsi"/>
          <w:sz w:val="24"/>
          <w:szCs w:val="24"/>
          <w:lang w:val="ro-MD"/>
        </w:rPr>
        <w:t>субъекта</w:t>
      </w:r>
      <w:r w:rsidR="00A157A4" w:rsidRPr="00A157A4">
        <w:rPr>
          <w:rFonts w:asciiTheme="majorHAnsi" w:hAnsiTheme="majorHAnsi" w:cstheme="majorHAnsi"/>
          <w:sz w:val="24"/>
          <w:szCs w:val="24"/>
          <w:lang w:val="ro-MD"/>
        </w:rPr>
        <w:t xml:space="preserve">, </w:t>
      </w:r>
      <w:r w:rsidR="00591D30" w:rsidRPr="00591D30">
        <w:rPr>
          <w:rFonts w:asciiTheme="majorHAnsi" w:hAnsiTheme="majorHAnsi" w:cstheme="majorHAnsi"/>
          <w:i/>
          <w:sz w:val="24"/>
          <w:szCs w:val="24"/>
          <w:lang w:val="ro-MD"/>
        </w:rPr>
        <w:t>„</w:t>
      </w:r>
      <w:r w:rsidR="00A157A4" w:rsidRPr="00591D30">
        <w:rPr>
          <w:rFonts w:asciiTheme="majorHAnsi" w:hAnsiTheme="majorHAnsi" w:cstheme="majorHAnsi"/>
          <w:i/>
          <w:sz w:val="24"/>
          <w:szCs w:val="24"/>
          <w:lang w:val="ro-MD"/>
        </w:rPr>
        <w:t xml:space="preserve">портативные рентгеновские аппараты не были введены в эксплуатацию, так как необходимо разработать </w:t>
      </w:r>
      <w:r w:rsidR="00591D30" w:rsidRPr="00591D30">
        <w:rPr>
          <w:rFonts w:asciiTheme="majorHAnsi" w:hAnsiTheme="majorHAnsi" w:cstheme="majorHAnsi"/>
          <w:i/>
          <w:sz w:val="24"/>
          <w:szCs w:val="24"/>
          <w:lang w:val="ru-RU"/>
        </w:rPr>
        <w:t>В</w:t>
      </w:r>
      <w:r w:rsidR="00A157A4" w:rsidRPr="00591D30">
        <w:rPr>
          <w:rFonts w:asciiTheme="majorHAnsi" w:hAnsiTheme="majorHAnsi" w:cstheme="majorHAnsi"/>
          <w:i/>
          <w:sz w:val="24"/>
          <w:szCs w:val="24"/>
          <w:lang w:val="ro-MD"/>
        </w:rPr>
        <w:t>нутренн</w:t>
      </w:r>
      <w:r w:rsidR="00591D30" w:rsidRPr="00591D30">
        <w:rPr>
          <w:rFonts w:asciiTheme="majorHAnsi" w:hAnsiTheme="majorHAnsi" w:cstheme="majorHAnsi"/>
          <w:i/>
          <w:sz w:val="24"/>
          <w:szCs w:val="24"/>
          <w:lang w:val="ru-RU"/>
        </w:rPr>
        <w:t>е</w:t>
      </w:r>
      <w:r w:rsidR="00A157A4" w:rsidRPr="00591D30">
        <w:rPr>
          <w:rFonts w:asciiTheme="majorHAnsi" w:hAnsiTheme="majorHAnsi" w:cstheme="majorHAnsi"/>
          <w:i/>
          <w:sz w:val="24"/>
          <w:szCs w:val="24"/>
          <w:lang w:val="ro-MD"/>
        </w:rPr>
        <w:t>е п</w:t>
      </w:r>
      <w:r w:rsidR="00591D30" w:rsidRPr="00591D30">
        <w:rPr>
          <w:rFonts w:asciiTheme="majorHAnsi" w:hAnsiTheme="majorHAnsi" w:cstheme="majorHAnsi"/>
          <w:i/>
          <w:sz w:val="24"/>
          <w:szCs w:val="24"/>
          <w:lang w:val="ru-RU"/>
        </w:rPr>
        <w:t>оложение</w:t>
      </w:r>
      <w:r w:rsidR="00A157A4" w:rsidRPr="00591D30">
        <w:rPr>
          <w:rFonts w:asciiTheme="majorHAnsi" w:hAnsiTheme="majorHAnsi" w:cstheme="majorHAnsi"/>
          <w:i/>
          <w:sz w:val="24"/>
          <w:szCs w:val="24"/>
          <w:lang w:val="ro-MD"/>
        </w:rPr>
        <w:t>, которые позволил</w:t>
      </w:r>
      <w:r w:rsidR="00591D30" w:rsidRPr="00591D30">
        <w:rPr>
          <w:rFonts w:asciiTheme="majorHAnsi" w:hAnsiTheme="majorHAnsi" w:cstheme="majorHAnsi"/>
          <w:i/>
          <w:sz w:val="24"/>
          <w:szCs w:val="24"/>
          <w:lang w:val="ru-RU"/>
        </w:rPr>
        <w:t>о</w:t>
      </w:r>
      <w:r w:rsidR="00591D30">
        <w:rPr>
          <w:rFonts w:asciiTheme="majorHAnsi" w:hAnsiTheme="majorHAnsi" w:cstheme="majorHAnsi"/>
          <w:i/>
          <w:sz w:val="24"/>
          <w:szCs w:val="24"/>
          <w:lang w:val="ro-MD"/>
        </w:rPr>
        <w:t xml:space="preserve"> бы их вводу в эксплуатацию</w:t>
      </w:r>
      <w:r w:rsidR="00826699" w:rsidRPr="00B13B9A">
        <w:rPr>
          <w:rFonts w:asciiTheme="majorHAnsi" w:eastAsia="Times New Roman" w:hAnsiTheme="majorHAnsi" w:cstheme="majorHAnsi"/>
          <w:i/>
          <w:color w:val="000000"/>
          <w:sz w:val="24"/>
          <w:szCs w:val="24"/>
          <w:shd w:val="clear" w:color="auto" w:fill="FFFFFF" w:themeFill="background1"/>
          <w:lang w:val="ro-MD"/>
        </w:rPr>
        <w:t>”</w:t>
      </w:r>
      <w:r w:rsidR="0039787E" w:rsidRPr="00B13B9A">
        <w:rPr>
          <w:rFonts w:asciiTheme="majorHAnsi" w:eastAsia="Times New Roman" w:hAnsiTheme="majorHAnsi" w:cstheme="majorHAnsi"/>
          <w:i/>
          <w:color w:val="000000"/>
          <w:sz w:val="24"/>
          <w:szCs w:val="24"/>
          <w:shd w:val="clear" w:color="auto" w:fill="FFFFFF" w:themeFill="background1"/>
          <w:lang w:val="ro-MD"/>
        </w:rPr>
        <w:t>.</w:t>
      </w:r>
    </w:p>
    <w:p w14:paraId="2DFBB856" w14:textId="50FB96C9" w:rsidR="0039787E" w:rsidRPr="00B13B9A" w:rsidRDefault="0039787E" w:rsidP="0039787E">
      <w:pPr>
        <w:shd w:val="clear" w:color="auto" w:fill="FFFFFF" w:themeFill="background1"/>
        <w:spacing w:line="276" w:lineRule="auto"/>
        <w:jc w:val="both"/>
        <w:rPr>
          <w:rFonts w:asciiTheme="majorHAnsi" w:eastAsia="Times New Roman" w:hAnsiTheme="majorHAnsi" w:cstheme="majorHAnsi"/>
          <w:i/>
          <w:color w:val="000000"/>
          <w:sz w:val="24"/>
          <w:szCs w:val="24"/>
          <w:shd w:val="clear" w:color="auto" w:fill="FFFFFF" w:themeFill="background1"/>
          <w:lang w:val="ro-MD"/>
        </w:rPr>
      </w:pPr>
      <w:r w:rsidRPr="00B13B9A">
        <w:rPr>
          <w:rFonts w:asciiTheme="majorHAnsi" w:eastAsia="Times New Roman" w:hAnsiTheme="majorHAnsi" w:cstheme="majorHAnsi"/>
          <w:i/>
          <w:color w:val="000000"/>
          <w:sz w:val="24"/>
          <w:szCs w:val="24"/>
          <w:shd w:val="clear" w:color="auto" w:fill="FFFFFF" w:themeFill="background1"/>
          <w:lang w:val="ro-MD"/>
        </w:rPr>
        <w:t>*</w:t>
      </w:r>
      <w:r w:rsidR="00591D30" w:rsidRPr="00591D30">
        <w:rPr>
          <w:rFonts w:asciiTheme="majorHAnsi" w:eastAsia="Times New Roman" w:hAnsiTheme="majorHAnsi" w:cstheme="majorHAnsi"/>
          <w:i/>
          <w:color w:val="000000"/>
          <w:sz w:val="24"/>
          <w:szCs w:val="24"/>
          <w:shd w:val="clear" w:color="auto" w:fill="FFFFFF" w:themeFill="background1"/>
          <w:lang w:val="ro-MD"/>
        </w:rPr>
        <w:t>Примечание</w:t>
      </w:r>
      <w:r w:rsidRPr="00B13B9A">
        <w:rPr>
          <w:rFonts w:asciiTheme="majorHAnsi" w:eastAsia="Times New Roman" w:hAnsiTheme="majorHAnsi" w:cstheme="majorHAnsi"/>
          <w:i/>
          <w:color w:val="000000"/>
          <w:sz w:val="24"/>
          <w:szCs w:val="24"/>
          <w:shd w:val="clear" w:color="auto" w:fill="FFFFFF" w:themeFill="background1"/>
          <w:lang w:val="ro-MD"/>
        </w:rPr>
        <w:t>:</w:t>
      </w:r>
      <w:r w:rsidR="00CB4C26" w:rsidRPr="00B13B9A">
        <w:rPr>
          <w:rFonts w:asciiTheme="majorHAnsi" w:eastAsia="Times New Roman" w:hAnsiTheme="majorHAnsi" w:cstheme="majorHAnsi"/>
          <w:i/>
          <w:color w:val="000000"/>
          <w:sz w:val="24"/>
          <w:szCs w:val="24"/>
          <w:shd w:val="clear" w:color="auto" w:fill="FFFFFF" w:themeFill="background1"/>
          <w:lang w:val="ro-MD"/>
        </w:rPr>
        <w:t xml:space="preserve"> </w:t>
      </w:r>
      <w:r w:rsidR="00A157A4" w:rsidRPr="00A157A4">
        <w:rPr>
          <w:rFonts w:asciiTheme="majorHAnsi" w:eastAsia="Times New Roman" w:hAnsiTheme="majorHAnsi" w:cstheme="majorHAnsi"/>
          <w:i/>
          <w:color w:val="000000"/>
          <w:sz w:val="24"/>
          <w:szCs w:val="24"/>
          <w:shd w:val="clear" w:color="auto" w:fill="FFFFFF" w:themeFill="background1"/>
          <w:lang w:val="ro-MD"/>
        </w:rPr>
        <w:t xml:space="preserve">В ходе аудиторской миссии </w:t>
      </w:r>
      <w:r w:rsidR="00F27552">
        <w:rPr>
          <w:rFonts w:asciiTheme="majorHAnsi" w:eastAsia="Times New Roman" w:hAnsiTheme="majorHAnsi" w:cstheme="majorHAnsi"/>
          <w:i/>
          <w:color w:val="000000"/>
          <w:sz w:val="24"/>
          <w:szCs w:val="24"/>
          <w:shd w:val="clear" w:color="auto" w:fill="FFFFFF" w:themeFill="background1"/>
          <w:lang w:val="ro-MD"/>
        </w:rPr>
        <w:t>субъект</w:t>
      </w:r>
      <w:r w:rsidR="00A157A4" w:rsidRPr="00A157A4">
        <w:rPr>
          <w:rFonts w:asciiTheme="majorHAnsi" w:eastAsia="Times New Roman" w:hAnsiTheme="majorHAnsi" w:cstheme="majorHAnsi"/>
          <w:i/>
          <w:color w:val="000000"/>
          <w:sz w:val="24"/>
          <w:szCs w:val="24"/>
          <w:shd w:val="clear" w:color="auto" w:fill="FFFFFF" w:themeFill="background1"/>
          <w:lang w:val="ro-MD"/>
        </w:rPr>
        <w:t xml:space="preserve"> подготовила необходимый пакет и передала его </w:t>
      </w:r>
      <w:r w:rsidR="00591D30" w:rsidRPr="00591D30">
        <w:rPr>
          <w:rFonts w:asciiTheme="majorHAnsi" w:eastAsia="Times New Roman" w:hAnsiTheme="majorHAnsi" w:cstheme="majorHAnsi"/>
          <w:i/>
          <w:color w:val="000000"/>
          <w:sz w:val="24"/>
          <w:szCs w:val="24"/>
          <w:shd w:val="clear" w:color="auto" w:fill="FFFFFF" w:themeFill="background1"/>
          <w:lang w:val="ro-MD"/>
        </w:rPr>
        <w:t>НАРЯРД</w:t>
      </w:r>
      <w:r w:rsidR="00A157A4" w:rsidRPr="00A157A4">
        <w:rPr>
          <w:rFonts w:asciiTheme="majorHAnsi" w:eastAsia="Times New Roman" w:hAnsiTheme="majorHAnsi" w:cstheme="majorHAnsi"/>
          <w:i/>
          <w:color w:val="000000"/>
          <w:sz w:val="24"/>
          <w:szCs w:val="24"/>
          <w:shd w:val="clear" w:color="auto" w:fill="FFFFFF" w:themeFill="background1"/>
          <w:lang w:val="ro-MD"/>
        </w:rPr>
        <w:t xml:space="preserve"> для регистрации и получения сертификата безопасности, который был выдан 23.11.2023, что дает возможность проводить скрининг </w:t>
      </w:r>
      <w:r w:rsidR="00591D30" w:rsidRPr="00591D30">
        <w:rPr>
          <w:rFonts w:asciiTheme="majorHAnsi" w:eastAsia="Times New Roman" w:hAnsiTheme="majorHAnsi" w:cstheme="majorHAnsi"/>
          <w:i/>
          <w:color w:val="000000"/>
          <w:sz w:val="24"/>
          <w:szCs w:val="24"/>
          <w:shd w:val="clear" w:color="auto" w:fill="FFFFFF" w:themeFill="background1"/>
          <w:lang w:val="ro-MD"/>
        </w:rPr>
        <w:t>путем</w:t>
      </w:r>
      <w:r w:rsidR="00A157A4" w:rsidRPr="00A157A4">
        <w:rPr>
          <w:rFonts w:asciiTheme="majorHAnsi" w:eastAsia="Times New Roman" w:hAnsiTheme="majorHAnsi" w:cstheme="majorHAnsi"/>
          <w:i/>
          <w:color w:val="000000"/>
          <w:sz w:val="24"/>
          <w:szCs w:val="24"/>
          <w:shd w:val="clear" w:color="auto" w:fill="FFFFFF" w:themeFill="background1"/>
          <w:lang w:val="ro-MD"/>
        </w:rPr>
        <w:t xml:space="preserve"> цифровой рентгенографии легких с помощью этого портативного рентгенологического оборудования</w:t>
      </w:r>
      <w:r w:rsidRPr="00B13B9A">
        <w:rPr>
          <w:rFonts w:asciiTheme="majorHAnsi" w:eastAsia="Times New Roman" w:hAnsiTheme="majorHAnsi" w:cstheme="majorHAnsi"/>
          <w:i/>
          <w:color w:val="000000"/>
          <w:sz w:val="24"/>
          <w:szCs w:val="24"/>
          <w:shd w:val="clear" w:color="auto" w:fill="FFFFFF" w:themeFill="background1"/>
          <w:lang w:val="ro-MD"/>
        </w:rPr>
        <w:t>.</w:t>
      </w:r>
    </w:p>
    <w:p w14:paraId="2CDB80ED" w14:textId="73E0D029" w:rsidR="0039787E" w:rsidRPr="00B13B9A" w:rsidRDefault="00F27552" w:rsidP="00A157A4">
      <w:pPr>
        <w:pStyle w:val="3"/>
        <w:numPr>
          <w:ilvl w:val="2"/>
          <w:numId w:val="10"/>
        </w:numPr>
        <w:ind w:left="0" w:firstLine="284"/>
        <w:jc w:val="both"/>
        <w:rPr>
          <w:rFonts w:cstheme="majorHAnsi"/>
          <w:b/>
          <w:color w:val="auto"/>
        </w:rPr>
      </w:pPr>
      <w:bookmarkStart w:id="29" w:name="_Toc158317235"/>
      <w:r>
        <w:rPr>
          <w:rFonts w:cstheme="majorHAnsi"/>
          <w:b/>
          <w:color w:val="auto"/>
        </w:rPr>
        <w:t>Субъект</w:t>
      </w:r>
      <w:r w:rsidR="00A157A4" w:rsidRPr="00A157A4">
        <w:rPr>
          <w:rFonts w:cstheme="majorHAnsi"/>
          <w:b/>
          <w:color w:val="auto"/>
        </w:rPr>
        <w:t xml:space="preserve"> </w:t>
      </w:r>
      <w:r w:rsidR="00380FAC">
        <w:rPr>
          <w:rFonts w:cstheme="majorHAnsi"/>
          <w:b/>
          <w:color w:val="auto"/>
          <w:lang w:val="ru-RU"/>
        </w:rPr>
        <w:t>сохраняет</w:t>
      </w:r>
      <w:r w:rsidR="00A157A4" w:rsidRPr="00A157A4">
        <w:rPr>
          <w:rFonts w:cstheme="majorHAnsi"/>
          <w:b/>
          <w:color w:val="auto"/>
        </w:rPr>
        <w:t xml:space="preserve"> </w:t>
      </w:r>
      <w:r w:rsidR="003012B3" w:rsidRPr="003012B3">
        <w:rPr>
          <w:rFonts w:cstheme="majorHAnsi"/>
          <w:b/>
          <w:color w:val="auto"/>
        </w:rPr>
        <w:t xml:space="preserve">на балансе </w:t>
      </w:r>
      <w:r w:rsidR="00A157A4" w:rsidRPr="00A157A4">
        <w:rPr>
          <w:rFonts w:cstheme="majorHAnsi"/>
          <w:b/>
          <w:color w:val="auto"/>
        </w:rPr>
        <w:t>медицинск</w:t>
      </w:r>
      <w:r w:rsidR="003012B3" w:rsidRPr="003012B3">
        <w:rPr>
          <w:rFonts w:cstheme="majorHAnsi"/>
          <w:b/>
          <w:color w:val="auto"/>
        </w:rPr>
        <w:t>ое</w:t>
      </w:r>
      <w:r w:rsidR="00A157A4" w:rsidRPr="00A157A4">
        <w:rPr>
          <w:rFonts w:cstheme="majorHAnsi"/>
          <w:b/>
          <w:color w:val="auto"/>
        </w:rPr>
        <w:t xml:space="preserve"> оборудование </w:t>
      </w:r>
      <w:r w:rsidR="003012B3" w:rsidRPr="003012B3">
        <w:rPr>
          <w:rFonts w:cstheme="majorHAnsi"/>
          <w:b/>
          <w:color w:val="auto"/>
        </w:rPr>
        <w:t>на сумму</w:t>
      </w:r>
      <w:r w:rsidR="00A157A4" w:rsidRPr="00A157A4">
        <w:rPr>
          <w:rFonts w:cstheme="majorHAnsi"/>
          <w:b/>
          <w:color w:val="auto"/>
        </w:rPr>
        <w:t xml:space="preserve"> 3 650,1 тыс. леев, </w:t>
      </w:r>
      <w:r w:rsidR="003012B3" w:rsidRPr="003012B3">
        <w:rPr>
          <w:rFonts w:cstheme="majorHAnsi"/>
          <w:b/>
          <w:color w:val="auto"/>
        </w:rPr>
        <w:t xml:space="preserve">которое является </w:t>
      </w:r>
      <w:r w:rsidR="00A157A4" w:rsidRPr="00A157A4">
        <w:rPr>
          <w:rFonts w:cstheme="majorHAnsi"/>
          <w:b/>
          <w:color w:val="auto"/>
        </w:rPr>
        <w:t xml:space="preserve">нефункциональным и изношенным, </w:t>
      </w:r>
      <w:r w:rsidR="003012B3" w:rsidRPr="003012B3">
        <w:rPr>
          <w:rFonts w:cstheme="majorHAnsi"/>
          <w:b/>
          <w:color w:val="auto"/>
        </w:rPr>
        <w:t>что приводит к</w:t>
      </w:r>
      <w:r w:rsidR="00A157A4" w:rsidRPr="00A157A4">
        <w:rPr>
          <w:rFonts w:cstheme="majorHAnsi"/>
          <w:b/>
          <w:color w:val="auto"/>
        </w:rPr>
        <w:t xml:space="preserve"> необоснованно</w:t>
      </w:r>
      <w:r w:rsidR="003012B3" w:rsidRPr="003012B3">
        <w:rPr>
          <w:rFonts w:cstheme="majorHAnsi"/>
          <w:b/>
          <w:color w:val="auto"/>
        </w:rPr>
        <w:t>му</w:t>
      </w:r>
      <w:r w:rsidR="00A157A4" w:rsidRPr="00A157A4">
        <w:rPr>
          <w:rFonts w:cstheme="majorHAnsi"/>
          <w:b/>
          <w:color w:val="auto"/>
        </w:rPr>
        <w:t xml:space="preserve"> увеличени</w:t>
      </w:r>
      <w:r w:rsidR="003012B3" w:rsidRPr="003012B3">
        <w:rPr>
          <w:rFonts w:cstheme="majorHAnsi"/>
          <w:b/>
          <w:color w:val="auto"/>
        </w:rPr>
        <w:t>ю</w:t>
      </w:r>
      <w:r w:rsidR="00A157A4" w:rsidRPr="00A157A4">
        <w:rPr>
          <w:rFonts w:cstheme="majorHAnsi"/>
          <w:b/>
          <w:color w:val="auto"/>
        </w:rPr>
        <w:t xml:space="preserve"> их </w:t>
      </w:r>
      <w:r w:rsidR="003012B3" w:rsidRPr="003012B3">
        <w:rPr>
          <w:rFonts w:cstheme="majorHAnsi"/>
          <w:b/>
          <w:color w:val="auto"/>
        </w:rPr>
        <w:t>остатк</w:t>
      </w:r>
      <w:r w:rsidR="00A157A4" w:rsidRPr="00A157A4">
        <w:rPr>
          <w:rFonts w:cstheme="majorHAnsi"/>
          <w:b/>
          <w:color w:val="auto"/>
        </w:rPr>
        <w:t>а</w:t>
      </w:r>
      <w:r w:rsidR="003012B3" w:rsidRPr="003012B3">
        <w:rPr>
          <w:rFonts w:cstheme="majorHAnsi"/>
          <w:b/>
          <w:color w:val="auto"/>
        </w:rPr>
        <w:t>, по состоянию на</w:t>
      </w:r>
      <w:r w:rsidR="00A157A4" w:rsidRPr="00A157A4">
        <w:rPr>
          <w:rFonts w:cstheme="majorHAnsi"/>
          <w:b/>
          <w:color w:val="auto"/>
        </w:rPr>
        <w:t>30.06.2023</w:t>
      </w:r>
      <w:r w:rsidR="003012B3" w:rsidRPr="003012B3">
        <w:rPr>
          <w:rFonts w:cstheme="majorHAnsi"/>
          <w:b/>
          <w:color w:val="auto"/>
        </w:rPr>
        <w:t>,</w:t>
      </w:r>
      <w:r w:rsidR="00A157A4" w:rsidRPr="00A157A4">
        <w:rPr>
          <w:rFonts w:cstheme="majorHAnsi"/>
          <w:b/>
          <w:color w:val="auto"/>
        </w:rPr>
        <w:t xml:space="preserve"> на ту же сумму</w:t>
      </w:r>
      <w:r w:rsidR="0039787E" w:rsidRPr="00B13B9A">
        <w:rPr>
          <w:rFonts w:cstheme="majorHAnsi"/>
          <w:b/>
          <w:color w:val="auto"/>
        </w:rPr>
        <w:t>.</w:t>
      </w:r>
      <w:bookmarkEnd w:id="29"/>
      <w:r w:rsidR="0039787E" w:rsidRPr="00B13B9A">
        <w:rPr>
          <w:rFonts w:cstheme="majorHAnsi"/>
          <w:b/>
          <w:i/>
        </w:rPr>
        <w:t xml:space="preserve"> </w:t>
      </w:r>
    </w:p>
    <w:p w14:paraId="7BEDDB16" w14:textId="07BA6385" w:rsidR="0039787E" w:rsidRPr="00B13B9A" w:rsidRDefault="00A157A4" w:rsidP="0039787E">
      <w:pPr>
        <w:shd w:val="clear" w:color="auto" w:fill="FFFFFF" w:themeFill="background1"/>
        <w:spacing w:line="276" w:lineRule="auto"/>
        <w:jc w:val="both"/>
        <w:rPr>
          <w:rFonts w:asciiTheme="majorHAnsi" w:hAnsiTheme="majorHAnsi" w:cstheme="majorHAnsi"/>
          <w:sz w:val="24"/>
          <w:szCs w:val="24"/>
          <w:lang w:val="ro-MD"/>
        </w:rPr>
      </w:pPr>
      <w:r w:rsidRPr="00A157A4">
        <w:rPr>
          <w:rFonts w:asciiTheme="majorHAnsi" w:hAnsiTheme="majorHAnsi" w:cstheme="majorHAnsi"/>
          <w:sz w:val="24"/>
          <w:szCs w:val="24"/>
          <w:lang w:val="ro-MD"/>
        </w:rPr>
        <w:t>Согласно нормативной базе</w:t>
      </w:r>
      <w:r w:rsidR="003012B3" w:rsidRPr="00B13B9A">
        <w:rPr>
          <w:rStyle w:val="a9"/>
          <w:rFonts w:asciiTheme="majorHAnsi" w:hAnsiTheme="majorHAnsi" w:cstheme="majorHAnsi"/>
          <w:sz w:val="24"/>
          <w:szCs w:val="24"/>
          <w:lang w:val="ro-MD"/>
        </w:rPr>
        <w:footnoteReference w:id="40"/>
      </w:r>
      <w:r w:rsidRPr="00A157A4">
        <w:rPr>
          <w:rFonts w:asciiTheme="majorHAnsi" w:hAnsiTheme="majorHAnsi" w:cstheme="majorHAnsi"/>
          <w:sz w:val="24"/>
          <w:szCs w:val="24"/>
          <w:lang w:val="ro-MD"/>
        </w:rPr>
        <w:t xml:space="preserve">, основные средства, которые устарели, изношены и не подлежат ремонту, утилизируются. В течение </w:t>
      </w:r>
      <w:r w:rsidR="003012B3">
        <w:rPr>
          <w:rFonts w:asciiTheme="majorHAnsi" w:hAnsiTheme="majorHAnsi" w:cstheme="majorHAnsi"/>
          <w:sz w:val="24"/>
          <w:szCs w:val="24"/>
          <w:lang w:val="ru-RU"/>
        </w:rPr>
        <w:t>аудируем</w:t>
      </w:r>
      <w:r w:rsidRPr="00A157A4">
        <w:rPr>
          <w:rFonts w:asciiTheme="majorHAnsi" w:hAnsiTheme="majorHAnsi" w:cstheme="majorHAnsi"/>
          <w:sz w:val="24"/>
          <w:szCs w:val="24"/>
          <w:lang w:val="ro-MD"/>
        </w:rPr>
        <w:t xml:space="preserve">ого периода </w:t>
      </w:r>
      <w:r w:rsidR="00F27552">
        <w:rPr>
          <w:rFonts w:asciiTheme="majorHAnsi" w:hAnsiTheme="majorHAnsi" w:cstheme="majorHAnsi"/>
          <w:sz w:val="24"/>
          <w:szCs w:val="24"/>
          <w:lang w:val="ro-MD"/>
        </w:rPr>
        <w:t>субъект</w:t>
      </w:r>
      <w:r w:rsidRPr="00A157A4">
        <w:rPr>
          <w:rFonts w:asciiTheme="majorHAnsi" w:hAnsiTheme="majorHAnsi" w:cstheme="majorHAnsi"/>
          <w:sz w:val="24"/>
          <w:szCs w:val="24"/>
          <w:lang w:val="ro-MD"/>
        </w:rPr>
        <w:t xml:space="preserve"> не списывал основные средства, </w:t>
      </w:r>
      <w:r w:rsidR="003012B3" w:rsidRPr="00A157A4">
        <w:rPr>
          <w:rFonts w:asciiTheme="majorHAnsi" w:hAnsiTheme="majorHAnsi" w:cstheme="majorHAnsi"/>
          <w:sz w:val="24"/>
          <w:szCs w:val="24"/>
          <w:lang w:val="ro-MD"/>
        </w:rPr>
        <w:t xml:space="preserve">их </w:t>
      </w:r>
      <w:r w:rsidRPr="00A157A4">
        <w:rPr>
          <w:rFonts w:asciiTheme="majorHAnsi" w:hAnsiTheme="majorHAnsi" w:cstheme="majorHAnsi"/>
          <w:sz w:val="24"/>
          <w:szCs w:val="24"/>
          <w:lang w:val="ro-MD"/>
        </w:rPr>
        <w:t>последн</w:t>
      </w:r>
      <w:r w:rsidR="003012B3">
        <w:rPr>
          <w:rFonts w:asciiTheme="majorHAnsi" w:hAnsiTheme="majorHAnsi" w:cstheme="majorHAnsi"/>
          <w:sz w:val="24"/>
          <w:szCs w:val="24"/>
          <w:lang w:val="ru-RU"/>
        </w:rPr>
        <w:t>ее</w:t>
      </w:r>
      <w:r w:rsidRPr="00A157A4">
        <w:rPr>
          <w:rFonts w:asciiTheme="majorHAnsi" w:hAnsiTheme="majorHAnsi" w:cstheme="majorHAnsi"/>
          <w:sz w:val="24"/>
          <w:szCs w:val="24"/>
          <w:lang w:val="ro-MD"/>
        </w:rPr>
        <w:t xml:space="preserve"> списание </w:t>
      </w:r>
      <w:r w:rsidR="003012B3">
        <w:rPr>
          <w:rFonts w:asciiTheme="majorHAnsi" w:hAnsiTheme="majorHAnsi" w:cstheme="majorHAnsi"/>
          <w:sz w:val="24"/>
          <w:szCs w:val="24"/>
          <w:lang w:val="ru-RU"/>
        </w:rPr>
        <w:t>проводилось</w:t>
      </w:r>
      <w:r w:rsidRPr="00A157A4">
        <w:rPr>
          <w:rFonts w:asciiTheme="majorHAnsi" w:hAnsiTheme="majorHAnsi" w:cstheme="majorHAnsi"/>
          <w:sz w:val="24"/>
          <w:szCs w:val="24"/>
          <w:lang w:val="ro-MD"/>
        </w:rPr>
        <w:t xml:space="preserve"> в 2018 году. В то же время</w:t>
      </w:r>
      <w:r w:rsidR="003012B3">
        <w:rPr>
          <w:rFonts w:asciiTheme="majorHAnsi" w:hAnsiTheme="majorHAnsi" w:cstheme="majorHAnsi"/>
          <w:sz w:val="24"/>
          <w:szCs w:val="24"/>
          <w:lang w:val="ru-RU"/>
        </w:rPr>
        <w:t>,</w:t>
      </w:r>
      <w:r w:rsidRPr="00A157A4">
        <w:rPr>
          <w:rFonts w:asciiTheme="majorHAnsi" w:hAnsiTheme="majorHAnsi" w:cstheme="majorHAnsi"/>
          <w:sz w:val="24"/>
          <w:szCs w:val="24"/>
          <w:lang w:val="ro-MD"/>
        </w:rPr>
        <w:t xml:space="preserve"> в ходе аудиторской миссии в рамках </w:t>
      </w:r>
      <w:r w:rsidR="003012B3">
        <w:rPr>
          <w:rFonts w:asciiTheme="majorHAnsi" w:hAnsiTheme="majorHAnsi" w:cstheme="majorHAnsi"/>
          <w:sz w:val="24"/>
          <w:szCs w:val="24"/>
          <w:lang w:val="ru-RU"/>
        </w:rPr>
        <w:t>субъекта</w:t>
      </w:r>
      <w:r w:rsidRPr="00A157A4">
        <w:rPr>
          <w:rFonts w:asciiTheme="majorHAnsi" w:hAnsiTheme="majorHAnsi" w:cstheme="majorHAnsi"/>
          <w:sz w:val="24"/>
          <w:szCs w:val="24"/>
          <w:lang w:val="ro-MD"/>
        </w:rPr>
        <w:t xml:space="preserve"> была создана комиссия по </w:t>
      </w:r>
      <w:r w:rsidR="003012B3">
        <w:rPr>
          <w:rFonts w:asciiTheme="majorHAnsi" w:hAnsiTheme="majorHAnsi" w:cstheme="majorHAnsi"/>
          <w:sz w:val="24"/>
          <w:szCs w:val="24"/>
          <w:lang w:val="ru-RU"/>
        </w:rPr>
        <w:t>списанию</w:t>
      </w:r>
      <w:r w:rsidRPr="00A157A4">
        <w:rPr>
          <w:rFonts w:asciiTheme="majorHAnsi" w:hAnsiTheme="majorHAnsi" w:cstheme="majorHAnsi"/>
          <w:sz w:val="24"/>
          <w:szCs w:val="24"/>
          <w:lang w:val="ro-MD"/>
        </w:rPr>
        <w:t xml:space="preserve"> </w:t>
      </w:r>
      <w:r w:rsidR="003012B3">
        <w:rPr>
          <w:rFonts w:asciiTheme="majorHAnsi" w:hAnsiTheme="majorHAnsi" w:cstheme="majorHAnsi"/>
          <w:sz w:val="24"/>
          <w:szCs w:val="24"/>
          <w:lang w:val="ru-RU"/>
        </w:rPr>
        <w:t>изноше</w:t>
      </w:r>
      <w:r w:rsidRPr="00A157A4">
        <w:rPr>
          <w:rFonts w:asciiTheme="majorHAnsi" w:hAnsiTheme="majorHAnsi" w:cstheme="majorHAnsi"/>
          <w:sz w:val="24"/>
          <w:szCs w:val="24"/>
          <w:lang w:val="ro-MD"/>
        </w:rPr>
        <w:t xml:space="preserve">нных </w:t>
      </w:r>
      <w:r w:rsidR="00194C5B">
        <w:rPr>
          <w:rFonts w:asciiTheme="majorHAnsi" w:hAnsiTheme="majorHAnsi" w:cstheme="majorHAnsi"/>
          <w:sz w:val="24"/>
          <w:szCs w:val="24"/>
          <w:lang w:val="ru-RU"/>
        </w:rPr>
        <w:t>ценностей</w:t>
      </w:r>
      <w:r w:rsidR="003012B3" w:rsidRPr="00B13B9A">
        <w:rPr>
          <w:rStyle w:val="a9"/>
          <w:rFonts w:asciiTheme="majorHAnsi" w:hAnsiTheme="majorHAnsi" w:cstheme="majorHAnsi"/>
          <w:sz w:val="24"/>
          <w:szCs w:val="24"/>
          <w:lang w:val="ro-MD"/>
        </w:rPr>
        <w:footnoteReference w:id="41"/>
      </w:r>
      <w:r w:rsidRPr="00A157A4">
        <w:rPr>
          <w:rFonts w:asciiTheme="majorHAnsi" w:hAnsiTheme="majorHAnsi" w:cstheme="majorHAnsi"/>
          <w:sz w:val="24"/>
          <w:szCs w:val="24"/>
          <w:lang w:val="ro-MD"/>
        </w:rPr>
        <w:t>, о</w:t>
      </w:r>
      <w:r w:rsidR="003012B3">
        <w:rPr>
          <w:rFonts w:asciiTheme="majorHAnsi" w:hAnsiTheme="majorHAnsi" w:cstheme="majorHAnsi"/>
          <w:sz w:val="24"/>
          <w:szCs w:val="24"/>
          <w:lang w:val="ru-RU"/>
        </w:rPr>
        <w:t>тн</w:t>
      </w:r>
      <w:r w:rsidR="00194C5B">
        <w:rPr>
          <w:rFonts w:asciiTheme="majorHAnsi" w:hAnsiTheme="majorHAnsi" w:cstheme="majorHAnsi"/>
          <w:sz w:val="24"/>
          <w:szCs w:val="24"/>
          <w:lang w:val="ru-RU"/>
        </w:rPr>
        <w:t>осящихся к</w:t>
      </w:r>
      <w:r w:rsidRPr="00A157A4">
        <w:rPr>
          <w:rFonts w:asciiTheme="majorHAnsi" w:hAnsiTheme="majorHAnsi" w:cstheme="majorHAnsi"/>
          <w:sz w:val="24"/>
          <w:szCs w:val="24"/>
          <w:lang w:val="ro-MD"/>
        </w:rPr>
        <w:t xml:space="preserve"> основны</w:t>
      </w:r>
      <w:r w:rsidR="00194C5B">
        <w:rPr>
          <w:rFonts w:asciiTheme="majorHAnsi" w:hAnsiTheme="majorHAnsi" w:cstheme="majorHAnsi"/>
          <w:sz w:val="24"/>
          <w:szCs w:val="24"/>
          <w:lang w:val="ru-RU"/>
        </w:rPr>
        <w:t>м</w:t>
      </w:r>
      <w:r w:rsidRPr="00A157A4">
        <w:rPr>
          <w:rFonts w:asciiTheme="majorHAnsi" w:hAnsiTheme="majorHAnsi" w:cstheme="majorHAnsi"/>
          <w:sz w:val="24"/>
          <w:szCs w:val="24"/>
          <w:lang w:val="ro-MD"/>
        </w:rPr>
        <w:t xml:space="preserve"> средства</w:t>
      </w:r>
      <w:r w:rsidR="00194C5B">
        <w:rPr>
          <w:rFonts w:asciiTheme="majorHAnsi" w:hAnsiTheme="majorHAnsi" w:cstheme="majorHAnsi"/>
          <w:sz w:val="24"/>
          <w:szCs w:val="24"/>
          <w:lang w:val="ru-RU"/>
        </w:rPr>
        <w:t>м</w:t>
      </w:r>
      <w:r w:rsidRPr="00A157A4">
        <w:rPr>
          <w:rFonts w:asciiTheme="majorHAnsi" w:hAnsiTheme="majorHAnsi" w:cstheme="majorHAnsi"/>
          <w:sz w:val="24"/>
          <w:szCs w:val="24"/>
          <w:lang w:val="ro-MD"/>
        </w:rPr>
        <w:t xml:space="preserve">. Так, </w:t>
      </w:r>
      <w:r w:rsidR="00F27552">
        <w:rPr>
          <w:rFonts w:asciiTheme="majorHAnsi" w:hAnsiTheme="majorHAnsi" w:cstheme="majorHAnsi"/>
          <w:sz w:val="24"/>
          <w:szCs w:val="24"/>
          <w:lang w:val="ro-MD"/>
        </w:rPr>
        <w:t>субъект</w:t>
      </w:r>
      <w:r w:rsidRPr="00A157A4">
        <w:rPr>
          <w:rFonts w:asciiTheme="majorHAnsi" w:hAnsiTheme="majorHAnsi" w:cstheme="majorHAnsi"/>
          <w:sz w:val="24"/>
          <w:szCs w:val="24"/>
          <w:lang w:val="ro-MD"/>
        </w:rPr>
        <w:t xml:space="preserve"> передал </w:t>
      </w:r>
      <w:r w:rsidR="003012B3" w:rsidRPr="00A157A4">
        <w:rPr>
          <w:rFonts w:asciiTheme="majorHAnsi" w:hAnsiTheme="majorHAnsi" w:cstheme="majorHAnsi"/>
          <w:sz w:val="24"/>
          <w:szCs w:val="24"/>
          <w:lang w:val="ro-MD"/>
        </w:rPr>
        <w:t>Министерству здравоохранения</w:t>
      </w:r>
      <w:r w:rsidR="003012B3">
        <w:rPr>
          <w:rFonts w:asciiTheme="majorHAnsi" w:hAnsiTheme="majorHAnsi" w:cstheme="majorHAnsi"/>
          <w:sz w:val="24"/>
          <w:szCs w:val="24"/>
          <w:lang w:val="ru-RU"/>
        </w:rPr>
        <w:t>,</w:t>
      </w:r>
      <w:r w:rsidR="003012B3" w:rsidRPr="00A157A4">
        <w:rPr>
          <w:rFonts w:asciiTheme="majorHAnsi" w:hAnsiTheme="majorHAnsi" w:cstheme="majorHAnsi"/>
          <w:sz w:val="24"/>
          <w:szCs w:val="24"/>
          <w:lang w:val="ro-MD"/>
        </w:rPr>
        <w:t xml:space="preserve"> </w:t>
      </w:r>
      <w:r w:rsidRPr="00A157A4">
        <w:rPr>
          <w:rFonts w:asciiTheme="majorHAnsi" w:hAnsiTheme="majorHAnsi" w:cstheme="majorHAnsi"/>
          <w:sz w:val="24"/>
          <w:szCs w:val="24"/>
          <w:lang w:val="ro-MD"/>
        </w:rPr>
        <w:t>на рассмотрение и одобрение</w:t>
      </w:r>
      <w:r w:rsidR="004946C7">
        <w:rPr>
          <w:rFonts w:asciiTheme="majorHAnsi" w:hAnsiTheme="majorHAnsi" w:cstheme="majorHAnsi"/>
          <w:sz w:val="24"/>
          <w:szCs w:val="24"/>
          <w:lang w:val="ru-RU"/>
        </w:rPr>
        <w:t>,</w:t>
      </w:r>
      <w:r w:rsidRPr="00A157A4">
        <w:rPr>
          <w:rFonts w:asciiTheme="majorHAnsi" w:hAnsiTheme="majorHAnsi" w:cstheme="majorHAnsi"/>
          <w:sz w:val="24"/>
          <w:szCs w:val="24"/>
          <w:lang w:val="ro-MD"/>
        </w:rPr>
        <w:t xml:space="preserve"> </w:t>
      </w:r>
      <w:r w:rsidR="004946C7">
        <w:rPr>
          <w:rFonts w:asciiTheme="majorHAnsi" w:hAnsiTheme="majorHAnsi" w:cstheme="majorHAnsi"/>
          <w:sz w:val="24"/>
          <w:szCs w:val="24"/>
          <w:lang w:val="ru-RU"/>
        </w:rPr>
        <w:t>пакет</w:t>
      </w:r>
      <w:r w:rsidRPr="00A157A4">
        <w:rPr>
          <w:rFonts w:asciiTheme="majorHAnsi" w:hAnsiTheme="majorHAnsi" w:cstheme="majorHAnsi"/>
          <w:sz w:val="24"/>
          <w:szCs w:val="24"/>
          <w:lang w:val="ro-MD"/>
        </w:rPr>
        <w:t xml:space="preserve"> документов для выдачи разрешения на </w:t>
      </w:r>
      <w:r w:rsidR="004946C7">
        <w:rPr>
          <w:rFonts w:asciiTheme="majorHAnsi" w:hAnsiTheme="majorHAnsi" w:cstheme="majorHAnsi"/>
          <w:sz w:val="24"/>
          <w:szCs w:val="24"/>
          <w:lang w:val="ru-RU"/>
        </w:rPr>
        <w:t>списание</w:t>
      </w:r>
      <w:r w:rsidRPr="00A157A4">
        <w:rPr>
          <w:rFonts w:asciiTheme="majorHAnsi" w:hAnsiTheme="majorHAnsi" w:cstheme="majorHAnsi"/>
          <w:sz w:val="24"/>
          <w:szCs w:val="24"/>
          <w:lang w:val="ro-MD"/>
        </w:rPr>
        <w:t xml:space="preserve"> основных средств. Согласно реестру, </w:t>
      </w:r>
      <w:r w:rsidR="004946C7" w:rsidRPr="00A157A4">
        <w:rPr>
          <w:rFonts w:asciiTheme="majorHAnsi" w:hAnsiTheme="majorHAnsi" w:cstheme="majorHAnsi"/>
          <w:sz w:val="24"/>
          <w:szCs w:val="24"/>
          <w:lang w:val="ro-MD"/>
        </w:rPr>
        <w:t>списан</w:t>
      </w:r>
      <w:r w:rsidR="004946C7" w:rsidRPr="004946C7">
        <w:rPr>
          <w:rFonts w:asciiTheme="majorHAnsi" w:hAnsiTheme="majorHAnsi" w:cstheme="majorHAnsi"/>
          <w:sz w:val="24"/>
          <w:szCs w:val="24"/>
          <w:lang w:val="ro-MD"/>
        </w:rPr>
        <w:t>ию подлежали</w:t>
      </w:r>
      <w:r w:rsidR="004946C7" w:rsidRPr="00A157A4">
        <w:rPr>
          <w:rFonts w:asciiTheme="majorHAnsi" w:hAnsiTheme="majorHAnsi" w:cstheme="majorHAnsi"/>
          <w:sz w:val="24"/>
          <w:szCs w:val="24"/>
          <w:lang w:val="ro-MD"/>
        </w:rPr>
        <w:t xml:space="preserve"> </w:t>
      </w:r>
      <w:r w:rsidRPr="00A157A4">
        <w:rPr>
          <w:rFonts w:asciiTheme="majorHAnsi" w:hAnsiTheme="majorHAnsi" w:cstheme="majorHAnsi"/>
          <w:sz w:val="24"/>
          <w:szCs w:val="24"/>
          <w:lang w:val="ro-MD"/>
        </w:rPr>
        <w:t>193 основны</w:t>
      </w:r>
      <w:r w:rsidR="004946C7">
        <w:rPr>
          <w:rFonts w:asciiTheme="majorHAnsi" w:hAnsiTheme="majorHAnsi" w:cstheme="majorHAnsi"/>
          <w:sz w:val="24"/>
          <w:szCs w:val="24"/>
          <w:lang w:val="ru-RU"/>
        </w:rPr>
        <w:t>е</w:t>
      </w:r>
      <w:r w:rsidRPr="00A157A4">
        <w:rPr>
          <w:rFonts w:asciiTheme="majorHAnsi" w:hAnsiTheme="majorHAnsi" w:cstheme="majorHAnsi"/>
          <w:sz w:val="24"/>
          <w:szCs w:val="24"/>
          <w:lang w:val="ro-MD"/>
        </w:rPr>
        <w:t xml:space="preserve"> средств</w:t>
      </w:r>
      <w:r w:rsidR="004946C7">
        <w:rPr>
          <w:rFonts w:asciiTheme="majorHAnsi" w:hAnsiTheme="majorHAnsi" w:cstheme="majorHAnsi"/>
          <w:sz w:val="24"/>
          <w:szCs w:val="24"/>
          <w:lang w:val="ru-RU"/>
        </w:rPr>
        <w:t>а</w:t>
      </w:r>
      <w:r w:rsidRPr="00A157A4">
        <w:rPr>
          <w:rFonts w:asciiTheme="majorHAnsi" w:hAnsiTheme="majorHAnsi" w:cstheme="majorHAnsi"/>
          <w:sz w:val="24"/>
          <w:szCs w:val="24"/>
          <w:lang w:val="ro-MD"/>
        </w:rPr>
        <w:t xml:space="preserve"> на сумму 3 804,8 тыс. леев</w:t>
      </w:r>
      <w:r w:rsidR="004946C7" w:rsidRPr="004946C7">
        <w:rPr>
          <w:rFonts w:asciiTheme="majorHAnsi" w:hAnsiTheme="majorHAnsi" w:cstheme="majorHAnsi"/>
          <w:sz w:val="24"/>
          <w:szCs w:val="24"/>
          <w:lang w:val="ro-MD"/>
        </w:rPr>
        <w:t>,</w:t>
      </w:r>
      <w:r w:rsidRPr="00A157A4">
        <w:rPr>
          <w:rFonts w:asciiTheme="majorHAnsi" w:hAnsiTheme="majorHAnsi" w:cstheme="majorHAnsi"/>
          <w:sz w:val="24"/>
          <w:szCs w:val="24"/>
          <w:lang w:val="ro-MD"/>
        </w:rPr>
        <w:t xml:space="preserve"> </w:t>
      </w:r>
      <w:r w:rsidR="004946C7">
        <w:rPr>
          <w:rFonts w:asciiTheme="majorHAnsi" w:hAnsiTheme="majorHAnsi" w:cstheme="majorHAnsi"/>
          <w:sz w:val="24"/>
          <w:szCs w:val="24"/>
          <w:lang w:val="ru-RU"/>
        </w:rPr>
        <w:t>с</w:t>
      </w:r>
      <w:r w:rsidRPr="00A157A4">
        <w:rPr>
          <w:rFonts w:asciiTheme="majorHAnsi" w:hAnsiTheme="majorHAnsi" w:cstheme="majorHAnsi"/>
          <w:sz w:val="24"/>
          <w:szCs w:val="24"/>
          <w:lang w:val="ro-MD"/>
        </w:rPr>
        <w:t xml:space="preserve"> </w:t>
      </w:r>
      <w:r w:rsidR="004946C7" w:rsidRPr="004946C7">
        <w:rPr>
          <w:rFonts w:asciiTheme="majorHAnsi" w:hAnsiTheme="majorHAnsi" w:cstheme="majorHAnsi"/>
          <w:sz w:val="24"/>
          <w:szCs w:val="24"/>
          <w:lang w:val="ro-MD"/>
        </w:rPr>
        <w:t>первоначаль</w:t>
      </w:r>
      <w:r w:rsidRPr="00A157A4">
        <w:rPr>
          <w:rFonts w:asciiTheme="majorHAnsi" w:hAnsiTheme="majorHAnsi" w:cstheme="majorHAnsi"/>
          <w:sz w:val="24"/>
          <w:szCs w:val="24"/>
          <w:lang w:val="ro-MD"/>
        </w:rPr>
        <w:t>ной стоимост</w:t>
      </w:r>
      <w:r w:rsidR="004946C7">
        <w:rPr>
          <w:rFonts w:asciiTheme="majorHAnsi" w:hAnsiTheme="majorHAnsi" w:cstheme="majorHAnsi"/>
          <w:sz w:val="24"/>
          <w:szCs w:val="24"/>
          <w:lang w:val="ru-RU"/>
        </w:rPr>
        <w:t>ью</w:t>
      </w:r>
      <w:r w:rsidRPr="00A157A4">
        <w:rPr>
          <w:rFonts w:asciiTheme="majorHAnsi" w:hAnsiTheme="majorHAnsi" w:cstheme="majorHAnsi"/>
          <w:sz w:val="24"/>
          <w:szCs w:val="24"/>
          <w:lang w:val="ro-MD"/>
        </w:rPr>
        <w:t>, балансов</w:t>
      </w:r>
      <w:r w:rsidR="004946C7" w:rsidRPr="004946C7">
        <w:rPr>
          <w:rFonts w:asciiTheme="majorHAnsi" w:hAnsiTheme="majorHAnsi" w:cstheme="majorHAnsi"/>
          <w:sz w:val="24"/>
          <w:szCs w:val="24"/>
          <w:lang w:val="ro-MD"/>
        </w:rPr>
        <w:t>ой</w:t>
      </w:r>
      <w:r w:rsidRPr="00A157A4">
        <w:rPr>
          <w:rFonts w:asciiTheme="majorHAnsi" w:hAnsiTheme="majorHAnsi" w:cstheme="majorHAnsi"/>
          <w:sz w:val="24"/>
          <w:szCs w:val="24"/>
          <w:lang w:val="ro-MD"/>
        </w:rPr>
        <w:t xml:space="preserve"> стоимост</w:t>
      </w:r>
      <w:r w:rsidR="004946C7">
        <w:rPr>
          <w:rFonts w:asciiTheme="majorHAnsi" w:hAnsiTheme="majorHAnsi" w:cstheme="majorHAnsi"/>
          <w:sz w:val="24"/>
          <w:szCs w:val="24"/>
          <w:lang w:val="ru-RU"/>
        </w:rPr>
        <w:t>ью</w:t>
      </w:r>
      <w:r w:rsidRPr="00A157A4">
        <w:rPr>
          <w:rFonts w:asciiTheme="majorHAnsi" w:hAnsiTheme="majorHAnsi" w:cstheme="majorHAnsi"/>
          <w:sz w:val="24"/>
          <w:szCs w:val="24"/>
          <w:lang w:val="ro-MD"/>
        </w:rPr>
        <w:t xml:space="preserve"> равн</w:t>
      </w:r>
      <w:r w:rsidR="004946C7" w:rsidRPr="004946C7">
        <w:rPr>
          <w:rFonts w:asciiTheme="majorHAnsi" w:hAnsiTheme="majorHAnsi" w:cstheme="majorHAnsi"/>
          <w:sz w:val="24"/>
          <w:szCs w:val="24"/>
          <w:lang w:val="ro-MD"/>
        </w:rPr>
        <w:t>ой</w:t>
      </w:r>
      <w:r w:rsidRPr="00A157A4">
        <w:rPr>
          <w:rFonts w:asciiTheme="majorHAnsi" w:hAnsiTheme="majorHAnsi" w:cstheme="majorHAnsi"/>
          <w:sz w:val="24"/>
          <w:szCs w:val="24"/>
          <w:lang w:val="ro-MD"/>
        </w:rPr>
        <w:t xml:space="preserve"> нулю, что было </w:t>
      </w:r>
      <w:r w:rsidR="004946C7">
        <w:rPr>
          <w:rFonts w:asciiTheme="majorHAnsi" w:hAnsiTheme="majorHAnsi" w:cstheme="majorHAnsi"/>
          <w:sz w:val="24"/>
          <w:szCs w:val="24"/>
          <w:lang w:val="ru-RU"/>
        </w:rPr>
        <w:t>одобре</w:t>
      </w:r>
      <w:r w:rsidRPr="00A157A4">
        <w:rPr>
          <w:rFonts w:asciiTheme="majorHAnsi" w:hAnsiTheme="majorHAnsi" w:cstheme="majorHAnsi"/>
          <w:sz w:val="24"/>
          <w:szCs w:val="24"/>
          <w:lang w:val="ro-MD"/>
        </w:rPr>
        <w:t>но Министерством здравоохранения</w:t>
      </w:r>
      <w:r w:rsidR="0039787E" w:rsidRPr="00B13B9A">
        <w:rPr>
          <w:rFonts w:asciiTheme="majorHAnsi" w:hAnsiTheme="majorHAnsi" w:cstheme="majorHAnsi"/>
          <w:sz w:val="24"/>
          <w:szCs w:val="24"/>
          <w:lang w:val="ro-MD"/>
        </w:rPr>
        <w:t>.</w:t>
      </w:r>
    </w:p>
    <w:p w14:paraId="6EFAD6C5" w14:textId="31FB6613" w:rsidR="0039787E" w:rsidRPr="00B13B9A" w:rsidRDefault="000D43FD" w:rsidP="0039787E">
      <w:pPr>
        <w:shd w:val="clear" w:color="auto" w:fill="FFFFFF" w:themeFill="background1"/>
        <w:jc w:val="both"/>
        <w:rPr>
          <w:rFonts w:asciiTheme="majorHAnsi" w:hAnsiTheme="majorHAnsi" w:cstheme="majorHAnsi"/>
          <w:sz w:val="24"/>
          <w:szCs w:val="24"/>
          <w:lang w:val="ro-MD"/>
        </w:rPr>
      </w:pPr>
      <w:r>
        <w:rPr>
          <w:rFonts w:asciiTheme="majorHAnsi" w:hAnsiTheme="majorHAnsi" w:cstheme="majorHAnsi"/>
          <w:sz w:val="24"/>
          <w:szCs w:val="24"/>
          <w:lang w:val="ru-RU"/>
        </w:rPr>
        <w:t>Одновременно</w:t>
      </w:r>
      <w:r w:rsidR="00A157A4" w:rsidRPr="00A157A4">
        <w:rPr>
          <w:rFonts w:asciiTheme="majorHAnsi" w:hAnsiTheme="majorHAnsi" w:cstheme="majorHAnsi"/>
          <w:sz w:val="24"/>
          <w:szCs w:val="24"/>
          <w:lang w:val="ro-MD"/>
        </w:rPr>
        <w:t xml:space="preserve"> аудита отмечает, что в результате инвентаризации основных средств представителями </w:t>
      </w:r>
      <w:r w:rsidR="00F25383">
        <w:rPr>
          <w:rFonts w:asciiTheme="majorHAnsi" w:hAnsiTheme="majorHAnsi" w:cstheme="majorHAnsi"/>
          <w:sz w:val="24"/>
          <w:szCs w:val="24"/>
          <w:lang w:val="ro-MD"/>
        </w:rPr>
        <w:t>субъекта</w:t>
      </w:r>
      <w:r w:rsidR="00A157A4" w:rsidRPr="00A157A4">
        <w:rPr>
          <w:rFonts w:asciiTheme="majorHAnsi" w:hAnsiTheme="majorHAnsi" w:cstheme="majorHAnsi"/>
          <w:sz w:val="24"/>
          <w:szCs w:val="24"/>
          <w:lang w:val="ro-MD"/>
        </w:rPr>
        <w:t xml:space="preserve"> </w:t>
      </w:r>
      <w:r>
        <w:rPr>
          <w:rFonts w:asciiTheme="majorHAnsi" w:hAnsiTheme="majorHAnsi" w:cstheme="majorHAnsi"/>
          <w:sz w:val="24"/>
          <w:szCs w:val="24"/>
          <w:lang w:val="ru-RU"/>
        </w:rPr>
        <w:t>в присутствии</w:t>
      </w:r>
      <w:r w:rsidR="00A157A4" w:rsidRPr="00A157A4">
        <w:rPr>
          <w:rFonts w:asciiTheme="majorHAnsi" w:hAnsiTheme="majorHAnsi" w:cstheme="majorHAnsi"/>
          <w:sz w:val="24"/>
          <w:szCs w:val="24"/>
          <w:lang w:val="ro-MD"/>
        </w:rPr>
        <w:t xml:space="preserve"> аудита</w:t>
      </w:r>
      <w:r>
        <w:rPr>
          <w:rFonts w:asciiTheme="majorHAnsi" w:hAnsiTheme="majorHAnsi" w:cstheme="majorHAnsi"/>
          <w:sz w:val="24"/>
          <w:szCs w:val="24"/>
          <w:lang w:val="ru-RU"/>
        </w:rPr>
        <w:t>,</w:t>
      </w:r>
      <w:r w:rsidR="00A157A4" w:rsidRPr="00A157A4">
        <w:rPr>
          <w:rFonts w:asciiTheme="majorHAnsi" w:hAnsiTheme="majorHAnsi" w:cstheme="majorHAnsi"/>
          <w:sz w:val="24"/>
          <w:szCs w:val="24"/>
          <w:lang w:val="ro-MD"/>
        </w:rPr>
        <w:t xml:space="preserve"> в отделениях </w:t>
      </w:r>
      <w:r w:rsidR="00502576">
        <w:rPr>
          <w:rFonts w:asciiTheme="majorHAnsi" w:hAnsiTheme="majorHAnsi" w:cstheme="majorHAnsi"/>
          <w:sz w:val="24"/>
          <w:szCs w:val="24"/>
          <w:lang w:val="ro-MD"/>
        </w:rPr>
        <w:t>ПМСУ</w:t>
      </w:r>
      <w:r w:rsidR="00A157A4" w:rsidRPr="00A157A4">
        <w:rPr>
          <w:rFonts w:asciiTheme="majorHAnsi" w:hAnsiTheme="majorHAnsi" w:cstheme="majorHAnsi"/>
          <w:sz w:val="24"/>
          <w:szCs w:val="24"/>
          <w:lang w:val="ro-MD"/>
        </w:rPr>
        <w:t xml:space="preserve"> было выявлено 5 медицинских аппаратур с </w:t>
      </w:r>
      <w:r>
        <w:rPr>
          <w:rFonts w:asciiTheme="majorHAnsi" w:hAnsiTheme="majorHAnsi" w:cstheme="majorHAnsi"/>
          <w:sz w:val="24"/>
          <w:szCs w:val="24"/>
          <w:lang w:val="ru-RU"/>
        </w:rPr>
        <w:t>первоначаль</w:t>
      </w:r>
      <w:r w:rsidR="00A157A4" w:rsidRPr="00A157A4">
        <w:rPr>
          <w:rFonts w:asciiTheme="majorHAnsi" w:hAnsiTheme="majorHAnsi" w:cstheme="majorHAnsi"/>
          <w:sz w:val="24"/>
          <w:szCs w:val="24"/>
          <w:lang w:val="ro-MD"/>
        </w:rPr>
        <w:t xml:space="preserve">ной стоимостью 3 650,1 тыс. леев и балансовой стоимостью в размере 42,1 тыс. леев, которые, хотя и являются </w:t>
      </w:r>
      <w:r w:rsidRPr="00A157A4">
        <w:rPr>
          <w:rFonts w:asciiTheme="majorHAnsi" w:hAnsiTheme="majorHAnsi" w:cstheme="majorHAnsi"/>
          <w:sz w:val="24"/>
          <w:szCs w:val="24"/>
          <w:lang w:val="ro-MD"/>
        </w:rPr>
        <w:t>не</w:t>
      </w:r>
      <w:r w:rsidR="00A157A4" w:rsidRPr="00A157A4">
        <w:rPr>
          <w:rFonts w:asciiTheme="majorHAnsi" w:hAnsiTheme="majorHAnsi" w:cstheme="majorHAnsi"/>
          <w:sz w:val="24"/>
          <w:szCs w:val="24"/>
          <w:lang w:val="ro-MD"/>
        </w:rPr>
        <w:t xml:space="preserve">функциональными и/или изношенными, хранятся в </w:t>
      </w:r>
      <w:r>
        <w:rPr>
          <w:rFonts w:asciiTheme="majorHAnsi" w:hAnsiTheme="majorHAnsi" w:cstheme="majorHAnsi"/>
          <w:sz w:val="24"/>
          <w:szCs w:val="24"/>
          <w:lang w:val="ru-RU"/>
        </w:rPr>
        <w:t>отделении</w:t>
      </w:r>
      <w:r w:rsidR="00A157A4" w:rsidRPr="00A157A4">
        <w:rPr>
          <w:rFonts w:asciiTheme="majorHAnsi" w:hAnsiTheme="majorHAnsi" w:cstheme="majorHAnsi"/>
          <w:sz w:val="24"/>
          <w:szCs w:val="24"/>
          <w:lang w:val="ro-MD"/>
        </w:rPr>
        <w:t xml:space="preserve">, не были представлены и включены в </w:t>
      </w:r>
      <w:r>
        <w:rPr>
          <w:rFonts w:asciiTheme="majorHAnsi" w:hAnsiTheme="majorHAnsi" w:cstheme="majorHAnsi"/>
          <w:sz w:val="24"/>
          <w:szCs w:val="24"/>
          <w:lang w:val="ru-RU"/>
        </w:rPr>
        <w:t xml:space="preserve">список </w:t>
      </w:r>
      <w:r w:rsidR="00A157A4" w:rsidRPr="00A157A4">
        <w:rPr>
          <w:rFonts w:asciiTheme="majorHAnsi" w:hAnsiTheme="majorHAnsi" w:cstheme="majorHAnsi"/>
          <w:sz w:val="24"/>
          <w:szCs w:val="24"/>
          <w:lang w:val="ro-MD"/>
        </w:rPr>
        <w:t xml:space="preserve"> </w:t>
      </w:r>
      <w:r>
        <w:rPr>
          <w:rFonts w:asciiTheme="majorHAnsi" w:hAnsiTheme="majorHAnsi" w:cstheme="majorHAnsi"/>
          <w:sz w:val="24"/>
          <w:szCs w:val="24"/>
          <w:lang w:val="ru-RU"/>
        </w:rPr>
        <w:t>объектов, подлежащих списанию</w:t>
      </w:r>
      <w:r w:rsidR="00A157A4" w:rsidRPr="00A157A4">
        <w:rPr>
          <w:rFonts w:asciiTheme="majorHAnsi" w:hAnsiTheme="majorHAnsi" w:cstheme="majorHAnsi"/>
          <w:sz w:val="24"/>
          <w:szCs w:val="24"/>
          <w:lang w:val="ro-MD"/>
        </w:rPr>
        <w:t xml:space="preserve">, составленный в ходе проведения аудиторской миссии, </w:t>
      </w:r>
      <w:r>
        <w:rPr>
          <w:rFonts w:asciiTheme="majorHAnsi" w:hAnsiTheme="majorHAnsi" w:cstheme="majorHAnsi"/>
          <w:sz w:val="24"/>
          <w:szCs w:val="24"/>
          <w:lang w:val="ru-RU"/>
        </w:rPr>
        <w:t xml:space="preserve">они продолжают отражаться в </w:t>
      </w:r>
      <w:r w:rsidR="00A157A4" w:rsidRPr="00A157A4">
        <w:rPr>
          <w:rFonts w:asciiTheme="majorHAnsi" w:hAnsiTheme="majorHAnsi" w:cstheme="majorHAnsi"/>
          <w:sz w:val="24"/>
          <w:szCs w:val="24"/>
          <w:lang w:val="ro-MD"/>
        </w:rPr>
        <w:t>учет</w:t>
      </w:r>
      <w:r>
        <w:rPr>
          <w:rFonts w:asciiTheme="majorHAnsi" w:hAnsiTheme="majorHAnsi" w:cstheme="majorHAnsi"/>
          <w:sz w:val="24"/>
          <w:szCs w:val="24"/>
          <w:lang w:val="ru-RU"/>
        </w:rPr>
        <w:t>е</w:t>
      </w:r>
      <w:r w:rsidR="00A157A4" w:rsidRPr="00A157A4">
        <w:rPr>
          <w:rFonts w:asciiTheme="majorHAnsi" w:hAnsiTheme="majorHAnsi" w:cstheme="majorHAnsi"/>
          <w:sz w:val="24"/>
          <w:szCs w:val="24"/>
          <w:lang w:val="ro-MD"/>
        </w:rPr>
        <w:t xml:space="preserve">. Таким образом, вопреки </w:t>
      </w:r>
      <w:r>
        <w:rPr>
          <w:rFonts w:asciiTheme="majorHAnsi" w:hAnsiTheme="majorHAnsi" w:cstheme="majorHAnsi"/>
          <w:sz w:val="24"/>
          <w:szCs w:val="24"/>
          <w:lang w:val="ru-RU"/>
        </w:rPr>
        <w:t>законодательн</w:t>
      </w:r>
      <w:r w:rsidR="00A157A4" w:rsidRPr="00A157A4">
        <w:rPr>
          <w:rFonts w:asciiTheme="majorHAnsi" w:hAnsiTheme="majorHAnsi" w:cstheme="majorHAnsi"/>
          <w:sz w:val="24"/>
          <w:szCs w:val="24"/>
          <w:lang w:val="ro-MD"/>
        </w:rPr>
        <w:t>ым положениям</w:t>
      </w:r>
      <w:r w:rsidRPr="00B13B9A">
        <w:rPr>
          <w:rStyle w:val="a9"/>
          <w:rFonts w:asciiTheme="majorHAnsi" w:hAnsiTheme="majorHAnsi" w:cstheme="majorHAnsi"/>
          <w:sz w:val="24"/>
          <w:szCs w:val="24"/>
          <w:lang w:val="ro-MD"/>
        </w:rPr>
        <w:footnoteReference w:id="42"/>
      </w:r>
      <w:r w:rsidR="00A157A4" w:rsidRPr="00A157A4">
        <w:rPr>
          <w:rFonts w:asciiTheme="majorHAnsi" w:hAnsiTheme="majorHAnsi" w:cstheme="majorHAnsi"/>
          <w:sz w:val="24"/>
          <w:szCs w:val="24"/>
          <w:lang w:val="ro-MD"/>
        </w:rPr>
        <w:t xml:space="preserve">, </w:t>
      </w:r>
      <w:r w:rsidR="00F27552">
        <w:rPr>
          <w:rFonts w:asciiTheme="majorHAnsi" w:hAnsiTheme="majorHAnsi" w:cstheme="majorHAnsi"/>
          <w:sz w:val="24"/>
          <w:szCs w:val="24"/>
          <w:lang w:val="ro-MD"/>
        </w:rPr>
        <w:t>субъект</w:t>
      </w:r>
      <w:r w:rsidR="00A157A4" w:rsidRPr="00A157A4">
        <w:rPr>
          <w:rFonts w:asciiTheme="majorHAnsi" w:hAnsiTheme="majorHAnsi" w:cstheme="majorHAnsi"/>
          <w:sz w:val="24"/>
          <w:szCs w:val="24"/>
          <w:lang w:val="ro-MD"/>
        </w:rPr>
        <w:t xml:space="preserve"> не </w:t>
      </w:r>
      <w:r>
        <w:rPr>
          <w:rFonts w:asciiTheme="majorHAnsi" w:hAnsiTheme="majorHAnsi" w:cstheme="majorHAnsi"/>
          <w:sz w:val="24"/>
          <w:szCs w:val="24"/>
          <w:lang w:val="ru-RU"/>
        </w:rPr>
        <w:t>вед</w:t>
      </w:r>
      <w:r w:rsidR="00A157A4" w:rsidRPr="00A157A4">
        <w:rPr>
          <w:rFonts w:asciiTheme="majorHAnsi" w:hAnsiTheme="majorHAnsi" w:cstheme="majorHAnsi"/>
          <w:sz w:val="24"/>
          <w:szCs w:val="24"/>
          <w:lang w:val="ro-MD"/>
        </w:rPr>
        <w:t>ет отдельн</w:t>
      </w:r>
      <w:r>
        <w:rPr>
          <w:rFonts w:asciiTheme="majorHAnsi" w:hAnsiTheme="majorHAnsi" w:cstheme="majorHAnsi"/>
          <w:sz w:val="24"/>
          <w:szCs w:val="24"/>
          <w:lang w:val="ru-RU"/>
        </w:rPr>
        <w:t>ый</w:t>
      </w:r>
      <w:r w:rsidR="00A157A4" w:rsidRPr="00A157A4">
        <w:rPr>
          <w:rFonts w:asciiTheme="majorHAnsi" w:hAnsiTheme="majorHAnsi" w:cstheme="majorHAnsi"/>
          <w:sz w:val="24"/>
          <w:szCs w:val="24"/>
          <w:lang w:val="ro-MD"/>
        </w:rPr>
        <w:t xml:space="preserve"> спис</w:t>
      </w:r>
      <w:r>
        <w:rPr>
          <w:rFonts w:asciiTheme="majorHAnsi" w:hAnsiTheme="majorHAnsi" w:cstheme="majorHAnsi"/>
          <w:sz w:val="24"/>
          <w:szCs w:val="24"/>
          <w:lang w:val="ru-RU"/>
        </w:rPr>
        <w:t>ок</w:t>
      </w:r>
      <w:r w:rsidR="00A157A4" w:rsidRPr="00A157A4">
        <w:rPr>
          <w:rFonts w:asciiTheme="majorHAnsi" w:hAnsiTheme="majorHAnsi" w:cstheme="majorHAnsi"/>
          <w:sz w:val="24"/>
          <w:szCs w:val="24"/>
          <w:lang w:val="ro-MD"/>
        </w:rPr>
        <w:t xml:space="preserve"> инвентаризации материальных активов, которые не используются по разным причинам и/или не подлежат восстановлению, с указанием причин, вызвавших их неиспользование (повреждение, полный износ и т. д.).</w:t>
      </w:r>
    </w:p>
    <w:p w14:paraId="280E4678" w14:textId="7834F2AF" w:rsidR="0039787E" w:rsidRPr="00B13B9A" w:rsidRDefault="00A157A4" w:rsidP="0039787E">
      <w:pPr>
        <w:shd w:val="clear" w:color="auto" w:fill="FFFFFF" w:themeFill="background1"/>
        <w:jc w:val="both"/>
        <w:rPr>
          <w:rFonts w:asciiTheme="majorHAnsi" w:hAnsiTheme="majorHAnsi" w:cstheme="majorHAnsi"/>
          <w:sz w:val="24"/>
          <w:szCs w:val="24"/>
          <w:lang w:val="ro-MD"/>
        </w:rPr>
      </w:pPr>
      <w:r w:rsidRPr="00A157A4">
        <w:rPr>
          <w:rFonts w:asciiTheme="majorHAnsi" w:hAnsiTheme="majorHAnsi" w:cstheme="majorHAnsi"/>
          <w:sz w:val="24"/>
          <w:szCs w:val="24"/>
          <w:lang w:val="ro-MD"/>
        </w:rPr>
        <w:t xml:space="preserve">Например, </w:t>
      </w:r>
      <w:r w:rsidR="000D43FD">
        <w:rPr>
          <w:rFonts w:asciiTheme="majorHAnsi" w:hAnsiTheme="majorHAnsi" w:cstheme="majorHAnsi"/>
          <w:sz w:val="24"/>
          <w:szCs w:val="24"/>
          <w:lang w:val="ru-RU"/>
        </w:rPr>
        <w:t>учрежден</w:t>
      </w:r>
      <w:r w:rsidRPr="00A157A4">
        <w:rPr>
          <w:rFonts w:asciiTheme="majorHAnsi" w:hAnsiTheme="majorHAnsi" w:cstheme="majorHAnsi"/>
          <w:sz w:val="24"/>
          <w:szCs w:val="24"/>
          <w:lang w:val="ro-MD"/>
        </w:rPr>
        <w:t>ие хран</w:t>
      </w:r>
      <w:r w:rsidR="000D43FD">
        <w:rPr>
          <w:rFonts w:asciiTheme="majorHAnsi" w:hAnsiTheme="majorHAnsi" w:cstheme="majorHAnsi"/>
          <w:sz w:val="24"/>
          <w:szCs w:val="24"/>
          <w:lang w:val="ru-RU"/>
        </w:rPr>
        <w:t>и</w:t>
      </w:r>
      <w:r w:rsidRPr="00A157A4">
        <w:rPr>
          <w:rFonts w:asciiTheme="majorHAnsi" w:hAnsiTheme="majorHAnsi" w:cstheme="majorHAnsi"/>
          <w:sz w:val="24"/>
          <w:szCs w:val="24"/>
          <w:lang w:val="ro-MD"/>
        </w:rPr>
        <w:t xml:space="preserve">т в отделении нефункциональный Радиодиагностический комплекс </w:t>
      </w:r>
      <w:r w:rsidR="000D43FD" w:rsidRPr="00B13B9A">
        <w:rPr>
          <w:rFonts w:asciiTheme="majorHAnsi" w:hAnsiTheme="majorHAnsi" w:cstheme="majorHAnsi"/>
          <w:sz w:val="24"/>
          <w:szCs w:val="24"/>
          <w:lang w:val="ro-MD"/>
        </w:rPr>
        <w:t>Sirescop CX</w:t>
      </w:r>
      <w:r w:rsidRPr="00A157A4">
        <w:rPr>
          <w:rFonts w:asciiTheme="majorHAnsi" w:hAnsiTheme="majorHAnsi" w:cstheme="majorHAnsi"/>
          <w:sz w:val="24"/>
          <w:szCs w:val="24"/>
          <w:lang w:val="ro-MD"/>
        </w:rPr>
        <w:t xml:space="preserve"> стоимостью 2 481,4 тыс. леев, введенный в эксплуатацию 01.01.1998. Работа на этом аппарате была остановлена еще в 2018 году из-за его нефункциональности</w:t>
      </w:r>
      <w:r w:rsidR="000D43FD">
        <w:rPr>
          <w:rFonts w:asciiTheme="majorHAnsi" w:hAnsiTheme="majorHAnsi" w:cstheme="majorHAnsi"/>
          <w:sz w:val="24"/>
          <w:szCs w:val="24"/>
          <w:lang w:val="ru-RU"/>
        </w:rPr>
        <w:t>,</w:t>
      </w:r>
      <w:r w:rsidRPr="00A157A4">
        <w:rPr>
          <w:rFonts w:asciiTheme="majorHAnsi" w:hAnsiTheme="majorHAnsi" w:cstheme="majorHAnsi"/>
          <w:sz w:val="24"/>
          <w:szCs w:val="24"/>
          <w:lang w:val="ro-MD"/>
        </w:rPr>
        <w:t xml:space="preserve"> после выхода из строя детали компонента. Радиодиагностический комплекс, согласно техническому отчету, не подлежит ремонту и должен был быть включен в </w:t>
      </w:r>
      <w:r w:rsidR="000D43FD" w:rsidRPr="000D43FD">
        <w:rPr>
          <w:rFonts w:asciiTheme="majorHAnsi" w:hAnsiTheme="majorHAnsi" w:cstheme="majorHAnsi"/>
          <w:sz w:val="24"/>
          <w:szCs w:val="24"/>
          <w:lang w:val="ro-MD"/>
        </w:rPr>
        <w:t>с</w:t>
      </w:r>
      <w:r w:rsidRPr="00A157A4">
        <w:rPr>
          <w:rFonts w:asciiTheme="majorHAnsi" w:hAnsiTheme="majorHAnsi" w:cstheme="majorHAnsi"/>
          <w:sz w:val="24"/>
          <w:szCs w:val="24"/>
          <w:lang w:val="ro-MD"/>
        </w:rPr>
        <w:t xml:space="preserve">писок </w:t>
      </w:r>
      <w:r w:rsidR="000D43FD" w:rsidRPr="000D43FD">
        <w:rPr>
          <w:rFonts w:asciiTheme="majorHAnsi" w:hAnsiTheme="majorHAnsi" w:cstheme="majorHAnsi"/>
          <w:sz w:val="24"/>
          <w:szCs w:val="24"/>
          <w:lang w:val="ro-MD"/>
        </w:rPr>
        <w:t>на списание</w:t>
      </w:r>
      <w:r w:rsidR="0039787E" w:rsidRPr="00B13B9A">
        <w:rPr>
          <w:rFonts w:asciiTheme="majorHAnsi" w:hAnsiTheme="majorHAnsi" w:cstheme="majorHAnsi"/>
          <w:sz w:val="24"/>
          <w:szCs w:val="24"/>
          <w:lang w:val="ro-MD"/>
        </w:rPr>
        <w:t>.</w:t>
      </w:r>
    </w:p>
    <w:p w14:paraId="6050B425" w14:textId="7B5E7AA4" w:rsidR="0045040C" w:rsidRPr="0045040C" w:rsidRDefault="0045040C" w:rsidP="0045040C">
      <w:pPr>
        <w:shd w:val="clear" w:color="auto" w:fill="FFFFFF" w:themeFill="background1"/>
        <w:jc w:val="both"/>
        <w:rPr>
          <w:rFonts w:asciiTheme="majorHAnsi" w:hAnsiTheme="majorHAnsi" w:cstheme="majorHAnsi"/>
          <w:sz w:val="24"/>
          <w:szCs w:val="24"/>
          <w:lang w:val="ro-MD"/>
        </w:rPr>
      </w:pPr>
      <w:r w:rsidRPr="0045040C">
        <w:rPr>
          <w:rFonts w:asciiTheme="majorHAnsi" w:hAnsiTheme="majorHAnsi" w:cstheme="majorHAnsi"/>
          <w:sz w:val="24"/>
          <w:szCs w:val="24"/>
          <w:lang w:val="ro-MD"/>
        </w:rPr>
        <w:t xml:space="preserve">Также в </w:t>
      </w:r>
      <w:r w:rsidR="00194C5B">
        <w:rPr>
          <w:rFonts w:asciiTheme="majorHAnsi" w:hAnsiTheme="majorHAnsi" w:cstheme="majorHAnsi"/>
          <w:sz w:val="24"/>
          <w:szCs w:val="24"/>
          <w:lang w:val="ru-RU"/>
        </w:rPr>
        <w:t xml:space="preserve">рамках </w:t>
      </w:r>
      <w:r w:rsidRPr="0045040C">
        <w:rPr>
          <w:rFonts w:asciiTheme="majorHAnsi" w:hAnsiTheme="majorHAnsi" w:cstheme="majorHAnsi"/>
          <w:sz w:val="24"/>
          <w:szCs w:val="24"/>
          <w:lang w:val="ro-MD"/>
        </w:rPr>
        <w:t xml:space="preserve">Национальной </w:t>
      </w:r>
      <w:r w:rsidR="00194C5B">
        <w:rPr>
          <w:rFonts w:asciiTheme="majorHAnsi" w:hAnsiTheme="majorHAnsi" w:cstheme="majorHAnsi"/>
          <w:sz w:val="24"/>
          <w:szCs w:val="24"/>
          <w:lang w:val="ru-RU"/>
        </w:rPr>
        <w:t>референс</w:t>
      </w:r>
      <w:r w:rsidRPr="0045040C">
        <w:rPr>
          <w:rFonts w:asciiTheme="majorHAnsi" w:hAnsiTheme="majorHAnsi" w:cstheme="majorHAnsi"/>
          <w:sz w:val="24"/>
          <w:szCs w:val="24"/>
          <w:lang w:val="ro-MD"/>
        </w:rPr>
        <w:t xml:space="preserve"> лаборатории была </w:t>
      </w:r>
      <w:r w:rsidR="00194C5B">
        <w:rPr>
          <w:rFonts w:asciiTheme="majorHAnsi" w:hAnsiTheme="majorHAnsi" w:cstheme="majorHAnsi"/>
          <w:sz w:val="24"/>
          <w:szCs w:val="24"/>
          <w:lang w:val="ru-RU"/>
        </w:rPr>
        <w:t>идентифицирова</w:t>
      </w:r>
      <w:r w:rsidRPr="0045040C">
        <w:rPr>
          <w:rFonts w:asciiTheme="majorHAnsi" w:hAnsiTheme="majorHAnsi" w:cstheme="majorHAnsi"/>
          <w:sz w:val="24"/>
          <w:szCs w:val="24"/>
          <w:lang w:val="ro-MD"/>
        </w:rPr>
        <w:t xml:space="preserve">на центрифуга </w:t>
      </w:r>
      <w:r w:rsidR="00194C5B" w:rsidRPr="00B13B9A">
        <w:rPr>
          <w:rFonts w:asciiTheme="majorHAnsi" w:hAnsiTheme="majorHAnsi" w:cstheme="majorHAnsi"/>
          <w:sz w:val="24"/>
          <w:szCs w:val="24"/>
          <w:lang w:val="ro-MD"/>
        </w:rPr>
        <w:t>Eppendorf</w:t>
      </w:r>
      <w:r w:rsidRPr="0045040C">
        <w:rPr>
          <w:rFonts w:asciiTheme="majorHAnsi" w:hAnsiTheme="majorHAnsi" w:cstheme="majorHAnsi"/>
          <w:sz w:val="24"/>
          <w:szCs w:val="24"/>
          <w:lang w:val="ro-MD"/>
        </w:rPr>
        <w:t xml:space="preserve"> стоимостью 111,1 тыс. леев, введенная в эксплуатацию в 2003 году, которая, хотя и </w:t>
      </w:r>
      <w:r w:rsidR="00194C5B">
        <w:rPr>
          <w:rFonts w:asciiTheme="majorHAnsi" w:hAnsiTheme="majorHAnsi" w:cstheme="majorHAnsi"/>
          <w:sz w:val="24"/>
          <w:szCs w:val="24"/>
          <w:lang w:val="ru-RU"/>
        </w:rPr>
        <w:t>является нефункциональной</w:t>
      </w:r>
      <w:r w:rsidRPr="0045040C">
        <w:rPr>
          <w:rFonts w:asciiTheme="majorHAnsi" w:hAnsiTheme="majorHAnsi" w:cstheme="majorHAnsi"/>
          <w:sz w:val="24"/>
          <w:szCs w:val="24"/>
          <w:lang w:val="ro-MD"/>
        </w:rPr>
        <w:t xml:space="preserve"> с 2009 года </w:t>
      </w:r>
      <w:r w:rsidR="00194C5B">
        <w:rPr>
          <w:rFonts w:asciiTheme="majorHAnsi" w:hAnsiTheme="majorHAnsi" w:cstheme="majorHAnsi"/>
          <w:sz w:val="24"/>
          <w:szCs w:val="24"/>
          <w:lang w:val="ru-RU"/>
        </w:rPr>
        <w:t>согласно</w:t>
      </w:r>
      <w:r w:rsidRPr="0045040C">
        <w:rPr>
          <w:rFonts w:asciiTheme="majorHAnsi" w:hAnsiTheme="majorHAnsi" w:cstheme="majorHAnsi"/>
          <w:sz w:val="24"/>
          <w:szCs w:val="24"/>
          <w:lang w:val="ro-MD"/>
        </w:rPr>
        <w:t xml:space="preserve"> техническо</w:t>
      </w:r>
      <w:r w:rsidR="00194C5B">
        <w:rPr>
          <w:rFonts w:asciiTheme="majorHAnsi" w:hAnsiTheme="majorHAnsi" w:cstheme="majorHAnsi"/>
          <w:sz w:val="24"/>
          <w:szCs w:val="24"/>
          <w:lang w:val="ru-RU"/>
        </w:rPr>
        <w:t>й</w:t>
      </w:r>
      <w:r w:rsidRPr="0045040C">
        <w:rPr>
          <w:rFonts w:asciiTheme="majorHAnsi" w:hAnsiTheme="majorHAnsi" w:cstheme="majorHAnsi"/>
          <w:sz w:val="24"/>
          <w:szCs w:val="24"/>
          <w:lang w:val="ro-MD"/>
        </w:rPr>
        <w:t xml:space="preserve"> </w:t>
      </w:r>
      <w:r w:rsidR="00194C5B">
        <w:rPr>
          <w:rFonts w:asciiTheme="majorHAnsi" w:hAnsiTheme="majorHAnsi" w:cstheme="majorHAnsi"/>
          <w:sz w:val="24"/>
          <w:szCs w:val="24"/>
          <w:lang w:val="ru-RU"/>
        </w:rPr>
        <w:t>справке</w:t>
      </w:r>
      <w:r w:rsidRPr="0045040C">
        <w:rPr>
          <w:rFonts w:asciiTheme="majorHAnsi" w:hAnsiTheme="majorHAnsi" w:cstheme="majorHAnsi"/>
          <w:sz w:val="24"/>
          <w:szCs w:val="24"/>
          <w:lang w:val="ro-MD"/>
        </w:rPr>
        <w:t xml:space="preserve">, </w:t>
      </w:r>
      <w:r w:rsidR="00194C5B">
        <w:rPr>
          <w:rFonts w:asciiTheme="majorHAnsi" w:hAnsiTheme="majorHAnsi" w:cstheme="majorHAnsi"/>
          <w:sz w:val="24"/>
          <w:szCs w:val="24"/>
          <w:lang w:val="ru-RU"/>
        </w:rPr>
        <w:t>продолжает</w:t>
      </w:r>
      <w:r w:rsidRPr="0045040C">
        <w:rPr>
          <w:rFonts w:asciiTheme="majorHAnsi" w:hAnsiTheme="majorHAnsi" w:cstheme="majorHAnsi"/>
          <w:sz w:val="24"/>
          <w:szCs w:val="24"/>
          <w:lang w:val="ro-MD"/>
        </w:rPr>
        <w:t xml:space="preserve"> </w:t>
      </w:r>
      <w:r w:rsidR="00194C5B">
        <w:rPr>
          <w:rFonts w:asciiTheme="majorHAnsi" w:hAnsiTheme="majorHAnsi" w:cstheme="majorHAnsi"/>
          <w:sz w:val="24"/>
          <w:szCs w:val="24"/>
          <w:lang w:val="ru-RU"/>
        </w:rPr>
        <w:t>храниться</w:t>
      </w:r>
      <w:r w:rsidRPr="0045040C">
        <w:rPr>
          <w:rFonts w:asciiTheme="majorHAnsi" w:hAnsiTheme="majorHAnsi" w:cstheme="majorHAnsi"/>
          <w:sz w:val="24"/>
          <w:szCs w:val="24"/>
          <w:lang w:val="ro-MD"/>
        </w:rPr>
        <w:t xml:space="preserve"> в отделении и </w:t>
      </w:r>
      <w:r w:rsidR="00194C5B">
        <w:rPr>
          <w:rFonts w:asciiTheme="majorHAnsi" w:hAnsiTheme="majorHAnsi" w:cstheme="majorHAnsi"/>
          <w:sz w:val="24"/>
          <w:szCs w:val="24"/>
          <w:lang w:val="ru-RU"/>
        </w:rPr>
        <w:t>отражается в учете</w:t>
      </w:r>
      <w:r w:rsidRPr="0045040C">
        <w:rPr>
          <w:rFonts w:asciiTheme="majorHAnsi" w:hAnsiTheme="majorHAnsi" w:cstheme="majorHAnsi"/>
          <w:sz w:val="24"/>
          <w:szCs w:val="24"/>
          <w:lang w:val="ro-MD"/>
        </w:rPr>
        <w:t xml:space="preserve"> до настоящего времени.</w:t>
      </w:r>
    </w:p>
    <w:p w14:paraId="3BF4F77C" w14:textId="74B3FA28" w:rsidR="0039787E" w:rsidRPr="00194C5B" w:rsidRDefault="00194C5B" w:rsidP="0039787E">
      <w:pPr>
        <w:shd w:val="clear" w:color="auto" w:fill="FFFFFF" w:themeFill="background1"/>
        <w:jc w:val="both"/>
        <w:rPr>
          <w:rFonts w:asciiTheme="majorHAnsi" w:hAnsiTheme="majorHAnsi" w:cstheme="majorHAnsi"/>
          <w:sz w:val="24"/>
          <w:szCs w:val="24"/>
          <w:lang w:val="ru-RU"/>
        </w:rPr>
      </w:pPr>
      <w:r>
        <w:rPr>
          <w:rFonts w:asciiTheme="majorHAnsi" w:hAnsiTheme="majorHAnsi" w:cstheme="majorHAnsi"/>
          <w:sz w:val="24"/>
          <w:szCs w:val="24"/>
          <w:lang w:val="ru-RU"/>
        </w:rPr>
        <w:t>Согласно объяснениям</w:t>
      </w:r>
      <w:r w:rsidR="0045040C" w:rsidRPr="0045040C">
        <w:rPr>
          <w:rFonts w:asciiTheme="majorHAnsi" w:hAnsiTheme="majorHAnsi" w:cstheme="majorHAnsi"/>
          <w:sz w:val="24"/>
          <w:szCs w:val="24"/>
          <w:lang w:val="ro-MD"/>
        </w:rPr>
        <w:t xml:space="preserve"> ответственного лица</w:t>
      </w:r>
      <w:r>
        <w:rPr>
          <w:rFonts w:asciiTheme="majorHAnsi" w:hAnsiTheme="majorHAnsi" w:cstheme="majorHAnsi"/>
          <w:sz w:val="24"/>
          <w:szCs w:val="24"/>
          <w:lang w:val="ru-RU"/>
        </w:rPr>
        <w:t>,</w:t>
      </w:r>
      <w:r w:rsidR="0045040C" w:rsidRPr="0045040C">
        <w:rPr>
          <w:rFonts w:asciiTheme="majorHAnsi" w:hAnsiTheme="majorHAnsi" w:cstheme="majorHAnsi"/>
          <w:sz w:val="24"/>
          <w:szCs w:val="24"/>
          <w:lang w:val="ro-MD"/>
        </w:rPr>
        <w:t xml:space="preserve"> </w:t>
      </w:r>
      <w:r w:rsidR="00F27552">
        <w:rPr>
          <w:rFonts w:asciiTheme="majorHAnsi" w:hAnsiTheme="majorHAnsi" w:cstheme="majorHAnsi"/>
          <w:sz w:val="24"/>
          <w:szCs w:val="24"/>
          <w:lang w:val="ro-MD"/>
        </w:rPr>
        <w:t>субъект</w:t>
      </w:r>
      <w:r w:rsidR="0045040C" w:rsidRPr="0045040C">
        <w:rPr>
          <w:rFonts w:asciiTheme="majorHAnsi" w:hAnsiTheme="majorHAnsi" w:cstheme="majorHAnsi"/>
          <w:sz w:val="24"/>
          <w:szCs w:val="24"/>
          <w:lang w:val="ro-MD"/>
        </w:rPr>
        <w:t xml:space="preserve"> составит дополнительный список изношенных/</w:t>
      </w:r>
      <w:r>
        <w:rPr>
          <w:rFonts w:asciiTheme="majorHAnsi" w:hAnsiTheme="majorHAnsi" w:cstheme="majorHAnsi"/>
          <w:sz w:val="24"/>
          <w:szCs w:val="24"/>
          <w:lang w:val="ru-RU"/>
        </w:rPr>
        <w:t>вышедших из строя</w:t>
      </w:r>
      <w:r w:rsidR="0045040C" w:rsidRPr="0045040C">
        <w:rPr>
          <w:rFonts w:asciiTheme="majorHAnsi" w:hAnsiTheme="majorHAnsi" w:cstheme="majorHAnsi"/>
          <w:sz w:val="24"/>
          <w:szCs w:val="24"/>
          <w:lang w:val="ro-MD"/>
        </w:rPr>
        <w:t xml:space="preserve">/нефункциональных медицинских устройств, хранящихся в </w:t>
      </w:r>
      <w:r>
        <w:rPr>
          <w:rFonts w:asciiTheme="majorHAnsi" w:hAnsiTheme="majorHAnsi" w:cstheme="majorHAnsi"/>
          <w:sz w:val="24"/>
          <w:szCs w:val="24"/>
          <w:lang w:val="ru-RU"/>
        </w:rPr>
        <w:t>отделения</w:t>
      </w:r>
      <w:r w:rsidR="0045040C" w:rsidRPr="0045040C">
        <w:rPr>
          <w:rFonts w:asciiTheme="majorHAnsi" w:hAnsiTheme="majorHAnsi" w:cstheme="majorHAnsi"/>
          <w:sz w:val="24"/>
          <w:szCs w:val="24"/>
          <w:lang w:val="ro-MD"/>
        </w:rPr>
        <w:t xml:space="preserve">х, которые будут переданы на </w:t>
      </w:r>
      <w:r>
        <w:rPr>
          <w:rFonts w:asciiTheme="majorHAnsi" w:hAnsiTheme="majorHAnsi" w:cstheme="majorHAnsi"/>
          <w:sz w:val="24"/>
          <w:szCs w:val="24"/>
          <w:lang w:val="ru-RU"/>
        </w:rPr>
        <w:t>списание,</w:t>
      </w:r>
      <w:r w:rsidR="0045040C" w:rsidRPr="0045040C">
        <w:rPr>
          <w:rFonts w:asciiTheme="majorHAnsi" w:hAnsiTheme="majorHAnsi" w:cstheme="majorHAnsi"/>
          <w:sz w:val="24"/>
          <w:szCs w:val="24"/>
          <w:lang w:val="ro-MD"/>
        </w:rPr>
        <w:t xml:space="preserve"> с целью </w:t>
      </w:r>
      <w:r w:rsidRPr="0045040C">
        <w:rPr>
          <w:rFonts w:asciiTheme="majorHAnsi" w:hAnsiTheme="majorHAnsi" w:cstheme="majorHAnsi"/>
          <w:sz w:val="24"/>
          <w:szCs w:val="24"/>
          <w:lang w:val="ro-MD"/>
        </w:rPr>
        <w:t xml:space="preserve">их </w:t>
      </w:r>
      <w:r w:rsidR="0045040C" w:rsidRPr="0045040C">
        <w:rPr>
          <w:rFonts w:asciiTheme="majorHAnsi" w:hAnsiTheme="majorHAnsi" w:cstheme="majorHAnsi"/>
          <w:sz w:val="24"/>
          <w:szCs w:val="24"/>
          <w:lang w:val="ro-MD"/>
        </w:rPr>
        <w:t xml:space="preserve">исключения из </w:t>
      </w:r>
      <w:r>
        <w:rPr>
          <w:rFonts w:asciiTheme="majorHAnsi" w:hAnsiTheme="majorHAnsi" w:cstheme="majorHAnsi"/>
          <w:sz w:val="24"/>
          <w:szCs w:val="24"/>
          <w:lang w:val="ru-RU"/>
        </w:rPr>
        <w:t>учета</w:t>
      </w:r>
      <w:r w:rsidR="0045040C" w:rsidRPr="0045040C">
        <w:rPr>
          <w:rFonts w:asciiTheme="majorHAnsi" w:hAnsiTheme="majorHAnsi" w:cstheme="majorHAnsi"/>
          <w:sz w:val="24"/>
          <w:szCs w:val="24"/>
          <w:lang w:val="ro-MD"/>
        </w:rPr>
        <w:t xml:space="preserve">, что </w:t>
      </w:r>
      <w:r>
        <w:rPr>
          <w:rFonts w:asciiTheme="majorHAnsi" w:hAnsiTheme="majorHAnsi" w:cstheme="majorHAnsi"/>
          <w:sz w:val="24"/>
          <w:szCs w:val="24"/>
          <w:lang w:val="ru-RU"/>
        </w:rPr>
        <w:t xml:space="preserve">обеспечит </w:t>
      </w:r>
      <w:r w:rsidR="0045040C" w:rsidRPr="0045040C">
        <w:rPr>
          <w:rFonts w:asciiTheme="majorHAnsi" w:hAnsiTheme="majorHAnsi" w:cstheme="majorHAnsi"/>
          <w:sz w:val="24"/>
          <w:szCs w:val="24"/>
          <w:lang w:val="ro-MD"/>
        </w:rPr>
        <w:t>реальную информацию</w:t>
      </w:r>
      <w:r w:rsidR="0039787E" w:rsidRPr="00B13B9A">
        <w:rPr>
          <w:rFonts w:asciiTheme="majorHAnsi" w:hAnsiTheme="majorHAnsi" w:cstheme="majorHAnsi"/>
          <w:sz w:val="24"/>
          <w:szCs w:val="24"/>
          <w:lang w:val="ro-MD"/>
        </w:rPr>
        <w:t>.</w:t>
      </w:r>
    </w:p>
    <w:p w14:paraId="3FC727A3" w14:textId="1D290B4C" w:rsidR="0039787E" w:rsidRPr="00B13B9A" w:rsidRDefault="0045040C" w:rsidP="0039787E">
      <w:pPr>
        <w:shd w:val="clear" w:color="auto" w:fill="FFFFFF" w:themeFill="background1"/>
        <w:jc w:val="both"/>
        <w:rPr>
          <w:rFonts w:asciiTheme="majorHAnsi" w:hAnsiTheme="majorHAnsi" w:cstheme="majorHAnsi"/>
          <w:sz w:val="24"/>
          <w:szCs w:val="24"/>
          <w:lang w:val="ro-MD"/>
        </w:rPr>
      </w:pPr>
      <w:r w:rsidRPr="0045040C">
        <w:rPr>
          <w:rFonts w:asciiTheme="majorHAnsi" w:hAnsiTheme="majorHAnsi" w:cstheme="majorHAnsi"/>
          <w:sz w:val="24"/>
          <w:szCs w:val="24"/>
          <w:lang w:val="ro-MD"/>
        </w:rPr>
        <w:t xml:space="preserve">Таким образом, </w:t>
      </w:r>
      <w:r w:rsidR="00194C5B">
        <w:rPr>
          <w:rFonts w:asciiTheme="majorHAnsi" w:hAnsiTheme="majorHAnsi" w:cstheme="majorHAnsi"/>
          <w:sz w:val="24"/>
          <w:szCs w:val="24"/>
          <w:lang w:val="ru-RU"/>
        </w:rPr>
        <w:t xml:space="preserve">отражение в </w:t>
      </w:r>
      <w:r w:rsidRPr="0045040C">
        <w:rPr>
          <w:rFonts w:asciiTheme="majorHAnsi" w:hAnsiTheme="majorHAnsi" w:cstheme="majorHAnsi"/>
          <w:sz w:val="24"/>
          <w:szCs w:val="24"/>
          <w:lang w:val="ro-MD"/>
        </w:rPr>
        <w:t>учет</w:t>
      </w:r>
      <w:r w:rsidR="00194C5B">
        <w:rPr>
          <w:rFonts w:asciiTheme="majorHAnsi" w:hAnsiTheme="majorHAnsi" w:cstheme="majorHAnsi"/>
          <w:sz w:val="24"/>
          <w:szCs w:val="24"/>
          <w:lang w:val="ru-RU"/>
        </w:rPr>
        <w:t>е</w:t>
      </w:r>
      <w:r w:rsidRPr="0045040C">
        <w:rPr>
          <w:rFonts w:asciiTheme="majorHAnsi" w:hAnsiTheme="majorHAnsi" w:cstheme="majorHAnsi"/>
          <w:sz w:val="24"/>
          <w:szCs w:val="24"/>
          <w:lang w:val="ro-MD"/>
        </w:rPr>
        <w:t xml:space="preserve"> медицинского оборудования </w:t>
      </w:r>
      <w:r w:rsidR="00194C5B">
        <w:rPr>
          <w:rFonts w:asciiTheme="majorHAnsi" w:hAnsiTheme="majorHAnsi" w:cstheme="majorHAnsi"/>
          <w:sz w:val="24"/>
          <w:szCs w:val="24"/>
          <w:lang w:val="ru-RU"/>
        </w:rPr>
        <w:t>на сумму</w:t>
      </w:r>
      <w:r w:rsidRPr="0045040C">
        <w:rPr>
          <w:rFonts w:asciiTheme="majorHAnsi" w:hAnsiTheme="majorHAnsi" w:cstheme="majorHAnsi"/>
          <w:sz w:val="24"/>
          <w:szCs w:val="24"/>
          <w:lang w:val="ro-MD"/>
        </w:rPr>
        <w:t xml:space="preserve"> 3 650,1 тыс. леев, находящегося в нефункциональном/изношенном состоянии, необоснованно увеличивает остаток </w:t>
      </w:r>
      <w:r w:rsidR="00194C5B">
        <w:rPr>
          <w:rFonts w:asciiTheme="majorHAnsi" w:hAnsiTheme="majorHAnsi" w:cstheme="majorHAnsi"/>
          <w:sz w:val="24"/>
          <w:szCs w:val="24"/>
          <w:lang w:val="ru-RU"/>
        </w:rPr>
        <w:t>отраж</w:t>
      </w:r>
      <w:r w:rsidR="00194C5B">
        <w:rPr>
          <w:rFonts w:asciiTheme="majorHAnsi" w:hAnsiTheme="majorHAnsi" w:cstheme="majorHAnsi"/>
          <w:sz w:val="24"/>
          <w:szCs w:val="24"/>
          <w:lang w:val="ro-MD"/>
        </w:rPr>
        <w:t>аемых основных средств</w:t>
      </w:r>
      <w:r w:rsidR="0039787E" w:rsidRPr="00B13B9A">
        <w:rPr>
          <w:rFonts w:asciiTheme="majorHAnsi" w:hAnsiTheme="majorHAnsi" w:cstheme="majorHAnsi"/>
          <w:sz w:val="24"/>
          <w:szCs w:val="24"/>
          <w:lang w:val="ro-MD"/>
        </w:rPr>
        <w:t>.</w:t>
      </w:r>
    </w:p>
    <w:p w14:paraId="56487F04" w14:textId="4CF0F495" w:rsidR="007619BC" w:rsidRPr="00B13B9A" w:rsidRDefault="0045040C" w:rsidP="00644080">
      <w:pPr>
        <w:pStyle w:val="a7"/>
        <w:numPr>
          <w:ilvl w:val="2"/>
          <w:numId w:val="10"/>
        </w:numPr>
        <w:shd w:val="clear" w:color="auto" w:fill="FFFFFF" w:themeFill="background1"/>
        <w:tabs>
          <w:tab w:val="left" w:pos="900"/>
          <w:tab w:val="left" w:pos="1080"/>
        </w:tabs>
        <w:spacing w:line="276" w:lineRule="auto"/>
        <w:ind w:left="0" w:firstLine="284"/>
        <w:jc w:val="both"/>
        <w:outlineLvl w:val="2"/>
        <w:rPr>
          <w:rFonts w:asciiTheme="majorHAnsi" w:hAnsiTheme="majorHAnsi" w:cstheme="majorHAnsi"/>
          <w:b/>
          <w:sz w:val="24"/>
          <w:szCs w:val="24"/>
          <w:lang w:val="ro-MD"/>
        </w:rPr>
      </w:pPr>
      <w:bookmarkStart w:id="30" w:name="_Toc158317236"/>
      <w:r w:rsidRPr="0045040C">
        <w:rPr>
          <w:rFonts w:asciiTheme="majorHAnsi" w:hAnsiTheme="majorHAnsi" w:cstheme="majorHAnsi"/>
          <w:b/>
          <w:sz w:val="24"/>
          <w:szCs w:val="24"/>
          <w:lang w:val="ro-MD"/>
        </w:rPr>
        <w:t>Некоторые медицинские приборы, введенные в эксплуатацию, не под</w:t>
      </w:r>
      <w:r w:rsidR="00262B24" w:rsidRPr="00262B24">
        <w:rPr>
          <w:rFonts w:asciiTheme="majorHAnsi" w:hAnsiTheme="majorHAnsi" w:cstheme="majorHAnsi"/>
          <w:b/>
          <w:sz w:val="24"/>
          <w:szCs w:val="24"/>
          <w:lang w:val="ro-MD"/>
        </w:rPr>
        <w:t>вергались</w:t>
      </w:r>
      <w:r w:rsidRPr="0045040C">
        <w:rPr>
          <w:rFonts w:asciiTheme="majorHAnsi" w:hAnsiTheme="majorHAnsi" w:cstheme="majorHAnsi"/>
          <w:b/>
          <w:sz w:val="24"/>
          <w:szCs w:val="24"/>
          <w:lang w:val="ro-MD"/>
        </w:rPr>
        <w:t xml:space="preserve"> обязательной периодической проверке</w:t>
      </w:r>
      <w:r w:rsidR="00262B24" w:rsidRPr="00262B24">
        <w:rPr>
          <w:rFonts w:asciiTheme="majorHAnsi" w:hAnsiTheme="majorHAnsi" w:cstheme="majorHAnsi"/>
          <w:b/>
          <w:sz w:val="24"/>
          <w:szCs w:val="24"/>
          <w:lang w:val="ro-MD"/>
        </w:rPr>
        <w:t>,</w:t>
      </w:r>
      <w:r w:rsidRPr="0045040C">
        <w:rPr>
          <w:rFonts w:asciiTheme="majorHAnsi" w:hAnsiTheme="majorHAnsi" w:cstheme="majorHAnsi"/>
          <w:b/>
          <w:sz w:val="24"/>
          <w:szCs w:val="24"/>
          <w:lang w:val="ro-MD"/>
        </w:rPr>
        <w:t xml:space="preserve"> и использовались в </w:t>
      </w:r>
      <w:r w:rsidR="00262B24" w:rsidRPr="00262B24">
        <w:rPr>
          <w:rFonts w:asciiTheme="majorHAnsi" w:hAnsiTheme="majorHAnsi" w:cstheme="majorHAnsi"/>
          <w:b/>
          <w:sz w:val="24"/>
          <w:szCs w:val="24"/>
          <w:lang w:val="ro-MD"/>
        </w:rPr>
        <w:t>работе</w:t>
      </w:r>
      <w:r w:rsidR="007619BC" w:rsidRPr="00B13B9A">
        <w:rPr>
          <w:rFonts w:asciiTheme="majorHAnsi" w:hAnsiTheme="majorHAnsi" w:cstheme="majorHAnsi"/>
          <w:b/>
          <w:sz w:val="24"/>
          <w:szCs w:val="24"/>
          <w:lang w:val="ro-MD"/>
        </w:rPr>
        <w:t>.</w:t>
      </w:r>
      <w:bookmarkEnd w:id="30"/>
    </w:p>
    <w:p w14:paraId="363D9E63" w14:textId="68B7D85A" w:rsidR="00E20A1C" w:rsidRDefault="0045040C" w:rsidP="007619BC">
      <w:pPr>
        <w:shd w:val="clear" w:color="auto" w:fill="FFFFFF" w:themeFill="background1"/>
        <w:spacing w:line="276" w:lineRule="auto"/>
        <w:jc w:val="both"/>
        <w:rPr>
          <w:rFonts w:asciiTheme="majorHAnsi" w:hAnsiTheme="majorHAnsi" w:cstheme="majorHAnsi"/>
          <w:sz w:val="24"/>
          <w:szCs w:val="24"/>
          <w:lang w:val="ro-MD"/>
        </w:rPr>
      </w:pPr>
      <w:r w:rsidRPr="0045040C">
        <w:rPr>
          <w:rFonts w:asciiTheme="majorHAnsi" w:hAnsiTheme="majorHAnsi" w:cstheme="majorHAnsi"/>
          <w:sz w:val="24"/>
          <w:szCs w:val="24"/>
          <w:lang w:val="ro-MD"/>
        </w:rPr>
        <w:t>Регулярная проверка введенного в эксплуатацию и используемого</w:t>
      </w:r>
      <w:r w:rsidR="00262B24" w:rsidRPr="00262B24">
        <w:rPr>
          <w:rFonts w:asciiTheme="majorHAnsi" w:hAnsiTheme="majorHAnsi" w:cstheme="majorHAnsi"/>
          <w:sz w:val="24"/>
          <w:szCs w:val="24"/>
          <w:lang w:val="ro-MD"/>
        </w:rPr>
        <w:t xml:space="preserve"> </w:t>
      </w:r>
      <w:r w:rsidR="00262B24">
        <w:rPr>
          <w:rFonts w:asciiTheme="majorHAnsi" w:hAnsiTheme="majorHAnsi" w:cstheme="majorHAnsi"/>
          <w:sz w:val="24"/>
          <w:szCs w:val="24"/>
          <w:lang w:val="ro-MD"/>
        </w:rPr>
        <w:t>медицинского оборудования</w:t>
      </w:r>
      <w:r w:rsidRPr="0045040C">
        <w:rPr>
          <w:rFonts w:asciiTheme="majorHAnsi" w:hAnsiTheme="majorHAnsi" w:cstheme="majorHAnsi"/>
          <w:sz w:val="24"/>
          <w:szCs w:val="24"/>
          <w:lang w:val="ro-MD"/>
        </w:rPr>
        <w:t xml:space="preserve"> проводится с целью оценки некоторых характеристик, установленных производителем, путем тестирования параметров безопасности и производительности при предоставлении услуг пациентам. Так, в управлении субъекта были выявлены медицинские приборы, которые проходят такие обязательные периодические проверки. В целях оценки соответствия </w:t>
      </w:r>
      <w:r w:rsidR="00262B24">
        <w:rPr>
          <w:rFonts w:asciiTheme="majorHAnsi" w:hAnsiTheme="majorHAnsi" w:cstheme="majorHAnsi"/>
          <w:sz w:val="24"/>
          <w:szCs w:val="24"/>
          <w:lang w:val="ru-RU"/>
        </w:rPr>
        <w:t xml:space="preserve">в аспекте </w:t>
      </w:r>
      <w:r w:rsidRPr="0045040C">
        <w:rPr>
          <w:rFonts w:asciiTheme="majorHAnsi" w:hAnsiTheme="majorHAnsi" w:cstheme="majorHAnsi"/>
          <w:sz w:val="24"/>
          <w:szCs w:val="24"/>
          <w:lang w:val="ro-MD"/>
        </w:rPr>
        <w:t>обеспечени</w:t>
      </w:r>
      <w:r w:rsidR="00262B24">
        <w:rPr>
          <w:rFonts w:asciiTheme="majorHAnsi" w:hAnsiTheme="majorHAnsi" w:cstheme="majorHAnsi"/>
          <w:sz w:val="24"/>
          <w:szCs w:val="24"/>
          <w:lang w:val="ru-RU"/>
        </w:rPr>
        <w:t>я</w:t>
      </w:r>
      <w:r w:rsidRPr="0045040C">
        <w:rPr>
          <w:rFonts w:asciiTheme="majorHAnsi" w:hAnsiTheme="majorHAnsi" w:cstheme="majorHAnsi"/>
          <w:sz w:val="24"/>
          <w:szCs w:val="24"/>
          <w:lang w:val="ro-MD"/>
        </w:rPr>
        <w:t xml:space="preserve"> периодических проверок оборудования</w:t>
      </w:r>
      <w:r w:rsidR="00262B24">
        <w:rPr>
          <w:rFonts w:asciiTheme="majorHAnsi" w:hAnsiTheme="majorHAnsi" w:cstheme="majorHAnsi"/>
          <w:sz w:val="24"/>
          <w:szCs w:val="24"/>
          <w:lang w:val="ru-RU"/>
        </w:rPr>
        <w:t>,</w:t>
      </w:r>
      <w:r w:rsidRPr="0045040C">
        <w:rPr>
          <w:rFonts w:asciiTheme="majorHAnsi" w:hAnsiTheme="majorHAnsi" w:cstheme="majorHAnsi"/>
          <w:sz w:val="24"/>
          <w:szCs w:val="24"/>
          <w:lang w:val="ro-MD"/>
        </w:rPr>
        <w:t xml:space="preserve"> были запрошены периодические контрольные </w:t>
      </w:r>
      <w:r w:rsidR="00262B24">
        <w:rPr>
          <w:rFonts w:asciiTheme="majorHAnsi" w:hAnsiTheme="majorHAnsi" w:cstheme="majorHAnsi"/>
          <w:sz w:val="24"/>
          <w:szCs w:val="24"/>
          <w:lang w:val="ru-RU"/>
        </w:rPr>
        <w:t>сертификаты</w:t>
      </w:r>
      <w:r w:rsidRPr="0045040C">
        <w:rPr>
          <w:rFonts w:asciiTheme="majorHAnsi" w:hAnsiTheme="majorHAnsi" w:cstheme="majorHAnsi"/>
          <w:sz w:val="24"/>
          <w:szCs w:val="24"/>
          <w:lang w:val="ro-MD"/>
        </w:rPr>
        <w:t xml:space="preserve">, выданные аккредитованными органами </w:t>
      </w:r>
      <w:r w:rsidR="00262B24">
        <w:rPr>
          <w:rFonts w:asciiTheme="majorHAnsi" w:hAnsiTheme="majorHAnsi" w:cstheme="majorHAnsi"/>
          <w:sz w:val="24"/>
          <w:szCs w:val="24"/>
          <w:lang w:val="ru-RU"/>
        </w:rPr>
        <w:t xml:space="preserve">в этой области, </w:t>
      </w:r>
      <w:r w:rsidRPr="0045040C">
        <w:rPr>
          <w:rFonts w:asciiTheme="majorHAnsi" w:hAnsiTheme="majorHAnsi" w:cstheme="majorHAnsi"/>
          <w:sz w:val="24"/>
          <w:szCs w:val="24"/>
          <w:lang w:val="ro-MD"/>
        </w:rPr>
        <w:t>для 22 медицинских устройств. После оценки сертификатов аудит</w:t>
      </w:r>
      <w:r w:rsidR="00262B24" w:rsidRPr="00262B24">
        <w:rPr>
          <w:rFonts w:asciiTheme="majorHAnsi" w:hAnsiTheme="majorHAnsi" w:cstheme="majorHAnsi"/>
          <w:sz w:val="24"/>
          <w:szCs w:val="24"/>
          <w:lang w:val="ro-MD"/>
        </w:rPr>
        <w:t>ом было установлено</w:t>
      </w:r>
      <w:r w:rsidRPr="0045040C">
        <w:rPr>
          <w:rFonts w:asciiTheme="majorHAnsi" w:hAnsiTheme="majorHAnsi" w:cstheme="majorHAnsi"/>
          <w:sz w:val="24"/>
          <w:szCs w:val="24"/>
          <w:lang w:val="ro-MD"/>
        </w:rPr>
        <w:t xml:space="preserve">, что для 7 устройств </w:t>
      </w:r>
      <w:r w:rsidR="00F27552">
        <w:rPr>
          <w:rFonts w:asciiTheme="majorHAnsi" w:hAnsiTheme="majorHAnsi" w:cstheme="majorHAnsi"/>
          <w:sz w:val="24"/>
          <w:szCs w:val="24"/>
          <w:lang w:val="ro-MD"/>
        </w:rPr>
        <w:t>субъект</w:t>
      </w:r>
      <w:r w:rsidRPr="0045040C">
        <w:rPr>
          <w:rFonts w:asciiTheme="majorHAnsi" w:hAnsiTheme="majorHAnsi" w:cstheme="majorHAnsi"/>
          <w:sz w:val="24"/>
          <w:szCs w:val="24"/>
          <w:lang w:val="ro-MD"/>
        </w:rPr>
        <w:t xml:space="preserve"> не обеспечивал процедуры </w:t>
      </w:r>
      <w:r w:rsidR="00262B24" w:rsidRPr="00262B24">
        <w:rPr>
          <w:rFonts w:asciiTheme="majorHAnsi" w:hAnsiTheme="majorHAnsi" w:cstheme="majorHAnsi"/>
          <w:sz w:val="24"/>
          <w:szCs w:val="24"/>
          <w:lang w:val="ro-MD"/>
        </w:rPr>
        <w:t xml:space="preserve">их </w:t>
      </w:r>
      <w:r w:rsidRPr="0045040C">
        <w:rPr>
          <w:rFonts w:asciiTheme="majorHAnsi" w:hAnsiTheme="majorHAnsi" w:cstheme="majorHAnsi"/>
          <w:sz w:val="24"/>
          <w:szCs w:val="24"/>
          <w:lang w:val="ro-MD"/>
        </w:rPr>
        <w:t>периодической проверки аккредитованными органами</w:t>
      </w:r>
      <w:r w:rsidR="00E20A1C" w:rsidRPr="00B13B9A">
        <w:rPr>
          <w:rFonts w:asciiTheme="majorHAnsi" w:hAnsiTheme="majorHAnsi" w:cstheme="majorHAnsi"/>
          <w:sz w:val="24"/>
          <w:szCs w:val="24"/>
          <w:lang w:val="ro-MD"/>
        </w:rPr>
        <w:t>.</w:t>
      </w:r>
    </w:p>
    <w:p w14:paraId="4C84D22B" w14:textId="77777777" w:rsidR="00A477F5" w:rsidRPr="00B13B9A" w:rsidRDefault="00A477F5" w:rsidP="007619BC">
      <w:pPr>
        <w:shd w:val="clear" w:color="auto" w:fill="FFFFFF" w:themeFill="background1"/>
        <w:spacing w:line="276" w:lineRule="auto"/>
        <w:jc w:val="both"/>
        <w:rPr>
          <w:rFonts w:asciiTheme="majorHAnsi" w:hAnsiTheme="majorHAnsi" w:cstheme="majorHAnsi"/>
          <w:sz w:val="24"/>
          <w:szCs w:val="24"/>
          <w:lang w:val="ro-MD"/>
        </w:rPr>
      </w:pPr>
    </w:p>
    <w:p w14:paraId="74F1FEF3" w14:textId="2674AFC8" w:rsidR="00E20A1C" w:rsidRPr="00B13B9A" w:rsidRDefault="00262B24" w:rsidP="00E20A1C">
      <w:pPr>
        <w:rPr>
          <w:rFonts w:asciiTheme="majorHAnsi" w:hAnsiTheme="majorHAnsi" w:cstheme="majorHAnsi"/>
          <w:b/>
          <w:i/>
          <w:color w:val="2E74B5" w:themeColor="accent1" w:themeShade="BF"/>
          <w:sz w:val="24"/>
          <w:u w:val="single"/>
          <w:lang w:val="ro-MD"/>
        </w:rPr>
      </w:pPr>
      <w:r w:rsidRPr="00FA7D6F">
        <w:rPr>
          <w:rFonts w:asciiTheme="majorHAnsi" w:hAnsiTheme="majorHAnsi" w:cstheme="majorHAnsi"/>
          <w:b/>
          <w:i/>
          <w:color w:val="2E74B5" w:themeColor="accent1" w:themeShade="BF"/>
          <w:sz w:val="24"/>
          <w:u w:val="single"/>
          <w:lang w:val="ro-MD"/>
        </w:rPr>
        <w:t>Задача аудита №</w:t>
      </w:r>
      <w:r w:rsidR="00E20A1C" w:rsidRPr="00B13B9A">
        <w:rPr>
          <w:rFonts w:asciiTheme="majorHAnsi" w:hAnsiTheme="majorHAnsi" w:cstheme="majorHAnsi"/>
          <w:b/>
          <w:i/>
          <w:color w:val="2E74B5" w:themeColor="accent1" w:themeShade="BF"/>
          <w:sz w:val="24"/>
          <w:u w:val="single"/>
          <w:lang w:val="ro-MD"/>
        </w:rPr>
        <w:t>2</w:t>
      </w:r>
    </w:p>
    <w:p w14:paraId="02CE98F5" w14:textId="03CD8AF8" w:rsidR="00E20A1C" w:rsidRPr="00B13B9A" w:rsidRDefault="00FA7D6F" w:rsidP="00E20A1C">
      <w:pPr>
        <w:jc w:val="both"/>
        <w:rPr>
          <w:rFonts w:asciiTheme="majorHAnsi" w:hAnsiTheme="majorHAnsi" w:cstheme="majorHAnsi"/>
          <w:b/>
          <w:sz w:val="24"/>
          <w:lang w:val="ro-MD"/>
        </w:rPr>
      </w:pPr>
      <w:r w:rsidRPr="00FA7D6F">
        <w:rPr>
          <w:rFonts w:asciiTheme="majorHAnsi" w:hAnsiTheme="majorHAnsi" w:cstheme="majorHAnsi"/>
          <w:b/>
          <w:color w:val="000000" w:themeColor="text1"/>
          <w:sz w:val="24"/>
          <w:lang w:val="ro-MD"/>
        </w:rPr>
        <w:t xml:space="preserve">Управлялись ли полученные и </w:t>
      </w:r>
      <w:r w:rsidR="00D32634" w:rsidRPr="00D32634">
        <w:rPr>
          <w:rFonts w:asciiTheme="majorHAnsi" w:hAnsiTheme="majorHAnsi" w:cstheme="majorHAnsi"/>
          <w:b/>
          <w:color w:val="000000" w:themeColor="text1"/>
          <w:sz w:val="24"/>
          <w:lang w:val="ro-MD"/>
        </w:rPr>
        <w:t>имею</w:t>
      </w:r>
      <w:r w:rsidRPr="00FA7D6F">
        <w:rPr>
          <w:rFonts w:asciiTheme="majorHAnsi" w:hAnsiTheme="majorHAnsi" w:cstheme="majorHAnsi"/>
          <w:b/>
          <w:color w:val="000000" w:themeColor="text1"/>
          <w:sz w:val="24"/>
          <w:lang w:val="ro-MD"/>
        </w:rPr>
        <w:t>щие</w:t>
      </w:r>
      <w:r w:rsidR="00D32634" w:rsidRPr="00D32634">
        <w:rPr>
          <w:rFonts w:asciiTheme="majorHAnsi" w:hAnsiTheme="majorHAnsi" w:cstheme="majorHAnsi"/>
          <w:b/>
          <w:color w:val="000000" w:themeColor="text1"/>
          <w:sz w:val="24"/>
          <w:lang w:val="ro-MD"/>
        </w:rPr>
        <w:t>ся</w:t>
      </w:r>
      <w:r w:rsidRPr="00FA7D6F">
        <w:rPr>
          <w:rFonts w:asciiTheme="majorHAnsi" w:hAnsiTheme="majorHAnsi" w:cstheme="majorHAnsi"/>
          <w:b/>
          <w:color w:val="000000" w:themeColor="text1"/>
          <w:sz w:val="24"/>
          <w:lang w:val="ro-MD"/>
        </w:rPr>
        <w:t xml:space="preserve"> </w:t>
      </w:r>
      <w:r w:rsidR="00D32634" w:rsidRPr="00FA7D6F">
        <w:rPr>
          <w:rFonts w:asciiTheme="majorHAnsi" w:hAnsiTheme="majorHAnsi" w:cstheme="majorHAnsi"/>
          <w:b/>
          <w:color w:val="000000" w:themeColor="text1"/>
          <w:sz w:val="24"/>
          <w:lang w:val="ro-MD"/>
        </w:rPr>
        <w:t>финансовые ресурсы</w:t>
      </w:r>
      <w:r w:rsidR="00D32634" w:rsidRPr="00D32634">
        <w:rPr>
          <w:rFonts w:asciiTheme="majorHAnsi" w:hAnsiTheme="majorHAnsi" w:cstheme="majorHAnsi"/>
          <w:b/>
          <w:color w:val="000000" w:themeColor="text1"/>
          <w:sz w:val="24"/>
          <w:lang w:val="ro-MD"/>
        </w:rPr>
        <w:t xml:space="preserve"> </w:t>
      </w:r>
      <w:r w:rsidRPr="00FA7D6F">
        <w:rPr>
          <w:rFonts w:asciiTheme="majorHAnsi" w:hAnsiTheme="majorHAnsi" w:cstheme="majorHAnsi"/>
          <w:b/>
          <w:color w:val="000000" w:themeColor="text1"/>
          <w:sz w:val="24"/>
          <w:lang w:val="ro-MD"/>
        </w:rPr>
        <w:t>ПМСУ ИФП</w:t>
      </w:r>
      <w:r w:rsidR="001924A7">
        <w:rPr>
          <w:rFonts w:asciiTheme="majorHAnsi" w:hAnsiTheme="majorHAnsi" w:cstheme="majorHAnsi"/>
          <w:b/>
          <w:color w:val="000000" w:themeColor="text1"/>
          <w:sz w:val="24"/>
          <w:lang w:val="ro-MD"/>
        </w:rPr>
        <w:t xml:space="preserve"> </w:t>
      </w:r>
      <w:r w:rsidRPr="00FA7D6F">
        <w:rPr>
          <w:rFonts w:asciiTheme="majorHAnsi" w:hAnsiTheme="majorHAnsi" w:cstheme="majorHAnsi"/>
          <w:b/>
          <w:color w:val="000000" w:themeColor="text1"/>
          <w:sz w:val="24"/>
          <w:lang w:val="ro-MD"/>
        </w:rPr>
        <w:t xml:space="preserve"> </w:t>
      </w:r>
      <w:r w:rsidR="001924A7" w:rsidRPr="001924A7">
        <w:rPr>
          <w:rFonts w:asciiTheme="majorHAnsi" w:hAnsiTheme="majorHAnsi" w:cstheme="majorHAnsi"/>
          <w:b/>
          <w:sz w:val="24"/>
          <w:szCs w:val="24"/>
          <w:lang w:val="ru-RU"/>
        </w:rPr>
        <w:t>“</w:t>
      </w:r>
      <w:r w:rsidR="001924A7" w:rsidRPr="001924A7">
        <w:rPr>
          <w:rFonts w:asciiTheme="majorHAnsi" w:hAnsiTheme="majorHAnsi" w:cstheme="majorHAnsi"/>
          <w:b/>
          <w:sz w:val="24"/>
          <w:szCs w:val="24"/>
          <w:lang w:val="ru-MD"/>
        </w:rPr>
        <w:t>Кирилл Драганюк”</w:t>
      </w:r>
      <w:r w:rsidR="001924A7" w:rsidRPr="001924A7">
        <w:rPr>
          <w:rFonts w:asciiTheme="majorHAnsi" w:hAnsiTheme="majorHAnsi" w:cstheme="majorHAnsi"/>
          <w:b/>
          <w:sz w:val="24"/>
          <w:szCs w:val="24"/>
          <w:lang w:val="ru-RU"/>
        </w:rPr>
        <w:t xml:space="preserve"> </w:t>
      </w:r>
      <w:r w:rsidRPr="00FA7D6F">
        <w:rPr>
          <w:rFonts w:asciiTheme="majorHAnsi" w:hAnsiTheme="majorHAnsi" w:cstheme="majorHAnsi"/>
          <w:b/>
          <w:color w:val="000000" w:themeColor="text1"/>
          <w:sz w:val="24"/>
          <w:lang w:val="ro-MD"/>
        </w:rPr>
        <w:t xml:space="preserve">надлежащим образом, в соответствии с </w:t>
      </w:r>
      <w:r w:rsidR="00D32634" w:rsidRPr="00D32634">
        <w:rPr>
          <w:rFonts w:asciiTheme="majorHAnsi" w:hAnsiTheme="majorHAnsi" w:cstheme="majorHAnsi"/>
          <w:b/>
          <w:color w:val="000000" w:themeColor="text1"/>
          <w:sz w:val="24"/>
          <w:lang w:val="ro-MD"/>
        </w:rPr>
        <w:t>применяемой законодательной базой</w:t>
      </w:r>
      <w:r w:rsidR="00E20A1C" w:rsidRPr="00B13B9A">
        <w:rPr>
          <w:rFonts w:asciiTheme="majorHAnsi" w:hAnsiTheme="majorHAnsi" w:cstheme="majorHAnsi"/>
          <w:b/>
          <w:sz w:val="24"/>
          <w:lang w:val="ro-MD"/>
        </w:rPr>
        <w:t>?</w:t>
      </w:r>
    </w:p>
    <w:p w14:paraId="4ACE990A" w14:textId="702487A1" w:rsidR="00EF1983" w:rsidRPr="00B13B9A" w:rsidRDefault="00AC3FAC" w:rsidP="00644080">
      <w:pPr>
        <w:pStyle w:val="cn"/>
        <w:numPr>
          <w:ilvl w:val="1"/>
          <w:numId w:val="10"/>
        </w:numPr>
        <w:spacing w:line="276" w:lineRule="auto"/>
        <w:ind w:left="0" w:right="71" w:firstLine="0"/>
        <w:jc w:val="both"/>
        <w:outlineLvl w:val="1"/>
        <w:rPr>
          <w:rFonts w:asciiTheme="majorHAnsi" w:eastAsiaTheme="minorHAnsi" w:hAnsiTheme="majorHAnsi" w:cstheme="majorHAnsi"/>
          <w:b/>
          <w:lang w:val="ro-MD" w:eastAsia="en-US"/>
        </w:rPr>
      </w:pPr>
      <w:bookmarkStart w:id="31" w:name="_Toc158317237"/>
      <w:r w:rsidRPr="00AC3FAC">
        <w:rPr>
          <w:rFonts w:asciiTheme="majorHAnsi" w:eastAsiaTheme="minorHAnsi" w:hAnsiTheme="majorHAnsi" w:cstheme="majorHAnsi"/>
          <w:b/>
          <w:lang w:val="ro-MD" w:eastAsia="en-US"/>
        </w:rPr>
        <w:t xml:space="preserve">Механизмы внутреннего контроля, связанные с использованием финансовых ресурсов, должны быть разработаны, утверждены и укреплены </w:t>
      </w:r>
      <w:r w:rsidR="00644080" w:rsidRPr="00644080">
        <w:rPr>
          <w:rFonts w:asciiTheme="majorHAnsi" w:eastAsiaTheme="minorHAnsi" w:hAnsiTheme="majorHAnsi" w:cstheme="majorHAnsi"/>
          <w:b/>
          <w:lang w:val="ro-MD" w:eastAsia="en-US"/>
        </w:rPr>
        <w:t>для</w:t>
      </w:r>
      <w:r w:rsidRPr="00AC3FAC">
        <w:rPr>
          <w:rFonts w:asciiTheme="majorHAnsi" w:eastAsiaTheme="minorHAnsi" w:hAnsiTheme="majorHAnsi" w:cstheme="majorHAnsi"/>
          <w:b/>
          <w:lang w:val="ro-MD" w:eastAsia="en-US"/>
        </w:rPr>
        <w:t xml:space="preserve"> консолидации и </w:t>
      </w:r>
      <w:r w:rsidR="00644080" w:rsidRPr="00644080">
        <w:rPr>
          <w:rFonts w:asciiTheme="majorHAnsi" w:eastAsiaTheme="minorHAnsi" w:hAnsiTheme="majorHAnsi" w:cstheme="majorHAnsi"/>
          <w:b/>
          <w:lang w:val="ro-MD" w:eastAsia="en-US"/>
        </w:rPr>
        <w:t>надлежащего примене</w:t>
      </w:r>
      <w:r w:rsidRPr="00AC3FAC">
        <w:rPr>
          <w:rFonts w:asciiTheme="majorHAnsi" w:eastAsiaTheme="minorHAnsi" w:hAnsiTheme="majorHAnsi" w:cstheme="majorHAnsi"/>
          <w:b/>
          <w:lang w:val="ro-MD" w:eastAsia="en-US"/>
        </w:rPr>
        <w:t xml:space="preserve">ния норм, регулирующих процессы </w:t>
      </w:r>
      <w:r w:rsidR="00644080" w:rsidRPr="00644080">
        <w:rPr>
          <w:rFonts w:asciiTheme="majorHAnsi" w:eastAsiaTheme="minorHAnsi" w:hAnsiTheme="majorHAnsi" w:cstheme="majorHAnsi"/>
          <w:b/>
          <w:lang w:val="ro-MD" w:eastAsia="en-US"/>
        </w:rPr>
        <w:t>о</w:t>
      </w:r>
      <w:r w:rsidRPr="00AC3FAC">
        <w:rPr>
          <w:rFonts w:asciiTheme="majorHAnsi" w:eastAsiaTheme="minorHAnsi" w:hAnsiTheme="majorHAnsi" w:cstheme="majorHAnsi"/>
          <w:b/>
          <w:lang w:val="ro-MD" w:eastAsia="en-US"/>
        </w:rPr>
        <w:t>платы</w:t>
      </w:r>
      <w:r w:rsidR="00644080" w:rsidRPr="00644080">
        <w:rPr>
          <w:rFonts w:asciiTheme="majorHAnsi" w:eastAsiaTheme="minorHAnsi" w:hAnsiTheme="majorHAnsi" w:cstheme="majorHAnsi"/>
          <w:b/>
          <w:lang w:val="ro-MD" w:eastAsia="en-US"/>
        </w:rPr>
        <w:t xml:space="preserve"> труда</w:t>
      </w:r>
      <w:r w:rsidRPr="00AC3FAC">
        <w:rPr>
          <w:rFonts w:asciiTheme="majorHAnsi" w:eastAsiaTheme="minorHAnsi" w:hAnsiTheme="majorHAnsi" w:cstheme="majorHAnsi"/>
          <w:b/>
          <w:lang w:val="ro-MD" w:eastAsia="en-US"/>
        </w:rPr>
        <w:t>, закупок, п</w:t>
      </w:r>
      <w:r w:rsidR="00644080" w:rsidRPr="00644080">
        <w:rPr>
          <w:rFonts w:asciiTheme="majorHAnsi" w:eastAsiaTheme="minorHAnsi" w:hAnsiTheme="majorHAnsi" w:cstheme="majorHAnsi"/>
          <w:b/>
          <w:lang w:val="ro-MD" w:eastAsia="en-US"/>
        </w:rPr>
        <w:t>итан</w:t>
      </w:r>
      <w:r w:rsidRPr="00AC3FAC">
        <w:rPr>
          <w:rFonts w:asciiTheme="majorHAnsi" w:eastAsiaTheme="minorHAnsi" w:hAnsiTheme="majorHAnsi" w:cstheme="majorHAnsi"/>
          <w:b/>
          <w:lang w:val="ro-MD" w:eastAsia="en-US"/>
        </w:rPr>
        <w:t xml:space="preserve">ия, участвующих в формировании </w:t>
      </w:r>
      <w:r w:rsidR="00644080" w:rsidRPr="00644080">
        <w:rPr>
          <w:rFonts w:asciiTheme="majorHAnsi" w:eastAsiaTheme="minorHAnsi" w:hAnsiTheme="majorHAnsi" w:cstheme="majorHAnsi"/>
          <w:b/>
          <w:lang w:val="ro-MD" w:eastAsia="en-US"/>
        </w:rPr>
        <w:t>цен</w:t>
      </w:r>
      <w:r w:rsidR="00BF45AF" w:rsidRPr="00B13B9A">
        <w:rPr>
          <w:rFonts w:asciiTheme="majorHAnsi" w:eastAsiaTheme="minorHAnsi" w:hAnsiTheme="majorHAnsi" w:cstheme="majorHAnsi"/>
          <w:b/>
          <w:lang w:val="ro-MD" w:eastAsia="en-US"/>
        </w:rPr>
        <w:t>.</w:t>
      </w:r>
      <w:bookmarkEnd w:id="31"/>
    </w:p>
    <w:p w14:paraId="72D1EAA6" w14:textId="25C01AD5" w:rsidR="00E20A1C" w:rsidRPr="00B13B9A" w:rsidRDefault="00AC3FAC" w:rsidP="00EF1983">
      <w:pPr>
        <w:spacing w:before="240" w:after="0" w:line="276" w:lineRule="auto"/>
        <w:jc w:val="both"/>
        <w:rPr>
          <w:rFonts w:asciiTheme="majorHAnsi" w:hAnsiTheme="majorHAnsi" w:cstheme="majorHAnsi"/>
          <w:sz w:val="24"/>
          <w:szCs w:val="24"/>
          <w:lang w:val="ro-MD"/>
        </w:rPr>
      </w:pPr>
      <w:r w:rsidRPr="00706E71">
        <w:rPr>
          <w:rFonts w:asciiTheme="majorHAnsi" w:hAnsiTheme="majorHAnsi" w:cstheme="majorHAnsi"/>
          <w:sz w:val="24"/>
          <w:szCs w:val="24"/>
          <w:lang w:val="ro-MD"/>
        </w:rPr>
        <w:t>На деятельность предприятия влияет нехватка персонала по утвержденным подразделениям, которая в 2023 году (6 месяцев) составила всего 72,4%. Не</w:t>
      </w:r>
      <w:r w:rsidR="00706E71">
        <w:rPr>
          <w:rFonts w:asciiTheme="majorHAnsi" w:hAnsiTheme="majorHAnsi" w:cstheme="majorHAnsi"/>
          <w:sz w:val="24"/>
          <w:szCs w:val="24"/>
          <w:lang w:val="ru-RU"/>
        </w:rPr>
        <w:t>разработка</w:t>
      </w:r>
      <w:r w:rsidRPr="00706E71">
        <w:rPr>
          <w:rFonts w:asciiTheme="majorHAnsi" w:hAnsiTheme="majorHAnsi" w:cstheme="majorHAnsi"/>
          <w:sz w:val="24"/>
          <w:szCs w:val="24"/>
          <w:lang w:val="ro-MD"/>
        </w:rPr>
        <w:t xml:space="preserve"> и неутверждение процессов внутреннего контроля в это</w:t>
      </w:r>
      <w:r w:rsidR="00706E71">
        <w:rPr>
          <w:rFonts w:asciiTheme="majorHAnsi" w:hAnsiTheme="majorHAnsi" w:cstheme="majorHAnsi"/>
          <w:sz w:val="24"/>
          <w:szCs w:val="24"/>
          <w:lang w:val="ru-RU"/>
        </w:rPr>
        <w:t>м</w:t>
      </w:r>
      <w:r w:rsidRPr="00706E71">
        <w:rPr>
          <w:rFonts w:asciiTheme="majorHAnsi" w:hAnsiTheme="majorHAnsi" w:cstheme="majorHAnsi"/>
          <w:sz w:val="24"/>
          <w:szCs w:val="24"/>
          <w:lang w:val="ro-MD"/>
        </w:rPr>
        <w:t xml:space="preserve"> </w:t>
      </w:r>
      <w:r w:rsidR="00706E71">
        <w:rPr>
          <w:rFonts w:asciiTheme="majorHAnsi" w:hAnsiTheme="majorHAnsi" w:cstheme="majorHAnsi"/>
          <w:sz w:val="24"/>
          <w:szCs w:val="24"/>
          <w:lang w:val="ru-RU"/>
        </w:rPr>
        <w:t>отношении</w:t>
      </w:r>
      <w:r w:rsidRPr="00706E71">
        <w:rPr>
          <w:rFonts w:asciiTheme="majorHAnsi" w:hAnsiTheme="majorHAnsi" w:cstheme="majorHAnsi"/>
          <w:sz w:val="24"/>
          <w:szCs w:val="24"/>
          <w:lang w:val="ro-MD"/>
        </w:rPr>
        <w:t>, в которых б</w:t>
      </w:r>
      <w:r w:rsidR="00706E71">
        <w:rPr>
          <w:rFonts w:asciiTheme="majorHAnsi" w:hAnsiTheme="majorHAnsi" w:cstheme="majorHAnsi"/>
          <w:sz w:val="24"/>
          <w:szCs w:val="24"/>
          <w:lang w:val="ru-RU"/>
        </w:rPr>
        <w:t>ыли бы</w:t>
      </w:r>
      <w:r w:rsidRPr="00706E71">
        <w:rPr>
          <w:rFonts w:asciiTheme="majorHAnsi" w:hAnsiTheme="majorHAnsi" w:cstheme="majorHAnsi"/>
          <w:sz w:val="24"/>
          <w:szCs w:val="24"/>
          <w:lang w:val="ro-MD"/>
        </w:rPr>
        <w:t xml:space="preserve"> указаны этапы и лица</w:t>
      </w:r>
      <w:r w:rsidRPr="00AC3FAC">
        <w:rPr>
          <w:rFonts w:asciiTheme="majorHAnsi" w:hAnsiTheme="majorHAnsi" w:cstheme="majorHAnsi"/>
          <w:sz w:val="24"/>
          <w:szCs w:val="24"/>
          <w:lang w:val="ro-MD"/>
        </w:rPr>
        <w:t>, ответственные за выполнение обязанностей по найму</w:t>
      </w:r>
      <w:r w:rsidR="00706E71">
        <w:rPr>
          <w:rFonts w:asciiTheme="majorHAnsi" w:hAnsiTheme="majorHAnsi" w:cstheme="majorHAnsi"/>
          <w:sz w:val="24"/>
          <w:szCs w:val="24"/>
          <w:lang w:val="ru-RU"/>
        </w:rPr>
        <w:t xml:space="preserve"> персонала</w:t>
      </w:r>
      <w:r w:rsidRPr="00AC3FAC">
        <w:rPr>
          <w:rFonts w:asciiTheme="majorHAnsi" w:hAnsiTheme="majorHAnsi" w:cstheme="majorHAnsi"/>
          <w:sz w:val="24"/>
          <w:szCs w:val="24"/>
          <w:lang w:val="ro-MD"/>
        </w:rPr>
        <w:t>, таб</w:t>
      </w:r>
      <w:r w:rsidR="00706E71">
        <w:rPr>
          <w:rFonts w:asciiTheme="majorHAnsi" w:hAnsiTheme="majorHAnsi" w:cstheme="majorHAnsi"/>
          <w:sz w:val="24"/>
          <w:szCs w:val="24"/>
          <w:lang w:val="ru-RU"/>
        </w:rPr>
        <w:t>е</w:t>
      </w:r>
      <w:r w:rsidRPr="00AC3FAC">
        <w:rPr>
          <w:rFonts w:asciiTheme="majorHAnsi" w:hAnsiTheme="majorHAnsi" w:cstheme="majorHAnsi"/>
          <w:sz w:val="24"/>
          <w:szCs w:val="24"/>
          <w:lang w:val="ro-MD"/>
        </w:rPr>
        <w:t>ли</w:t>
      </w:r>
      <w:r w:rsidR="00706E71">
        <w:rPr>
          <w:rFonts w:asciiTheme="majorHAnsi" w:hAnsiTheme="majorHAnsi" w:cstheme="majorHAnsi"/>
          <w:sz w:val="24"/>
          <w:szCs w:val="24"/>
          <w:lang w:val="ru-RU"/>
        </w:rPr>
        <w:t>рованию</w:t>
      </w:r>
      <w:r w:rsidRPr="00AC3FAC">
        <w:rPr>
          <w:rFonts w:asciiTheme="majorHAnsi" w:hAnsiTheme="majorHAnsi" w:cstheme="majorHAnsi"/>
          <w:sz w:val="24"/>
          <w:szCs w:val="24"/>
          <w:lang w:val="ro-MD"/>
        </w:rPr>
        <w:t>, расчету и оплате труда, с у</w:t>
      </w:r>
      <w:r w:rsidR="00706E71">
        <w:rPr>
          <w:rFonts w:asciiTheme="majorHAnsi" w:hAnsiTheme="majorHAnsi" w:cstheme="majorHAnsi"/>
          <w:sz w:val="24"/>
          <w:szCs w:val="24"/>
          <w:lang w:val="ru-RU"/>
        </w:rPr>
        <w:t>становление</w:t>
      </w:r>
      <w:r w:rsidRPr="00AC3FAC">
        <w:rPr>
          <w:rFonts w:asciiTheme="majorHAnsi" w:hAnsiTheme="majorHAnsi" w:cstheme="majorHAnsi"/>
          <w:sz w:val="24"/>
          <w:szCs w:val="24"/>
          <w:lang w:val="ro-MD"/>
        </w:rPr>
        <w:t xml:space="preserve">м конкретных действий по проверке соответствия данных, </w:t>
      </w:r>
      <w:r w:rsidR="00706E71">
        <w:rPr>
          <w:rFonts w:asciiTheme="majorHAnsi" w:hAnsiTheme="majorHAnsi" w:cstheme="majorHAnsi"/>
          <w:sz w:val="24"/>
          <w:szCs w:val="24"/>
          <w:lang w:val="ru-RU"/>
        </w:rPr>
        <w:t>обуслови</w:t>
      </w:r>
      <w:r w:rsidRPr="00AC3FAC">
        <w:rPr>
          <w:rFonts w:asciiTheme="majorHAnsi" w:hAnsiTheme="majorHAnsi" w:cstheme="majorHAnsi"/>
          <w:sz w:val="24"/>
          <w:szCs w:val="24"/>
          <w:lang w:val="ro-MD"/>
        </w:rPr>
        <w:t>ли некоторые несоответствия</w:t>
      </w:r>
      <w:r w:rsidR="00A37B6F" w:rsidRPr="00AC3FAC">
        <w:rPr>
          <w:rFonts w:asciiTheme="majorHAnsi" w:hAnsiTheme="majorHAnsi" w:cstheme="majorHAnsi"/>
          <w:sz w:val="24"/>
          <w:szCs w:val="24"/>
          <w:lang w:val="ro-MD"/>
        </w:rPr>
        <w:t>.</w:t>
      </w:r>
    </w:p>
    <w:p w14:paraId="7A23E739" w14:textId="7ED244D6" w:rsidR="007D147F" w:rsidRPr="00B13B9A" w:rsidRDefault="00AC3FAC" w:rsidP="004B4356">
      <w:pPr>
        <w:spacing w:after="0" w:line="276" w:lineRule="auto"/>
        <w:jc w:val="both"/>
        <w:rPr>
          <w:rFonts w:asciiTheme="majorHAnsi" w:hAnsiTheme="majorHAnsi" w:cstheme="majorHAnsi"/>
          <w:sz w:val="24"/>
          <w:szCs w:val="24"/>
          <w:lang w:val="ro-MD"/>
        </w:rPr>
      </w:pPr>
      <w:r w:rsidRPr="00AC3FAC">
        <w:rPr>
          <w:rFonts w:asciiTheme="majorHAnsi" w:hAnsiTheme="majorHAnsi" w:cstheme="majorHAnsi"/>
          <w:sz w:val="24"/>
          <w:szCs w:val="24"/>
          <w:lang w:val="ro-MD"/>
        </w:rPr>
        <w:t xml:space="preserve">Государственные закупки и процесс </w:t>
      </w:r>
      <w:r w:rsidR="00706E71">
        <w:rPr>
          <w:rFonts w:asciiTheme="majorHAnsi" w:hAnsiTheme="majorHAnsi" w:cstheme="majorHAnsi"/>
          <w:sz w:val="24"/>
          <w:szCs w:val="24"/>
          <w:lang w:val="ru-RU"/>
        </w:rPr>
        <w:t>питания</w:t>
      </w:r>
      <w:r w:rsidRPr="00AC3FAC">
        <w:rPr>
          <w:rFonts w:asciiTheme="majorHAnsi" w:hAnsiTheme="majorHAnsi" w:cstheme="majorHAnsi"/>
          <w:sz w:val="24"/>
          <w:szCs w:val="24"/>
          <w:lang w:val="ro-MD"/>
        </w:rPr>
        <w:t xml:space="preserve"> осуществлялись в основном с соблюдением действующих нормативных актов, при этом их планирование осуществлялось не</w:t>
      </w:r>
      <w:r w:rsidR="00E77520">
        <w:rPr>
          <w:rFonts w:asciiTheme="majorHAnsi" w:hAnsiTheme="majorHAnsi" w:cstheme="majorHAnsi"/>
          <w:sz w:val="24"/>
          <w:szCs w:val="24"/>
          <w:lang w:val="ru-RU"/>
        </w:rPr>
        <w:t>надлежащим образом</w:t>
      </w:r>
      <w:r w:rsidRPr="00AC3FAC">
        <w:rPr>
          <w:rFonts w:asciiTheme="majorHAnsi" w:hAnsiTheme="majorHAnsi" w:cstheme="majorHAnsi"/>
          <w:sz w:val="24"/>
          <w:szCs w:val="24"/>
          <w:lang w:val="ro-MD"/>
        </w:rPr>
        <w:t xml:space="preserve"> и не обеспечивалось </w:t>
      </w:r>
      <w:r w:rsidR="00E77520">
        <w:rPr>
          <w:rFonts w:asciiTheme="majorHAnsi" w:hAnsiTheme="majorHAnsi" w:cstheme="majorHAnsi"/>
          <w:sz w:val="24"/>
          <w:szCs w:val="24"/>
          <w:lang w:val="ru-RU"/>
        </w:rPr>
        <w:t>реальны</w:t>
      </w:r>
      <w:r w:rsidRPr="00AC3FAC">
        <w:rPr>
          <w:rFonts w:asciiTheme="majorHAnsi" w:hAnsiTheme="majorHAnsi" w:cstheme="majorHAnsi"/>
          <w:sz w:val="24"/>
          <w:szCs w:val="24"/>
          <w:lang w:val="ro-MD"/>
        </w:rPr>
        <w:t xml:space="preserve">ми расчетами и информацией о приоритетных потребностях. На этапе оценки плана закупок, потребностей в товарах, работах и услугах </w:t>
      </w:r>
      <w:r w:rsidR="00E77520">
        <w:rPr>
          <w:rFonts w:asciiTheme="majorHAnsi" w:hAnsiTheme="majorHAnsi" w:cstheme="majorHAnsi"/>
          <w:sz w:val="24"/>
          <w:szCs w:val="24"/>
          <w:lang w:val="ru-RU"/>
        </w:rPr>
        <w:t>субъект</w:t>
      </w:r>
      <w:r w:rsidRPr="00AC3FAC">
        <w:rPr>
          <w:rFonts w:asciiTheme="majorHAnsi" w:hAnsiTheme="majorHAnsi" w:cstheme="majorHAnsi"/>
          <w:sz w:val="24"/>
          <w:szCs w:val="24"/>
          <w:lang w:val="ro-MD"/>
        </w:rPr>
        <w:t xml:space="preserve"> не обеспечи</w:t>
      </w:r>
      <w:r w:rsidR="00E77520">
        <w:rPr>
          <w:rFonts w:asciiTheme="majorHAnsi" w:hAnsiTheme="majorHAnsi" w:cstheme="majorHAnsi"/>
          <w:sz w:val="24"/>
          <w:szCs w:val="24"/>
          <w:lang w:val="ru-RU"/>
        </w:rPr>
        <w:t>ва</w:t>
      </w:r>
      <w:r w:rsidRPr="00AC3FAC">
        <w:rPr>
          <w:rFonts w:asciiTheme="majorHAnsi" w:hAnsiTheme="majorHAnsi" w:cstheme="majorHAnsi"/>
          <w:sz w:val="24"/>
          <w:szCs w:val="24"/>
          <w:lang w:val="ro-MD"/>
        </w:rPr>
        <w:t xml:space="preserve">л точное определение потребностей для осуществления государственных закупок в условиях прозрачности и присуждения договоров государственных закупок. Процесс питания также требует </w:t>
      </w:r>
      <w:r w:rsidR="00E77520" w:rsidRPr="00E77520">
        <w:rPr>
          <w:rFonts w:asciiTheme="majorHAnsi" w:hAnsiTheme="majorHAnsi" w:cstheme="majorHAnsi"/>
          <w:sz w:val="24"/>
          <w:szCs w:val="24"/>
          <w:lang w:val="ro-MD"/>
        </w:rPr>
        <w:t>укрепл</w:t>
      </w:r>
      <w:r w:rsidRPr="00AC3FAC">
        <w:rPr>
          <w:rFonts w:asciiTheme="majorHAnsi" w:hAnsiTheme="majorHAnsi" w:cstheme="majorHAnsi"/>
          <w:sz w:val="24"/>
          <w:szCs w:val="24"/>
          <w:lang w:val="ro-MD"/>
        </w:rPr>
        <w:t>ения с целью обеспечения больных туберкулезом повышенным количеством белка</w:t>
      </w:r>
      <w:r w:rsidR="004B4356" w:rsidRPr="00B13B9A">
        <w:rPr>
          <w:rFonts w:asciiTheme="majorHAnsi" w:hAnsiTheme="majorHAnsi" w:cstheme="majorHAnsi"/>
          <w:color w:val="333333"/>
          <w:sz w:val="24"/>
          <w:szCs w:val="24"/>
          <w:shd w:val="clear" w:color="auto" w:fill="FFFFFF"/>
          <w:lang w:val="ro-MD"/>
        </w:rPr>
        <w:t>.</w:t>
      </w:r>
    </w:p>
    <w:p w14:paraId="4E6A7EE6" w14:textId="6DC2298A" w:rsidR="00EF1983" w:rsidRPr="00B13B9A" w:rsidRDefault="00AC3FAC" w:rsidP="00AC3FAC">
      <w:pPr>
        <w:pStyle w:val="a7"/>
        <w:numPr>
          <w:ilvl w:val="2"/>
          <w:numId w:val="10"/>
        </w:numPr>
        <w:shd w:val="clear" w:color="auto" w:fill="FFFFFF"/>
        <w:tabs>
          <w:tab w:val="left" w:pos="1080"/>
        </w:tabs>
        <w:spacing w:before="240" w:after="0" w:line="276" w:lineRule="auto"/>
        <w:ind w:left="0" w:firstLine="284"/>
        <w:jc w:val="both"/>
        <w:outlineLvl w:val="2"/>
        <w:rPr>
          <w:rFonts w:asciiTheme="majorHAnsi" w:eastAsia="Times New Roman" w:hAnsiTheme="majorHAnsi" w:cstheme="majorHAnsi"/>
          <w:b/>
          <w:color w:val="000000"/>
          <w:sz w:val="24"/>
          <w:szCs w:val="24"/>
          <w:lang w:val="ro-MD"/>
        </w:rPr>
      </w:pPr>
      <w:bookmarkStart w:id="32" w:name="_Toc158317238"/>
      <w:r w:rsidRPr="00AC3FAC">
        <w:rPr>
          <w:rFonts w:asciiTheme="majorHAnsi" w:eastAsia="Times New Roman" w:hAnsiTheme="majorHAnsi" w:cstheme="majorHAnsi"/>
          <w:b/>
          <w:color w:val="000000"/>
          <w:sz w:val="24"/>
          <w:szCs w:val="24"/>
          <w:shd w:val="clear" w:color="auto" w:fill="FFFFFF"/>
          <w:lang w:val="ro-MD"/>
        </w:rPr>
        <w:t xml:space="preserve">Недостаточность институциональных механизмов контроля в </w:t>
      </w:r>
      <w:r w:rsidR="00E77520" w:rsidRPr="00E77520">
        <w:rPr>
          <w:rFonts w:asciiTheme="majorHAnsi" w:eastAsia="Times New Roman" w:hAnsiTheme="majorHAnsi" w:cstheme="majorHAnsi"/>
          <w:b/>
          <w:color w:val="000000"/>
          <w:sz w:val="24"/>
          <w:szCs w:val="24"/>
          <w:shd w:val="clear" w:color="auto" w:fill="FFFFFF"/>
          <w:lang w:val="ro-MD"/>
        </w:rPr>
        <w:t>рамках ПМСУ</w:t>
      </w:r>
      <w:r w:rsidRPr="00AC3FAC">
        <w:rPr>
          <w:rFonts w:asciiTheme="majorHAnsi" w:eastAsia="Times New Roman" w:hAnsiTheme="majorHAnsi" w:cstheme="majorHAnsi"/>
          <w:b/>
          <w:color w:val="000000"/>
          <w:sz w:val="24"/>
          <w:szCs w:val="24"/>
          <w:shd w:val="clear" w:color="auto" w:fill="FFFFFF"/>
          <w:lang w:val="ro-MD"/>
        </w:rPr>
        <w:t xml:space="preserve"> </w:t>
      </w:r>
      <w:r w:rsidR="00E77520" w:rsidRPr="00E77520">
        <w:rPr>
          <w:rFonts w:asciiTheme="majorHAnsi" w:eastAsia="Times New Roman" w:hAnsiTheme="majorHAnsi" w:cstheme="majorHAnsi"/>
          <w:b/>
          <w:color w:val="000000"/>
          <w:sz w:val="24"/>
          <w:szCs w:val="24"/>
          <w:shd w:val="clear" w:color="auto" w:fill="FFFFFF"/>
          <w:lang w:val="ro-MD"/>
        </w:rPr>
        <w:t>обуслови</w:t>
      </w:r>
      <w:r w:rsidRPr="00AC3FAC">
        <w:rPr>
          <w:rFonts w:asciiTheme="majorHAnsi" w:eastAsia="Times New Roman" w:hAnsiTheme="majorHAnsi" w:cstheme="majorHAnsi"/>
          <w:b/>
          <w:color w:val="000000"/>
          <w:sz w:val="24"/>
          <w:szCs w:val="24"/>
          <w:shd w:val="clear" w:color="auto" w:fill="FFFFFF"/>
          <w:lang w:val="ro-MD"/>
        </w:rPr>
        <w:t xml:space="preserve">ла </w:t>
      </w:r>
      <w:r w:rsidR="00E77520" w:rsidRPr="00E77520">
        <w:rPr>
          <w:rFonts w:asciiTheme="majorHAnsi" w:eastAsia="Times New Roman" w:hAnsiTheme="majorHAnsi" w:cstheme="majorHAnsi"/>
          <w:b/>
          <w:color w:val="000000"/>
          <w:sz w:val="24"/>
          <w:szCs w:val="24"/>
          <w:shd w:val="clear" w:color="auto" w:fill="FFFFFF"/>
          <w:lang w:val="ro-MD"/>
        </w:rPr>
        <w:t>ненадлежащий</w:t>
      </w:r>
      <w:r w:rsidRPr="00AC3FAC">
        <w:rPr>
          <w:rFonts w:asciiTheme="majorHAnsi" w:eastAsia="Times New Roman" w:hAnsiTheme="majorHAnsi" w:cstheme="majorHAnsi"/>
          <w:b/>
          <w:color w:val="000000"/>
          <w:sz w:val="24"/>
          <w:szCs w:val="24"/>
          <w:shd w:val="clear" w:color="auto" w:fill="FFFFFF"/>
          <w:lang w:val="ro-MD"/>
        </w:rPr>
        <w:t xml:space="preserve"> расчет и выплат</w:t>
      </w:r>
      <w:r w:rsidR="00E77520" w:rsidRPr="00E77520">
        <w:rPr>
          <w:rFonts w:asciiTheme="majorHAnsi" w:eastAsia="Times New Roman" w:hAnsiTheme="majorHAnsi" w:cstheme="majorHAnsi"/>
          <w:b/>
          <w:color w:val="000000"/>
          <w:sz w:val="24"/>
          <w:szCs w:val="24"/>
          <w:shd w:val="clear" w:color="auto" w:fill="FFFFFF"/>
          <w:lang w:val="ro-MD"/>
        </w:rPr>
        <w:t>у</w:t>
      </w:r>
      <w:r w:rsidRPr="00AC3FAC">
        <w:rPr>
          <w:rFonts w:asciiTheme="majorHAnsi" w:eastAsia="Times New Roman" w:hAnsiTheme="majorHAnsi" w:cstheme="majorHAnsi"/>
          <w:b/>
          <w:color w:val="000000"/>
          <w:sz w:val="24"/>
          <w:szCs w:val="24"/>
          <w:shd w:val="clear" w:color="auto" w:fill="FFFFFF"/>
          <w:lang w:val="ro-MD"/>
        </w:rPr>
        <w:t xml:space="preserve"> заработной платы некоторым лицам, не находящимся на территории Республики Молдова и</w:t>
      </w:r>
      <w:r w:rsidR="00E77520" w:rsidRPr="00E77520">
        <w:rPr>
          <w:rFonts w:asciiTheme="majorHAnsi" w:eastAsia="Times New Roman" w:hAnsiTheme="majorHAnsi" w:cstheme="majorHAnsi"/>
          <w:b/>
          <w:color w:val="000000"/>
          <w:sz w:val="24"/>
          <w:szCs w:val="24"/>
          <w:shd w:val="clear" w:color="auto" w:fill="FFFFFF"/>
          <w:lang w:val="ro-MD"/>
        </w:rPr>
        <w:t>,</w:t>
      </w:r>
      <w:r w:rsidRPr="00AC3FAC">
        <w:rPr>
          <w:rFonts w:asciiTheme="majorHAnsi" w:eastAsia="Times New Roman" w:hAnsiTheme="majorHAnsi" w:cstheme="majorHAnsi"/>
          <w:b/>
          <w:color w:val="000000"/>
          <w:sz w:val="24"/>
          <w:szCs w:val="24"/>
          <w:shd w:val="clear" w:color="auto" w:fill="FFFFFF"/>
          <w:lang w:val="ro-MD"/>
        </w:rPr>
        <w:t xml:space="preserve"> </w:t>
      </w:r>
      <w:r w:rsidR="00E77520" w:rsidRPr="00AC3FAC">
        <w:rPr>
          <w:rFonts w:asciiTheme="majorHAnsi" w:eastAsia="Times New Roman" w:hAnsiTheme="majorHAnsi" w:cstheme="majorHAnsi"/>
          <w:b/>
          <w:color w:val="000000"/>
          <w:sz w:val="24"/>
          <w:szCs w:val="24"/>
          <w:shd w:val="clear" w:color="auto" w:fill="FFFFFF"/>
          <w:lang w:val="ro-MD"/>
        </w:rPr>
        <w:t>соответственно,</w:t>
      </w:r>
      <w:r w:rsidR="00E77520" w:rsidRPr="00E77520">
        <w:rPr>
          <w:rFonts w:asciiTheme="majorHAnsi" w:eastAsia="Times New Roman" w:hAnsiTheme="majorHAnsi" w:cstheme="majorHAnsi"/>
          <w:b/>
          <w:color w:val="000000"/>
          <w:sz w:val="24"/>
          <w:szCs w:val="24"/>
          <w:shd w:val="clear" w:color="auto" w:fill="FFFFFF"/>
          <w:lang w:val="ro-MD"/>
        </w:rPr>
        <w:t xml:space="preserve"> </w:t>
      </w:r>
      <w:r w:rsidRPr="00AC3FAC">
        <w:rPr>
          <w:rFonts w:asciiTheme="majorHAnsi" w:eastAsia="Times New Roman" w:hAnsiTheme="majorHAnsi" w:cstheme="majorHAnsi"/>
          <w:b/>
          <w:color w:val="000000"/>
          <w:sz w:val="24"/>
          <w:szCs w:val="24"/>
          <w:shd w:val="clear" w:color="auto" w:fill="FFFFFF"/>
          <w:lang w:val="ro-MD"/>
        </w:rPr>
        <w:t>на рабочем месте, что привело к нео</w:t>
      </w:r>
      <w:r w:rsidR="00E77520" w:rsidRPr="00E77520">
        <w:rPr>
          <w:rFonts w:asciiTheme="majorHAnsi" w:eastAsia="Times New Roman" w:hAnsiTheme="majorHAnsi" w:cstheme="majorHAnsi"/>
          <w:b/>
          <w:color w:val="000000"/>
          <w:sz w:val="24"/>
          <w:szCs w:val="24"/>
          <w:shd w:val="clear" w:color="auto" w:fill="FFFFFF"/>
          <w:lang w:val="ro-MD"/>
        </w:rPr>
        <w:t>боснов</w:t>
      </w:r>
      <w:r w:rsidRPr="00AC3FAC">
        <w:rPr>
          <w:rFonts w:asciiTheme="majorHAnsi" w:eastAsia="Times New Roman" w:hAnsiTheme="majorHAnsi" w:cstheme="majorHAnsi"/>
          <w:b/>
          <w:color w:val="000000"/>
          <w:sz w:val="24"/>
          <w:szCs w:val="24"/>
          <w:shd w:val="clear" w:color="auto" w:fill="FFFFFF"/>
          <w:lang w:val="ro-MD"/>
        </w:rPr>
        <w:t>анным расходам в размере 47,1 тыс. леев</w:t>
      </w:r>
      <w:r w:rsidR="00EF1983" w:rsidRPr="00B13B9A">
        <w:rPr>
          <w:rFonts w:asciiTheme="majorHAnsi" w:eastAsia="Times New Roman" w:hAnsiTheme="majorHAnsi" w:cstheme="majorHAnsi"/>
          <w:b/>
          <w:color w:val="000000"/>
          <w:sz w:val="24"/>
          <w:szCs w:val="24"/>
          <w:shd w:val="clear" w:color="auto" w:fill="FFFFFF"/>
          <w:lang w:val="ro-MD"/>
        </w:rPr>
        <w:t>.</w:t>
      </w:r>
      <w:bookmarkEnd w:id="32"/>
    </w:p>
    <w:p w14:paraId="66932DDF" w14:textId="24921779" w:rsidR="003343A7" w:rsidRPr="00B13B9A" w:rsidRDefault="00AC3FAC" w:rsidP="00142200">
      <w:pPr>
        <w:spacing w:before="240" w:after="0" w:line="276" w:lineRule="auto"/>
        <w:jc w:val="both"/>
        <w:rPr>
          <w:rFonts w:asciiTheme="majorHAnsi" w:hAnsiTheme="majorHAnsi" w:cstheme="majorHAnsi"/>
          <w:sz w:val="24"/>
          <w:szCs w:val="24"/>
          <w:lang w:val="ro-MD"/>
        </w:rPr>
      </w:pPr>
      <w:r w:rsidRPr="00AC3FAC">
        <w:rPr>
          <w:rFonts w:asciiTheme="majorHAnsi" w:hAnsiTheme="majorHAnsi" w:cstheme="majorHAnsi"/>
          <w:sz w:val="24"/>
          <w:szCs w:val="24"/>
          <w:lang w:val="ro-MD"/>
        </w:rPr>
        <w:t xml:space="preserve">Ситуация с </w:t>
      </w:r>
      <w:r w:rsidR="00E77520">
        <w:rPr>
          <w:rFonts w:asciiTheme="majorHAnsi" w:hAnsiTheme="majorHAnsi" w:cstheme="majorHAnsi"/>
          <w:sz w:val="24"/>
          <w:szCs w:val="24"/>
          <w:lang w:val="ru-RU"/>
        </w:rPr>
        <w:t>персоналом</w:t>
      </w:r>
      <w:r w:rsidRPr="00AC3FAC">
        <w:rPr>
          <w:rFonts w:asciiTheme="majorHAnsi" w:hAnsiTheme="majorHAnsi" w:cstheme="majorHAnsi"/>
          <w:sz w:val="24"/>
          <w:szCs w:val="24"/>
          <w:lang w:val="ro-MD"/>
        </w:rPr>
        <w:t xml:space="preserve"> в 2021-2023 гг. свидетельствует о том, что фактическое количество занимаемых должностей</w:t>
      </w:r>
      <w:r w:rsidR="00E77520">
        <w:rPr>
          <w:rFonts w:asciiTheme="majorHAnsi" w:hAnsiTheme="majorHAnsi" w:cstheme="majorHAnsi"/>
          <w:sz w:val="24"/>
          <w:szCs w:val="24"/>
          <w:lang w:val="ru-RU"/>
        </w:rPr>
        <w:t>,</w:t>
      </w:r>
      <w:r w:rsidRPr="00AC3FAC">
        <w:rPr>
          <w:rFonts w:asciiTheme="majorHAnsi" w:hAnsiTheme="majorHAnsi" w:cstheme="majorHAnsi"/>
          <w:sz w:val="24"/>
          <w:szCs w:val="24"/>
          <w:lang w:val="ro-MD"/>
        </w:rPr>
        <w:t xml:space="preserve"> по сравнению с утвержденными </w:t>
      </w:r>
      <w:r w:rsidR="00E77520">
        <w:rPr>
          <w:rFonts w:asciiTheme="majorHAnsi" w:hAnsiTheme="majorHAnsi" w:cstheme="majorHAnsi"/>
          <w:sz w:val="24"/>
          <w:szCs w:val="24"/>
          <w:lang w:val="ru-RU"/>
        </w:rPr>
        <w:t>единица</w:t>
      </w:r>
      <w:r w:rsidRPr="00AC3FAC">
        <w:rPr>
          <w:rFonts w:asciiTheme="majorHAnsi" w:hAnsiTheme="majorHAnsi" w:cstheme="majorHAnsi"/>
          <w:sz w:val="24"/>
          <w:szCs w:val="24"/>
          <w:lang w:val="ro-MD"/>
        </w:rPr>
        <w:t>ми</w:t>
      </w:r>
      <w:r w:rsidR="00E77520">
        <w:rPr>
          <w:rFonts w:asciiTheme="majorHAnsi" w:hAnsiTheme="majorHAnsi" w:cstheme="majorHAnsi"/>
          <w:sz w:val="24"/>
          <w:szCs w:val="24"/>
          <w:lang w:val="ru-RU"/>
        </w:rPr>
        <w:t>,</w:t>
      </w:r>
      <w:r w:rsidRPr="00AC3FAC">
        <w:rPr>
          <w:rFonts w:asciiTheme="majorHAnsi" w:hAnsiTheme="majorHAnsi" w:cstheme="majorHAnsi"/>
          <w:sz w:val="24"/>
          <w:szCs w:val="24"/>
          <w:lang w:val="ro-MD"/>
        </w:rPr>
        <w:t xml:space="preserve"> составляет от 66,8% в 2021 г. до 72,4% в 2023 г. (6 месяцев), что </w:t>
      </w:r>
      <w:r w:rsidR="00E77520">
        <w:rPr>
          <w:rFonts w:asciiTheme="majorHAnsi" w:hAnsiTheme="majorHAnsi" w:cstheme="majorHAnsi"/>
          <w:sz w:val="24"/>
          <w:szCs w:val="24"/>
          <w:lang w:val="ru-RU"/>
        </w:rPr>
        <w:t>указывае</w:t>
      </w:r>
      <w:r w:rsidRPr="00AC3FAC">
        <w:rPr>
          <w:rFonts w:asciiTheme="majorHAnsi" w:hAnsiTheme="majorHAnsi" w:cstheme="majorHAnsi"/>
          <w:sz w:val="24"/>
          <w:szCs w:val="24"/>
          <w:lang w:val="ro-MD"/>
        </w:rPr>
        <w:t xml:space="preserve">т </w:t>
      </w:r>
      <w:r w:rsidR="00E77520">
        <w:rPr>
          <w:rFonts w:asciiTheme="majorHAnsi" w:hAnsiTheme="majorHAnsi" w:cstheme="majorHAnsi"/>
          <w:sz w:val="24"/>
          <w:szCs w:val="24"/>
          <w:lang w:val="ru-RU"/>
        </w:rPr>
        <w:t>на наличие</w:t>
      </w:r>
      <w:r w:rsidRPr="00AC3FAC">
        <w:rPr>
          <w:rFonts w:asciiTheme="majorHAnsi" w:hAnsiTheme="majorHAnsi" w:cstheme="majorHAnsi"/>
          <w:sz w:val="24"/>
          <w:szCs w:val="24"/>
          <w:lang w:val="ro-MD"/>
        </w:rPr>
        <w:t xml:space="preserve"> около 30% вакантных единиц и может определять ситуации риска в деятельности </w:t>
      </w:r>
      <w:r w:rsidR="00E77520">
        <w:rPr>
          <w:rFonts w:asciiTheme="majorHAnsi" w:hAnsiTheme="majorHAnsi" w:cstheme="majorHAnsi"/>
          <w:sz w:val="24"/>
          <w:szCs w:val="24"/>
          <w:lang w:val="ro-MD"/>
        </w:rPr>
        <w:t>учреждени</w:t>
      </w:r>
      <w:r w:rsidRPr="00AC3FAC">
        <w:rPr>
          <w:rFonts w:asciiTheme="majorHAnsi" w:hAnsiTheme="majorHAnsi" w:cstheme="majorHAnsi"/>
          <w:sz w:val="24"/>
          <w:szCs w:val="24"/>
          <w:lang w:val="ro-MD"/>
        </w:rPr>
        <w:t xml:space="preserve">я, исходя из специфики предоставляемых услуг. Информация о заполнении штатных расписаний </w:t>
      </w:r>
      <w:r w:rsidR="00E77520">
        <w:rPr>
          <w:rFonts w:asciiTheme="majorHAnsi" w:hAnsiTheme="majorHAnsi" w:cstheme="majorHAnsi"/>
          <w:sz w:val="24"/>
          <w:szCs w:val="24"/>
          <w:lang w:val="ro-MD"/>
        </w:rPr>
        <w:t>ПМСУ</w:t>
      </w:r>
      <w:r w:rsidRPr="00AC3FAC">
        <w:rPr>
          <w:rFonts w:asciiTheme="majorHAnsi" w:hAnsiTheme="majorHAnsi" w:cstheme="majorHAnsi"/>
          <w:sz w:val="24"/>
          <w:szCs w:val="24"/>
          <w:lang w:val="ro-MD"/>
        </w:rPr>
        <w:t xml:space="preserve"> ИФП „Кирилл Драганюк” за период 2021-2023 гг. (6 месяцев) </w:t>
      </w:r>
      <w:r w:rsidR="00896273">
        <w:rPr>
          <w:rFonts w:asciiTheme="majorHAnsi" w:hAnsiTheme="majorHAnsi" w:cstheme="majorHAnsi"/>
          <w:sz w:val="24"/>
          <w:szCs w:val="24"/>
          <w:lang w:val="ru-RU"/>
        </w:rPr>
        <w:t>отражена</w:t>
      </w:r>
      <w:r w:rsidRPr="00AC3FAC">
        <w:rPr>
          <w:rFonts w:asciiTheme="majorHAnsi" w:hAnsiTheme="majorHAnsi" w:cstheme="majorHAnsi"/>
          <w:sz w:val="24"/>
          <w:szCs w:val="24"/>
          <w:lang w:val="ro-MD"/>
        </w:rPr>
        <w:t xml:space="preserve"> в </w:t>
      </w:r>
      <w:r w:rsidR="00896273">
        <w:rPr>
          <w:rFonts w:asciiTheme="majorHAnsi" w:hAnsiTheme="majorHAnsi" w:cstheme="majorHAnsi"/>
          <w:sz w:val="24"/>
          <w:szCs w:val="24"/>
          <w:lang w:val="ru-RU"/>
        </w:rPr>
        <w:t>П</w:t>
      </w:r>
      <w:r w:rsidRPr="00AC3FAC">
        <w:rPr>
          <w:rFonts w:asciiTheme="majorHAnsi" w:hAnsiTheme="majorHAnsi" w:cstheme="majorHAnsi"/>
          <w:sz w:val="24"/>
          <w:szCs w:val="24"/>
          <w:lang w:val="ro-MD"/>
        </w:rPr>
        <w:t>рило</w:t>
      </w:r>
      <w:r w:rsidR="00896273">
        <w:rPr>
          <w:rFonts w:asciiTheme="majorHAnsi" w:hAnsiTheme="majorHAnsi" w:cstheme="majorHAnsi"/>
          <w:sz w:val="24"/>
          <w:szCs w:val="24"/>
          <w:lang w:val="ro-MD"/>
        </w:rPr>
        <w:t>жении №</w:t>
      </w:r>
      <w:r w:rsidRPr="00AC3FAC">
        <w:rPr>
          <w:rFonts w:asciiTheme="majorHAnsi" w:hAnsiTheme="majorHAnsi" w:cstheme="majorHAnsi"/>
          <w:sz w:val="24"/>
          <w:szCs w:val="24"/>
          <w:lang w:val="ro-MD"/>
        </w:rPr>
        <w:t xml:space="preserve">19 к настоящему </w:t>
      </w:r>
      <w:r w:rsidR="00896273">
        <w:rPr>
          <w:rFonts w:asciiTheme="majorHAnsi" w:hAnsiTheme="majorHAnsi" w:cstheme="majorHAnsi"/>
          <w:sz w:val="24"/>
          <w:szCs w:val="24"/>
          <w:lang w:val="ro-MD"/>
        </w:rPr>
        <w:t>Отчету аудита</w:t>
      </w:r>
      <w:r w:rsidRPr="00AC3FAC">
        <w:rPr>
          <w:rFonts w:asciiTheme="majorHAnsi" w:hAnsiTheme="majorHAnsi" w:cstheme="majorHAnsi"/>
          <w:sz w:val="24"/>
          <w:szCs w:val="24"/>
          <w:lang w:val="ro-MD"/>
        </w:rPr>
        <w:t xml:space="preserve">. Расходы на оплату труда </w:t>
      </w:r>
      <w:r w:rsidR="00896273">
        <w:rPr>
          <w:rFonts w:asciiTheme="majorHAnsi" w:hAnsiTheme="majorHAnsi" w:cstheme="majorHAnsi"/>
          <w:sz w:val="24"/>
          <w:szCs w:val="24"/>
          <w:lang w:val="ru-RU"/>
        </w:rPr>
        <w:t>з</w:t>
      </w:r>
      <w:r w:rsidRPr="00AC3FAC">
        <w:rPr>
          <w:rFonts w:asciiTheme="majorHAnsi" w:hAnsiTheme="majorHAnsi" w:cstheme="majorHAnsi"/>
          <w:sz w:val="24"/>
          <w:szCs w:val="24"/>
          <w:lang w:val="ro-MD"/>
        </w:rPr>
        <w:t xml:space="preserve">а 2021 год составляют 107 695,6 тыс. леев, </w:t>
      </w:r>
      <w:r w:rsidR="00896273">
        <w:rPr>
          <w:rFonts w:asciiTheme="majorHAnsi" w:hAnsiTheme="majorHAnsi" w:cstheme="majorHAnsi"/>
          <w:sz w:val="24"/>
          <w:szCs w:val="24"/>
          <w:lang w:val="ru-RU"/>
        </w:rPr>
        <w:t>за</w:t>
      </w:r>
      <w:r w:rsidR="00896273">
        <w:rPr>
          <w:rFonts w:asciiTheme="majorHAnsi" w:hAnsiTheme="majorHAnsi" w:cstheme="majorHAnsi"/>
          <w:sz w:val="24"/>
          <w:szCs w:val="24"/>
          <w:lang w:val="ro-MD"/>
        </w:rPr>
        <w:t xml:space="preserve"> 2022 год</w:t>
      </w:r>
      <w:r w:rsidRPr="00AC3FAC">
        <w:rPr>
          <w:rFonts w:asciiTheme="majorHAnsi" w:hAnsiTheme="majorHAnsi" w:cstheme="majorHAnsi"/>
          <w:sz w:val="24"/>
          <w:szCs w:val="24"/>
          <w:lang w:val="ro-MD"/>
        </w:rPr>
        <w:t xml:space="preserve">-98 261,7 тыс. леев, </w:t>
      </w:r>
      <w:r w:rsidR="00896273">
        <w:rPr>
          <w:rFonts w:asciiTheme="majorHAnsi" w:hAnsiTheme="majorHAnsi" w:cstheme="majorHAnsi"/>
          <w:sz w:val="24"/>
          <w:szCs w:val="24"/>
          <w:lang w:val="ru-RU"/>
        </w:rPr>
        <w:t>и за</w:t>
      </w:r>
      <w:r w:rsidRPr="00AC3FAC">
        <w:rPr>
          <w:rFonts w:asciiTheme="majorHAnsi" w:hAnsiTheme="majorHAnsi" w:cstheme="majorHAnsi"/>
          <w:sz w:val="24"/>
          <w:szCs w:val="24"/>
          <w:lang w:val="ro-MD"/>
        </w:rPr>
        <w:t xml:space="preserve"> 2023 год (6 месяцев) – 52 495,9 тыс. леев. Таким образом, в 2021 году эти расходы были выше, чем в 2022 году, на 9 433,9 тыс. леев, что объясняется выплатой </w:t>
      </w:r>
      <w:r w:rsidR="00896273">
        <w:rPr>
          <w:rFonts w:asciiTheme="majorHAnsi" w:hAnsiTheme="majorHAnsi" w:cstheme="majorHAnsi"/>
          <w:sz w:val="24"/>
          <w:szCs w:val="24"/>
          <w:lang w:val="ro-MD"/>
        </w:rPr>
        <w:t>надбавки</w:t>
      </w:r>
      <w:r w:rsidRPr="00AC3FAC">
        <w:rPr>
          <w:rFonts w:asciiTheme="majorHAnsi" w:hAnsiTheme="majorHAnsi" w:cstheme="majorHAnsi"/>
          <w:sz w:val="24"/>
          <w:szCs w:val="24"/>
          <w:lang w:val="ro-MD"/>
        </w:rPr>
        <w:t xml:space="preserve"> за </w:t>
      </w:r>
      <w:r w:rsidR="00896273" w:rsidRPr="00896273">
        <w:rPr>
          <w:rFonts w:asciiTheme="majorHAnsi" w:hAnsiTheme="majorHAnsi" w:cstheme="majorHAnsi"/>
          <w:sz w:val="24"/>
          <w:szCs w:val="24"/>
          <w:lang w:val="ro-MD"/>
        </w:rPr>
        <w:t>достиж</w:t>
      </w:r>
      <w:r w:rsidRPr="00AC3FAC">
        <w:rPr>
          <w:rFonts w:asciiTheme="majorHAnsi" w:hAnsiTheme="majorHAnsi" w:cstheme="majorHAnsi"/>
          <w:sz w:val="24"/>
          <w:szCs w:val="24"/>
          <w:lang w:val="ro-MD"/>
        </w:rPr>
        <w:t xml:space="preserve">ение показателя профессиональной </w:t>
      </w:r>
      <w:r w:rsidR="00896273" w:rsidRPr="00896273">
        <w:rPr>
          <w:rFonts w:asciiTheme="majorHAnsi" w:hAnsiTheme="majorHAnsi" w:cstheme="majorHAnsi"/>
          <w:sz w:val="24"/>
          <w:szCs w:val="24"/>
          <w:lang w:val="ro-MD"/>
        </w:rPr>
        <w:t>эффектив</w:t>
      </w:r>
      <w:r w:rsidRPr="00AC3FAC">
        <w:rPr>
          <w:rFonts w:asciiTheme="majorHAnsi" w:hAnsiTheme="majorHAnsi" w:cstheme="majorHAnsi"/>
          <w:sz w:val="24"/>
          <w:szCs w:val="24"/>
          <w:lang w:val="ro-MD"/>
        </w:rPr>
        <w:t>ности COVID-19 в этом году</w:t>
      </w:r>
      <w:r w:rsidR="003343A7" w:rsidRPr="00B13B9A">
        <w:rPr>
          <w:rFonts w:asciiTheme="majorHAnsi" w:hAnsiTheme="majorHAnsi" w:cstheme="majorHAnsi"/>
          <w:sz w:val="24"/>
          <w:szCs w:val="24"/>
          <w:lang w:val="ro-MD" w:eastAsia="ro-RO"/>
        </w:rPr>
        <w:t xml:space="preserve">. </w:t>
      </w:r>
    </w:p>
    <w:p w14:paraId="3753A891" w14:textId="75C5983B" w:rsidR="00EF1983" w:rsidRPr="00B13B9A" w:rsidRDefault="00AC3FAC" w:rsidP="00EF1983">
      <w:pPr>
        <w:spacing w:after="0" w:line="276" w:lineRule="auto"/>
        <w:jc w:val="both"/>
        <w:rPr>
          <w:rFonts w:asciiTheme="majorHAnsi" w:eastAsia="SimSun" w:hAnsiTheme="majorHAnsi" w:cstheme="majorHAnsi"/>
          <w:sz w:val="24"/>
          <w:szCs w:val="24"/>
          <w:lang w:val="ro-MD"/>
        </w:rPr>
      </w:pPr>
      <w:r w:rsidRPr="00AC3FAC">
        <w:rPr>
          <w:rFonts w:asciiTheme="majorHAnsi" w:hAnsiTheme="majorHAnsi" w:cstheme="majorHAnsi"/>
          <w:sz w:val="24"/>
          <w:szCs w:val="24"/>
          <w:lang w:val="ro-MD"/>
        </w:rPr>
        <w:t xml:space="preserve">В процессе </w:t>
      </w:r>
      <w:r w:rsidR="00896273">
        <w:rPr>
          <w:rFonts w:asciiTheme="majorHAnsi" w:hAnsiTheme="majorHAnsi" w:cstheme="majorHAnsi"/>
          <w:sz w:val="24"/>
          <w:szCs w:val="24"/>
          <w:lang w:val="ru-RU"/>
        </w:rPr>
        <w:t>оплаты труда</w:t>
      </w:r>
      <w:r w:rsidRPr="00AC3FAC">
        <w:rPr>
          <w:rFonts w:asciiTheme="majorHAnsi" w:hAnsiTheme="majorHAnsi" w:cstheme="majorHAnsi"/>
          <w:sz w:val="24"/>
          <w:szCs w:val="24"/>
          <w:lang w:val="ro-MD"/>
        </w:rPr>
        <w:t xml:space="preserve"> персонала</w:t>
      </w:r>
      <w:r w:rsidR="00896273">
        <w:rPr>
          <w:rFonts w:asciiTheme="majorHAnsi" w:hAnsiTheme="majorHAnsi" w:cstheme="majorHAnsi"/>
          <w:sz w:val="24"/>
          <w:szCs w:val="24"/>
          <w:lang w:val="ru-RU"/>
        </w:rPr>
        <w:t>,</w:t>
      </w:r>
      <w:r w:rsidRPr="00AC3FAC">
        <w:rPr>
          <w:rFonts w:asciiTheme="majorHAnsi" w:hAnsiTheme="majorHAnsi" w:cstheme="majorHAnsi"/>
          <w:sz w:val="24"/>
          <w:szCs w:val="24"/>
          <w:lang w:val="ro-MD"/>
        </w:rPr>
        <w:t xml:space="preserve"> должностн</w:t>
      </w:r>
      <w:r w:rsidR="00896273">
        <w:rPr>
          <w:rFonts w:asciiTheme="majorHAnsi" w:hAnsiTheme="majorHAnsi" w:cstheme="majorHAnsi"/>
          <w:sz w:val="24"/>
          <w:szCs w:val="24"/>
          <w:lang w:val="ru-RU"/>
        </w:rPr>
        <w:t>ой оклад</w:t>
      </w:r>
      <w:r w:rsidRPr="00AC3FAC">
        <w:rPr>
          <w:rFonts w:asciiTheme="majorHAnsi" w:hAnsiTheme="majorHAnsi" w:cstheme="majorHAnsi"/>
          <w:sz w:val="24"/>
          <w:szCs w:val="24"/>
          <w:lang w:val="ro-MD"/>
        </w:rPr>
        <w:t xml:space="preserve"> устанавливается индивидуально для каждого отдельного сотрудника в зависимости от стажа работы по специальности, занимаемой должности и специфики деятельности</w:t>
      </w:r>
      <w:r w:rsidR="00896273" w:rsidRPr="00B13B9A">
        <w:rPr>
          <w:rStyle w:val="a9"/>
          <w:rFonts w:asciiTheme="majorHAnsi" w:hAnsiTheme="majorHAnsi" w:cstheme="majorHAnsi"/>
          <w:sz w:val="24"/>
          <w:szCs w:val="24"/>
          <w:lang w:val="ro-MD" w:eastAsia="ro-RO"/>
        </w:rPr>
        <w:footnoteReference w:id="43"/>
      </w:r>
      <w:r w:rsidRPr="00AC3FAC">
        <w:rPr>
          <w:rFonts w:asciiTheme="majorHAnsi" w:hAnsiTheme="majorHAnsi" w:cstheme="majorHAnsi"/>
          <w:sz w:val="24"/>
          <w:szCs w:val="24"/>
          <w:lang w:val="ro-MD"/>
        </w:rPr>
        <w:t xml:space="preserve">.  Для </w:t>
      </w:r>
      <w:r w:rsidR="00896273">
        <w:rPr>
          <w:rFonts w:asciiTheme="majorHAnsi" w:hAnsiTheme="majorHAnsi" w:cstheme="majorHAnsi"/>
          <w:sz w:val="24"/>
          <w:szCs w:val="24"/>
          <w:lang w:val="ru-RU"/>
        </w:rPr>
        <w:t>подтвержд</w:t>
      </w:r>
      <w:r w:rsidRPr="00AC3FAC">
        <w:rPr>
          <w:rFonts w:asciiTheme="majorHAnsi" w:hAnsiTheme="majorHAnsi" w:cstheme="majorHAnsi"/>
          <w:sz w:val="24"/>
          <w:szCs w:val="24"/>
          <w:lang w:val="ro-MD"/>
        </w:rPr>
        <w:t>ения со</w:t>
      </w:r>
      <w:r w:rsidR="00896273">
        <w:rPr>
          <w:rFonts w:asciiTheme="majorHAnsi" w:hAnsiTheme="majorHAnsi" w:cstheme="majorHAnsi"/>
          <w:sz w:val="24"/>
          <w:szCs w:val="24"/>
          <w:lang w:val="ru-RU"/>
        </w:rPr>
        <w:t>ответств</w:t>
      </w:r>
      <w:r w:rsidRPr="00AC3FAC">
        <w:rPr>
          <w:rFonts w:asciiTheme="majorHAnsi" w:hAnsiTheme="majorHAnsi" w:cstheme="majorHAnsi"/>
          <w:sz w:val="24"/>
          <w:szCs w:val="24"/>
          <w:lang w:val="ro-MD"/>
        </w:rPr>
        <w:t xml:space="preserve">ия </w:t>
      </w:r>
      <w:r w:rsidR="00896273">
        <w:rPr>
          <w:rFonts w:asciiTheme="majorHAnsi" w:hAnsiTheme="majorHAnsi" w:cstheme="majorHAnsi"/>
          <w:sz w:val="24"/>
          <w:szCs w:val="24"/>
          <w:lang w:val="ru-RU"/>
        </w:rPr>
        <w:t>соблюдения рабоче</w:t>
      </w:r>
      <w:r w:rsidRPr="00AC3FAC">
        <w:rPr>
          <w:rFonts w:asciiTheme="majorHAnsi" w:hAnsiTheme="majorHAnsi" w:cstheme="majorHAnsi"/>
          <w:sz w:val="24"/>
          <w:szCs w:val="24"/>
          <w:lang w:val="ro-MD"/>
        </w:rPr>
        <w:t>го времени</w:t>
      </w:r>
      <w:r w:rsidR="00896273">
        <w:rPr>
          <w:rFonts w:asciiTheme="majorHAnsi" w:hAnsiTheme="majorHAnsi" w:cstheme="majorHAnsi"/>
          <w:sz w:val="24"/>
          <w:szCs w:val="24"/>
          <w:lang w:val="ru-RU"/>
        </w:rPr>
        <w:t>,</w:t>
      </w:r>
      <w:r w:rsidRPr="00AC3FAC">
        <w:rPr>
          <w:rFonts w:asciiTheme="majorHAnsi" w:hAnsiTheme="majorHAnsi" w:cstheme="majorHAnsi"/>
          <w:sz w:val="24"/>
          <w:szCs w:val="24"/>
          <w:lang w:val="ro-MD"/>
        </w:rPr>
        <w:t xml:space="preserve"> аудитор запросил у Генерального инспектората </w:t>
      </w:r>
      <w:r w:rsidR="00896273">
        <w:rPr>
          <w:rFonts w:asciiTheme="majorHAnsi" w:hAnsiTheme="majorHAnsi" w:cstheme="majorHAnsi"/>
          <w:sz w:val="24"/>
          <w:szCs w:val="24"/>
          <w:lang w:val="ru-RU"/>
        </w:rPr>
        <w:t>П</w:t>
      </w:r>
      <w:r w:rsidRPr="00AC3FAC">
        <w:rPr>
          <w:rFonts w:asciiTheme="majorHAnsi" w:hAnsiTheme="majorHAnsi" w:cstheme="majorHAnsi"/>
          <w:sz w:val="24"/>
          <w:szCs w:val="24"/>
          <w:lang w:val="ro-MD"/>
        </w:rPr>
        <w:t xml:space="preserve">ограничной полиции информацию о пересечении государственной границы (въезд, выезд) в период 01.01.2021 – 20.09.2023 для 399 сотрудников </w:t>
      </w:r>
      <w:r w:rsidR="00896273">
        <w:rPr>
          <w:rFonts w:asciiTheme="majorHAnsi" w:hAnsiTheme="majorHAnsi" w:cstheme="majorHAnsi"/>
          <w:sz w:val="24"/>
          <w:szCs w:val="24"/>
          <w:lang w:val="ru-RU"/>
        </w:rPr>
        <w:t>аудируе</w:t>
      </w:r>
      <w:r w:rsidRPr="00AC3FAC">
        <w:rPr>
          <w:rFonts w:asciiTheme="majorHAnsi" w:hAnsiTheme="majorHAnsi" w:cstheme="majorHAnsi"/>
          <w:sz w:val="24"/>
          <w:szCs w:val="24"/>
          <w:lang w:val="ro-MD"/>
        </w:rPr>
        <w:t>мо</w:t>
      </w:r>
      <w:r w:rsidR="00896273">
        <w:rPr>
          <w:rFonts w:asciiTheme="majorHAnsi" w:hAnsiTheme="majorHAnsi" w:cstheme="majorHAnsi"/>
          <w:sz w:val="24"/>
          <w:szCs w:val="24"/>
          <w:lang w:val="ru-RU"/>
        </w:rPr>
        <w:t>го субъекта.</w:t>
      </w:r>
      <w:r w:rsidRPr="00AC3FAC">
        <w:rPr>
          <w:rFonts w:asciiTheme="majorHAnsi" w:hAnsiTheme="majorHAnsi" w:cstheme="majorHAnsi"/>
          <w:sz w:val="24"/>
          <w:szCs w:val="24"/>
          <w:lang w:val="ro-MD"/>
        </w:rPr>
        <w:t xml:space="preserve"> Так, было установлено, что для 34 сотрудников было выплачено 52 заработн</w:t>
      </w:r>
      <w:r w:rsidR="00896273" w:rsidRPr="00896273">
        <w:rPr>
          <w:rFonts w:asciiTheme="majorHAnsi" w:hAnsiTheme="majorHAnsi" w:cstheme="majorHAnsi"/>
          <w:sz w:val="24"/>
          <w:szCs w:val="24"/>
          <w:lang w:val="ro-MD"/>
        </w:rPr>
        <w:t>ые</w:t>
      </w:r>
      <w:r w:rsidRPr="00AC3FAC">
        <w:rPr>
          <w:rFonts w:asciiTheme="majorHAnsi" w:hAnsiTheme="majorHAnsi" w:cstheme="majorHAnsi"/>
          <w:sz w:val="24"/>
          <w:szCs w:val="24"/>
          <w:lang w:val="ro-MD"/>
        </w:rPr>
        <w:t xml:space="preserve"> платы в размере 47,1 тыс. леев, произведенных не</w:t>
      </w:r>
      <w:r w:rsidR="00896273" w:rsidRPr="00896273">
        <w:rPr>
          <w:rFonts w:asciiTheme="majorHAnsi" w:hAnsiTheme="majorHAnsi" w:cstheme="majorHAnsi"/>
          <w:sz w:val="24"/>
          <w:szCs w:val="24"/>
          <w:lang w:val="ro-MD"/>
        </w:rPr>
        <w:t>закон</w:t>
      </w:r>
      <w:r w:rsidRPr="00AC3FAC">
        <w:rPr>
          <w:rFonts w:asciiTheme="majorHAnsi" w:hAnsiTheme="majorHAnsi" w:cstheme="majorHAnsi"/>
          <w:sz w:val="24"/>
          <w:szCs w:val="24"/>
          <w:lang w:val="ro-MD"/>
        </w:rPr>
        <w:t xml:space="preserve">но, </w:t>
      </w:r>
      <w:r w:rsidR="00B030D1" w:rsidRPr="00B030D1">
        <w:rPr>
          <w:rFonts w:asciiTheme="majorHAnsi" w:hAnsiTheme="majorHAnsi" w:cstheme="majorHAnsi"/>
          <w:sz w:val="24"/>
          <w:szCs w:val="24"/>
          <w:lang w:val="ro-MD"/>
        </w:rPr>
        <w:t>за</w:t>
      </w:r>
      <w:r w:rsidRPr="00AC3FAC">
        <w:rPr>
          <w:rFonts w:asciiTheme="majorHAnsi" w:hAnsiTheme="majorHAnsi" w:cstheme="majorHAnsi"/>
          <w:sz w:val="24"/>
          <w:szCs w:val="24"/>
          <w:lang w:val="ro-MD"/>
        </w:rPr>
        <w:t xml:space="preserve"> то время</w:t>
      </w:r>
      <w:r w:rsidR="00B030D1" w:rsidRPr="00B030D1">
        <w:rPr>
          <w:rFonts w:asciiTheme="majorHAnsi" w:hAnsiTheme="majorHAnsi" w:cstheme="majorHAnsi"/>
          <w:sz w:val="24"/>
          <w:szCs w:val="24"/>
          <w:lang w:val="ro-MD"/>
        </w:rPr>
        <w:t>,</w:t>
      </w:r>
      <w:r w:rsidRPr="00AC3FAC">
        <w:rPr>
          <w:rFonts w:asciiTheme="majorHAnsi" w:hAnsiTheme="majorHAnsi" w:cstheme="majorHAnsi"/>
          <w:sz w:val="24"/>
          <w:szCs w:val="24"/>
          <w:lang w:val="ro-MD"/>
        </w:rPr>
        <w:t xml:space="preserve"> </w:t>
      </w:r>
      <w:r w:rsidR="00B030D1" w:rsidRPr="00B030D1">
        <w:rPr>
          <w:rFonts w:asciiTheme="majorHAnsi" w:hAnsiTheme="majorHAnsi" w:cstheme="majorHAnsi"/>
          <w:sz w:val="24"/>
          <w:szCs w:val="24"/>
          <w:lang w:val="ro-MD"/>
        </w:rPr>
        <w:t>когда</w:t>
      </w:r>
      <w:r w:rsidRPr="00AC3FAC">
        <w:rPr>
          <w:rFonts w:asciiTheme="majorHAnsi" w:hAnsiTheme="majorHAnsi" w:cstheme="majorHAnsi"/>
          <w:sz w:val="24"/>
          <w:szCs w:val="24"/>
          <w:lang w:val="ro-MD"/>
        </w:rPr>
        <w:t xml:space="preserve"> сотрудник</w:t>
      </w:r>
      <w:r w:rsidR="00B030D1" w:rsidRPr="00B030D1">
        <w:rPr>
          <w:rFonts w:asciiTheme="majorHAnsi" w:hAnsiTheme="majorHAnsi" w:cstheme="majorHAnsi"/>
          <w:sz w:val="24"/>
          <w:szCs w:val="24"/>
          <w:lang w:val="ro-MD"/>
        </w:rPr>
        <w:t>и</w:t>
      </w:r>
      <w:r w:rsidRPr="00AC3FAC">
        <w:rPr>
          <w:rFonts w:asciiTheme="majorHAnsi" w:hAnsiTheme="majorHAnsi" w:cstheme="majorHAnsi"/>
          <w:sz w:val="24"/>
          <w:szCs w:val="24"/>
          <w:lang w:val="ro-MD"/>
        </w:rPr>
        <w:t xml:space="preserve"> не </w:t>
      </w:r>
      <w:r w:rsidR="00B030D1" w:rsidRPr="00B030D1">
        <w:rPr>
          <w:rFonts w:asciiTheme="majorHAnsi" w:hAnsiTheme="majorHAnsi" w:cstheme="majorHAnsi"/>
          <w:sz w:val="24"/>
          <w:szCs w:val="24"/>
          <w:lang w:val="ro-MD"/>
        </w:rPr>
        <w:t>находились</w:t>
      </w:r>
      <w:r w:rsidRPr="00AC3FAC">
        <w:rPr>
          <w:rFonts w:asciiTheme="majorHAnsi" w:hAnsiTheme="majorHAnsi" w:cstheme="majorHAnsi"/>
          <w:sz w:val="24"/>
          <w:szCs w:val="24"/>
          <w:lang w:val="ro-MD"/>
        </w:rPr>
        <w:t xml:space="preserve"> в Республике Молдова. </w:t>
      </w:r>
      <w:r w:rsidR="00B030D1">
        <w:rPr>
          <w:rFonts w:asciiTheme="majorHAnsi" w:hAnsiTheme="majorHAnsi" w:cstheme="majorHAnsi"/>
          <w:sz w:val="24"/>
          <w:szCs w:val="24"/>
          <w:lang w:val="ru-RU"/>
        </w:rPr>
        <w:t>Боле</w:t>
      </w:r>
      <w:r w:rsidRPr="00AC3FAC">
        <w:rPr>
          <w:rFonts w:asciiTheme="majorHAnsi" w:hAnsiTheme="majorHAnsi" w:cstheme="majorHAnsi"/>
          <w:sz w:val="24"/>
          <w:szCs w:val="24"/>
          <w:lang w:val="ro-MD"/>
        </w:rPr>
        <w:t xml:space="preserve">е того, 10 сотрудников были </w:t>
      </w:r>
      <w:r w:rsidR="00B030D1">
        <w:rPr>
          <w:rFonts w:asciiTheme="majorHAnsi" w:hAnsiTheme="majorHAnsi" w:cstheme="majorHAnsi"/>
          <w:sz w:val="24"/>
          <w:szCs w:val="24"/>
          <w:lang w:val="ru-RU"/>
        </w:rPr>
        <w:t>отмеч</w:t>
      </w:r>
      <w:r w:rsidRPr="00AC3FAC">
        <w:rPr>
          <w:rFonts w:asciiTheme="majorHAnsi" w:hAnsiTheme="majorHAnsi" w:cstheme="majorHAnsi"/>
          <w:sz w:val="24"/>
          <w:szCs w:val="24"/>
          <w:lang w:val="ro-MD"/>
        </w:rPr>
        <w:t>ены в таб</w:t>
      </w:r>
      <w:r w:rsidR="00B030D1">
        <w:rPr>
          <w:rFonts w:asciiTheme="majorHAnsi" w:hAnsiTheme="majorHAnsi" w:cstheme="majorHAnsi"/>
          <w:sz w:val="24"/>
          <w:szCs w:val="24"/>
          <w:lang w:val="ru-RU"/>
        </w:rPr>
        <w:t>елях</w:t>
      </w:r>
      <w:r w:rsidRPr="00AC3FAC">
        <w:rPr>
          <w:rFonts w:asciiTheme="majorHAnsi" w:hAnsiTheme="majorHAnsi" w:cstheme="majorHAnsi"/>
          <w:sz w:val="24"/>
          <w:szCs w:val="24"/>
          <w:lang w:val="ro-MD"/>
        </w:rPr>
        <w:t xml:space="preserve">, хотя они </w:t>
      </w:r>
      <w:r w:rsidR="00B030D1">
        <w:rPr>
          <w:rFonts w:asciiTheme="majorHAnsi" w:hAnsiTheme="majorHAnsi" w:cstheme="majorHAnsi"/>
          <w:sz w:val="24"/>
          <w:szCs w:val="24"/>
          <w:lang w:val="ru-RU"/>
        </w:rPr>
        <w:t>многократно</w:t>
      </w:r>
      <w:r w:rsidRPr="00AC3FAC">
        <w:rPr>
          <w:rFonts w:asciiTheme="majorHAnsi" w:hAnsiTheme="majorHAnsi" w:cstheme="majorHAnsi"/>
          <w:sz w:val="24"/>
          <w:szCs w:val="24"/>
          <w:lang w:val="ro-MD"/>
        </w:rPr>
        <w:t xml:space="preserve"> находились за пределами страны. Количество дней </w:t>
      </w:r>
      <w:r w:rsidR="00B030D1">
        <w:rPr>
          <w:rFonts w:asciiTheme="majorHAnsi" w:hAnsiTheme="majorHAnsi" w:cstheme="majorHAnsi"/>
          <w:sz w:val="24"/>
          <w:szCs w:val="24"/>
          <w:lang w:val="ru-RU"/>
        </w:rPr>
        <w:t xml:space="preserve">нахождения </w:t>
      </w:r>
      <w:r w:rsidRPr="00AC3FAC">
        <w:rPr>
          <w:rFonts w:asciiTheme="majorHAnsi" w:hAnsiTheme="majorHAnsi" w:cstheme="majorHAnsi"/>
          <w:sz w:val="24"/>
          <w:szCs w:val="24"/>
          <w:lang w:val="ro-MD"/>
        </w:rPr>
        <w:t xml:space="preserve">за пределами страны варьировало от 1 дня до 12 дней, </w:t>
      </w:r>
      <w:r w:rsidR="00B030D1">
        <w:rPr>
          <w:rFonts w:asciiTheme="majorHAnsi" w:hAnsiTheme="majorHAnsi" w:cstheme="majorHAnsi"/>
          <w:sz w:val="24"/>
          <w:szCs w:val="24"/>
          <w:lang w:val="ru-RU"/>
        </w:rPr>
        <w:t>с</w:t>
      </w:r>
      <w:r w:rsidRPr="00AC3FAC">
        <w:rPr>
          <w:rFonts w:asciiTheme="majorHAnsi" w:hAnsiTheme="majorHAnsi" w:cstheme="majorHAnsi"/>
          <w:sz w:val="24"/>
          <w:szCs w:val="24"/>
          <w:lang w:val="ro-MD"/>
        </w:rPr>
        <w:t>коррелирова</w:t>
      </w:r>
      <w:r w:rsidR="00B030D1">
        <w:rPr>
          <w:rFonts w:asciiTheme="majorHAnsi" w:hAnsiTheme="majorHAnsi" w:cstheme="majorHAnsi"/>
          <w:sz w:val="24"/>
          <w:szCs w:val="24"/>
          <w:lang w:val="ru-RU"/>
        </w:rPr>
        <w:t>нное</w:t>
      </w:r>
      <w:r w:rsidRPr="00AC3FAC">
        <w:rPr>
          <w:rFonts w:asciiTheme="majorHAnsi" w:hAnsiTheme="majorHAnsi" w:cstheme="majorHAnsi"/>
          <w:sz w:val="24"/>
          <w:szCs w:val="24"/>
          <w:lang w:val="ro-MD"/>
        </w:rPr>
        <w:t xml:space="preserve"> с количеством не</w:t>
      </w:r>
      <w:r w:rsidR="00B030D1">
        <w:rPr>
          <w:rFonts w:asciiTheme="majorHAnsi" w:hAnsiTheme="majorHAnsi" w:cstheme="majorHAnsi"/>
          <w:sz w:val="24"/>
          <w:szCs w:val="24"/>
          <w:lang w:val="ru-RU"/>
        </w:rPr>
        <w:t>отработанных</w:t>
      </w:r>
      <w:r w:rsidRPr="00AC3FAC">
        <w:rPr>
          <w:rFonts w:asciiTheme="majorHAnsi" w:hAnsiTheme="majorHAnsi" w:cstheme="majorHAnsi"/>
          <w:sz w:val="24"/>
          <w:szCs w:val="24"/>
          <w:lang w:val="ro-MD"/>
        </w:rPr>
        <w:t xml:space="preserve"> часов</w:t>
      </w:r>
      <w:r w:rsidR="00B030D1">
        <w:rPr>
          <w:rFonts w:asciiTheme="majorHAnsi" w:hAnsiTheme="majorHAnsi" w:cstheme="majorHAnsi"/>
          <w:sz w:val="24"/>
          <w:szCs w:val="24"/>
          <w:lang w:val="ru-RU"/>
        </w:rPr>
        <w:t xml:space="preserve">, которое </w:t>
      </w:r>
      <w:r w:rsidR="00B030D1" w:rsidRPr="00AC3FAC">
        <w:rPr>
          <w:rFonts w:asciiTheme="majorHAnsi" w:hAnsiTheme="majorHAnsi" w:cstheme="majorHAnsi"/>
          <w:sz w:val="24"/>
          <w:szCs w:val="24"/>
          <w:lang w:val="ro-MD"/>
        </w:rPr>
        <w:t xml:space="preserve">варьировало </w:t>
      </w:r>
      <w:r w:rsidRPr="00AC3FAC">
        <w:rPr>
          <w:rFonts w:asciiTheme="majorHAnsi" w:hAnsiTheme="majorHAnsi" w:cstheme="majorHAnsi"/>
          <w:sz w:val="24"/>
          <w:szCs w:val="24"/>
          <w:lang w:val="ro-MD"/>
        </w:rPr>
        <w:t xml:space="preserve">от 1,75 до 78 часов. </w:t>
      </w:r>
      <w:r w:rsidR="00B030D1" w:rsidRPr="00B030D1">
        <w:rPr>
          <w:rFonts w:asciiTheme="majorHAnsi" w:hAnsiTheme="majorHAnsi" w:cstheme="majorHAnsi"/>
          <w:sz w:val="24"/>
          <w:szCs w:val="24"/>
          <w:lang w:val="ro-MD"/>
        </w:rPr>
        <w:t>Необходимо</w:t>
      </w:r>
      <w:r w:rsidRPr="00AC3FAC">
        <w:rPr>
          <w:rFonts w:asciiTheme="majorHAnsi" w:hAnsiTheme="majorHAnsi" w:cstheme="majorHAnsi"/>
          <w:sz w:val="24"/>
          <w:szCs w:val="24"/>
          <w:lang w:val="ro-MD"/>
        </w:rPr>
        <w:t xml:space="preserve"> отметить, что количество не</w:t>
      </w:r>
      <w:r w:rsidR="00B030D1" w:rsidRPr="00B030D1">
        <w:rPr>
          <w:rFonts w:asciiTheme="majorHAnsi" w:hAnsiTheme="majorHAnsi" w:cstheme="majorHAnsi"/>
          <w:sz w:val="24"/>
          <w:szCs w:val="24"/>
          <w:lang w:val="ro-MD"/>
        </w:rPr>
        <w:t>отработанны</w:t>
      </w:r>
      <w:r w:rsidRPr="00AC3FAC">
        <w:rPr>
          <w:rFonts w:asciiTheme="majorHAnsi" w:hAnsiTheme="majorHAnsi" w:cstheme="majorHAnsi"/>
          <w:sz w:val="24"/>
          <w:szCs w:val="24"/>
          <w:lang w:val="ro-MD"/>
        </w:rPr>
        <w:t>х часов составляет время въезда в страну, что указывает на то, что до появления на работе требу</w:t>
      </w:r>
      <w:r w:rsidR="00B030D1" w:rsidRPr="00B030D1">
        <w:rPr>
          <w:rFonts w:asciiTheme="majorHAnsi" w:hAnsiTheme="majorHAnsi" w:cstheme="majorHAnsi"/>
          <w:sz w:val="24"/>
          <w:szCs w:val="24"/>
          <w:lang w:val="ro-MD"/>
        </w:rPr>
        <w:t>ю</w:t>
      </w:r>
      <w:r w:rsidRPr="00AC3FAC">
        <w:rPr>
          <w:rFonts w:asciiTheme="majorHAnsi" w:hAnsiTheme="majorHAnsi" w:cstheme="majorHAnsi"/>
          <w:sz w:val="24"/>
          <w:szCs w:val="24"/>
          <w:lang w:val="ro-MD"/>
        </w:rPr>
        <w:t xml:space="preserve">тся </w:t>
      </w:r>
      <w:r w:rsidR="00B030D1" w:rsidRPr="00B030D1">
        <w:rPr>
          <w:rFonts w:asciiTheme="majorHAnsi" w:hAnsiTheme="majorHAnsi" w:cstheme="majorHAnsi"/>
          <w:sz w:val="24"/>
          <w:szCs w:val="24"/>
          <w:lang w:val="ro-MD"/>
        </w:rPr>
        <w:t>дополнительные часы</w:t>
      </w:r>
      <w:r w:rsidRPr="00AC3FAC">
        <w:rPr>
          <w:rFonts w:asciiTheme="majorHAnsi" w:hAnsiTheme="majorHAnsi" w:cstheme="majorHAnsi"/>
          <w:sz w:val="24"/>
          <w:szCs w:val="24"/>
          <w:lang w:val="ro-MD"/>
        </w:rPr>
        <w:t>, котор</w:t>
      </w:r>
      <w:r w:rsidR="00B030D1" w:rsidRPr="00B030D1">
        <w:rPr>
          <w:rFonts w:asciiTheme="majorHAnsi" w:hAnsiTheme="majorHAnsi" w:cstheme="majorHAnsi"/>
          <w:sz w:val="24"/>
          <w:szCs w:val="24"/>
          <w:lang w:val="ro-MD"/>
        </w:rPr>
        <w:t>ые</w:t>
      </w:r>
      <w:r w:rsidRPr="00AC3FAC">
        <w:rPr>
          <w:rFonts w:asciiTheme="majorHAnsi" w:hAnsiTheme="majorHAnsi" w:cstheme="majorHAnsi"/>
          <w:sz w:val="24"/>
          <w:szCs w:val="24"/>
          <w:lang w:val="ro-MD"/>
        </w:rPr>
        <w:t xml:space="preserve"> также был</w:t>
      </w:r>
      <w:r w:rsidR="00B030D1" w:rsidRPr="00B030D1">
        <w:rPr>
          <w:rFonts w:asciiTheme="majorHAnsi" w:hAnsiTheme="majorHAnsi" w:cstheme="majorHAnsi"/>
          <w:sz w:val="24"/>
          <w:szCs w:val="24"/>
          <w:lang w:val="ro-MD"/>
        </w:rPr>
        <w:t>и</w:t>
      </w:r>
      <w:r w:rsidRPr="00AC3FAC">
        <w:rPr>
          <w:rFonts w:asciiTheme="majorHAnsi" w:hAnsiTheme="majorHAnsi" w:cstheme="majorHAnsi"/>
          <w:sz w:val="24"/>
          <w:szCs w:val="24"/>
          <w:lang w:val="ro-MD"/>
        </w:rPr>
        <w:t xml:space="preserve"> оплачен</w:t>
      </w:r>
      <w:r w:rsidR="00B030D1" w:rsidRPr="00B030D1">
        <w:rPr>
          <w:rFonts w:asciiTheme="majorHAnsi" w:hAnsiTheme="majorHAnsi" w:cstheme="majorHAnsi"/>
          <w:sz w:val="24"/>
          <w:szCs w:val="24"/>
          <w:lang w:val="ro-MD"/>
        </w:rPr>
        <w:t>ы</w:t>
      </w:r>
      <w:r w:rsidRPr="00AC3FAC">
        <w:rPr>
          <w:rFonts w:asciiTheme="majorHAnsi" w:hAnsiTheme="majorHAnsi" w:cstheme="majorHAnsi"/>
          <w:sz w:val="24"/>
          <w:szCs w:val="24"/>
          <w:lang w:val="ro-MD"/>
        </w:rPr>
        <w:t xml:space="preserve">, но не </w:t>
      </w:r>
      <w:r w:rsidR="00B030D1" w:rsidRPr="00B030D1">
        <w:rPr>
          <w:rFonts w:asciiTheme="majorHAnsi" w:hAnsiTheme="majorHAnsi" w:cstheme="majorHAnsi"/>
          <w:sz w:val="24"/>
          <w:szCs w:val="24"/>
          <w:lang w:val="ro-MD"/>
        </w:rPr>
        <w:t>приняты в расчет</w:t>
      </w:r>
      <w:r w:rsidRPr="00AC3FAC">
        <w:rPr>
          <w:rFonts w:asciiTheme="majorHAnsi" w:hAnsiTheme="majorHAnsi" w:cstheme="majorHAnsi"/>
          <w:sz w:val="24"/>
          <w:szCs w:val="24"/>
          <w:lang w:val="ro-MD"/>
        </w:rPr>
        <w:t xml:space="preserve"> аудитом</w:t>
      </w:r>
      <w:r w:rsidR="00EF1983" w:rsidRPr="00B13B9A">
        <w:rPr>
          <w:rFonts w:asciiTheme="majorHAnsi" w:hAnsiTheme="majorHAnsi" w:cstheme="majorHAnsi"/>
          <w:sz w:val="24"/>
          <w:szCs w:val="24"/>
          <w:lang w:val="ro-MD"/>
        </w:rPr>
        <w:t>.</w:t>
      </w:r>
    </w:p>
    <w:p w14:paraId="1F769360" w14:textId="35B94054" w:rsidR="00EF1983" w:rsidRPr="00B13B9A" w:rsidRDefault="00AC3FAC" w:rsidP="00EF1983">
      <w:pPr>
        <w:spacing w:after="0" w:line="276" w:lineRule="auto"/>
        <w:jc w:val="both"/>
        <w:rPr>
          <w:rFonts w:asciiTheme="majorHAnsi" w:eastAsia="SimSun" w:hAnsiTheme="majorHAnsi" w:cstheme="majorHAnsi"/>
          <w:sz w:val="24"/>
          <w:szCs w:val="24"/>
          <w:lang w:val="ro-MD"/>
        </w:rPr>
      </w:pPr>
      <w:r w:rsidRPr="00AC3FAC">
        <w:rPr>
          <w:rFonts w:asciiTheme="majorHAnsi" w:eastAsia="SimSun" w:hAnsiTheme="majorHAnsi" w:cstheme="majorHAnsi"/>
          <w:sz w:val="24"/>
          <w:szCs w:val="24"/>
          <w:lang w:val="ro-MD"/>
        </w:rPr>
        <w:t xml:space="preserve">В этом контексте аудит отмечает, что механизмы внутреннего контроля должны быть усилены и улучшены </w:t>
      </w:r>
      <w:r w:rsidR="00B030D1" w:rsidRPr="00B030D1">
        <w:rPr>
          <w:rFonts w:asciiTheme="majorHAnsi" w:eastAsia="SimSun" w:hAnsiTheme="majorHAnsi" w:cstheme="majorHAnsi"/>
          <w:sz w:val="24"/>
          <w:szCs w:val="24"/>
          <w:lang w:val="ro-MD"/>
        </w:rPr>
        <w:t>в</w:t>
      </w:r>
      <w:r w:rsidRPr="00AC3FAC">
        <w:rPr>
          <w:rFonts w:asciiTheme="majorHAnsi" w:eastAsia="SimSun" w:hAnsiTheme="majorHAnsi" w:cstheme="majorHAnsi"/>
          <w:sz w:val="24"/>
          <w:szCs w:val="24"/>
          <w:lang w:val="ro-MD"/>
        </w:rPr>
        <w:t xml:space="preserve"> цел</w:t>
      </w:r>
      <w:r w:rsidR="00B030D1" w:rsidRPr="00B030D1">
        <w:rPr>
          <w:rFonts w:asciiTheme="majorHAnsi" w:eastAsia="SimSun" w:hAnsiTheme="majorHAnsi" w:cstheme="majorHAnsi"/>
          <w:sz w:val="24"/>
          <w:szCs w:val="24"/>
          <w:lang w:val="ro-MD"/>
        </w:rPr>
        <w:t>ях</w:t>
      </w:r>
      <w:r w:rsidRPr="00AC3FAC">
        <w:rPr>
          <w:rFonts w:asciiTheme="majorHAnsi" w:eastAsia="SimSun" w:hAnsiTheme="majorHAnsi" w:cstheme="majorHAnsi"/>
          <w:sz w:val="24"/>
          <w:szCs w:val="24"/>
          <w:lang w:val="ro-MD"/>
        </w:rPr>
        <w:t xml:space="preserve"> обеспечения соответствия процесса оплаты труда</w:t>
      </w:r>
      <w:r w:rsidR="00EF1983" w:rsidRPr="00B13B9A">
        <w:rPr>
          <w:rFonts w:asciiTheme="majorHAnsi" w:eastAsia="SimSun" w:hAnsiTheme="majorHAnsi" w:cstheme="majorHAnsi"/>
          <w:sz w:val="24"/>
          <w:szCs w:val="24"/>
          <w:lang w:val="ro-MD"/>
        </w:rPr>
        <w:t>.</w:t>
      </w:r>
    </w:p>
    <w:p w14:paraId="23009568" w14:textId="5A3518FF" w:rsidR="00495592" w:rsidRPr="00B13B9A" w:rsidRDefault="00495592" w:rsidP="00EF1983">
      <w:pPr>
        <w:spacing w:after="0" w:line="276" w:lineRule="auto"/>
        <w:jc w:val="both"/>
        <w:rPr>
          <w:rFonts w:asciiTheme="majorHAnsi" w:eastAsia="SimSun" w:hAnsiTheme="majorHAnsi" w:cstheme="majorHAnsi"/>
          <w:i/>
          <w:sz w:val="24"/>
          <w:szCs w:val="24"/>
          <w:lang w:val="ro-MD"/>
        </w:rPr>
      </w:pPr>
      <w:r w:rsidRPr="000B206B">
        <w:rPr>
          <w:rFonts w:asciiTheme="majorHAnsi" w:eastAsia="SimSun" w:hAnsiTheme="majorHAnsi" w:cstheme="majorHAnsi"/>
          <w:i/>
          <w:sz w:val="24"/>
          <w:szCs w:val="24"/>
          <w:lang w:val="ro-MD"/>
        </w:rPr>
        <w:t>*</w:t>
      </w:r>
      <w:r w:rsidR="00AC3FAC">
        <w:rPr>
          <w:rFonts w:asciiTheme="majorHAnsi" w:eastAsia="SimSun" w:hAnsiTheme="majorHAnsi" w:cstheme="majorHAnsi"/>
          <w:i/>
          <w:sz w:val="24"/>
          <w:szCs w:val="24"/>
          <w:lang w:val="ro-MD"/>
        </w:rPr>
        <w:t>Справка</w:t>
      </w:r>
      <w:r w:rsidRPr="000B206B">
        <w:rPr>
          <w:rFonts w:asciiTheme="majorHAnsi" w:eastAsia="SimSun" w:hAnsiTheme="majorHAnsi" w:cstheme="majorHAnsi"/>
          <w:i/>
          <w:sz w:val="24"/>
          <w:szCs w:val="24"/>
          <w:lang w:val="ro-MD"/>
        </w:rPr>
        <w:t xml:space="preserve">: </w:t>
      </w:r>
      <w:r w:rsidR="00AC3FAC" w:rsidRPr="00AC3FAC">
        <w:rPr>
          <w:rFonts w:asciiTheme="majorHAnsi" w:eastAsia="SimSun" w:hAnsiTheme="majorHAnsi" w:cstheme="majorHAnsi"/>
          <w:i/>
          <w:sz w:val="24"/>
          <w:szCs w:val="24"/>
          <w:lang w:val="ro-MD"/>
        </w:rPr>
        <w:t xml:space="preserve">В ходе аудиторской миссии субъект собрал от сотрудников заявления об удержании из заработной платы незаконно выплаченных сумм, в соответствии с Приказом </w:t>
      </w:r>
      <w:r w:rsidR="00B030D1">
        <w:rPr>
          <w:rFonts w:asciiTheme="majorHAnsi" w:eastAsia="SimSun" w:hAnsiTheme="majorHAnsi" w:cstheme="majorHAnsi"/>
          <w:i/>
          <w:sz w:val="24"/>
          <w:szCs w:val="24"/>
          <w:lang w:val="ru-RU"/>
        </w:rPr>
        <w:t>Д</w:t>
      </w:r>
      <w:r w:rsidR="00AC3FAC" w:rsidRPr="00AC3FAC">
        <w:rPr>
          <w:rFonts w:asciiTheme="majorHAnsi" w:eastAsia="SimSun" w:hAnsiTheme="majorHAnsi" w:cstheme="majorHAnsi"/>
          <w:i/>
          <w:sz w:val="24"/>
          <w:szCs w:val="24"/>
          <w:lang w:val="ro-MD"/>
        </w:rPr>
        <w:t>иректора ПМСУ ИФП „Кирилл Драганюк” №113 от 07.12.2023. С 7 человек было восстановлено 7,6 тыс. леев, а с 27 сотрудников будет возвращена сумма в 39,5 тыс. леев</w:t>
      </w:r>
      <w:r w:rsidR="00120E5E" w:rsidRPr="000B206B">
        <w:rPr>
          <w:rFonts w:asciiTheme="majorHAnsi" w:eastAsia="SimSun" w:hAnsiTheme="majorHAnsi" w:cstheme="majorHAnsi"/>
          <w:i/>
          <w:sz w:val="24"/>
          <w:szCs w:val="24"/>
          <w:lang w:val="ro-MD"/>
        </w:rPr>
        <w:t>.</w:t>
      </w:r>
      <w:r w:rsidR="00980A00" w:rsidRPr="00B13B9A">
        <w:rPr>
          <w:rFonts w:asciiTheme="majorHAnsi" w:eastAsia="SimSun" w:hAnsiTheme="majorHAnsi" w:cstheme="majorHAnsi"/>
          <w:i/>
          <w:sz w:val="24"/>
          <w:szCs w:val="24"/>
          <w:lang w:val="ro-MD"/>
        </w:rPr>
        <w:t xml:space="preserve"> </w:t>
      </w:r>
    </w:p>
    <w:p w14:paraId="68706DDA" w14:textId="77777777" w:rsidR="00EF1983" w:rsidRPr="00B13B9A" w:rsidRDefault="00EF1983" w:rsidP="00EF1983">
      <w:pPr>
        <w:spacing w:after="0" w:line="276" w:lineRule="auto"/>
        <w:jc w:val="both"/>
        <w:rPr>
          <w:rFonts w:asciiTheme="majorHAnsi" w:eastAsia="SimSun" w:hAnsiTheme="majorHAnsi" w:cstheme="majorHAnsi"/>
          <w:sz w:val="24"/>
          <w:szCs w:val="24"/>
          <w:lang w:val="ro-MD"/>
        </w:rPr>
      </w:pPr>
    </w:p>
    <w:p w14:paraId="3C333171" w14:textId="1F01CF59" w:rsidR="00EF1983" w:rsidRPr="00B13B9A" w:rsidRDefault="00AC3FAC" w:rsidP="00AC3FAC">
      <w:pPr>
        <w:pStyle w:val="3"/>
        <w:numPr>
          <w:ilvl w:val="2"/>
          <w:numId w:val="10"/>
        </w:numPr>
        <w:tabs>
          <w:tab w:val="left" w:pos="1080"/>
        </w:tabs>
        <w:spacing w:line="276" w:lineRule="auto"/>
        <w:ind w:left="0" w:firstLine="284"/>
        <w:jc w:val="both"/>
        <w:rPr>
          <w:rFonts w:cstheme="majorHAnsi"/>
          <w:b/>
          <w:i/>
          <w:color w:val="auto"/>
          <w:lang w:eastAsia="ro-RO"/>
        </w:rPr>
      </w:pPr>
      <w:bookmarkStart w:id="33" w:name="_Toc95406293"/>
      <w:bookmarkStart w:id="34" w:name="_Toc158317239"/>
      <w:r w:rsidRPr="00AC3FAC">
        <w:rPr>
          <w:rFonts w:cstheme="majorHAnsi"/>
          <w:b/>
          <w:color w:val="auto"/>
          <w:lang w:eastAsia="ro-RO"/>
        </w:rPr>
        <w:t xml:space="preserve">Менеджер </w:t>
      </w:r>
      <w:r w:rsidR="00B030D1">
        <w:rPr>
          <w:rFonts w:cstheme="majorHAnsi"/>
          <w:b/>
          <w:color w:val="auto"/>
          <w:lang w:eastAsia="ro-RO"/>
        </w:rPr>
        <w:t>ПМСУ ИФП</w:t>
      </w:r>
      <w:r w:rsidRPr="00AC3FAC">
        <w:rPr>
          <w:rFonts w:cstheme="majorHAnsi"/>
          <w:b/>
          <w:color w:val="auto"/>
          <w:lang w:eastAsia="ro-RO"/>
        </w:rPr>
        <w:t xml:space="preserve"> </w:t>
      </w:r>
      <w:r w:rsidR="00AC00D0">
        <w:rPr>
          <w:rFonts w:cstheme="majorHAnsi"/>
          <w:b/>
          <w:color w:val="auto"/>
          <w:lang w:eastAsia="ro-RO"/>
        </w:rPr>
        <w:t>„</w:t>
      </w:r>
      <w:r w:rsidR="00AC00D0" w:rsidRPr="00AC00D0">
        <w:rPr>
          <w:rFonts w:cstheme="majorHAnsi"/>
          <w:b/>
          <w:color w:val="auto"/>
          <w:lang w:val="ru-MD" w:eastAsia="ro-RO"/>
        </w:rPr>
        <w:t>Кирилл Драганюк</w:t>
      </w:r>
      <w:r w:rsidR="00F56EC1">
        <w:rPr>
          <w:rFonts w:cstheme="majorHAnsi"/>
          <w:b/>
          <w:color w:val="auto"/>
          <w:lang w:eastAsia="ro-RO"/>
        </w:rPr>
        <w:t>”</w:t>
      </w:r>
      <w:r w:rsidRPr="00AC3FAC">
        <w:rPr>
          <w:rFonts w:cstheme="majorHAnsi"/>
          <w:b/>
          <w:color w:val="auto"/>
          <w:lang w:eastAsia="ro-RO"/>
        </w:rPr>
        <w:t xml:space="preserve"> не обеспечил в полной мере назначение</w:t>
      </w:r>
      <w:r w:rsidR="00EE088D" w:rsidRPr="00EE088D">
        <w:rPr>
          <w:rFonts w:cstheme="majorHAnsi"/>
          <w:b/>
          <w:color w:val="auto"/>
          <w:lang w:eastAsia="ro-RO"/>
        </w:rPr>
        <w:t>,</w:t>
      </w:r>
      <w:r w:rsidRPr="00AC3FAC">
        <w:rPr>
          <w:rFonts w:cstheme="majorHAnsi"/>
          <w:b/>
          <w:color w:val="auto"/>
          <w:lang w:eastAsia="ro-RO"/>
        </w:rPr>
        <w:t xml:space="preserve"> </w:t>
      </w:r>
      <w:r w:rsidR="00EE088D" w:rsidRPr="00EE088D">
        <w:rPr>
          <w:rFonts w:cstheme="majorHAnsi"/>
          <w:b/>
          <w:color w:val="auto"/>
          <w:lang w:eastAsia="ro-RO"/>
        </w:rPr>
        <w:t>согласно</w:t>
      </w:r>
      <w:r w:rsidRPr="00AC3FAC">
        <w:rPr>
          <w:rFonts w:cstheme="majorHAnsi"/>
          <w:b/>
          <w:color w:val="auto"/>
          <w:lang w:eastAsia="ro-RO"/>
        </w:rPr>
        <w:t xml:space="preserve"> приказ</w:t>
      </w:r>
      <w:r w:rsidR="00EE088D" w:rsidRPr="00EE088D">
        <w:rPr>
          <w:rFonts w:cstheme="majorHAnsi"/>
          <w:b/>
          <w:color w:val="auto"/>
          <w:lang w:eastAsia="ro-RO"/>
        </w:rPr>
        <w:t>ам,</w:t>
      </w:r>
      <w:r w:rsidRPr="00AC3FAC">
        <w:rPr>
          <w:rFonts w:cstheme="majorHAnsi"/>
          <w:b/>
          <w:color w:val="auto"/>
          <w:lang w:eastAsia="ro-RO"/>
        </w:rPr>
        <w:t xml:space="preserve"> персонала, непосредственно </w:t>
      </w:r>
      <w:r w:rsidR="00EE088D" w:rsidRPr="00EE088D">
        <w:rPr>
          <w:rFonts w:cstheme="majorHAnsi"/>
          <w:b/>
          <w:color w:val="auto"/>
          <w:lang w:eastAsia="ro-RO"/>
        </w:rPr>
        <w:t>задействова</w:t>
      </w:r>
      <w:r w:rsidRPr="00AC3FAC">
        <w:rPr>
          <w:rFonts w:cstheme="majorHAnsi"/>
          <w:b/>
          <w:color w:val="auto"/>
          <w:lang w:eastAsia="ro-RO"/>
        </w:rPr>
        <w:t xml:space="preserve">нного </w:t>
      </w:r>
      <w:r w:rsidR="00EE088D" w:rsidRPr="00EE088D">
        <w:rPr>
          <w:rFonts w:cstheme="majorHAnsi"/>
          <w:b/>
          <w:color w:val="auto"/>
          <w:lang w:eastAsia="ro-RO"/>
        </w:rPr>
        <w:t xml:space="preserve">в </w:t>
      </w:r>
      <w:r w:rsidRPr="00AC3FAC">
        <w:rPr>
          <w:rFonts w:cstheme="majorHAnsi"/>
          <w:b/>
          <w:color w:val="auto"/>
          <w:lang w:eastAsia="ro-RO"/>
        </w:rPr>
        <w:t>лечени</w:t>
      </w:r>
      <w:r w:rsidR="00EE088D" w:rsidRPr="00EE088D">
        <w:rPr>
          <w:rFonts w:cstheme="majorHAnsi"/>
          <w:b/>
          <w:color w:val="auto"/>
          <w:lang w:eastAsia="ro-RO"/>
        </w:rPr>
        <w:t>и</w:t>
      </w:r>
      <w:r w:rsidRPr="00AC3FAC">
        <w:rPr>
          <w:rFonts w:cstheme="majorHAnsi"/>
          <w:b/>
          <w:color w:val="auto"/>
          <w:lang w:eastAsia="ro-RO"/>
        </w:rPr>
        <w:t xml:space="preserve"> пациентов, инфицированных COVID-19, что </w:t>
      </w:r>
      <w:r w:rsidR="00EE088D" w:rsidRPr="00EE088D">
        <w:rPr>
          <w:rFonts w:cstheme="majorHAnsi"/>
          <w:b/>
          <w:color w:val="auto"/>
          <w:lang w:eastAsia="ro-RO"/>
        </w:rPr>
        <w:t>обуслови</w:t>
      </w:r>
      <w:r w:rsidRPr="00AC3FAC">
        <w:rPr>
          <w:rFonts w:cstheme="majorHAnsi"/>
          <w:b/>
          <w:color w:val="auto"/>
          <w:lang w:eastAsia="ro-RO"/>
        </w:rPr>
        <w:t>ло ненадлежащ</w:t>
      </w:r>
      <w:r w:rsidR="00EE088D" w:rsidRPr="00EE088D">
        <w:rPr>
          <w:rFonts w:cstheme="majorHAnsi"/>
          <w:b/>
          <w:color w:val="auto"/>
          <w:lang w:eastAsia="ro-RO"/>
        </w:rPr>
        <w:t>ую</w:t>
      </w:r>
      <w:r w:rsidRPr="00AC3FAC">
        <w:rPr>
          <w:rFonts w:cstheme="majorHAnsi"/>
          <w:b/>
          <w:color w:val="auto"/>
          <w:lang w:eastAsia="ro-RO"/>
        </w:rPr>
        <w:t xml:space="preserve"> отчетност</w:t>
      </w:r>
      <w:r w:rsidR="00EE088D" w:rsidRPr="00EE088D">
        <w:rPr>
          <w:rFonts w:cstheme="majorHAnsi"/>
          <w:b/>
          <w:color w:val="auto"/>
          <w:lang w:eastAsia="ro-RO"/>
        </w:rPr>
        <w:t>ь</w:t>
      </w:r>
      <w:r w:rsidRPr="00AC3FAC">
        <w:rPr>
          <w:rFonts w:cstheme="majorHAnsi"/>
          <w:b/>
          <w:color w:val="auto"/>
          <w:lang w:eastAsia="ro-RO"/>
        </w:rPr>
        <w:t xml:space="preserve">, </w:t>
      </w:r>
      <w:r w:rsidR="00EE088D" w:rsidRPr="00EE088D">
        <w:rPr>
          <w:rFonts w:cstheme="majorHAnsi"/>
          <w:b/>
          <w:color w:val="auto"/>
          <w:lang w:eastAsia="ro-RO"/>
        </w:rPr>
        <w:t>запрос</w:t>
      </w:r>
      <w:r w:rsidRPr="00AC3FAC">
        <w:rPr>
          <w:rFonts w:cstheme="majorHAnsi"/>
          <w:b/>
          <w:color w:val="auto"/>
          <w:lang w:eastAsia="ro-RO"/>
        </w:rPr>
        <w:t xml:space="preserve"> и выделени</w:t>
      </w:r>
      <w:r w:rsidR="00EE088D" w:rsidRPr="00EE088D">
        <w:rPr>
          <w:rFonts w:cstheme="majorHAnsi"/>
          <w:b/>
          <w:color w:val="auto"/>
          <w:lang w:eastAsia="ro-RO"/>
        </w:rPr>
        <w:t>е</w:t>
      </w:r>
      <w:r w:rsidRPr="00AC3FAC">
        <w:rPr>
          <w:rFonts w:cstheme="majorHAnsi"/>
          <w:b/>
          <w:color w:val="auto"/>
          <w:lang w:eastAsia="ro-RO"/>
        </w:rPr>
        <w:t xml:space="preserve"> дополнительных финансовых средств из </w:t>
      </w:r>
      <w:r w:rsidR="00EE088D">
        <w:rPr>
          <w:rFonts w:cstheme="majorHAnsi"/>
          <w:b/>
          <w:color w:val="auto"/>
          <w:lang w:eastAsia="ro-RO"/>
        </w:rPr>
        <w:t>ФОМС</w:t>
      </w:r>
      <w:r w:rsidRPr="00AC3FAC">
        <w:rPr>
          <w:rFonts w:cstheme="majorHAnsi"/>
          <w:b/>
          <w:color w:val="auto"/>
          <w:lang w:eastAsia="ro-RO"/>
        </w:rPr>
        <w:t xml:space="preserve"> в сумме 110,0 тыс. леев</w:t>
      </w:r>
      <w:bookmarkEnd w:id="33"/>
      <w:r w:rsidR="006625ED" w:rsidRPr="00B13B9A">
        <w:rPr>
          <w:rFonts w:cstheme="majorHAnsi"/>
          <w:b/>
          <w:color w:val="auto"/>
          <w:szCs w:val="28"/>
        </w:rPr>
        <w:t>.</w:t>
      </w:r>
      <w:bookmarkEnd w:id="34"/>
      <w:r w:rsidR="00EF1983" w:rsidRPr="00B13B9A">
        <w:rPr>
          <w:rFonts w:cstheme="majorHAnsi"/>
          <w:b/>
          <w:color w:val="auto"/>
          <w:szCs w:val="28"/>
        </w:rPr>
        <w:t xml:space="preserve"> </w:t>
      </w:r>
      <w:r w:rsidR="00EF1983" w:rsidRPr="00B13B9A">
        <w:rPr>
          <w:rFonts w:cstheme="majorHAnsi"/>
          <w:b/>
          <w:color w:val="auto"/>
          <w:sz w:val="28"/>
          <w:lang w:eastAsia="ro-RO"/>
        </w:rPr>
        <w:t xml:space="preserve"> </w:t>
      </w:r>
    </w:p>
    <w:p w14:paraId="12FC8F73" w14:textId="654ED42C" w:rsidR="00EF1983" w:rsidRPr="00B13B9A" w:rsidRDefault="00AC3FAC" w:rsidP="00EF1983">
      <w:pPr>
        <w:spacing w:after="0" w:line="276" w:lineRule="auto"/>
        <w:jc w:val="both"/>
        <w:rPr>
          <w:rFonts w:asciiTheme="majorHAnsi" w:hAnsiTheme="majorHAnsi" w:cstheme="majorHAnsi"/>
          <w:bCs/>
          <w:sz w:val="24"/>
          <w:szCs w:val="24"/>
          <w:lang w:val="ro-MD" w:eastAsia="ro-RO"/>
        </w:rPr>
      </w:pPr>
      <w:r w:rsidRPr="00AC3FAC">
        <w:rPr>
          <w:rFonts w:asciiTheme="majorHAnsi" w:hAnsiTheme="majorHAnsi" w:cstheme="majorHAnsi"/>
          <w:bCs/>
          <w:sz w:val="24"/>
          <w:szCs w:val="24"/>
          <w:lang w:val="ro-MD" w:eastAsia="ro-RO"/>
        </w:rPr>
        <w:t>В целях усиления мер по профилактике и контролю инфекции COVID-19, а также в связи с эпидемиологическ</w:t>
      </w:r>
      <w:r w:rsidR="00EE088D">
        <w:rPr>
          <w:rFonts w:asciiTheme="majorHAnsi" w:hAnsiTheme="majorHAnsi" w:cstheme="majorHAnsi"/>
          <w:bCs/>
          <w:sz w:val="24"/>
          <w:szCs w:val="24"/>
          <w:lang w:val="ru-RU" w:eastAsia="ro-RO"/>
        </w:rPr>
        <w:t>ой эволюцией</w:t>
      </w:r>
      <w:r w:rsidRPr="00AC3FAC">
        <w:rPr>
          <w:rFonts w:asciiTheme="majorHAnsi" w:hAnsiTheme="majorHAnsi" w:cstheme="majorHAnsi"/>
          <w:bCs/>
          <w:sz w:val="24"/>
          <w:szCs w:val="24"/>
          <w:lang w:val="ro-MD" w:eastAsia="ro-RO"/>
        </w:rPr>
        <w:t xml:space="preserve"> инфекции COVID-19</w:t>
      </w:r>
      <w:r w:rsidR="00EE088D">
        <w:rPr>
          <w:rFonts w:asciiTheme="majorHAnsi" w:hAnsiTheme="majorHAnsi" w:cstheme="majorHAnsi"/>
          <w:bCs/>
          <w:sz w:val="24"/>
          <w:szCs w:val="24"/>
          <w:lang w:val="ru-RU" w:eastAsia="ro-RO"/>
        </w:rPr>
        <w:t>,</w:t>
      </w:r>
      <w:r w:rsidRPr="00AC3FAC">
        <w:rPr>
          <w:rFonts w:asciiTheme="majorHAnsi" w:hAnsiTheme="majorHAnsi" w:cstheme="majorHAnsi"/>
          <w:bCs/>
          <w:sz w:val="24"/>
          <w:szCs w:val="24"/>
          <w:lang w:val="ro-MD" w:eastAsia="ro-RO"/>
        </w:rPr>
        <w:t xml:space="preserve"> министерство утвердило</w:t>
      </w:r>
      <w:r w:rsidR="00EE088D" w:rsidRPr="00B13B9A">
        <w:rPr>
          <w:rStyle w:val="a9"/>
          <w:rFonts w:asciiTheme="majorHAnsi" w:hAnsiTheme="majorHAnsi" w:cstheme="majorHAnsi"/>
          <w:bCs/>
          <w:sz w:val="24"/>
          <w:szCs w:val="24"/>
          <w:lang w:val="ro-MD" w:eastAsia="ro-RO"/>
        </w:rPr>
        <w:footnoteReference w:id="44"/>
      </w:r>
      <w:r w:rsidR="00EE088D">
        <w:rPr>
          <w:rFonts w:asciiTheme="majorHAnsi" w:hAnsiTheme="majorHAnsi" w:cstheme="majorHAnsi"/>
          <w:bCs/>
          <w:sz w:val="24"/>
          <w:szCs w:val="24"/>
          <w:lang w:val="ro-MD" w:eastAsia="ro-RO"/>
        </w:rPr>
        <w:t xml:space="preserve"> список </w:t>
      </w:r>
      <w:r w:rsidR="00EE088D" w:rsidRPr="00AC3FAC">
        <w:rPr>
          <w:rFonts w:asciiTheme="majorHAnsi" w:hAnsiTheme="majorHAnsi" w:cstheme="majorHAnsi"/>
          <w:bCs/>
          <w:sz w:val="24"/>
          <w:szCs w:val="24"/>
          <w:lang w:val="ro-MD" w:eastAsia="ro-RO"/>
        </w:rPr>
        <w:t>больни</w:t>
      </w:r>
      <w:r w:rsidR="00EE088D">
        <w:rPr>
          <w:rFonts w:asciiTheme="majorHAnsi" w:hAnsiTheme="majorHAnsi" w:cstheme="majorHAnsi"/>
          <w:bCs/>
          <w:sz w:val="24"/>
          <w:szCs w:val="24"/>
          <w:lang w:val="ru-RU" w:eastAsia="ro-RO"/>
        </w:rPr>
        <w:t>чных</w:t>
      </w:r>
      <w:r w:rsidR="00EE088D">
        <w:rPr>
          <w:rFonts w:asciiTheme="majorHAnsi" w:hAnsiTheme="majorHAnsi" w:cstheme="majorHAnsi"/>
          <w:bCs/>
          <w:sz w:val="24"/>
          <w:szCs w:val="24"/>
          <w:lang w:val="ro-MD" w:eastAsia="ro-RO"/>
        </w:rPr>
        <w:t xml:space="preserve"> публич</w:t>
      </w:r>
      <w:r w:rsidRPr="00AC3FAC">
        <w:rPr>
          <w:rFonts w:asciiTheme="majorHAnsi" w:hAnsiTheme="majorHAnsi" w:cstheme="majorHAnsi"/>
          <w:bCs/>
          <w:sz w:val="24"/>
          <w:szCs w:val="24"/>
          <w:lang w:val="ro-MD" w:eastAsia="ro-RO"/>
        </w:rPr>
        <w:t>ных медици</w:t>
      </w:r>
      <w:r w:rsidR="00EE088D">
        <w:rPr>
          <w:rFonts w:asciiTheme="majorHAnsi" w:hAnsiTheme="majorHAnsi" w:cstheme="majorHAnsi"/>
          <w:bCs/>
          <w:sz w:val="24"/>
          <w:szCs w:val="24"/>
          <w:lang w:val="ru-RU" w:eastAsia="ro-RO"/>
        </w:rPr>
        <w:t>ко-санитарных</w:t>
      </w:r>
      <w:r w:rsidRPr="00AC3FAC">
        <w:rPr>
          <w:rFonts w:asciiTheme="majorHAnsi" w:hAnsiTheme="majorHAnsi" w:cstheme="majorHAnsi"/>
          <w:bCs/>
          <w:sz w:val="24"/>
          <w:szCs w:val="24"/>
          <w:lang w:val="ro-MD" w:eastAsia="ro-RO"/>
        </w:rPr>
        <w:t xml:space="preserve"> учреждений, предназначенных для госпитализации пациентов, которые соответствуют критериям определения случая COVID-19. Руководители </w:t>
      </w:r>
      <w:r w:rsidR="00EE088D">
        <w:rPr>
          <w:rFonts w:asciiTheme="majorHAnsi" w:hAnsiTheme="majorHAnsi" w:cstheme="majorHAnsi"/>
          <w:bCs/>
          <w:sz w:val="24"/>
          <w:szCs w:val="24"/>
          <w:lang w:val="ro-MD" w:eastAsia="ro-RO"/>
        </w:rPr>
        <w:t>публич</w:t>
      </w:r>
      <w:r w:rsidRPr="00AC3FAC">
        <w:rPr>
          <w:rFonts w:asciiTheme="majorHAnsi" w:hAnsiTheme="majorHAnsi" w:cstheme="majorHAnsi"/>
          <w:bCs/>
          <w:sz w:val="24"/>
          <w:szCs w:val="24"/>
          <w:lang w:val="ro-MD" w:eastAsia="ro-RO"/>
        </w:rPr>
        <w:t xml:space="preserve">ных медико-санитарных учреждений должны были обеспечить </w:t>
      </w:r>
      <w:r w:rsidR="00EE088D">
        <w:rPr>
          <w:rFonts w:asciiTheme="majorHAnsi" w:hAnsiTheme="majorHAnsi" w:cstheme="majorHAnsi"/>
          <w:bCs/>
          <w:sz w:val="24"/>
          <w:szCs w:val="24"/>
          <w:lang w:val="ru-RU" w:eastAsia="ro-RO"/>
        </w:rPr>
        <w:t>актуализацию</w:t>
      </w:r>
      <w:r w:rsidRPr="00AC3FAC">
        <w:rPr>
          <w:rFonts w:asciiTheme="majorHAnsi" w:hAnsiTheme="majorHAnsi" w:cstheme="majorHAnsi"/>
          <w:bCs/>
          <w:sz w:val="24"/>
          <w:szCs w:val="24"/>
          <w:lang w:val="ro-MD" w:eastAsia="ro-RO"/>
        </w:rPr>
        <w:t xml:space="preserve"> институциональных </w:t>
      </w:r>
      <w:r w:rsidR="00EE088D">
        <w:rPr>
          <w:rFonts w:asciiTheme="majorHAnsi" w:hAnsiTheme="majorHAnsi" w:cstheme="majorHAnsi"/>
          <w:bCs/>
          <w:sz w:val="24"/>
          <w:szCs w:val="24"/>
          <w:lang w:val="ru-RU" w:eastAsia="ro-RO"/>
        </w:rPr>
        <w:t xml:space="preserve">контингентных </w:t>
      </w:r>
      <w:r w:rsidRPr="00AC3FAC">
        <w:rPr>
          <w:rFonts w:asciiTheme="majorHAnsi" w:hAnsiTheme="majorHAnsi" w:cstheme="majorHAnsi"/>
          <w:bCs/>
          <w:sz w:val="24"/>
          <w:szCs w:val="24"/>
          <w:lang w:val="ro-MD" w:eastAsia="ro-RO"/>
        </w:rPr>
        <w:t>планов</w:t>
      </w:r>
      <w:r w:rsidR="00EE088D">
        <w:rPr>
          <w:rFonts w:asciiTheme="majorHAnsi" w:hAnsiTheme="majorHAnsi" w:cstheme="majorHAnsi"/>
          <w:bCs/>
          <w:sz w:val="24"/>
          <w:szCs w:val="24"/>
          <w:lang w:val="ru-RU" w:eastAsia="ro-RO"/>
        </w:rPr>
        <w:t>,</w:t>
      </w:r>
      <w:r w:rsidRPr="00AC3FAC">
        <w:rPr>
          <w:rFonts w:asciiTheme="majorHAnsi" w:hAnsiTheme="majorHAnsi" w:cstheme="majorHAnsi"/>
          <w:bCs/>
          <w:sz w:val="24"/>
          <w:szCs w:val="24"/>
          <w:lang w:val="ro-MD" w:eastAsia="ro-RO"/>
        </w:rPr>
        <w:t xml:space="preserve"> с упором на резерв кадров, </w:t>
      </w:r>
      <w:r w:rsidR="00815146" w:rsidRPr="00815146">
        <w:rPr>
          <w:rFonts w:asciiTheme="majorHAnsi" w:hAnsiTheme="majorHAnsi" w:cstheme="majorHAnsi"/>
          <w:bCs/>
          <w:sz w:val="24"/>
          <w:szCs w:val="24"/>
          <w:lang w:val="ro-MD" w:eastAsia="ro-RO"/>
        </w:rPr>
        <w:t>средств защиты, расходны</w:t>
      </w:r>
      <w:r w:rsidR="00815146">
        <w:rPr>
          <w:rFonts w:asciiTheme="majorHAnsi" w:hAnsiTheme="majorHAnsi" w:cstheme="majorHAnsi"/>
          <w:bCs/>
          <w:sz w:val="24"/>
          <w:szCs w:val="24"/>
          <w:lang w:val="ru-RU" w:eastAsia="ro-RO"/>
        </w:rPr>
        <w:t>х</w:t>
      </w:r>
      <w:r w:rsidR="00815146" w:rsidRPr="00815146">
        <w:rPr>
          <w:rFonts w:asciiTheme="majorHAnsi" w:hAnsiTheme="majorHAnsi" w:cstheme="majorHAnsi"/>
          <w:bCs/>
          <w:sz w:val="24"/>
          <w:szCs w:val="24"/>
          <w:lang w:val="ro-MD" w:eastAsia="ro-RO"/>
        </w:rPr>
        <w:t xml:space="preserve"> материал</w:t>
      </w:r>
      <w:r w:rsidR="00815146">
        <w:rPr>
          <w:rFonts w:asciiTheme="majorHAnsi" w:hAnsiTheme="majorHAnsi" w:cstheme="majorHAnsi"/>
          <w:bCs/>
          <w:sz w:val="24"/>
          <w:szCs w:val="24"/>
          <w:lang w:val="ru-RU" w:eastAsia="ro-RO"/>
        </w:rPr>
        <w:t>ов</w:t>
      </w:r>
      <w:r w:rsidR="00815146" w:rsidRPr="00815146">
        <w:rPr>
          <w:rFonts w:asciiTheme="majorHAnsi" w:hAnsiTheme="majorHAnsi" w:cstheme="majorHAnsi"/>
          <w:bCs/>
          <w:sz w:val="24"/>
          <w:szCs w:val="24"/>
          <w:lang w:val="ro-MD" w:eastAsia="ro-RO"/>
        </w:rPr>
        <w:t xml:space="preserve"> и медикамент</w:t>
      </w:r>
      <w:r w:rsidR="00815146">
        <w:rPr>
          <w:rFonts w:asciiTheme="majorHAnsi" w:hAnsiTheme="majorHAnsi" w:cstheme="majorHAnsi"/>
          <w:bCs/>
          <w:sz w:val="24"/>
          <w:szCs w:val="24"/>
          <w:lang w:val="ru-RU" w:eastAsia="ro-RO"/>
        </w:rPr>
        <w:t>ов</w:t>
      </w:r>
      <w:r w:rsidRPr="00AC3FAC">
        <w:rPr>
          <w:rFonts w:asciiTheme="majorHAnsi" w:hAnsiTheme="majorHAnsi" w:cstheme="majorHAnsi"/>
          <w:bCs/>
          <w:sz w:val="24"/>
          <w:szCs w:val="24"/>
          <w:lang w:val="ro-MD" w:eastAsia="ro-RO"/>
        </w:rPr>
        <w:t>. В то же время</w:t>
      </w:r>
      <w:r w:rsidR="00815146">
        <w:rPr>
          <w:rFonts w:asciiTheme="majorHAnsi" w:hAnsiTheme="majorHAnsi" w:cstheme="majorHAnsi"/>
          <w:bCs/>
          <w:sz w:val="24"/>
          <w:szCs w:val="24"/>
          <w:lang w:val="ru-RU" w:eastAsia="ro-RO"/>
        </w:rPr>
        <w:t>,</w:t>
      </w:r>
      <w:r w:rsidRPr="00AC3FAC">
        <w:rPr>
          <w:rFonts w:asciiTheme="majorHAnsi" w:hAnsiTheme="majorHAnsi" w:cstheme="majorHAnsi"/>
          <w:bCs/>
          <w:sz w:val="24"/>
          <w:szCs w:val="24"/>
          <w:lang w:val="ro-MD" w:eastAsia="ro-RO"/>
        </w:rPr>
        <w:t xml:space="preserve"> для </w:t>
      </w:r>
      <w:r w:rsidR="00815146">
        <w:rPr>
          <w:rFonts w:asciiTheme="majorHAnsi" w:hAnsiTheme="majorHAnsi" w:cstheme="majorHAnsi"/>
          <w:bCs/>
          <w:sz w:val="24"/>
          <w:szCs w:val="24"/>
          <w:lang w:val="ru-RU" w:eastAsia="ro-RO"/>
        </w:rPr>
        <w:t>стимулирования</w:t>
      </w:r>
      <w:r w:rsidRPr="00AC3FAC">
        <w:rPr>
          <w:rFonts w:asciiTheme="majorHAnsi" w:hAnsiTheme="majorHAnsi" w:cstheme="majorHAnsi"/>
          <w:bCs/>
          <w:sz w:val="24"/>
          <w:szCs w:val="24"/>
          <w:lang w:val="ro-MD" w:eastAsia="ro-RO"/>
        </w:rPr>
        <w:t xml:space="preserve"> персонала, </w:t>
      </w:r>
      <w:r w:rsidR="00815146">
        <w:rPr>
          <w:rFonts w:asciiTheme="majorHAnsi" w:hAnsiTheme="majorHAnsi" w:cstheme="majorHAnsi"/>
          <w:bCs/>
          <w:sz w:val="24"/>
          <w:szCs w:val="24"/>
          <w:lang w:val="ru-RU" w:eastAsia="ro-RO"/>
        </w:rPr>
        <w:t>задействован</w:t>
      </w:r>
      <w:r w:rsidRPr="00AC3FAC">
        <w:rPr>
          <w:rFonts w:asciiTheme="majorHAnsi" w:hAnsiTheme="majorHAnsi" w:cstheme="majorHAnsi"/>
          <w:bCs/>
          <w:sz w:val="24"/>
          <w:szCs w:val="24"/>
          <w:lang w:val="ro-MD" w:eastAsia="ro-RO"/>
        </w:rPr>
        <w:t xml:space="preserve">ного </w:t>
      </w:r>
      <w:r w:rsidR="00815146">
        <w:rPr>
          <w:rFonts w:asciiTheme="majorHAnsi" w:hAnsiTheme="majorHAnsi" w:cstheme="majorHAnsi"/>
          <w:bCs/>
          <w:sz w:val="24"/>
          <w:szCs w:val="24"/>
          <w:lang w:val="ru-RU" w:eastAsia="ro-RO"/>
        </w:rPr>
        <w:t xml:space="preserve">в </w:t>
      </w:r>
      <w:r w:rsidRPr="00AC3FAC">
        <w:rPr>
          <w:rFonts w:asciiTheme="majorHAnsi" w:hAnsiTheme="majorHAnsi" w:cstheme="majorHAnsi"/>
          <w:bCs/>
          <w:sz w:val="24"/>
          <w:szCs w:val="24"/>
          <w:lang w:val="ro-MD" w:eastAsia="ro-RO"/>
        </w:rPr>
        <w:t>лечени</w:t>
      </w:r>
      <w:r w:rsidR="00815146">
        <w:rPr>
          <w:rFonts w:asciiTheme="majorHAnsi" w:hAnsiTheme="majorHAnsi" w:cstheme="majorHAnsi"/>
          <w:bCs/>
          <w:sz w:val="24"/>
          <w:szCs w:val="24"/>
          <w:lang w:val="ru-RU" w:eastAsia="ro-RO"/>
        </w:rPr>
        <w:t>е</w:t>
      </w:r>
      <w:r w:rsidRPr="00AC3FAC">
        <w:rPr>
          <w:rFonts w:asciiTheme="majorHAnsi" w:hAnsiTheme="majorHAnsi" w:cstheme="majorHAnsi"/>
          <w:bCs/>
          <w:sz w:val="24"/>
          <w:szCs w:val="24"/>
          <w:lang w:val="ro-MD" w:eastAsia="ro-RO"/>
        </w:rPr>
        <w:t xml:space="preserve"> пациентов с COVID-19, был</w:t>
      </w:r>
      <w:r w:rsidR="00815146">
        <w:rPr>
          <w:rFonts w:asciiTheme="majorHAnsi" w:hAnsiTheme="majorHAnsi" w:cstheme="majorHAnsi"/>
          <w:bCs/>
          <w:sz w:val="24"/>
          <w:szCs w:val="24"/>
          <w:lang w:val="ru-RU" w:eastAsia="ro-RO"/>
        </w:rPr>
        <w:t>а</w:t>
      </w:r>
      <w:r w:rsidRPr="00AC3FAC">
        <w:rPr>
          <w:rFonts w:asciiTheme="majorHAnsi" w:hAnsiTheme="majorHAnsi" w:cstheme="majorHAnsi"/>
          <w:bCs/>
          <w:sz w:val="24"/>
          <w:szCs w:val="24"/>
          <w:lang w:val="ro-MD" w:eastAsia="ro-RO"/>
        </w:rPr>
        <w:t xml:space="preserve"> </w:t>
      </w:r>
      <w:r w:rsidR="00815146">
        <w:rPr>
          <w:rFonts w:asciiTheme="majorHAnsi" w:hAnsiTheme="majorHAnsi" w:cstheme="majorHAnsi"/>
          <w:bCs/>
          <w:sz w:val="24"/>
          <w:szCs w:val="24"/>
          <w:lang w:val="ru-RU" w:eastAsia="ro-RO"/>
        </w:rPr>
        <w:t>утверждена</w:t>
      </w:r>
      <w:r w:rsidRPr="00AC3FAC">
        <w:rPr>
          <w:rFonts w:asciiTheme="majorHAnsi" w:hAnsiTheme="majorHAnsi" w:cstheme="majorHAnsi"/>
          <w:bCs/>
          <w:sz w:val="24"/>
          <w:szCs w:val="24"/>
          <w:lang w:val="ro-MD" w:eastAsia="ro-RO"/>
        </w:rPr>
        <w:t xml:space="preserve"> </w:t>
      </w:r>
      <w:r w:rsidR="00815146">
        <w:rPr>
          <w:rFonts w:asciiTheme="majorHAnsi" w:hAnsiTheme="majorHAnsi" w:cstheme="majorHAnsi"/>
          <w:bCs/>
          <w:sz w:val="24"/>
          <w:szCs w:val="24"/>
          <w:lang w:val="ro-MD" w:eastAsia="ro-RO"/>
        </w:rPr>
        <w:t>надбавка</w:t>
      </w:r>
      <w:r w:rsidRPr="00AC3FAC">
        <w:rPr>
          <w:rFonts w:asciiTheme="majorHAnsi" w:hAnsiTheme="majorHAnsi" w:cstheme="majorHAnsi"/>
          <w:bCs/>
          <w:sz w:val="24"/>
          <w:szCs w:val="24"/>
          <w:lang w:val="ro-MD" w:eastAsia="ro-RO"/>
        </w:rPr>
        <w:t xml:space="preserve"> к должностно</w:t>
      </w:r>
      <w:r w:rsidR="00815146">
        <w:rPr>
          <w:rFonts w:asciiTheme="majorHAnsi" w:hAnsiTheme="majorHAnsi" w:cstheme="majorHAnsi"/>
          <w:bCs/>
          <w:sz w:val="24"/>
          <w:szCs w:val="24"/>
          <w:lang w:val="ru-RU" w:eastAsia="ro-RO"/>
        </w:rPr>
        <w:t>му</w:t>
      </w:r>
      <w:r w:rsidRPr="00AC3FAC">
        <w:rPr>
          <w:rFonts w:asciiTheme="majorHAnsi" w:hAnsiTheme="majorHAnsi" w:cstheme="majorHAnsi"/>
          <w:bCs/>
          <w:sz w:val="24"/>
          <w:szCs w:val="24"/>
          <w:lang w:val="ro-MD" w:eastAsia="ro-RO"/>
        </w:rPr>
        <w:t xml:space="preserve"> </w:t>
      </w:r>
      <w:r w:rsidR="00815146">
        <w:rPr>
          <w:rFonts w:asciiTheme="majorHAnsi" w:hAnsiTheme="majorHAnsi" w:cstheme="majorHAnsi"/>
          <w:bCs/>
          <w:sz w:val="24"/>
          <w:szCs w:val="24"/>
          <w:lang w:val="ru-RU" w:eastAsia="ro-RO"/>
        </w:rPr>
        <w:t>окладу</w:t>
      </w:r>
      <w:r w:rsidRPr="00AC3FAC">
        <w:rPr>
          <w:rFonts w:asciiTheme="majorHAnsi" w:hAnsiTheme="majorHAnsi" w:cstheme="majorHAnsi"/>
          <w:bCs/>
          <w:sz w:val="24"/>
          <w:szCs w:val="24"/>
          <w:lang w:val="ro-MD" w:eastAsia="ro-RO"/>
        </w:rPr>
        <w:t xml:space="preserve"> в размере 100%</w:t>
      </w:r>
      <w:r w:rsidR="00815146" w:rsidRPr="00B13B9A">
        <w:rPr>
          <w:rStyle w:val="a9"/>
          <w:rFonts w:asciiTheme="majorHAnsi" w:hAnsiTheme="majorHAnsi" w:cstheme="majorHAnsi"/>
          <w:bCs/>
          <w:sz w:val="24"/>
          <w:szCs w:val="24"/>
          <w:lang w:val="ro-MD" w:eastAsia="ro-RO"/>
        </w:rPr>
        <w:footnoteReference w:id="45"/>
      </w:r>
      <w:r w:rsidRPr="00AC3FAC">
        <w:rPr>
          <w:rFonts w:asciiTheme="majorHAnsi" w:hAnsiTheme="majorHAnsi" w:cstheme="majorHAnsi"/>
          <w:bCs/>
          <w:sz w:val="24"/>
          <w:szCs w:val="24"/>
          <w:lang w:val="ro-MD" w:eastAsia="ro-RO"/>
        </w:rPr>
        <w:t>, оплачиваемое в соответствии с фактически</w:t>
      </w:r>
      <w:r w:rsidR="00815146">
        <w:rPr>
          <w:rFonts w:asciiTheme="majorHAnsi" w:hAnsiTheme="majorHAnsi" w:cstheme="majorHAnsi"/>
          <w:bCs/>
          <w:sz w:val="24"/>
          <w:szCs w:val="24"/>
          <w:lang w:val="ru-RU" w:eastAsia="ro-RO"/>
        </w:rPr>
        <w:t xml:space="preserve"> отработанным </w:t>
      </w:r>
      <w:r w:rsidRPr="00AC3FAC">
        <w:rPr>
          <w:rFonts w:asciiTheme="majorHAnsi" w:hAnsiTheme="majorHAnsi" w:cstheme="majorHAnsi"/>
          <w:bCs/>
          <w:sz w:val="24"/>
          <w:szCs w:val="24"/>
          <w:lang w:val="ro-MD" w:eastAsia="ro-RO"/>
        </w:rPr>
        <w:t>временем, связанным с оказанием медицинской помощи пациентам с COVID-19</w:t>
      </w:r>
      <w:r w:rsidR="00EF1983" w:rsidRPr="00B13B9A">
        <w:rPr>
          <w:rFonts w:asciiTheme="majorHAnsi" w:hAnsiTheme="majorHAnsi" w:cstheme="majorHAnsi"/>
          <w:bCs/>
          <w:sz w:val="24"/>
          <w:szCs w:val="24"/>
          <w:lang w:val="ro-MD" w:eastAsia="ro-RO"/>
        </w:rPr>
        <w:t>.</w:t>
      </w:r>
    </w:p>
    <w:p w14:paraId="7E17E89E" w14:textId="369953FF" w:rsidR="00EF1983" w:rsidRPr="00B13B9A" w:rsidRDefault="00AC3FAC" w:rsidP="00EF1983">
      <w:pPr>
        <w:spacing w:before="240" w:after="0" w:line="276" w:lineRule="auto"/>
        <w:jc w:val="both"/>
        <w:rPr>
          <w:rFonts w:asciiTheme="majorHAnsi" w:hAnsiTheme="majorHAnsi" w:cstheme="majorHAnsi"/>
          <w:bCs/>
          <w:sz w:val="24"/>
          <w:szCs w:val="24"/>
          <w:lang w:val="ro-MD" w:eastAsia="ro-RO"/>
        </w:rPr>
      </w:pPr>
      <w:r w:rsidRPr="00AC3FAC">
        <w:rPr>
          <w:rFonts w:asciiTheme="majorHAnsi" w:hAnsiTheme="majorHAnsi" w:cstheme="majorHAnsi"/>
          <w:bCs/>
          <w:sz w:val="24"/>
          <w:szCs w:val="24"/>
          <w:lang w:val="ro-MD" w:eastAsia="ro-RO"/>
        </w:rPr>
        <w:t xml:space="preserve">Согласно нормативной базе, </w:t>
      </w:r>
      <w:r w:rsidR="00815146" w:rsidRPr="00815146">
        <w:rPr>
          <w:rFonts w:asciiTheme="majorHAnsi" w:hAnsiTheme="majorHAnsi" w:cstheme="majorHAnsi"/>
          <w:bCs/>
          <w:sz w:val="24"/>
          <w:szCs w:val="24"/>
          <w:lang w:val="ro-MD" w:eastAsia="ro-RO"/>
        </w:rPr>
        <w:t>НМСК</w:t>
      </w:r>
      <w:r w:rsidRPr="00AC3FAC">
        <w:rPr>
          <w:rFonts w:asciiTheme="majorHAnsi" w:hAnsiTheme="majorHAnsi" w:cstheme="majorHAnsi"/>
          <w:bCs/>
          <w:sz w:val="24"/>
          <w:szCs w:val="24"/>
          <w:lang w:val="ro-MD" w:eastAsia="ro-RO"/>
        </w:rPr>
        <w:t xml:space="preserve"> обеспечивает управление </w:t>
      </w:r>
      <w:r w:rsidR="00815146" w:rsidRPr="00AC3FAC">
        <w:rPr>
          <w:rFonts w:asciiTheme="majorHAnsi" w:hAnsiTheme="majorHAnsi" w:cstheme="majorHAnsi"/>
          <w:bCs/>
          <w:sz w:val="24"/>
          <w:szCs w:val="24"/>
          <w:lang w:val="ro-MD" w:eastAsia="ro-RO"/>
        </w:rPr>
        <w:t>средств</w:t>
      </w:r>
      <w:r w:rsidRPr="00AC3FAC">
        <w:rPr>
          <w:rFonts w:asciiTheme="majorHAnsi" w:hAnsiTheme="majorHAnsi" w:cstheme="majorHAnsi"/>
          <w:bCs/>
          <w:sz w:val="24"/>
          <w:szCs w:val="24"/>
          <w:lang w:val="ro-MD" w:eastAsia="ro-RO"/>
        </w:rPr>
        <w:t xml:space="preserve">ами </w:t>
      </w:r>
      <w:r w:rsidR="00815146" w:rsidRPr="00815146">
        <w:rPr>
          <w:rFonts w:asciiTheme="majorHAnsi" w:hAnsiTheme="majorHAnsi" w:cstheme="majorHAnsi"/>
          <w:bCs/>
          <w:sz w:val="24"/>
          <w:szCs w:val="24"/>
          <w:lang w:val="ro-MD" w:eastAsia="ro-RO"/>
        </w:rPr>
        <w:t>фонд</w:t>
      </w:r>
      <w:r w:rsidRPr="00AC3FAC">
        <w:rPr>
          <w:rFonts w:asciiTheme="majorHAnsi" w:hAnsiTheme="majorHAnsi" w:cstheme="majorHAnsi"/>
          <w:bCs/>
          <w:sz w:val="24"/>
          <w:szCs w:val="24"/>
          <w:lang w:val="ro-MD" w:eastAsia="ro-RO"/>
        </w:rPr>
        <w:t>о</w:t>
      </w:r>
      <w:r w:rsidR="00815146" w:rsidRPr="00815146">
        <w:rPr>
          <w:rFonts w:asciiTheme="majorHAnsi" w:hAnsiTheme="majorHAnsi" w:cstheme="majorHAnsi"/>
          <w:bCs/>
          <w:sz w:val="24"/>
          <w:szCs w:val="24"/>
          <w:lang w:val="ro-MD" w:eastAsia="ro-RO"/>
        </w:rPr>
        <w:t xml:space="preserve">в </w:t>
      </w:r>
      <w:r w:rsidRPr="00AC3FAC">
        <w:rPr>
          <w:rFonts w:asciiTheme="majorHAnsi" w:hAnsiTheme="majorHAnsi" w:cstheme="majorHAnsi"/>
          <w:bCs/>
          <w:sz w:val="24"/>
          <w:szCs w:val="24"/>
          <w:lang w:val="ro-MD" w:eastAsia="ro-RO"/>
        </w:rPr>
        <w:t>бязательного медицинского страхования в соответствии с принципами надлежащего управления</w:t>
      </w:r>
      <w:r w:rsidR="00815146" w:rsidRPr="00B13B9A">
        <w:rPr>
          <w:rStyle w:val="a9"/>
          <w:rFonts w:asciiTheme="majorHAnsi" w:hAnsiTheme="majorHAnsi" w:cstheme="majorHAnsi"/>
          <w:bCs/>
          <w:sz w:val="24"/>
          <w:szCs w:val="24"/>
          <w:lang w:val="ro-MD" w:eastAsia="ro-RO"/>
        </w:rPr>
        <w:footnoteReference w:id="46"/>
      </w:r>
      <w:r w:rsidRPr="00AC3FAC">
        <w:rPr>
          <w:rFonts w:asciiTheme="majorHAnsi" w:hAnsiTheme="majorHAnsi" w:cstheme="majorHAnsi"/>
          <w:bCs/>
          <w:sz w:val="24"/>
          <w:szCs w:val="24"/>
          <w:lang w:val="ro-MD" w:eastAsia="ro-RO"/>
        </w:rPr>
        <w:t xml:space="preserve">, имеет право разрабатывать инструкции и издавать </w:t>
      </w:r>
      <w:r w:rsidR="00815146" w:rsidRPr="00815146">
        <w:rPr>
          <w:rFonts w:asciiTheme="majorHAnsi" w:hAnsiTheme="majorHAnsi" w:cstheme="majorHAnsi"/>
          <w:bCs/>
          <w:sz w:val="24"/>
          <w:szCs w:val="24"/>
          <w:lang w:val="ro-MD" w:eastAsia="ro-RO"/>
        </w:rPr>
        <w:t>распоря</w:t>
      </w:r>
      <w:r w:rsidRPr="00AC3FAC">
        <w:rPr>
          <w:rFonts w:asciiTheme="majorHAnsi" w:hAnsiTheme="majorHAnsi" w:cstheme="majorHAnsi"/>
          <w:bCs/>
          <w:sz w:val="24"/>
          <w:szCs w:val="24"/>
          <w:lang w:val="ro-MD" w:eastAsia="ro-RO"/>
        </w:rPr>
        <w:t xml:space="preserve">жения, касающиеся регулирования </w:t>
      </w:r>
      <w:r w:rsidR="00815146" w:rsidRPr="00815146">
        <w:rPr>
          <w:rFonts w:asciiTheme="majorHAnsi" w:hAnsiTheme="majorHAnsi" w:cstheme="majorHAnsi"/>
          <w:bCs/>
          <w:sz w:val="24"/>
          <w:szCs w:val="24"/>
          <w:lang w:val="ro-MD" w:eastAsia="ro-RO"/>
        </w:rPr>
        <w:t>своей</w:t>
      </w:r>
      <w:r w:rsidRPr="00AC3FAC">
        <w:rPr>
          <w:rFonts w:asciiTheme="majorHAnsi" w:hAnsiTheme="majorHAnsi" w:cstheme="majorHAnsi"/>
          <w:bCs/>
          <w:sz w:val="24"/>
          <w:szCs w:val="24"/>
          <w:lang w:val="ro-MD" w:eastAsia="ro-RO"/>
        </w:rPr>
        <w:t xml:space="preserve"> деятельности</w:t>
      </w:r>
      <w:r w:rsidR="00EF1983" w:rsidRPr="00B13B9A">
        <w:rPr>
          <w:rStyle w:val="a9"/>
          <w:rFonts w:asciiTheme="majorHAnsi" w:hAnsiTheme="majorHAnsi" w:cstheme="majorHAnsi"/>
          <w:bCs/>
          <w:sz w:val="24"/>
          <w:szCs w:val="24"/>
          <w:lang w:val="ro-MD" w:eastAsia="ro-RO"/>
        </w:rPr>
        <w:footnoteReference w:id="47"/>
      </w:r>
      <w:r w:rsidR="00EF1983" w:rsidRPr="00B13B9A">
        <w:rPr>
          <w:rFonts w:asciiTheme="majorHAnsi" w:hAnsiTheme="majorHAnsi" w:cstheme="majorHAnsi"/>
          <w:bCs/>
          <w:sz w:val="24"/>
          <w:szCs w:val="24"/>
          <w:lang w:val="ro-MD" w:eastAsia="ro-RO"/>
        </w:rPr>
        <w:t>.</w:t>
      </w:r>
    </w:p>
    <w:p w14:paraId="7643FE4A" w14:textId="5750F618" w:rsidR="00EF1983" w:rsidRPr="00B13B9A" w:rsidRDefault="00AC3FAC" w:rsidP="00EF1983">
      <w:pPr>
        <w:spacing w:before="240" w:after="0" w:line="276" w:lineRule="auto"/>
        <w:jc w:val="both"/>
        <w:rPr>
          <w:rFonts w:asciiTheme="majorHAnsi" w:hAnsiTheme="majorHAnsi" w:cstheme="majorHAnsi"/>
          <w:bCs/>
          <w:sz w:val="24"/>
          <w:szCs w:val="24"/>
          <w:lang w:val="ro-MD" w:eastAsia="ro-RO"/>
        </w:rPr>
      </w:pPr>
      <w:r w:rsidRPr="00AC3FAC">
        <w:rPr>
          <w:rFonts w:asciiTheme="majorHAnsi" w:hAnsiTheme="majorHAnsi" w:cstheme="majorHAnsi"/>
          <w:bCs/>
          <w:sz w:val="24"/>
          <w:szCs w:val="24"/>
          <w:lang w:val="ro-MD" w:eastAsia="ro-RO"/>
        </w:rPr>
        <w:t>Согласно за</w:t>
      </w:r>
      <w:r w:rsidR="00815146">
        <w:rPr>
          <w:rFonts w:asciiTheme="majorHAnsi" w:hAnsiTheme="majorHAnsi" w:cstheme="majorHAnsi"/>
          <w:bCs/>
          <w:sz w:val="24"/>
          <w:szCs w:val="24"/>
          <w:lang w:val="ru-RU" w:eastAsia="ro-RO"/>
        </w:rPr>
        <w:t>просу</w:t>
      </w:r>
      <w:r w:rsidRPr="00AC3FAC">
        <w:rPr>
          <w:rFonts w:asciiTheme="majorHAnsi" w:hAnsiTheme="majorHAnsi" w:cstheme="majorHAnsi"/>
          <w:bCs/>
          <w:sz w:val="24"/>
          <w:szCs w:val="24"/>
          <w:lang w:val="ro-MD" w:eastAsia="ro-RO"/>
        </w:rPr>
        <w:t xml:space="preserve"> </w:t>
      </w:r>
      <w:r w:rsidR="00815146">
        <w:rPr>
          <w:rFonts w:asciiTheme="majorHAnsi" w:hAnsiTheme="majorHAnsi" w:cstheme="majorHAnsi"/>
          <w:bCs/>
          <w:sz w:val="24"/>
          <w:szCs w:val="24"/>
          <w:lang w:val="ro-MD" w:eastAsia="ro-RO"/>
        </w:rPr>
        <w:t>НКМС</w:t>
      </w:r>
      <w:r w:rsidRPr="00AC3FAC">
        <w:rPr>
          <w:rFonts w:asciiTheme="majorHAnsi" w:hAnsiTheme="majorHAnsi" w:cstheme="majorHAnsi"/>
          <w:bCs/>
          <w:sz w:val="24"/>
          <w:szCs w:val="24"/>
          <w:lang w:val="ro-MD" w:eastAsia="ro-RO"/>
        </w:rPr>
        <w:t xml:space="preserve"> от 30.04.2020</w:t>
      </w:r>
      <w:r w:rsidR="00815146" w:rsidRPr="00B13B9A">
        <w:rPr>
          <w:rStyle w:val="a9"/>
          <w:rFonts w:asciiTheme="majorHAnsi" w:hAnsiTheme="majorHAnsi" w:cstheme="majorHAnsi"/>
          <w:sz w:val="24"/>
          <w:szCs w:val="24"/>
          <w:lang w:val="ro-MD"/>
        </w:rPr>
        <w:footnoteReference w:id="48"/>
      </w:r>
      <w:r w:rsidRPr="00AC3FAC">
        <w:rPr>
          <w:rFonts w:asciiTheme="majorHAnsi" w:hAnsiTheme="majorHAnsi" w:cstheme="majorHAnsi"/>
          <w:bCs/>
          <w:sz w:val="24"/>
          <w:szCs w:val="24"/>
          <w:lang w:val="ro-MD" w:eastAsia="ro-RO"/>
        </w:rPr>
        <w:t xml:space="preserve">, </w:t>
      </w:r>
      <w:r w:rsidR="00815146">
        <w:rPr>
          <w:rFonts w:asciiTheme="majorHAnsi" w:hAnsiTheme="majorHAnsi" w:cstheme="majorHAnsi"/>
          <w:bCs/>
          <w:sz w:val="24"/>
          <w:szCs w:val="24"/>
          <w:lang w:val="ru-RU" w:eastAsia="ro-RO"/>
        </w:rPr>
        <w:t>для</w:t>
      </w:r>
      <w:r w:rsidRPr="00AC3FAC">
        <w:rPr>
          <w:rFonts w:asciiTheme="majorHAnsi" w:hAnsiTheme="majorHAnsi" w:cstheme="majorHAnsi"/>
          <w:bCs/>
          <w:sz w:val="24"/>
          <w:szCs w:val="24"/>
          <w:lang w:val="ro-MD" w:eastAsia="ro-RO"/>
        </w:rPr>
        <w:t xml:space="preserve"> покрытия расходов, связанных</w:t>
      </w:r>
      <w:r w:rsidR="00815146">
        <w:rPr>
          <w:rFonts w:asciiTheme="majorHAnsi" w:hAnsiTheme="majorHAnsi" w:cstheme="majorHAnsi"/>
          <w:bCs/>
          <w:sz w:val="24"/>
          <w:szCs w:val="24"/>
          <w:lang w:val="ro-MD" w:eastAsia="ro-RO"/>
        </w:rPr>
        <w:t xml:space="preserve"> с надбавкой к заработной плате</w:t>
      </w:r>
      <w:r w:rsidRPr="00AC3FAC">
        <w:rPr>
          <w:rFonts w:asciiTheme="majorHAnsi" w:hAnsiTheme="majorHAnsi" w:cstheme="majorHAnsi"/>
          <w:bCs/>
          <w:sz w:val="24"/>
          <w:szCs w:val="24"/>
          <w:lang w:val="ro-MD" w:eastAsia="ro-RO"/>
        </w:rPr>
        <w:t xml:space="preserve"> </w:t>
      </w:r>
      <w:r w:rsidR="00815146">
        <w:rPr>
          <w:rFonts w:asciiTheme="majorHAnsi" w:hAnsiTheme="majorHAnsi" w:cstheme="majorHAnsi"/>
          <w:bCs/>
          <w:sz w:val="24"/>
          <w:szCs w:val="24"/>
          <w:lang w:val="ru-RU" w:eastAsia="ro-RO"/>
        </w:rPr>
        <w:t>з</w:t>
      </w:r>
      <w:r w:rsidRPr="00AC3FAC">
        <w:rPr>
          <w:rFonts w:asciiTheme="majorHAnsi" w:hAnsiTheme="majorHAnsi" w:cstheme="majorHAnsi"/>
          <w:bCs/>
          <w:sz w:val="24"/>
          <w:szCs w:val="24"/>
          <w:lang w:val="ro-MD" w:eastAsia="ro-RO"/>
        </w:rPr>
        <w:t xml:space="preserve">а достижение показателя профессиональной </w:t>
      </w:r>
      <w:r w:rsidR="00815146">
        <w:rPr>
          <w:rFonts w:asciiTheme="majorHAnsi" w:hAnsiTheme="majorHAnsi" w:cstheme="majorHAnsi"/>
          <w:bCs/>
          <w:sz w:val="24"/>
          <w:szCs w:val="24"/>
          <w:lang w:val="ru-RU" w:eastAsia="ro-RO"/>
        </w:rPr>
        <w:t>эффектив</w:t>
      </w:r>
      <w:r w:rsidRPr="00AC3FAC">
        <w:rPr>
          <w:rFonts w:asciiTheme="majorHAnsi" w:hAnsiTheme="majorHAnsi" w:cstheme="majorHAnsi"/>
          <w:bCs/>
          <w:sz w:val="24"/>
          <w:szCs w:val="24"/>
          <w:lang w:val="ro-MD" w:eastAsia="ro-RO"/>
        </w:rPr>
        <w:t xml:space="preserve">ности </w:t>
      </w:r>
      <w:r w:rsidR="00815146" w:rsidRPr="00815146">
        <w:rPr>
          <w:rFonts w:asciiTheme="majorHAnsi" w:hAnsiTheme="majorHAnsi" w:cstheme="majorHAnsi"/>
          <w:bCs/>
          <w:sz w:val="24"/>
          <w:szCs w:val="24"/>
          <w:lang w:val="ro-MD" w:eastAsia="ro-RO"/>
        </w:rPr>
        <w:t>„</w:t>
      </w:r>
      <w:r w:rsidR="00815146">
        <w:rPr>
          <w:rFonts w:asciiTheme="majorHAnsi" w:hAnsiTheme="majorHAnsi" w:cstheme="majorHAnsi"/>
          <w:bCs/>
          <w:sz w:val="24"/>
          <w:szCs w:val="24"/>
          <w:lang w:val="ru-RU" w:eastAsia="ro-RO"/>
        </w:rPr>
        <w:t>О</w:t>
      </w:r>
      <w:r w:rsidRPr="00AC3FAC">
        <w:rPr>
          <w:rFonts w:asciiTheme="majorHAnsi" w:hAnsiTheme="majorHAnsi" w:cstheme="majorHAnsi"/>
          <w:bCs/>
          <w:sz w:val="24"/>
          <w:szCs w:val="24"/>
          <w:lang w:val="ro-MD" w:eastAsia="ro-RO"/>
        </w:rPr>
        <w:t xml:space="preserve">казание медицинской помощи пациентам с COVID-19”, </w:t>
      </w:r>
      <w:r w:rsidR="00EE088D">
        <w:rPr>
          <w:rFonts w:asciiTheme="majorHAnsi" w:hAnsiTheme="majorHAnsi" w:cstheme="majorHAnsi"/>
          <w:bCs/>
          <w:sz w:val="24"/>
          <w:szCs w:val="24"/>
          <w:lang w:val="ro-MD" w:eastAsia="ro-RO"/>
        </w:rPr>
        <w:t>публич</w:t>
      </w:r>
      <w:r w:rsidRPr="00AC3FAC">
        <w:rPr>
          <w:rFonts w:asciiTheme="majorHAnsi" w:hAnsiTheme="majorHAnsi" w:cstheme="majorHAnsi"/>
          <w:bCs/>
          <w:sz w:val="24"/>
          <w:szCs w:val="24"/>
          <w:lang w:val="ro-MD" w:eastAsia="ro-RO"/>
        </w:rPr>
        <w:t xml:space="preserve">ные медико-санитарные учреждения должны были утвердить и представить </w:t>
      </w:r>
      <w:r w:rsidR="00815146">
        <w:rPr>
          <w:rFonts w:asciiTheme="majorHAnsi" w:hAnsiTheme="majorHAnsi" w:cstheme="majorHAnsi"/>
          <w:bCs/>
          <w:sz w:val="24"/>
          <w:szCs w:val="24"/>
          <w:lang w:val="ro-MD" w:eastAsia="ro-RO"/>
        </w:rPr>
        <w:t>НКМС</w:t>
      </w:r>
      <w:r w:rsidRPr="00AC3FAC">
        <w:rPr>
          <w:rFonts w:asciiTheme="majorHAnsi" w:hAnsiTheme="majorHAnsi" w:cstheme="majorHAnsi"/>
          <w:bCs/>
          <w:sz w:val="24"/>
          <w:szCs w:val="24"/>
          <w:lang w:val="ro-MD" w:eastAsia="ro-RO"/>
        </w:rPr>
        <w:t xml:space="preserve"> внутренние решения/распоряжения руководителя учреждения о перепрофилировании к</w:t>
      </w:r>
      <w:r w:rsidR="00815146">
        <w:rPr>
          <w:rFonts w:asciiTheme="majorHAnsi" w:hAnsiTheme="majorHAnsi" w:cstheme="majorHAnsi"/>
          <w:bCs/>
          <w:sz w:val="24"/>
          <w:szCs w:val="24"/>
          <w:lang w:val="ru-RU" w:eastAsia="ro-RO"/>
        </w:rPr>
        <w:t>оек</w:t>
      </w:r>
      <w:r w:rsidRPr="00AC3FAC">
        <w:rPr>
          <w:rFonts w:asciiTheme="majorHAnsi" w:hAnsiTheme="majorHAnsi" w:cstheme="majorHAnsi"/>
          <w:bCs/>
          <w:sz w:val="24"/>
          <w:szCs w:val="24"/>
          <w:lang w:val="ro-MD" w:eastAsia="ro-RO"/>
        </w:rPr>
        <w:t>, предназначенных для услуг по лечению инфекции COVID-19, и номинально обознач</w:t>
      </w:r>
      <w:r w:rsidR="00070ACE">
        <w:rPr>
          <w:rFonts w:asciiTheme="majorHAnsi" w:hAnsiTheme="majorHAnsi" w:cstheme="majorHAnsi"/>
          <w:bCs/>
          <w:sz w:val="24"/>
          <w:szCs w:val="24"/>
          <w:lang w:val="ru-RU" w:eastAsia="ro-RO"/>
        </w:rPr>
        <w:t>ить</w:t>
      </w:r>
      <w:r w:rsidRPr="00AC3FAC">
        <w:rPr>
          <w:rFonts w:asciiTheme="majorHAnsi" w:hAnsiTheme="majorHAnsi" w:cstheme="majorHAnsi"/>
          <w:bCs/>
          <w:sz w:val="24"/>
          <w:szCs w:val="24"/>
          <w:lang w:val="ro-MD" w:eastAsia="ro-RO"/>
        </w:rPr>
        <w:t xml:space="preserve"> </w:t>
      </w:r>
      <w:r w:rsidR="00070ACE">
        <w:rPr>
          <w:rFonts w:asciiTheme="majorHAnsi" w:hAnsiTheme="majorHAnsi" w:cstheme="majorHAnsi"/>
          <w:bCs/>
          <w:sz w:val="24"/>
          <w:szCs w:val="24"/>
          <w:lang w:val="ru-RU" w:eastAsia="ro-RO"/>
        </w:rPr>
        <w:t>сотрудников</w:t>
      </w:r>
      <w:r w:rsidR="00070ACE" w:rsidRPr="00B13B9A">
        <w:rPr>
          <w:rStyle w:val="a9"/>
          <w:rFonts w:asciiTheme="majorHAnsi" w:hAnsiTheme="majorHAnsi" w:cstheme="majorHAnsi"/>
          <w:bCs/>
          <w:sz w:val="24"/>
          <w:szCs w:val="24"/>
          <w:lang w:val="ro-MD" w:eastAsia="ro-RO"/>
        </w:rPr>
        <w:footnoteReference w:id="49"/>
      </w:r>
      <w:r w:rsidRPr="00AC3FAC">
        <w:rPr>
          <w:rFonts w:asciiTheme="majorHAnsi" w:hAnsiTheme="majorHAnsi" w:cstheme="majorHAnsi"/>
          <w:bCs/>
          <w:sz w:val="24"/>
          <w:szCs w:val="24"/>
          <w:lang w:val="ro-MD" w:eastAsia="ro-RO"/>
        </w:rPr>
        <w:t>, непосредственно участвующ</w:t>
      </w:r>
      <w:r w:rsidR="00070ACE">
        <w:rPr>
          <w:rFonts w:asciiTheme="majorHAnsi" w:hAnsiTheme="majorHAnsi" w:cstheme="majorHAnsi"/>
          <w:bCs/>
          <w:sz w:val="24"/>
          <w:szCs w:val="24"/>
          <w:lang w:val="ru-RU" w:eastAsia="ro-RO"/>
        </w:rPr>
        <w:t>их</w:t>
      </w:r>
      <w:r w:rsidRPr="00AC3FAC">
        <w:rPr>
          <w:rFonts w:asciiTheme="majorHAnsi" w:hAnsiTheme="majorHAnsi" w:cstheme="majorHAnsi"/>
          <w:bCs/>
          <w:sz w:val="24"/>
          <w:szCs w:val="24"/>
          <w:lang w:val="ro-MD" w:eastAsia="ro-RO"/>
        </w:rPr>
        <w:t xml:space="preserve"> в </w:t>
      </w:r>
      <w:r w:rsidR="00070ACE">
        <w:rPr>
          <w:rFonts w:asciiTheme="majorHAnsi" w:hAnsiTheme="majorHAnsi" w:cstheme="majorHAnsi"/>
          <w:bCs/>
          <w:sz w:val="24"/>
          <w:szCs w:val="24"/>
          <w:lang w:val="ru-RU" w:eastAsia="ro-RO"/>
        </w:rPr>
        <w:t>реализац</w:t>
      </w:r>
      <w:r w:rsidRPr="00AC3FAC">
        <w:rPr>
          <w:rFonts w:asciiTheme="majorHAnsi" w:hAnsiTheme="majorHAnsi" w:cstheme="majorHAnsi"/>
          <w:bCs/>
          <w:sz w:val="24"/>
          <w:szCs w:val="24"/>
          <w:lang w:val="ro-MD" w:eastAsia="ro-RO"/>
        </w:rPr>
        <w:t xml:space="preserve">ии показателя профессиональной </w:t>
      </w:r>
      <w:r w:rsidR="00070ACE">
        <w:rPr>
          <w:rFonts w:asciiTheme="majorHAnsi" w:hAnsiTheme="majorHAnsi" w:cstheme="majorHAnsi"/>
          <w:bCs/>
          <w:sz w:val="24"/>
          <w:szCs w:val="24"/>
          <w:lang w:val="ru-RU" w:eastAsia="ro-RO"/>
        </w:rPr>
        <w:t>эффектив</w:t>
      </w:r>
      <w:r w:rsidRPr="00AC3FAC">
        <w:rPr>
          <w:rFonts w:asciiTheme="majorHAnsi" w:hAnsiTheme="majorHAnsi" w:cstheme="majorHAnsi"/>
          <w:bCs/>
          <w:sz w:val="24"/>
          <w:szCs w:val="24"/>
          <w:lang w:val="ro-MD" w:eastAsia="ro-RO"/>
        </w:rPr>
        <w:t>ности. Таким образом, в случае 20 ежемесячных стимулирующих выплат 9 вовлеченным сотрудникам</w:t>
      </w:r>
      <w:r w:rsidR="00070ACE" w:rsidRPr="00070ACE">
        <w:rPr>
          <w:rFonts w:asciiTheme="majorHAnsi" w:hAnsiTheme="majorHAnsi" w:cstheme="majorHAnsi"/>
          <w:bCs/>
          <w:sz w:val="24"/>
          <w:szCs w:val="24"/>
          <w:lang w:val="ro-MD" w:eastAsia="ro-RO"/>
        </w:rPr>
        <w:t>,</w:t>
      </w:r>
      <w:r w:rsidRPr="00AC3FAC">
        <w:rPr>
          <w:rFonts w:asciiTheme="majorHAnsi" w:hAnsiTheme="majorHAnsi" w:cstheme="majorHAnsi"/>
          <w:bCs/>
          <w:sz w:val="24"/>
          <w:szCs w:val="24"/>
          <w:lang w:val="ro-MD" w:eastAsia="ro-RO"/>
        </w:rPr>
        <w:t xml:space="preserve"> в размере 110,0 тыс. леев</w:t>
      </w:r>
      <w:r w:rsidR="00070ACE" w:rsidRPr="00070ACE">
        <w:rPr>
          <w:rFonts w:asciiTheme="majorHAnsi" w:hAnsiTheme="majorHAnsi" w:cstheme="majorHAnsi"/>
          <w:bCs/>
          <w:sz w:val="24"/>
          <w:szCs w:val="24"/>
          <w:lang w:val="ro-MD" w:eastAsia="ro-RO"/>
        </w:rPr>
        <w:t>,</w:t>
      </w:r>
      <w:r w:rsidRPr="00AC3FAC">
        <w:rPr>
          <w:rFonts w:asciiTheme="majorHAnsi" w:hAnsiTheme="majorHAnsi" w:cstheme="majorHAnsi"/>
          <w:bCs/>
          <w:sz w:val="24"/>
          <w:szCs w:val="24"/>
          <w:lang w:val="ro-MD" w:eastAsia="ro-RO"/>
        </w:rPr>
        <w:t xml:space="preserve"> приказы руководителя о назначении </w:t>
      </w:r>
      <w:r w:rsidR="00070ACE" w:rsidRPr="00AC3FAC">
        <w:rPr>
          <w:rFonts w:asciiTheme="majorHAnsi" w:hAnsiTheme="majorHAnsi" w:cstheme="majorHAnsi"/>
          <w:bCs/>
          <w:sz w:val="24"/>
          <w:szCs w:val="24"/>
          <w:lang w:val="ro-MD" w:eastAsia="ro-RO"/>
        </w:rPr>
        <w:t>сотрудников</w:t>
      </w:r>
      <w:r w:rsidR="00070ACE" w:rsidRPr="00070ACE">
        <w:rPr>
          <w:rFonts w:asciiTheme="majorHAnsi" w:hAnsiTheme="majorHAnsi" w:cstheme="majorHAnsi"/>
          <w:bCs/>
          <w:sz w:val="24"/>
          <w:szCs w:val="24"/>
          <w:lang w:val="ro-MD" w:eastAsia="ro-RO"/>
        </w:rPr>
        <w:t>, участвующих</w:t>
      </w:r>
      <w:r w:rsidR="00070ACE" w:rsidRPr="00AC3FAC">
        <w:rPr>
          <w:rFonts w:asciiTheme="majorHAnsi" w:hAnsiTheme="majorHAnsi" w:cstheme="majorHAnsi"/>
          <w:bCs/>
          <w:sz w:val="24"/>
          <w:szCs w:val="24"/>
          <w:lang w:val="ro-MD" w:eastAsia="ro-RO"/>
        </w:rPr>
        <w:t xml:space="preserve"> </w:t>
      </w:r>
      <w:r w:rsidRPr="00AC3FAC">
        <w:rPr>
          <w:rFonts w:asciiTheme="majorHAnsi" w:hAnsiTheme="majorHAnsi" w:cstheme="majorHAnsi"/>
          <w:bCs/>
          <w:sz w:val="24"/>
          <w:szCs w:val="24"/>
          <w:lang w:val="ro-MD" w:eastAsia="ro-RO"/>
        </w:rPr>
        <w:t xml:space="preserve">в </w:t>
      </w:r>
      <w:r w:rsidR="00070ACE" w:rsidRPr="00070ACE">
        <w:rPr>
          <w:rFonts w:asciiTheme="majorHAnsi" w:hAnsiTheme="majorHAnsi" w:cstheme="majorHAnsi"/>
          <w:bCs/>
          <w:sz w:val="24"/>
          <w:szCs w:val="24"/>
          <w:lang w:val="ro-MD" w:eastAsia="ro-RO"/>
        </w:rPr>
        <w:t xml:space="preserve">этом </w:t>
      </w:r>
      <w:r w:rsidRPr="00AC3FAC">
        <w:rPr>
          <w:rFonts w:asciiTheme="majorHAnsi" w:hAnsiTheme="majorHAnsi" w:cstheme="majorHAnsi"/>
          <w:bCs/>
          <w:sz w:val="24"/>
          <w:szCs w:val="24"/>
          <w:lang w:val="ro-MD" w:eastAsia="ro-RO"/>
        </w:rPr>
        <w:t>процессе</w:t>
      </w:r>
      <w:r w:rsidR="00070ACE" w:rsidRPr="00070ACE">
        <w:rPr>
          <w:rFonts w:asciiTheme="majorHAnsi" w:hAnsiTheme="majorHAnsi" w:cstheme="majorHAnsi"/>
          <w:bCs/>
          <w:sz w:val="24"/>
          <w:szCs w:val="24"/>
          <w:lang w:val="ro-MD" w:eastAsia="ro-RO"/>
        </w:rPr>
        <w:t>,</w:t>
      </w:r>
      <w:r w:rsidRPr="00AC3FAC">
        <w:rPr>
          <w:rFonts w:asciiTheme="majorHAnsi" w:hAnsiTheme="majorHAnsi" w:cstheme="majorHAnsi"/>
          <w:bCs/>
          <w:sz w:val="24"/>
          <w:szCs w:val="24"/>
          <w:lang w:val="ro-MD" w:eastAsia="ro-RO"/>
        </w:rPr>
        <w:t xml:space="preserve"> не были представлены</w:t>
      </w:r>
      <w:r w:rsidR="00EF1983" w:rsidRPr="00B13B9A">
        <w:rPr>
          <w:rFonts w:asciiTheme="majorHAnsi" w:hAnsiTheme="majorHAnsi" w:cstheme="majorHAnsi"/>
          <w:bCs/>
          <w:sz w:val="24"/>
          <w:szCs w:val="24"/>
          <w:lang w:val="ro-MD" w:eastAsia="ro-RO"/>
        </w:rPr>
        <w:t>.</w:t>
      </w:r>
    </w:p>
    <w:p w14:paraId="297F57B1" w14:textId="1054BEA9" w:rsidR="006E4551" w:rsidRPr="00B13B9A" w:rsidRDefault="00AC3FAC" w:rsidP="006E4551">
      <w:pPr>
        <w:spacing w:before="240" w:after="0" w:line="276" w:lineRule="auto"/>
        <w:jc w:val="both"/>
        <w:rPr>
          <w:rFonts w:asciiTheme="majorHAnsi" w:hAnsiTheme="majorHAnsi" w:cstheme="majorHAnsi"/>
          <w:bCs/>
          <w:sz w:val="24"/>
          <w:szCs w:val="24"/>
          <w:lang w:val="ro-MD" w:eastAsia="ro-RO"/>
        </w:rPr>
      </w:pPr>
      <w:r w:rsidRPr="00AC3FAC">
        <w:rPr>
          <w:rFonts w:asciiTheme="majorHAnsi" w:hAnsiTheme="majorHAnsi" w:cstheme="majorHAnsi"/>
          <w:bCs/>
          <w:sz w:val="24"/>
          <w:szCs w:val="24"/>
          <w:lang w:val="ro-MD" w:eastAsia="ro-RO"/>
        </w:rPr>
        <w:t xml:space="preserve">После анализа </w:t>
      </w:r>
      <w:r w:rsidR="00070ACE" w:rsidRPr="00070ACE">
        <w:rPr>
          <w:rFonts w:asciiTheme="majorHAnsi" w:hAnsiTheme="majorHAnsi" w:cstheme="majorHAnsi"/>
          <w:bCs/>
          <w:sz w:val="24"/>
          <w:szCs w:val="24"/>
          <w:lang w:val="ro-MD" w:eastAsia="ro-RO"/>
        </w:rPr>
        <w:t>выявл</w:t>
      </w:r>
      <w:r w:rsidRPr="00AC3FAC">
        <w:rPr>
          <w:rFonts w:asciiTheme="majorHAnsi" w:hAnsiTheme="majorHAnsi" w:cstheme="majorHAnsi"/>
          <w:bCs/>
          <w:sz w:val="24"/>
          <w:szCs w:val="24"/>
          <w:lang w:val="ro-MD" w:eastAsia="ro-RO"/>
        </w:rPr>
        <w:t>енной ситуации</w:t>
      </w:r>
      <w:r w:rsidR="00070ACE" w:rsidRPr="00070ACE">
        <w:rPr>
          <w:rFonts w:asciiTheme="majorHAnsi" w:hAnsiTheme="majorHAnsi" w:cstheme="majorHAnsi"/>
          <w:bCs/>
          <w:sz w:val="24"/>
          <w:szCs w:val="24"/>
          <w:lang w:val="ro-MD" w:eastAsia="ro-RO"/>
        </w:rPr>
        <w:t>,</w:t>
      </w:r>
      <w:r w:rsidRPr="00AC3FAC">
        <w:rPr>
          <w:rFonts w:asciiTheme="majorHAnsi" w:hAnsiTheme="majorHAnsi" w:cstheme="majorHAnsi"/>
          <w:bCs/>
          <w:sz w:val="24"/>
          <w:szCs w:val="24"/>
          <w:lang w:val="ro-MD" w:eastAsia="ro-RO"/>
        </w:rPr>
        <w:t xml:space="preserve"> аудит при</w:t>
      </w:r>
      <w:r w:rsidR="00070ACE" w:rsidRPr="00070ACE">
        <w:rPr>
          <w:rFonts w:asciiTheme="majorHAnsi" w:hAnsiTheme="majorHAnsi" w:cstheme="majorHAnsi"/>
          <w:bCs/>
          <w:sz w:val="24"/>
          <w:szCs w:val="24"/>
          <w:lang w:val="ro-MD" w:eastAsia="ro-RO"/>
        </w:rPr>
        <w:t>шел</w:t>
      </w:r>
      <w:r w:rsidRPr="00AC3FAC">
        <w:rPr>
          <w:rFonts w:asciiTheme="majorHAnsi" w:hAnsiTheme="majorHAnsi" w:cstheme="majorHAnsi"/>
          <w:bCs/>
          <w:sz w:val="24"/>
          <w:szCs w:val="24"/>
          <w:lang w:val="ro-MD" w:eastAsia="ro-RO"/>
        </w:rPr>
        <w:t xml:space="preserve"> к выводу, что из-за существующих пробелов в системе внутреннего контроля в рамках </w:t>
      </w:r>
      <w:r w:rsidR="00E77520">
        <w:rPr>
          <w:rFonts w:asciiTheme="majorHAnsi" w:hAnsiTheme="majorHAnsi" w:cstheme="majorHAnsi"/>
          <w:bCs/>
          <w:sz w:val="24"/>
          <w:szCs w:val="24"/>
          <w:lang w:val="ro-MD" w:eastAsia="ro-RO"/>
        </w:rPr>
        <w:t>ПМСУ</w:t>
      </w:r>
      <w:r w:rsidRPr="00AC3FAC">
        <w:rPr>
          <w:rFonts w:asciiTheme="majorHAnsi" w:hAnsiTheme="majorHAnsi" w:cstheme="majorHAnsi"/>
          <w:bCs/>
          <w:sz w:val="24"/>
          <w:szCs w:val="24"/>
          <w:lang w:val="ro-MD" w:eastAsia="ro-RO"/>
        </w:rPr>
        <w:t xml:space="preserve"> </w:t>
      </w:r>
      <w:r w:rsidR="00070ACE">
        <w:rPr>
          <w:rFonts w:asciiTheme="majorHAnsi" w:hAnsiTheme="majorHAnsi" w:cstheme="majorHAnsi"/>
          <w:bCs/>
          <w:sz w:val="24"/>
          <w:szCs w:val="24"/>
          <w:lang w:val="ro-MD" w:eastAsia="ro-RO"/>
        </w:rPr>
        <w:t>ИФП</w:t>
      </w:r>
      <w:r w:rsidRPr="00AC3FAC">
        <w:rPr>
          <w:rFonts w:asciiTheme="majorHAnsi" w:hAnsiTheme="majorHAnsi" w:cstheme="majorHAnsi"/>
          <w:bCs/>
          <w:sz w:val="24"/>
          <w:szCs w:val="24"/>
          <w:lang w:val="ro-MD" w:eastAsia="ro-RO"/>
        </w:rPr>
        <w:t xml:space="preserve"> „Кирилл Драганюк</w:t>
      </w:r>
      <w:r w:rsidR="00070ACE" w:rsidRPr="00B13B9A">
        <w:rPr>
          <w:rFonts w:asciiTheme="majorHAnsi" w:hAnsiTheme="majorHAnsi" w:cstheme="majorHAnsi"/>
          <w:sz w:val="24"/>
          <w:szCs w:val="24"/>
          <w:lang w:val="ro-MD"/>
        </w:rPr>
        <w:t>”</w:t>
      </w:r>
      <w:r w:rsidR="00070ACE" w:rsidRPr="00070ACE">
        <w:rPr>
          <w:rFonts w:asciiTheme="majorHAnsi" w:hAnsiTheme="majorHAnsi" w:cstheme="majorHAnsi"/>
          <w:sz w:val="24"/>
          <w:szCs w:val="24"/>
          <w:lang w:val="ro-MD"/>
        </w:rPr>
        <w:t>,</w:t>
      </w:r>
      <w:r w:rsidRPr="00AC3FAC">
        <w:rPr>
          <w:rFonts w:asciiTheme="majorHAnsi" w:hAnsiTheme="majorHAnsi" w:cstheme="majorHAnsi"/>
          <w:bCs/>
          <w:sz w:val="24"/>
          <w:szCs w:val="24"/>
          <w:lang w:val="ro-MD" w:eastAsia="ro-RO"/>
        </w:rPr>
        <w:t xml:space="preserve"> было нарушено </w:t>
      </w:r>
      <w:r w:rsidR="00070ACE" w:rsidRPr="00070ACE">
        <w:rPr>
          <w:rFonts w:asciiTheme="majorHAnsi" w:hAnsiTheme="majorHAnsi" w:cstheme="majorHAnsi"/>
          <w:bCs/>
          <w:sz w:val="24"/>
          <w:szCs w:val="24"/>
          <w:lang w:val="ro-MD" w:eastAsia="ro-RO"/>
        </w:rPr>
        <w:t>надлежаще</w:t>
      </w:r>
      <w:r w:rsidRPr="00AC3FAC">
        <w:rPr>
          <w:rFonts w:asciiTheme="majorHAnsi" w:hAnsiTheme="majorHAnsi" w:cstheme="majorHAnsi"/>
          <w:bCs/>
          <w:sz w:val="24"/>
          <w:szCs w:val="24"/>
          <w:lang w:val="ro-MD" w:eastAsia="ro-RO"/>
        </w:rPr>
        <w:t xml:space="preserve">е распределение финансовых ресурсов для </w:t>
      </w:r>
      <w:r w:rsidR="00070ACE" w:rsidRPr="00070ACE">
        <w:rPr>
          <w:rFonts w:asciiTheme="majorHAnsi" w:hAnsiTheme="majorHAnsi" w:cstheme="majorHAnsi"/>
          <w:bCs/>
          <w:sz w:val="24"/>
          <w:szCs w:val="24"/>
          <w:lang w:val="ro-MD" w:eastAsia="ro-RO"/>
        </w:rPr>
        <w:t>стимулирования</w:t>
      </w:r>
      <w:r w:rsidRPr="00AC3FAC">
        <w:rPr>
          <w:rFonts w:asciiTheme="majorHAnsi" w:hAnsiTheme="majorHAnsi" w:cstheme="majorHAnsi"/>
          <w:bCs/>
          <w:sz w:val="24"/>
          <w:szCs w:val="24"/>
          <w:lang w:val="ro-MD" w:eastAsia="ro-RO"/>
        </w:rPr>
        <w:t xml:space="preserve"> персонала</w:t>
      </w:r>
      <w:r w:rsidR="00070ACE" w:rsidRPr="00070ACE">
        <w:rPr>
          <w:rFonts w:asciiTheme="majorHAnsi" w:hAnsiTheme="majorHAnsi" w:cstheme="majorHAnsi"/>
          <w:bCs/>
          <w:sz w:val="24"/>
          <w:szCs w:val="24"/>
          <w:lang w:val="ro-MD" w:eastAsia="ro-RO"/>
        </w:rPr>
        <w:t>, задействованного</w:t>
      </w:r>
      <w:r w:rsidRPr="00AC3FAC">
        <w:rPr>
          <w:rFonts w:asciiTheme="majorHAnsi" w:hAnsiTheme="majorHAnsi" w:cstheme="majorHAnsi"/>
          <w:bCs/>
          <w:sz w:val="24"/>
          <w:szCs w:val="24"/>
          <w:lang w:val="ro-MD" w:eastAsia="ro-RO"/>
        </w:rPr>
        <w:t xml:space="preserve"> в оказани</w:t>
      </w:r>
      <w:r w:rsidR="00070ACE" w:rsidRPr="00070ACE">
        <w:rPr>
          <w:rFonts w:asciiTheme="majorHAnsi" w:hAnsiTheme="majorHAnsi" w:cstheme="majorHAnsi"/>
          <w:bCs/>
          <w:sz w:val="24"/>
          <w:szCs w:val="24"/>
          <w:lang w:val="ro-MD" w:eastAsia="ro-RO"/>
        </w:rPr>
        <w:t>е</w:t>
      </w:r>
      <w:r w:rsidRPr="00AC3FAC">
        <w:rPr>
          <w:rFonts w:asciiTheme="majorHAnsi" w:hAnsiTheme="majorHAnsi" w:cstheme="majorHAnsi"/>
          <w:bCs/>
          <w:sz w:val="24"/>
          <w:szCs w:val="24"/>
          <w:lang w:val="ro-MD" w:eastAsia="ro-RO"/>
        </w:rPr>
        <w:t xml:space="preserve"> медицинской помощи пациентам с COVID-19</w:t>
      </w:r>
      <w:r w:rsidR="00070ACE" w:rsidRPr="00070ACE">
        <w:rPr>
          <w:rFonts w:asciiTheme="majorHAnsi" w:hAnsiTheme="majorHAnsi" w:cstheme="majorHAnsi"/>
          <w:bCs/>
          <w:sz w:val="24"/>
          <w:szCs w:val="24"/>
          <w:lang w:val="ro-MD" w:eastAsia="ro-RO"/>
        </w:rPr>
        <w:t>,</w:t>
      </w:r>
      <w:r w:rsidRPr="00AC3FAC">
        <w:rPr>
          <w:rFonts w:asciiTheme="majorHAnsi" w:hAnsiTheme="majorHAnsi" w:cstheme="majorHAnsi"/>
          <w:bCs/>
          <w:sz w:val="24"/>
          <w:szCs w:val="24"/>
          <w:lang w:val="ro-MD" w:eastAsia="ro-RO"/>
        </w:rPr>
        <w:t xml:space="preserve"> путем не</w:t>
      </w:r>
      <w:r w:rsidR="00070ACE" w:rsidRPr="00070ACE">
        <w:rPr>
          <w:rFonts w:asciiTheme="majorHAnsi" w:hAnsiTheme="majorHAnsi" w:cstheme="majorHAnsi"/>
          <w:bCs/>
          <w:sz w:val="24"/>
          <w:szCs w:val="24"/>
          <w:lang w:val="ro-MD" w:eastAsia="ro-RO"/>
        </w:rPr>
        <w:t>обеспече</w:t>
      </w:r>
      <w:r w:rsidRPr="00AC3FAC">
        <w:rPr>
          <w:rFonts w:asciiTheme="majorHAnsi" w:hAnsiTheme="majorHAnsi" w:cstheme="majorHAnsi"/>
          <w:bCs/>
          <w:sz w:val="24"/>
          <w:szCs w:val="24"/>
          <w:lang w:val="ro-MD" w:eastAsia="ro-RO"/>
        </w:rPr>
        <w:t xml:space="preserve">ния </w:t>
      </w:r>
      <w:r w:rsidR="00070ACE" w:rsidRPr="00070ACE">
        <w:rPr>
          <w:rFonts w:asciiTheme="majorHAnsi" w:hAnsiTheme="majorHAnsi" w:cstheme="majorHAnsi"/>
          <w:bCs/>
          <w:sz w:val="24"/>
          <w:szCs w:val="24"/>
          <w:lang w:val="ro-MD" w:eastAsia="ro-RO"/>
        </w:rPr>
        <w:t>актуализации</w:t>
      </w:r>
      <w:r w:rsidRPr="00AC3FAC">
        <w:rPr>
          <w:rFonts w:asciiTheme="majorHAnsi" w:hAnsiTheme="majorHAnsi" w:cstheme="majorHAnsi"/>
          <w:bCs/>
          <w:sz w:val="24"/>
          <w:szCs w:val="24"/>
          <w:lang w:val="ro-MD" w:eastAsia="ro-RO"/>
        </w:rPr>
        <w:t xml:space="preserve"> приказов о </w:t>
      </w:r>
      <w:r w:rsidR="00070ACE" w:rsidRPr="00070ACE">
        <w:rPr>
          <w:rFonts w:asciiTheme="majorHAnsi" w:hAnsiTheme="majorHAnsi" w:cstheme="majorHAnsi"/>
          <w:bCs/>
          <w:sz w:val="24"/>
          <w:szCs w:val="24"/>
          <w:lang w:val="ro-MD" w:eastAsia="ro-RO"/>
        </w:rPr>
        <w:t xml:space="preserve">их </w:t>
      </w:r>
      <w:r w:rsidRPr="00AC3FAC">
        <w:rPr>
          <w:rFonts w:asciiTheme="majorHAnsi" w:hAnsiTheme="majorHAnsi" w:cstheme="majorHAnsi"/>
          <w:bCs/>
          <w:sz w:val="24"/>
          <w:szCs w:val="24"/>
          <w:lang w:val="ro-MD" w:eastAsia="ro-RO"/>
        </w:rPr>
        <w:t>назначении</w:t>
      </w:r>
      <w:r w:rsidR="00EF1983" w:rsidRPr="00B13B9A">
        <w:rPr>
          <w:rFonts w:asciiTheme="majorHAnsi" w:hAnsiTheme="majorHAnsi" w:cstheme="majorHAnsi"/>
          <w:bCs/>
          <w:sz w:val="24"/>
          <w:szCs w:val="24"/>
          <w:lang w:val="ro-MD" w:eastAsia="ro-RO"/>
        </w:rPr>
        <w:t>.</w:t>
      </w:r>
      <w:bookmarkStart w:id="35" w:name="_Toc95406294"/>
    </w:p>
    <w:p w14:paraId="71D8B559" w14:textId="18EDC8BD" w:rsidR="006D5701" w:rsidRPr="00B13B9A" w:rsidRDefault="00AC3FAC" w:rsidP="006E4551">
      <w:pPr>
        <w:spacing w:before="240" w:after="0" w:line="276" w:lineRule="auto"/>
        <w:jc w:val="both"/>
        <w:rPr>
          <w:rFonts w:asciiTheme="majorHAnsi" w:hAnsiTheme="majorHAnsi" w:cstheme="majorHAnsi"/>
          <w:bCs/>
          <w:sz w:val="24"/>
          <w:szCs w:val="24"/>
          <w:lang w:val="ro-MD" w:eastAsia="ro-RO"/>
        </w:rPr>
      </w:pPr>
      <w:r>
        <w:rPr>
          <w:rFonts w:asciiTheme="majorHAnsi" w:hAnsiTheme="majorHAnsi" w:cstheme="majorHAnsi"/>
          <w:bCs/>
          <w:sz w:val="24"/>
          <w:szCs w:val="24"/>
          <w:lang w:val="ro-MD" w:eastAsia="ro-RO"/>
        </w:rPr>
        <w:t>Справка</w:t>
      </w:r>
      <w:r w:rsidR="006D5701" w:rsidRPr="00516931">
        <w:rPr>
          <w:rFonts w:asciiTheme="majorHAnsi" w:hAnsiTheme="majorHAnsi" w:cstheme="majorHAnsi"/>
          <w:bCs/>
          <w:sz w:val="24"/>
          <w:szCs w:val="24"/>
          <w:lang w:val="ro-MD" w:eastAsia="ro-RO"/>
        </w:rPr>
        <w:t>:</w:t>
      </w:r>
      <w:r w:rsidR="00B400DA" w:rsidRPr="00516931">
        <w:rPr>
          <w:rFonts w:asciiTheme="majorHAnsi" w:hAnsiTheme="majorHAnsi" w:cstheme="majorHAnsi"/>
          <w:bCs/>
          <w:sz w:val="24"/>
          <w:szCs w:val="24"/>
          <w:lang w:val="ro-MD" w:eastAsia="ro-RO"/>
        </w:rPr>
        <w:t xml:space="preserve"> </w:t>
      </w:r>
      <w:r w:rsidRPr="00AC3FAC">
        <w:rPr>
          <w:rFonts w:asciiTheme="majorHAnsi" w:hAnsiTheme="majorHAnsi" w:cstheme="majorHAnsi"/>
          <w:bCs/>
          <w:sz w:val="24"/>
          <w:szCs w:val="24"/>
          <w:lang w:val="ro-MD" w:eastAsia="ro-RO"/>
        </w:rPr>
        <w:t xml:space="preserve">Субъект предпринял меры по упорядочению </w:t>
      </w:r>
      <w:r w:rsidR="00070ACE" w:rsidRPr="00CD4DA8">
        <w:rPr>
          <w:rFonts w:asciiTheme="majorHAnsi" w:hAnsiTheme="majorHAnsi" w:cstheme="majorHAnsi"/>
          <w:bCs/>
          <w:sz w:val="24"/>
          <w:szCs w:val="24"/>
          <w:lang w:val="ro-MD" w:eastAsia="ro-RO"/>
        </w:rPr>
        <w:t xml:space="preserve">и повышению эффективности </w:t>
      </w:r>
      <w:r w:rsidRPr="00AC3FAC">
        <w:rPr>
          <w:rFonts w:asciiTheme="majorHAnsi" w:hAnsiTheme="majorHAnsi" w:cstheme="majorHAnsi"/>
          <w:bCs/>
          <w:sz w:val="24"/>
          <w:szCs w:val="24"/>
          <w:lang w:val="ro-MD" w:eastAsia="ro-RO"/>
        </w:rPr>
        <w:t>процессов внутреннего контроля</w:t>
      </w:r>
      <w:r w:rsidR="00070ACE" w:rsidRPr="00CD4DA8">
        <w:rPr>
          <w:rFonts w:asciiTheme="majorHAnsi" w:hAnsiTheme="majorHAnsi" w:cstheme="majorHAnsi"/>
          <w:bCs/>
          <w:sz w:val="24"/>
          <w:szCs w:val="24"/>
          <w:lang w:val="ro-MD" w:eastAsia="ro-RO"/>
        </w:rPr>
        <w:t>,</w:t>
      </w:r>
      <w:r w:rsidRPr="00AC3FAC">
        <w:rPr>
          <w:rFonts w:asciiTheme="majorHAnsi" w:hAnsiTheme="majorHAnsi" w:cstheme="majorHAnsi"/>
          <w:bCs/>
          <w:sz w:val="24"/>
          <w:szCs w:val="24"/>
          <w:lang w:val="ro-MD" w:eastAsia="ro-RO"/>
        </w:rPr>
        <w:t xml:space="preserve"> с организацией и проведением информа</w:t>
      </w:r>
      <w:r w:rsidR="00070ACE" w:rsidRPr="00CD4DA8">
        <w:rPr>
          <w:rFonts w:asciiTheme="majorHAnsi" w:hAnsiTheme="majorHAnsi" w:cstheme="majorHAnsi"/>
          <w:bCs/>
          <w:sz w:val="24"/>
          <w:szCs w:val="24"/>
          <w:lang w:val="ro-MD" w:eastAsia="ro-RO"/>
        </w:rPr>
        <w:t>тив</w:t>
      </w:r>
      <w:r w:rsidRPr="00AC3FAC">
        <w:rPr>
          <w:rFonts w:asciiTheme="majorHAnsi" w:hAnsiTheme="majorHAnsi" w:cstheme="majorHAnsi"/>
          <w:bCs/>
          <w:sz w:val="24"/>
          <w:szCs w:val="24"/>
          <w:lang w:val="ro-MD" w:eastAsia="ro-RO"/>
        </w:rPr>
        <w:t xml:space="preserve">ных </w:t>
      </w:r>
      <w:r w:rsidR="00070ACE" w:rsidRPr="00CD4DA8">
        <w:rPr>
          <w:rFonts w:asciiTheme="majorHAnsi" w:hAnsiTheme="majorHAnsi" w:cstheme="majorHAnsi"/>
          <w:bCs/>
          <w:sz w:val="24"/>
          <w:szCs w:val="24"/>
          <w:lang w:val="ro-MD" w:eastAsia="ro-RO"/>
        </w:rPr>
        <w:t>заседаний</w:t>
      </w:r>
      <w:r w:rsidRPr="00AC3FAC">
        <w:rPr>
          <w:rFonts w:asciiTheme="majorHAnsi" w:hAnsiTheme="majorHAnsi" w:cstheme="majorHAnsi"/>
          <w:bCs/>
          <w:sz w:val="24"/>
          <w:szCs w:val="24"/>
          <w:lang w:val="ro-MD" w:eastAsia="ro-RO"/>
        </w:rPr>
        <w:t xml:space="preserve"> с руководителями подразделений по </w:t>
      </w:r>
      <w:r w:rsidR="00070ACE" w:rsidRPr="00CD4DA8">
        <w:rPr>
          <w:rFonts w:asciiTheme="majorHAnsi" w:hAnsiTheme="majorHAnsi" w:cstheme="majorHAnsi"/>
          <w:bCs/>
          <w:sz w:val="24"/>
          <w:szCs w:val="24"/>
          <w:lang w:val="ro-MD" w:eastAsia="ro-RO"/>
        </w:rPr>
        <w:t>констатация</w:t>
      </w:r>
      <w:r w:rsidRPr="00AC3FAC">
        <w:rPr>
          <w:rFonts w:asciiTheme="majorHAnsi" w:hAnsiTheme="majorHAnsi" w:cstheme="majorHAnsi"/>
          <w:bCs/>
          <w:sz w:val="24"/>
          <w:szCs w:val="24"/>
          <w:lang w:val="ro-MD" w:eastAsia="ro-RO"/>
        </w:rPr>
        <w:t xml:space="preserve">м аудита, </w:t>
      </w:r>
      <w:r w:rsidR="00070ACE" w:rsidRPr="00CD4DA8">
        <w:rPr>
          <w:rFonts w:asciiTheme="majorHAnsi" w:hAnsiTheme="majorHAnsi" w:cstheme="majorHAnsi"/>
          <w:bCs/>
          <w:sz w:val="24"/>
          <w:szCs w:val="24"/>
          <w:lang w:val="ro-MD" w:eastAsia="ro-RO"/>
        </w:rPr>
        <w:t xml:space="preserve">а </w:t>
      </w:r>
      <w:r w:rsidRPr="00AC3FAC">
        <w:rPr>
          <w:rFonts w:asciiTheme="majorHAnsi" w:hAnsiTheme="majorHAnsi" w:cstheme="majorHAnsi"/>
          <w:bCs/>
          <w:sz w:val="24"/>
          <w:szCs w:val="24"/>
          <w:lang w:val="ro-MD" w:eastAsia="ro-RO"/>
        </w:rPr>
        <w:t>ответственны</w:t>
      </w:r>
      <w:r w:rsidR="00070ACE" w:rsidRPr="00CD4DA8">
        <w:rPr>
          <w:rFonts w:asciiTheme="majorHAnsi" w:hAnsiTheme="majorHAnsi" w:cstheme="majorHAnsi"/>
          <w:bCs/>
          <w:sz w:val="24"/>
          <w:szCs w:val="24"/>
          <w:lang w:val="ro-MD" w:eastAsia="ro-RO"/>
        </w:rPr>
        <w:t>м лицам было указано на необходимость</w:t>
      </w:r>
      <w:r w:rsidRPr="00AC3FAC">
        <w:rPr>
          <w:rFonts w:asciiTheme="majorHAnsi" w:hAnsiTheme="majorHAnsi" w:cstheme="majorHAnsi"/>
          <w:bCs/>
          <w:sz w:val="24"/>
          <w:szCs w:val="24"/>
          <w:lang w:val="ro-MD" w:eastAsia="ro-RO"/>
        </w:rPr>
        <w:t xml:space="preserve"> устранени</w:t>
      </w:r>
      <w:r w:rsidR="00070ACE" w:rsidRPr="00CD4DA8">
        <w:rPr>
          <w:rFonts w:asciiTheme="majorHAnsi" w:hAnsiTheme="majorHAnsi" w:cstheme="majorHAnsi"/>
          <w:bCs/>
          <w:sz w:val="24"/>
          <w:szCs w:val="24"/>
          <w:lang w:val="ro-MD" w:eastAsia="ro-RO"/>
        </w:rPr>
        <w:t>я</w:t>
      </w:r>
      <w:r w:rsidRPr="00AC3FAC">
        <w:rPr>
          <w:rFonts w:asciiTheme="majorHAnsi" w:hAnsiTheme="majorHAnsi" w:cstheme="majorHAnsi"/>
          <w:bCs/>
          <w:sz w:val="24"/>
          <w:szCs w:val="24"/>
          <w:lang w:val="ro-MD" w:eastAsia="ro-RO"/>
        </w:rPr>
        <w:t xml:space="preserve"> не</w:t>
      </w:r>
      <w:r w:rsidR="00070ACE" w:rsidRPr="00CD4DA8">
        <w:rPr>
          <w:rFonts w:asciiTheme="majorHAnsi" w:hAnsiTheme="majorHAnsi" w:cstheme="majorHAnsi"/>
          <w:bCs/>
          <w:sz w:val="24"/>
          <w:szCs w:val="24"/>
          <w:lang w:val="ro-MD" w:eastAsia="ro-RO"/>
        </w:rPr>
        <w:t>соответствий</w:t>
      </w:r>
      <w:r w:rsidRPr="00AC3FAC">
        <w:rPr>
          <w:rFonts w:asciiTheme="majorHAnsi" w:hAnsiTheme="majorHAnsi" w:cstheme="majorHAnsi"/>
          <w:bCs/>
          <w:sz w:val="24"/>
          <w:szCs w:val="24"/>
          <w:lang w:val="ro-MD" w:eastAsia="ro-RO"/>
        </w:rPr>
        <w:t xml:space="preserve"> (</w:t>
      </w:r>
      <w:r w:rsidR="00070ACE" w:rsidRPr="00CD4DA8">
        <w:rPr>
          <w:rFonts w:asciiTheme="majorHAnsi" w:hAnsiTheme="majorHAnsi" w:cstheme="majorHAnsi"/>
          <w:bCs/>
          <w:sz w:val="24"/>
          <w:szCs w:val="24"/>
          <w:lang w:val="ro-MD" w:eastAsia="ro-RO"/>
        </w:rPr>
        <w:t>П</w:t>
      </w:r>
      <w:r w:rsidRPr="00AC3FAC">
        <w:rPr>
          <w:rFonts w:asciiTheme="majorHAnsi" w:hAnsiTheme="majorHAnsi" w:cstheme="majorHAnsi"/>
          <w:bCs/>
          <w:sz w:val="24"/>
          <w:szCs w:val="24"/>
          <w:lang w:val="ro-MD" w:eastAsia="ro-RO"/>
        </w:rPr>
        <w:t xml:space="preserve">ротокол №59/23 от 12.12.2023, </w:t>
      </w:r>
      <w:r w:rsidR="00CD4DA8" w:rsidRPr="00CD4DA8">
        <w:rPr>
          <w:rFonts w:asciiTheme="majorHAnsi" w:hAnsiTheme="majorHAnsi" w:cstheme="majorHAnsi"/>
          <w:bCs/>
          <w:sz w:val="24"/>
          <w:szCs w:val="24"/>
          <w:lang w:val="ro-MD" w:eastAsia="ro-RO"/>
        </w:rPr>
        <w:t>Приказ Д</w:t>
      </w:r>
      <w:r w:rsidRPr="00AC3FAC">
        <w:rPr>
          <w:rFonts w:asciiTheme="majorHAnsi" w:hAnsiTheme="majorHAnsi" w:cstheme="majorHAnsi"/>
          <w:bCs/>
          <w:sz w:val="24"/>
          <w:szCs w:val="24"/>
          <w:lang w:val="ro-MD" w:eastAsia="ro-RO"/>
        </w:rPr>
        <w:t xml:space="preserve">иректора </w:t>
      </w:r>
      <w:r w:rsidR="00E77520">
        <w:rPr>
          <w:rFonts w:asciiTheme="majorHAnsi" w:hAnsiTheme="majorHAnsi" w:cstheme="majorHAnsi"/>
          <w:bCs/>
          <w:sz w:val="24"/>
          <w:szCs w:val="24"/>
          <w:lang w:val="ro-MD" w:eastAsia="ro-RO"/>
        </w:rPr>
        <w:t>ПМСУ</w:t>
      </w:r>
      <w:r w:rsidRPr="00AC3FAC">
        <w:rPr>
          <w:rFonts w:asciiTheme="majorHAnsi" w:hAnsiTheme="majorHAnsi" w:cstheme="majorHAnsi"/>
          <w:bCs/>
          <w:sz w:val="24"/>
          <w:szCs w:val="24"/>
          <w:lang w:val="ro-MD" w:eastAsia="ro-RO"/>
        </w:rPr>
        <w:t xml:space="preserve"> </w:t>
      </w:r>
      <w:r w:rsidR="00070ACE">
        <w:rPr>
          <w:rFonts w:asciiTheme="majorHAnsi" w:hAnsiTheme="majorHAnsi" w:cstheme="majorHAnsi"/>
          <w:bCs/>
          <w:sz w:val="24"/>
          <w:szCs w:val="24"/>
          <w:lang w:val="ro-MD" w:eastAsia="ro-RO"/>
        </w:rPr>
        <w:t>ИФП</w:t>
      </w:r>
      <w:r w:rsidR="00CD4DA8">
        <w:rPr>
          <w:rFonts w:asciiTheme="majorHAnsi" w:hAnsiTheme="majorHAnsi" w:cstheme="majorHAnsi"/>
          <w:bCs/>
          <w:sz w:val="24"/>
          <w:szCs w:val="24"/>
          <w:lang w:val="ro-MD" w:eastAsia="ro-RO"/>
        </w:rPr>
        <w:t xml:space="preserve"> </w:t>
      </w:r>
      <w:r w:rsidR="00AC00D0">
        <w:rPr>
          <w:rFonts w:asciiTheme="majorHAnsi" w:hAnsiTheme="majorHAnsi" w:cstheme="majorHAnsi"/>
          <w:bCs/>
          <w:sz w:val="24"/>
          <w:szCs w:val="24"/>
          <w:lang w:val="ro-MD" w:eastAsia="ro-RO"/>
        </w:rPr>
        <w:t>„</w:t>
      </w:r>
      <w:r w:rsidR="00AC00D0">
        <w:rPr>
          <w:rFonts w:asciiTheme="majorHAnsi" w:hAnsiTheme="majorHAnsi" w:cs="Calibri Light"/>
          <w:sz w:val="24"/>
          <w:szCs w:val="24"/>
          <w:lang w:val="ru-MD" w:eastAsia="ru-RU"/>
        </w:rPr>
        <w:t>Кирилл Драганюк</w:t>
      </w:r>
      <w:r w:rsidR="00F56EC1">
        <w:rPr>
          <w:rFonts w:asciiTheme="majorHAnsi" w:hAnsiTheme="majorHAnsi" w:cstheme="majorHAnsi"/>
          <w:bCs/>
          <w:sz w:val="24"/>
          <w:szCs w:val="24"/>
          <w:lang w:val="ro-MD" w:eastAsia="ro-RO"/>
        </w:rPr>
        <w:t>”</w:t>
      </w:r>
      <w:r w:rsidR="00CD4DA8">
        <w:rPr>
          <w:rFonts w:asciiTheme="majorHAnsi" w:hAnsiTheme="majorHAnsi" w:cstheme="majorHAnsi"/>
          <w:bCs/>
          <w:sz w:val="24"/>
          <w:szCs w:val="24"/>
          <w:lang w:val="ro-MD" w:eastAsia="ro-RO"/>
        </w:rPr>
        <w:t xml:space="preserve"> №</w:t>
      </w:r>
      <w:r w:rsidRPr="00AC3FAC">
        <w:rPr>
          <w:rFonts w:asciiTheme="majorHAnsi" w:hAnsiTheme="majorHAnsi" w:cstheme="majorHAnsi"/>
          <w:bCs/>
          <w:sz w:val="24"/>
          <w:szCs w:val="24"/>
          <w:lang w:val="ro-MD" w:eastAsia="ro-RO"/>
        </w:rPr>
        <w:t>114 от 13.12.2023 о предупреждени</w:t>
      </w:r>
      <w:r w:rsidR="00CD4DA8" w:rsidRPr="00CD4DA8">
        <w:rPr>
          <w:rFonts w:asciiTheme="majorHAnsi" w:hAnsiTheme="majorHAnsi" w:cstheme="majorHAnsi"/>
          <w:bCs/>
          <w:sz w:val="24"/>
          <w:szCs w:val="24"/>
          <w:lang w:val="ro-MD" w:eastAsia="ro-RO"/>
        </w:rPr>
        <w:t>и</w:t>
      </w:r>
      <w:r w:rsidRPr="00AC3FAC">
        <w:rPr>
          <w:rFonts w:asciiTheme="majorHAnsi" w:hAnsiTheme="majorHAnsi" w:cstheme="majorHAnsi"/>
          <w:bCs/>
          <w:sz w:val="24"/>
          <w:szCs w:val="24"/>
          <w:lang w:val="ro-MD" w:eastAsia="ro-RO"/>
        </w:rPr>
        <w:t xml:space="preserve"> персонала)</w:t>
      </w:r>
      <w:r w:rsidR="00B400DA" w:rsidRPr="00516931">
        <w:rPr>
          <w:rFonts w:asciiTheme="majorHAnsi" w:hAnsiTheme="majorHAnsi" w:cstheme="majorHAnsi"/>
          <w:bCs/>
          <w:sz w:val="24"/>
          <w:szCs w:val="24"/>
          <w:lang w:val="ro-MD" w:eastAsia="ro-RO"/>
        </w:rPr>
        <w:t>.</w:t>
      </w:r>
      <w:r w:rsidR="00031D88" w:rsidRPr="00B13B9A">
        <w:rPr>
          <w:rFonts w:asciiTheme="majorHAnsi" w:hAnsiTheme="majorHAnsi" w:cstheme="majorHAnsi"/>
          <w:bCs/>
          <w:sz w:val="24"/>
          <w:szCs w:val="24"/>
          <w:lang w:val="ro-MD" w:eastAsia="ro-RO"/>
        </w:rPr>
        <w:t xml:space="preserve"> </w:t>
      </w:r>
    </w:p>
    <w:p w14:paraId="1553F00E" w14:textId="1F9327C6" w:rsidR="00EF1983" w:rsidRPr="00B13B9A" w:rsidRDefault="00AC3FAC" w:rsidP="006E4551">
      <w:pPr>
        <w:spacing w:before="240" w:after="0" w:line="276" w:lineRule="auto"/>
        <w:jc w:val="both"/>
        <w:rPr>
          <w:rFonts w:asciiTheme="majorHAnsi" w:hAnsiTheme="majorHAnsi" w:cstheme="majorHAnsi"/>
          <w:b/>
          <w:bCs/>
          <w:sz w:val="24"/>
          <w:szCs w:val="24"/>
          <w:lang w:val="ro-MD" w:eastAsia="ro-RO"/>
        </w:rPr>
      </w:pPr>
      <w:r w:rsidRPr="00AC3FAC">
        <w:rPr>
          <w:rFonts w:asciiTheme="majorHAnsi" w:hAnsiTheme="majorHAnsi" w:cstheme="majorHAnsi"/>
          <w:b/>
          <w:bCs/>
          <w:sz w:val="24"/>
          <w:szCs w:val="24"/>
          <w:lang w:val="ro-MD" w:eastAsia="ro-RO"/>
        </w:rPr>
        <w:t xml:space="preserve">Кроме того, процесс оценки показателя профессиональной </w:t>
      </w:r>
      <w:r w:rsidR="00CD4DA8" w:rsidRPr="00CD4DA8">
        <w:rPr>
          <w:rFonts w:asciiTheme="majorHAnsi" w:hAnsiTheme="majorHAnsi" w:cstheme="majorHAnsi"/>
          <w:b/>
          <w:bCs/>
          <w:sz w:val="24"/>
          <w:szCs w:val="24"/>
          <w:lang w:val="ro-MD" w:eastAsia="ro-RO"/>
        </w:rPr>
        <w:t>эффектив</w:t>
      </w:r>
      <w:r w:rsidRPr="00AC3FAC">
        <w:rPr>
          <w:rFonts w:asciiTheme="majorHAnsi" w:hAnsiTheme="majorHAnsi" w:cstheme="majorHAnsi"/>
          <w:b/>
          <w:bCs/>
          <w:sz w:val="24"/>
          <w:szCs w:val="24"/>
          <w:lang w:val="ro-MD" w:eastAsia="ro-RO"/>
        </w:rPr>
        <w:t>ности и предоставления компенсаци</w:t>
      </w:r>
      <w:r w:rsidR="00CD4DA8" w:rsidRPr="00CD4DA8">
        <w:rPr>
          <w:rFonts w:asciiTheme="majorHAnsi" w:hAnsiTheme="majorHAnsi" w:cstheme="majorHAnsi"/>
          <w:b/>
          <w:bCs/>
          <w:sz w:val="24"/>
          <w:szCs w:val="24"/>
          <w:lang w:val="ro-MD" w:eastAsia="ro-RO"/>
        </w:rPr>
        <w:t>онной надбавки</w:t>
      </w:r>
      <w:r w:rsidRPr="00AC3FAC">
        <w:rPr>
          <w:rFonts w:asciiTheme="majorHAnsi" w:hAnsiTheme="majorHAnsi" w:cstheme="majorHAnsi"/>
          <w:b/>
          <w:bCs/>
          <w:sz w:val="24"/>
          <w:szCs w:val="24"/>
          <w:lang w:val="ro-MD" w:eastAsia="ro-RO"/>
        </w:rPr>
        <w:t xml:space="preserve"> за работу, выполняемую в условиях повышенного риска для здоровья, не был полностью задокументирован, что позволило </w:t>
      </w:r>
      <w:r w:rsidR="00CD4DA8" w:rsidRPr="00CD4DA8">
        <w:rPr>
          <w:rFonts w:asciiTheme="majorHAnsi" w:hAnsiTheme="majorHAnsi" w:cstheme="majorHAnsi"/>
          <w:b/>
          <w:bCs/>
          <w:sz w:val="24"/>
          <w:szCs w:val="24"/>
          <w:lang w:val="ro-MD" w:eastAsia="ro-RO"/>
        </w:rPr>
        <w:t>субъекту незаконно предоставля</w:t>
      </w:r>
      <w:r w:rsidRPr="00AC3FAC">
        <w:rPr>
          <w:rFonts w:asciiTheme="majorHAnsi" w:hAnsiTheme="majorHAnsi" w:cstheme="majorHAnsi"/>
          <w:b/>
          <w:bCs/>
          <w:sz w:val="24"/>
          <w:szCs w:val="24"/>
          <w:lang w:val="ro-MD" w:eastAsia="ro-RO"/>
        </w:rPr>
        <w:t>ть финансовы</w:t>
      </w:r>
      <w:r w:rsidR="00CD4DA8" w:rsidRPr="00CD4DA8">
        <w:rPr>
          <w:rFonts w:asciiTheme="majorHAnsi" w:hAnsiTheme="majorHAnsi" w:cstheme="majorHAnsi"/>
          <w:b/>
          <w:bCs/>
          <w:sz w:val="24"/>
          <w:szCs w:val="24"/>
          <w:lang w:val="ro-MD" w:eastAsia="ro-RO"/>
        </w:rPr>
        <w:t>е</w:t>
      </w:r>
      <w:r w:rsidRPr="00AC3FAC">
        <w:rPr>
          <w:rFonts w:asciiTheme="majorHAnsi" w:hAnsiTheme="majorHAnsi" w:cstheme="majorHAnsi"/>
          <w:b/>
          <w:bCs/>
          <w:sz w:val="24"/>
          <w:szCs w:val="24"/>
          <w:lang w:val="ro-MD" w:eastAsia="ro-RO"/>
        </w:rPr>
        <w:t xml:space="preserve"> средства в размере 24 199,1 тыс. леев</w:t>
      </w:r>
      <w:bookmarkEnd w:id="35"/>
      <w:r w:rsidR="006625ED" w:rsidRPr="00B13B9A">
        <w:rPr>
          <w:rFonts w:asciiTheme="majorHAnsi" w:hAnsiTheme="majorHAnsi" w:cstheme="majorHAnsi"/>
          <w:b/>
          <w:sz w:val="24"/>
          <w:szCs w:val="24"/>
          <w:lang w:val="ro-MD"/>
        </w:rPr>
        <w:t>.</w:t>
      </w:r>
    </w:p>
    <w:p w14:paraId="502CF8E4" w14:textId="4E764DF9" w:rsidR="00EF1983" w:rsidRPr="00B13B9A" w:rsidRDefault="00D25F88" w:rsidP="00EF1983">
      <w:pPr>
        <w:tabs>
          <w:tab w:val="left" w:pos="0"/>
        </w:tabs>
        <w:spacing w:after="0" w:line="276" w:lineRule="auto"/>
        <w:jc w:val="both"/>
        <w:rPr>
          <w:rFonts w:asciiTheme="majorHAnsi" w:hAnsiTheme="majorHAnsi" w:cstheme="majorHAnsi"/>
          <w:bCs/>
          <w:sz w:val="24"/>
          <w:szCs w:val="24"/>
          <w:lang w:val="ro-MD" w:eastAsia="ro-RO"/>
        </w:rPr>
      </w:pPr>
      <w:r w:rsidRPr="00D25F88">
        <w:rPr>
          <w:rFonts w:asciiTheme="majorHAnsi" w:hAnsiTheme="majorHAnsi" w:cstheme="majorHAnsi"/>
          <w:bCs/>
          <w:sz w:val="24"/>
          <w:szCs w:val="24"/>
          <w:lang w:val="ro-MD" w:eastAsia="ro-RO"/>
        </w:rPr>
        <w:t xml:space="preserve">Согласно </w:t>
      </w:r>
      <w:r w:rsidR="00CD4DA8">
        <w:rPr>
          <w:rFonts w:asciiTheme="majorHAnsi" w:hAnsiTheme="majorHAnsi" w:cstheme="majorHAnsi"/>
          <w:bCs/>
          <w:sz w:val="24"/>
          <w:szCs w:val="24"/>
          <w:lang w:val="ru-RU" w:eastAsia="ro-RO"/>
        </w:rPr>
        <w:t>установленным МЗ нормам</w:t>
      </w:r>
      <w:r w:rsidR="00CD4DA8" w:rsidRPr="00B13B9A">
        <w:rPr>
          <w:rStyle w:val="a9"/>
          <w:rFonts w:asciiTheme="majorHAnsi" w:hAnsiTheme="majorHAnsi" w:cstheme="majorHAnsi"/>
          <w:bCs/>
          <w:sz w:val="24"/>
          <w:szCs w:val="24"/>
          <w:lang w:val="ro-MD" w:eastAsia="ro-RO"/>
        </w:rPr>
        <w:footnoteReference w:id="50"/>
      </w:r>
      <w:r w:rsidRPr="00D25F88">
        <w:rPr>
          <w:rFonts w:asciiTheme="majorHAnsi" w:hAnsiTheme="majorHAnsi" w:cstheme="majorHAnsi"/>
          <w:bCs/>
          <w:sz w:val="24"/>
          <w:szCs w:val="24"/>
          <w:lang w:val="ro-MD" w:eastAsia="ro-RO"/>
        </w:rPr>
        <w:t>, финансов</w:t>
      </w:r>
      <w:r w:rsidR="00CD4DA8">
        <w:rPr>
          <w:rFonts w:asciiTheme="majorHAnsi" w:hAnsiTheme="majorHAnsi" w:cstheme="majorHAnsi"/>
          <w:bCs/>
          <w:sz w:val="24"/>
          <w:szCs w:val="24"/>
          <w:lang w:val="ru-RU" w:eastAsia="ro-RO"/>
        </w:rPr>
        <w:t>ое</w:t>
      </w:r>
      <w:r w:rsidRPr="00D25F88">
        <w:rPr>
          <w:rFonts w:asciiTheme="majorHAnsi" w:hAnsiTheme="majorHAnsi" w:cstheme="majorHAnsi"/>
          <w:bCs/>
          <w:sz w:val="24"/>
          <w:szCs w:val="24"/>
          <w:lang w:val="ro-MD" w:eastAsia="ro-RO"/>
        </w:rPr>
        <w:t xml:space="preserve"> </w:t>
      </w:r>
      <w:r w:rsidR="00CD4DA8">
        <w:rPr>
          <w:rFonts w:asciiTheme="majorHAnsi" w:hAnsiTheme="majorHAnsi" w:cstheme="majorHAnsi"/>
          <w:bCs/>
          <w:sz w:val="24"/>
          <w:szCs w:val="24"/>
          <w:lang w:val="ru-RU" w:eastAsia="ro-RO"/>
        </w:rPr>
        <w:t>стимулирование</w:t>
      </w:r>
      <w:r w:rsidRPr="00D25F88">
        <w:rPr>
          <w:rFonts w:asciiTheme="majorHAnsi" w:hAnsiTheme="majorHAnsi" w:cstheme="majorHAnsi"/>
          <w:bCs/>
          <w:sz w:val="24"/>
          <w:szCs w:val="24"/>
          <w:lang w:val="ro-MD" w:eastAsia="ro-RO"/>
        </w:rPr>
        <w:t xml:space="preserve"> персонала, непосредственно участвующего в </w:t>
      </w:r>
      <w:r w:rsidR="00CD4DA8">
        <w:rPr>
          <w:rFonts w:asciiTheme="majorHAnsi" w:hAnsiTheme="majorHAnsi" w:cstheme="majorHAnsi"/>
          <w:bCs/>
          <w:sz w:val="24"/>
          <w:szCs w:val="24"/>
          <w:lang w:val="ru-RU" w:eastAsia="ro-RO"/>
        </w:rPr>
        <w:t>реализац</w:t>
      </w:r>
      <w:r w:rsidRPr="00D25F88">
        <w:rPr>
          <w:rFonts w:asciiTheme="majorHAnsi" w:hAnsiTheme="majorHAnsi" w:cstheme="majorHAnsi"/>
          <w:bCs/>
          <w:sz w:val="24"/>
          <w:szCs w:val="24"/>
          <w:lang w:val="ro-MD" w:eastAsia="ro-RO"/>
        </w:rPr>
        <w:t xml:space="preserve">ии показателя профессиональной </w:t>
      </w:r>
      <w:r w:rsidR="00CD4DA8">
        <w:rPr>
          <w:rFonts w:asciiTheme="majorHAnsi" w:hAnsiTheme="majorHAnsi" w:cstheme="majorHAnsi"/>
          <w:bCs/>
          <w:sz w:val="24"/>
          <w:szCs w:val="24"/>
          <w:lang w:val="ru-RU" w:eastAsia="ro-RO"/>
        </w:rPr>
        <w:t>эффектив</w:t>
      </w:r>
      <w:r w:rsidRPr="00D25F88">
        <w:rPr>
          <w:rFonts w:asciiTheme="majorHAnsi" w:hAnsiTheme="majorHAnsi" w:cstheme="majorHAnsi"/>
          <w:bCs/>
          <w:sz w:val="24"/>
          <w:szCs w:val="24"/>
          <w:lang w:val="ro-MD" w:eastAsia="ro-RO"/>
        </w:rPr>
        <w:t>ности „</w:t>
      </w:r>
      <w:r w:rsidR="00CD4DA8">
        <w:rPr>
          <w:rFonts w:asciiTheme="majorHAnsi" w:hAnsiTheme="majorHAnsi" w:cstheme="majorHAnsi"/>
          <w:bCs/>
          <w:sz w:val="24"/>
          <w:szCs w:val="24"/>
          <w:lang w:val="ru-RU" w:eastAsia="ro-RO"/>
        </w:rPr>
        <w:t>О</w:t>
      </w:r>
      <w:r w:rsidRPr="00D25F88">
        <w:rPr>
          <w:rFonts w:asciiTheme="majorHAnsi" w:hAnsiTheme="majorHAnsi" w:cstheme="majorHAnsi"/>
          <w:bCs/>
          <w:sz w:val="24"/>
          <w:szCs w:val="24"/>
          <w:lang w:val="ro-MD" w:eastAsia="ro-RO"/>
        </w:rPr>
        <w:t>казание медицинской помощи пациентам с COVID-19</w:t>
      </w:r>
      <w:r w:rsidR="00CD4DA8">
        <w:rPr>
          <w:rFonts w:asciiTheme="majorHAnsi" w:hAnsiTheme="majorHAnsi" w:cstheme="majorHAnsi"/>
          <w:bCs/>
          <w:sz w:val="24"/>
          <w:szCs w:val="24"/>
          <w:lang w:val="ru-RU" w:eastAsia="ro-RO"/>
        </w:rPr>
        <w:t>,</w:t>
      </w:r>
      <w:r w:rsidRPr="00D25F88">
        <w:rPr>
          <w:rFonts w:asciiTheme="majorHAnsi" w:hAnsiTheme="majorHAnsi" w:cstheme="majorHAnsi"/>
          <w:bCs/>
          <w:sz w:val="24"/>
          <w:szCs w:val="24"/>
          <w:lang w:val="ro-MD" w:eastAsia="ro-RO"/>
        </w:rPr>
        <w:t xml:space="preserve"> на основе определения случая контакта/подозреваемого/вероятного/подтвержденного”, осуществляется под личн</w:t>
      </w:r>
      <w:r w:rsidR="00CD4DA8">
        <w:rPr>
          <w:rFonts w:asciiTheme="majorHAnsi" w:hAnsiTheme="majorHAnsi" w:cstheme="majorHAnsi"/>
          <w:bCs/>
          <w:sz w:val="24"/>
          <w:szCs w:val="24"/>
          <w:lang w:val="ru-RU" w:eastAsia="ro-RO"/>
        </w:rPr>
        <w:t>ую</w:t>
      </w:r>
      <w:r w:rsidRPr="00D25F88">
        <w:rPr>
          <w:rFonts w:asciiTheme="majorHAnsi" w:hAnsiTheme="majorHAnsi" w:cstheme="majorHAnsi"/>
          <w:bCs/>
          <w:sz w:val="24"/>
          <w:szCs w:val="24"/>
          <w:lang w:val="ro-MD" w:eastAsia="ro-RO"/>
        </w:rPr>
        <w:t xml:space="preserve"> ответственность руководителя учреждения. Также</w:t>
      </w:r>
      <w:r w:rsidR="00CD4DA8">
        <w:rPr>
          <w:rFonts w:asciiTheme="majorHAnsi" w:hAnsiTheme="majorHAnsi" w:cstheme="majorHAnsi"/>
          <w:bCs/>
          <w:sz w:val="24"/>
          <w:szCs w:val="24"/>
          <w:lang w:val="ru-RU" w:eastAsia="ro-RO"/>
        </w:rPr>
        <w:t>,</w:t>
      </w:r>
      <w:r w:rsidRPr="00D25F88">
        <w:rPr>
          <w:rFonts w:asciiTheme="majorHAnsi" w:hAnsiTheme="majorHAnsi" w:cstheme="majorHAnsi"/>
          <w:bCs/>
          <w:sz w:val="24"/>
          <w:szCs w:val="24"/>
          <w:lang w:val="ro-MD" w:eastAsia="ro-RO"/>
        </w:rPr>
        <w:t xml:space="preserve"> менеджер учреждения </w:t>
      </w:r>
      <w:r w:rsidR="00CD4DA8">
        <w:rPr>
          <w:rFonts w:asciiTheme="majorHAnsi" w:hAnsiTheme="majorHAnsi" w:cstheme="majorHAnsi"/>
          <w:bCs/>
          <w:sz w:val="24"/>
          <w:szCs w:val="24"/>
          <w:lang w:val="ru-RU" w:eastAsia="ro-RO"/>
        </w:rPr>
        <w:t>руководи</w:t>
      </w:r>
      <w:r w:rsidRPr="00D25F88">
        <w:rPr>
          <w:rFonts w:asciiTheme="majorHAnsi" w:hAnsiTheme="majorHAnsi" w:cstheme="majorHAnsi"/>
          <w:bCs/>
          <w:sz w:val="24"/>
          <w:szCs w:val="24"/>
          <w:lang w:val="ro-MD" w:eastAsia="ro-RO"/>
        </w:rPr>
        <w:t>т текущ</w:t>
      </w:r>
      <w:r w:rsidR="00CD4DA8">
        <w:rPr>
          <w:rFonts w:asciiTheme="majorHAnsi" w:hAnsiTheme="majorHAnsi" w:cstheme="majorHAnsi"/>
          <w:bCs/>
          <w:sz w:val="24"/>
          <w:szCs w:val="24"/>
          <w:lang w:val="ru-RU" w:eastAsia="ro-RO"/>
        </w:rPr>
        <w:t>ей</w:t>
      </w:r>
      <w:r w:rsidRPr="00D25F88">
        <w:rPr>
          <w:rFonts w:asciiTheme="majorHAnsi" w:hAnsiTheme="majorHAnsi" w:cstheme="majorHAnsi"/>
          <w:bCs/>
          <w:sz w:val="24"/>
          <w:szCs w:val="24"/>
          <w:lang w:val="ro-MD" w:eastAsia="ro-RO"/>
        </w:rPr>
        <w:t xml:space="preserve"> оперативн</w:t>
      </w:r>
      <w:r w:rsidR="00CD4DA8">
        <w:rPr>
          <w:rFonts w:asciiTheme="majorHAnsi" w:hAnsiTheme="majorHAnsi" w:cstheme="majorHAnsi"/>
          <w:bCs/>
          <w:sz w:val="24"/>
          <w:szCs w:val="24"/>
          <w:lang w:val="ru-RU" w:eastAsia="ro-RO"/>
        </w:rPr>
        <w:t>ой</w:t>
      </w:r>
      <w:r w:rsidRPr="00D25F88">
        <w:rPr>
          <w:rFonts w:asciiTheme="majorHAnsi" w:hAnsiTheme="majorHAnsi" w:cstheme="majorHAnsi"/>
          <w:bCs/>
          <w:sz w:val="24"/>
          <w:szCs w:val="24"/>
          <w:lang w:val="ro-MD" w:eastAsia="ro-RO"/>
        </w:rPr>
        <w:t xml:space="preserve"> деятельность</w:t>
      </w:r>
      <w:r w:rsidR="00CD4DA8">
        <w:rPr>
          <w:rFonts w:asciiTheme="majorHAnsi" w:hAnsiTheme="majorHAnsi" w:cstheme="majorHAnsi"/>
          <w:bCs/>
          <w:sz w:val="24"/>
          <w:szCs w:val="24"/>
          <w:lang w:val="ru-RU" w:eastAsia="ro-RO"/>
        </w:rPr>
        <w:t>ю</w:t>
      </w:r>
      <w:r w:rsidRPr="00D25F88">
        <w:rPr>
          <w:rFonts w:asciiTheme="majorHAnsi" w:hAnsiTheme="majorHAnsi" w:cstheme="majorHAnsi"/>
          <w:bCs/>
          <w:sz w:val="24"/>
          <w:szCs w:val="24"/>
          <w:lang w:val="ro-MD" w:eastAsia="ro-RO"/>
        </w:rPr>
        <w:t xml:space="preserve">, наделен правом </w:t>
      </w:r>
      <w:r w:rsidR="00CD4DA8">
        <w:rPr>
          <w:rFonts w:asciiTheme="majorHAnsi" w:hAnsiTheme="majorHAnsi" w:cstheme="majorHAnsi"/>
          <w:bCs/>
          <w:sz w:val="24"/>
          <w:szCs w:val="24"/>
          <w:lang w:val="ru-RU" w:eastAsia="ro-RO"/>
        </w:rPr>
        <w:t>экономическ</w:t>
      </w:r>
      <w:r w:rsidRPr="00D25F88">
        <w:rPr>
          <w:rFonts w:asciiTheme="majorHAnsi" w:hAnsiTheme="majorHAnsi" w:cstheme="majorHAnsi"/>
          <w:bCs/>
          <w:sz w:val="24"/>
          <w:szCs w:val="24"/>
          <w:lang w:val="ro-MD" w:eastAsia="ro-RO"/>
        </w:rPr>
        <w:t>ого управления учреждением и обеспечивает выполнение нормативных актов и приказов Министерства здравоохранения. Руководитель издает административный акт о</w:t>
      </w:r>
      <w:r w:rsidR="00CD4DA8" w:rsidRPr="00CD4DA8">
        <w:rPr>
          <w:rFonts w:asciiTheme="majorHAnsi" w:hAnsiTheme="majorHAnsi" w:cstheme="majorHAnsi"/>
          <w:bCs/>
          <w:sz w:val="24"/>
          <w:szCs w:val="24"/>
          <w:lang w:val="ro-MD" w:eastAsia="ro-RO"/>
        </w:rPr>
        <w:t xml:space="preserve"> надбавке за эффективность</w:t>
      </w:r>
      <w:r w:rsidRPr="00D25F88">
        <w:rPr>
          <w:rFonts w:asciiTheme="majorHAnsi" w:hAnsiTheme="majorHAnsi" w:cstheme="majorHAnsi"/>
          <w:bCs/>
          <w:sz w:val="24"/>
          <w:szCs w:val="24"/>
          <w:lang w:val="ro-MD" w:eastAsia="ro-RO"/>
        </w:rPr>
        <w:t>, предоставляем</w:t>
      </w:r>
      <w:r w:rsidR="00CD4DA8" w:rsidRPr="00CD4DA8">
        <w:rPr>
          <w:rFonts w:asciiTheme="majorHAnsi" w:hAnsiTheme="majorHAnsi" w:cstheme="majorHAnsi"/>
          <w:bCs/>
          <w:sz w:val="24"/>
          <w:szCs w:val="24"/>
          <w:lang w:val="ro-MD" w:eastAsia="ro-RO"/>
        </w:rPr>
        <w:t>о</w:t>
      </w:r>
      <w:r w:rsidRPr="00D25F88">
        <w:rPr>
          <w:rFonts w:asciiTheme="majorHAnsi" w:hAnsiTheme="majorHAnsi" w:cstheme="majorHAnsi"/>
          <w:bCs/>
          <w:sz w:val="24"/>
          <w:szCs w:val="24"/>
          <w:lang w:val="ro-MD" w:eastAsia="ro-RO"/>
        </w:rPr>
        <w:t xml:space="preserve">й </w:t>
      </w:r>
      <w:r w:rsidR="00CD4DA8" w:rsidRPr="00D25F88">
        <w:rPr>
          <w:rFonts w:asciiTheme="majorHAnsi" w:hAnsiTheme="majorHAnsi" w:cstheme="majorHAnsi"/>
          <w:bCs/>
          <w:sz w:val="24"/>
          <w:szCs w:val="24"/>
          <w:lang w:val="ro-MD" w:eastAsia="ro-RO"/>
        </w:rPr>
        <w:t xml:space="preserve">ежемесячно </w:t>
      </w:r>
      <w:r w:rsidRPr="00D25F88">
        <w:rPr>
          <w:rFonts w:asciiTheme="majorHAnsi" w:hAnsiTheme="majorHAnsi" w:cstheme="majorHAnsi"/>
          <w:bCs/>
          <w:sz w:val="24"/>
          <w:szCs w:val="24"/>
          <w:lang w:val="ro-MD" w:eastAsia="ro-RO"/>
        </w:rPr>
        <w:t>каждому сотруднику</w:t>
      </w:r>
      <w:r w:rsidR="00EF1983" w:rsidRPr="00B13B9A">
        <w:rPr>
          <w:rStyle w:val="a9"/>
          <w:rFonts w:asciiTheme="majorHAnsi" w:hAnsiTheme="majorHAnsi" w:cstheme="majorHAnsi"/>
          <w:bCs/>
          <w:sz w:val="24"/>
          <w:szCs w:val="24"/>
          <w:lang w:val="ro-MD" w:eastAsia="ro-RO"/>
        </w:rPr>
        <w:footnoteReference w:id="51"/>
      </w:r>
      <w:r w:rsidR="00EF1983" w:rsidRPr="00B13B9A">
        <w:rPr>
          <w:rFonts w:asciiTheme="majorHAnsi" w:hAnsiTheme="majorHAnsi" w:cstheme="majorHAnsi"/>
          <w:bCs/>
          <w:sz w:val="24"/>
          <w:szCs w:val="24"/>
          <w:lang w:val="ro-MD" w:eastAsia="ro-RO"/>
        </w:rPr>
        <w:t>.</w:t>
      </w:r>
    </w:p>
    <w:p w14:paraId="68551852" w14:textId="7038494A" w:rsidR="00EF1983" w:rsidRPr="00B13B9A" w:rsidRDefault="00D25F88" w:rsidP="00EF1983">
      <w:pPr>
        <w:tabs>
          <w:tab w:val="left" w:pos="0"/>
        </w:tabs>
        <w:spacing w:after="0" w:line="276" w:lineRule="auto"/>
        <w:jc w:val="both"/>
        <w:rPr>
          <w:rFonts w:asciiTheme="majorHAnsi" w:hAnsiTheme="majorHAnsi" w:cstheme="majorHAnsi"/>
          <w:bCs/>
          <w:sz w:val="24"/>
          <w:szCs w:val="24"/>
          <w:lang w:val="ro-MD" w:eastAsia="ro-RO"/>
        </w:rPr>
      </w:pPr>
      <w:r w:rsidRPr="00D25F88">
        <w:rPr>
          <w:rFonts w:asciiTheme="majorHAnsi" w:hAnsiTheme="majorHAnsi" w:cstheme="majorHAnsi"/>
          <w:bCs/>
          <w:sz w:val="24"/>
          <w:szCs w:val="24"/>
          <w:lang w:val="ro-MD" w:eastAsia="ro-RO"/>
        </w:rPr>
        <w:t>Аудиторские проверки соответствия процесса предоставления надбавок к заработной плате персоналу, участвующему в лечении пациентов с COVID-19, по</w:t>
      </w:r>
      <w:r w:rsidR="00DA3D82" w:rsidRPr="00DA3D82">
        <w:rPr>
          <w:rFonts w:asciiTheme="majorHAnsi" w:hAnsiTheme="majorHAnsi" w:cstheme="majorHAnsi"/>
          <w:bCs/>
          <w:sz w:val="24"/>
          <w:szCs w:val="24"/>
          <w:lang w:val="ro-MD" w:eastAsia="ro-RO"/>
        </w:rPr>
        <w:t>каза</w:t>
      </w:r>
      <w:r w:rsidRPr="00D25F88">
        <w:rPr>
          <w:rFonts w:asciiTheme="majorHAnsi" w:hAnsiTheme="majorHAnsi" w:cstheme="majorHAnsi"/>
          <w:bCs/>
          <w:sz w:val="24"/>
          <w:szCs w:val="24"/>
          <w:lang w:val="ro-MD" w:eastAsia="ro-RO"/>
        </w:rPr>
        <w:t xml:space="preserve">ли, что в рамках </w:t>
      </w:r>
      <w:r w:rsidR="00B030D1">
        <w:rPr>
          <w:rFonts w:asciiTheme="majorHAnsi" w:hAnsiTheme="majorHAnsi" w:cstheme="majorHAnsi"/>
          <w:bCs/>
          <w:sz w:val="24"/>
          <w:szCs w:val="24"/>
          <w:lang w:val="ro-MD" w:eastAsia="ro-RO"/>
        </w:rPr>
        <w:t>ПМСУ ИФП</w:t>
      </w:r>
      <w:r w:rsidRPr="00D25F88">
        <w:rPr>
          <w:rFonts w:asciiTheme="majorHAnsi" w:hAnsiTheme="majorHAnsi" w:cstheme="majorHAnsi"/>
          <w:bCs/>
          <w:sz w:val="24"/>
          <w:szCs w:val="24"/>
          <w:lang w:val="ro-MD" w:eastAsia="ro-RO"/>
        </w:rPr>
        <w:t xml:space="preserve"> „Кирилл Драганюк” отсутствуют приказы руководителей о ежемесячно</w:t>
      </w:r>
      <w:r w:rsidR="00DA482E" w:rsidRPr="00DA482E">
        <w:rPr>
          <w:rFonts w:asciiTheme="majorHAnsi" w:hAnsiTheme="majorHAnsi" w:cstheme="majorHAnsi"/>
          <w:bCs/>
          <w:sz w:val="24"/>
          <w:szCs w:val="24"/>
          <w:lang w:val="ro-MD" w:eastAsia="ro-RO"/>
        </w:rPr>
        <w:t>м</w:t>
      </w:r>
      <w:r w:rsidRPr="00D25F88">
        <w:rPr>
          <w:rFonts w:asciiTheme="majorHAnsi" w:hAnsiTheme="majorHAnsi" w:cstheme="majorHAnsi"/>
          <w:bCs/>
          <w:sz w:val="24"/>
          <w:szCs w:val="24"/>
          <w:lang w:val="ro-MD" w:eastAsia="ro-RO"/>
        </w:rPr>
        <w:t xml:space="preserve"> </w:t>
      </w:r>
      <w:r w:rsidR="00DA482E" w:rsidRPr="00DA482E">
        <w:rPr>
          <w:rFonts w:asciiTheme="majorHAnsi" w:hAnsiTheme="majorHAnsi" w:cstheme="majorHAnsi"/>
          <w:bCs/>
          <w:sz w:val="24"/>
          <w:szCs w:val="24"/>
          <w:lang w:val="ro-MD" w:eastAsia="ro-RO"/>
        </w:rPr>
        <w:t>установлении</w:t>
      </w:r>
      <w:r w:rsidRPr="00D25F88">
        <w:rPr>
          <w:rFonts w:asciiTheme="majorHAnsi" w:hAnsiTheme="majorHAnsi" w:cstheme="majorHAnsi"/>
          <w:bCs/>
          <w:sz w:val="24"/>
          <w:szCs w:val="24"/>
          <w:lang w:val="ro-MD" w:eastAsia="ro-RO"/>
        </w:rPr>
        <w:t xml:space="preserve"> это</w:t>
      </w:r>
      <w:r w:rsidR="00DA482E" w:rsidRPr="00DA482E">
        <w:rPr>
          <w:rFonts w:asciiTheme="majorHAnsi" w:hAnsiTheme="majorHAnsi" w:cstheme="majorHAnsi"/>
          <w:bCs/>
          <w:sz w:val="24"/>
          <w:szCs w:val="24"/>
          <w:lang w:val="ro-MD" w:eastAsia="ro-RO"/>
        </w:rPr>
        <w:t>й</w:t>
      </w:r>
      <w:r w:rsidRPr="00D25F88">
        <w:rPr>
          <w:rFonts w:asciiTheme="majorHAnsi" w:hAnsiTheme="majorHAnsi" w:cstheme="majorHAnsi"/>
          <w:bCs/>
          <w:sz w:val="24"/>
          <w:szCs w:val="24"/>
          <w:lang w:val="ro-MD" w:eastAsia="ro-RO"/>
        </w:rPr>
        <w:t xml:space="preserve"> </w:t>
      </w:r>
      <w:r w:rsidR="00896273">
        <w:rPr>
          <w:rFonts w:asciiTheme="majorHAnsi" w:hAnsiTheme="majorHAnsi" w:cstheme="majorHAnsi"/>
          <w:bCs/>
          <w:sz w:val="24"/>
          <w:szCs w:val="24"/>
          <w:lang w:val="ro-MD" w:eastAsia="ro-RO"/>
        </w:rPr>
        <w:t>надбавки</w:t>
      </w:r>
      <w:r w:rsidR="00EF1983" w:rsidRPr="00B13B9A">
        <w:rPr>
          <w:rFonts w:asciiTheme="majorHAnsi" w:hAnsiTheme="majorHAnsi" w:cstheme="majorHAnsi"/>
          <w:bCs/>
          <w:sz w:val="24"/>
          <w:szCs w:val="24"/>
          <w:lang w:val="ro-MD" w:eastAsia="ro-RO"/>
        </w:rPr>
        <w:t xml:space="preserve">. </w:t>
      </w:r>
    </w:p>
    <w:p w14:paraId="2392E54C" w14:textId="7CEA3E18" w:rsidR="00EF1983" w:rsidRPr="00B13B9A" w:rsidRDefault="002E194B" w:rsidP="00EF1983">
      <w:pPr>
        <w:spacing w:line="276" w:lineRule="auto"/>
        <w:jc w:val="both"/>
        <w:rPr>
          <w:rFonts w:asciiTheme="majorHAnsi" w:hAnsiTheme="majorHAnsi" w:cstheme="majorHAnsi"/>
          <w:bCs/>
          <w:sz w:val="24"/>
          <w:szCs w:val="24"/>
          <w:lang w:val="ro-MD" w:eastAsia="ro-RO"/>
        </w:rPr>
      </w:pPr>
      <w:r>
        <w:rPr>
          <w:rFonts w:asciiTheme="majorHAnsi" w:hAnsiTheme="majorHAnsi" w:cstheme="majorHAnsi"/>
          <w:bCs/>
          <w:sz w:val="24"/>
          <w:szCs w:val="24"/>
          <w:lang w:val="ru-RU" w:eastAsia="ro-RO"/>
        </w:rPr>
        <w:t>Одновременно</w:t>
      </w:r>
      <w:r w:rsidR="00EF1983" w:rsidRPr="00B13B9A">
        <w:rPr>
          <w:rFonts w:asciiTheme="majorHAnsi" w:hAnsiTheme="majorHAnsi" w:cstheme="majorHAnsi"/>
          <w:bCs/>
          <w:sz w:val="24"/>
          <w:szCs w:val="24"/>
          <w:lang w:val="ro-MD" w:eastAsia="ro-RO"/>
        </w:rPr>
        <w:t xml:space="preserve">, </w:t>
      </w:r>
      <w:r>
        <w:rPr>
          <w:rFonts w:asciiTheme="majorHAnsi" w:hAnsiTheme="majorHAnsi" w:cstheme="majorHAnsi"/>
          <w:bCs/>
          <w:sz w:val="24"/>
          <w:szCs w:val="24"/>
          <w:lang w:val="ru-RU" w:eastAsia="ro-RO"/>
        </w:rPr>
        <w:t>нормативные акты</w:t>
      </w:r>
      <w:r w:rsidR="00EF1983" w:rsidRPr="00B13B9A">
        <w:rPr>
          <w:rStyle w:val="a9"/>
          <w:rFonts w:asciiTheme="majorHAnsi" w:hAnsiTheme="majorHAnsi" w:cstheme="majorHAnsi"/>
          <w:bCs/>
          <w:sz w:val="24"/>
          <w:szCs w:val="24"/>
          <w:lang w:val="ro-MD" w:eastAsia="ro-RO"/>
        </w:rPr>
        <w:footnoteReference w:id="52"/>
      </w:r>
      <w:r w:rsidR="00EF1983" w:rsidRPr="00B13B9A">
        <w:rPr>
          <w:rFonts w:asciiTheme="majorHAnsi" w:hAnsiTheme="majorHAnsi" w:cstheme="majorHAnsi"/>
          <w:bCs/>
          <w:sz w:val="24"/>
          <w:szCs w:val="24"/>
          <w:lang w:val="ro-MD" w:eastAsia="ro-RO"/>
        </w:rPr>
        <w:t xml:space="preserve"> </w:t>
      </w:r>
      <w:r>
        <w:rPr>
          <w:rFonts w:asciiTheme="majorHAnsi" w:hAnsiTheme="majorHAnsi" w:cstheme="majorHAnsi"/>
          <w:bCs/>
          <w:sz w:val="24"/>
          <w:szCs w:val="24"/>
          <w:lang w:val="ru-RU" w:eastAsia="ro-RO"/>
        </w:rPr>
        <w:t>устанавливают, что в</w:t>
      </w:r>
      <w:r w:rsidR="00D25F88" w:rsidRPr="00D25F88">
        <w:rPr>
          <w:rFonts w:asciiTheme="majorHAnsi" w:hAnsiTheme="majorHAnsi" w:cstheme="majorHAnsi"/>
          <w:bCs/>
          <w:sz w:val="24"/>
          <w:szCs w:val="24"/>
          <w:lang w:val="ru-RU" w:eastAsia="ro-RO"/>
        </w:rPr>
        <w:t>ыплата надбавки к заработной плате за индивидуальные профессиональные достижения в труде осуществляется ежемесячно, на основании результатов оценки профессиональных достижений персонала медико-санитарного учреждения</w:t>
      </w:r>
      <w:r w:rsidR="00EF1983" w:rsidRPr="00B13B9A">
        <w:rPr>
          <w:rFonts w:asciiTheme="majorHAnsi" w:hAnsiTheme="majorHAnsi" w:cstheme="majorHAnsi"/>
          <w:bCs/>
          <w:sz w:val="24"/>
          <w:szCs w:val="24"/>
          <w:lang w:val="ro-MD" w:eastAsia="ro-RO"/>
        </w:rPr>
        <w:t xml:space="preserve">. </w:t>
      </w:r>
      <w:r w:rsidR="00D25F88" w:rsidRPr="00D25F88">
        <w:rPr>
          <w:rFonts w:asciiTheme="majorHAnsi" w:hAnsiTheme="majorHAnsi" w:cstheme="majorHAnsi"/>
          <w:bCs/>
          <w:sz w:val="24"/>
          <w:szCs w:val="24"/>
          <w:lang w:val="ru-RU" w:eastAsia="ro-RO"/>
        </w:rPr>
        <w:t>Ответственность за ежемесячную оценку профессиональных достижений возлагается на Комиссию по оценке профессиональных достижений, утвержденную приказом руководителя учреждения</w:t>
      </w:r>
      <w:r w:rsidR="00EF1983" w:rsidRPr="00B13B9A">
        <w:rPr>
          <w:rFonts w:asciiTheme="majorHAnsi" w:hAnsiTheme="majorHAnsi" w:cstheme="majorHAnsi"/>
          <w:bCs/>
          <w:sz w:val="24"/>
          <w:szCs w:val="24"/>
          <w:lang w:val="ro-MD" w:eastAsia="ro-RO"/>
        </w:rPr>
        <w:t xml:space="preserve">.  </w:t>
      </w:r>
    </w:p>
    <w:p w14:paraId="5573507A" w14:textId="7FC30AB7" w:rsidR="00EF1983" w:rsidRPr="00B13B9A" w:rsidRDefault="00D25F88" w:rsidP="00EF1983">
      <w:pPr>
        <w:spacing w:after="0" w:line="276" w:lineRule="auto"/>
        <w:jc w:val="both"/>
        <w:rPr>
          <w:rFonts w:asciiTheme="majorHAnsi" w:hAnsiTheme="majorHAnsi" w:cstheme="majorHAnsi"/>
          <w:bCs/>
          <w:sz w:val="24"/>
          <w:szCs w:val="24"/>
          <w:lang w:val="ro-MD" w:eastAsia="ro-RO"/>
        </w:rPr>
      </w:pPr>
      <w:r w:rsidRPr="00D25F88">
        <w:rPr>
          <w:rFonts w:asciiTheme="majorHAnsi" w:hAnsiTheme="majorHAnsi" w:cstheme="majorHAnsi"/>
          <w:bCs/>
          <w:sz w:val="24"/>
          <w:szCs w:val="24"/>
          <w:lang w:val="ro-MD" w:eastAsia="ro-RO"/>
        </w:rPr>
        <w:t xml:space="preserve">В целях финансового стимулирования персонала, участвующего в надзоре, лечении и контроле за инфекцией COVID-19, в марте и мае 2020 года </w:t>
      </w:r>
      <w:r w:rsidR="002E194B">
        <w:rPr>
          <w:rFonts w:asciiTheme="majorHAnsi" w:hAnsiTheme="majorHAnsi" w:cstheme="majorHAnsi"/>
          <w:bCs/>
          <w:sz w:val="24"/>
          <w:szCs w:val="24"/>
          <w:lang w:val="ru-RU" w:eastAsia="ro-RO"/>
        </w:rPr>
        <w:t>МЗТСЗ</w:t>
      </w:r>
      <w:r w:rsidRPr="00D25F88">
        <w:rPr>
          <w:rFonts w:asciiTheme="majorHAnsi" w:hAnsiTheme="majorHAnsi" w:cstheme="majorHAnsi"/>
          <w:bCs/>
          <w:sz w:val="24"/>
          <w:szCs w:val="24"/>
          <w:lang w:val="ro-MD" w:eastAsia="ro-RO"/>
        </w:rPr>
        <w:t xml:space="preserve"> </w:t>
      </w:r>
      <w:r w:rsidR="002E194B">
        <w:rPr>
          <w:rFonts w:asciiTheme="majorHAnsi" w:hAnsiTheme="majorHAnsi" w:cstheme="majorHAnsi"/>
          <w:bCs/>
          <w:sz w:val="24"/>
          <w:szCs w:val="24"/>
          <w:lang w:val="ru-RU" w:eastAsia="ro-RO"/>
        </w:rPr>
        <w:t>приняло</w:t>
      </w:r>
      <w:r w:rsidRPr="00D25F88">
        <w:rPr>
          <w:rFonts w:asciiTheme="majorHAnsi" w:hAnsiTheme="majorHAnsi" w:cstheme="majorHAnsi"/>
          <w:bCs/>
          <w:sz w:val="24"/>
          <w:szCs w:val="24"/>
          <w:lang w:val="ro-MD" w:eastAsia="ro-RO"/>
        </w:rPr>
        <w:t xml:space="preserve"> два </w:t>
      </w:r>
      <w:r w:rsidR="002E194B">
        <w:rPr>
          <w:rFonts w:asciiTheme="majorHAnsi" w:hAnsiTheme="majorHAnsi" w:cstheme="majorHAnsi"/>
          <w:bCs/>
          <w:sz w:val="24"/>
          <w:szCs w:val="24"/>
          <w:lang w:val="ru-RU" w:eastAsia="ro-RO"/>
        </w:rPr>
        <w:t>П</w:t>
      </w:r>
      <w:r w:rsidRPr="00D25F88">
        <w:rPr>
          <w:rFonts w:asciiTheme="majorHAnsi" w:hAnsiTheme="majorHAnsi" w:cstheme="majorHAnsi"/>
          <w:bCs/>
          <w:sz w:val="24"/>
          <w:szCs w:val="24"/>
          <w:lang w:val="ro-MD" w:eastAsia="ro-RO"/>
        </w:rPr>
        <w:t>риказа</w:t>
      </w:r>
      <w:r w:rsidR="002E194B" w:rsidRPr="00B13B9A">
        <w:rPr>
          <w:rStyle w:val="a9"/>
          <w:rFonts w:asciiTheme="majorHAnsi" w:hAnsiTheme="majorHAnsi" w:cstheme="majorHAnsi"/>
          <w:bCs/>
          <w:sz w:val="24"/>
          <w:szCs w:val="24"/>
          <w:lang w:val="ro-MD" w:eastAsia="ro-RO"/>
        </w:rPr>
        <w:footnoteReference w:id="53"/>
      </w:r>
      <w:r w:rsidRPr="00D25F88">
        <w:rPr>
          <w:rFonts w:asciiTheme="majorHAnsi" w:hAnsiTheme="majorHAnsi" w:cstheme="majorHAnsi"/>
          <w:bCs/>
          <w:sz w:val="24"/>
          <w:szCs w:val="24"/>
          <w:lang w:val="ro-MD" w:eastAsia="ro-RO"/>
        </w:rPr>
        <w:t xml:space="preserve"> о </w:t>
      </w:r>
      <w:r w:rsidR="002E194B">
        <w:rPr>
          <w:rFonts w:asciiTheme="majorHAnsi" w:hAnsiTheme="majorHAnsi" w:cstheme="majorHAnsi"/>
          <w:bCs/>
          <w:sz w:val="24"/>
          <w:szCs w:val="24"/>
          <w:lang w:val="ru-RU" w:eastAsia="ro-RO"/>
        </w:rPr>
        <w:t>стимулирован</w:t>
      </w:r>
      <w:r w:rsidRPr="00D25F88">
        <w:rPr>
          <w:rFonts w:asciiTheme="majorHAnsi" w:hAnsiTheme="majorHAnsi" w:cstheme="majorHAnsi"/>
          <w:bCs/>
          <w:sz w:val="24"/>
          <w:szCs w:val="24"/>
          <w:lang w:val="ro-MD" w:eastAsia="ro-RO"/>
        </w:rPr>
        <w:t xml:space="preserve">ии персонала, направленные на покрытие расходов, связанных с </w:t>
      </w:r>
      <w:r w:rsidR="002E194B">
        <w:rPr>
          <w:rFonts w:asciiTheme="majorHAnsi" w:hAnsiTheme="majorHAnsi" w:cstheme="majorHAnsi"/>
          <w:bCs/>
          <w:sz w:val="24"/>
          <w:szCs w:val="24"/>
          <w:lang w:val="ru-RU" w:eastAsia="ro-RO"/>
        </w:rPr>
        <w:t>над</w:t>
      </w:r>
      <w:r w:rsidRPr="00D25F88">
        <w:rPr>
          <w:rFonts w:asciiTheme="majorHAnsi" w:hAnsiTheme="majorHAnsi" w:cstheme="majorHAnsi"/>
          <w:bCs/>
          <w:sz w:val="24"/>
          <w:szCs w:val="24"/>
          <w:lang w:val="ro-MD" w:eastAsia="ro-RO"/>
        </w:rPr>
        <w:t>бавкой</w:t>
      </w:r>
      <w:r w:rsidR="002E194B">
        <w:rPr>
          <w:rFonts w:asciiTheme="majorHAnsi" w:hAnsiTheme="majorHAnsi" w:cstheme="majorHAnsi"/>
          <w:bCs/>
          <w:sz w:val="24"/>
          <w:szCs w:val="24"/>
          <w:lang w:val="ru-RU" w:eastAsia="ro-RO"/>
        </w:rPr>
        <w:t xml:space="preserve"> за</w:t>
      </w:r>
      <w:r w:rsidRPr="00D25F88">
        <w:rPr>
          <w:rFonts w:asciiTheme="majorHAnsi" w:hAnsiTheme="majorHAnsi" w:cstheme="majorHAnsi"/>
          <w:bCs/>
          <w:sz w:val="24"/>
          <w:szCs w:val="24"/>
          <w:lang w:val="ro-MD" w:eastAsia="ro-RO"/>
        </w:rPr>
        <w:t xml:space="preserve"> выполнени</w:t>
      </w:r>
      <w:r w:rsidR="002E194B">
        <w:rPr>
          <w:rFonts w:asciiTheme="majorHAnsi" w:hAnsiTheme="majorHAnsi" w:cstheme="majorHAnsi"/>
          <w:bCs/>
          <w:sz w:val="24"/>
          <w:szCs w:val="24"/>
          <w:lang w:val="ru-RU" w:eastAsia="ro-RO"/>
        </w:rPr>
        <w:t>е</w:t>
      </w:r>
      <w:r w:rsidRPr="00D25F88">
        <w:rPr>
          <w:rFonts w:asciiTheme="majorHAnsi" w:hAnsiTheme="majorHAnsi" w:cstheme="majorHAnsi"/>
          <w:bCs/>
          <w:sz w:val="24"/>
          <w:szCs w:val="24"/>
          <w:lang w:val="ro-MD" w:eastAsia="ro-RO"/>
        </w:rPr>
        <w:t xml:space="preserve"> показателя профессиональной </w:t>
      </w:r>
      <w:r w:rsidR="002E194B">
        <w:rPr>
          <w:rFonts w:asciiTheme="majorHAnsi" w:hAnsiTheme="majorHAnsi" w:cstheme="majorHAnsi"/>
          <w:bCs/>
          <w:sz w:val="24"/>
          <w:szCs w:val="24"/>
          <w:lang w:val="ru-RU" w:eastAsia="ro-RO"/>
        </w:rPr>
        <w:t>эффектив</w:t>
      </w:r>
      <w:r w:rsidRPr="00D25F88">
        <w:rPr>
          <w:rFonts w:asciiTheme="majorHAnsi" w:hAnsiTheme="majorHAnsi" w:cstheme="majorHAnsi"/>
          <w:bCs/>
          <w:sz w:val="24"/>
          <w:szCs w:val="24"/>
          <w:lang w:val="ro-MD" w:eastAsia="ro-RO"/>
        </w:rPr>
        <w:t>ности „</w:t>
      </w:r>
      <w:r w:rsidR="002E194B">
        <w:rPr>
          <w:rFonts w:asciiTheme="majorHAnsi" w:hAnsiTheme="majorHAnsi" w:cstheme="majorHAnsi"/>
          <w:bCs/>
          <w:sz w:val="24"/>
          <w:szCs w:val="24"/>
          <w:lang w:val="ru-RU" w:eastAsia="ro-RO"/>
        </w:rPr>
        <w:t>О</w:t>
      </w:r>
      <w:r w:rsidRPr="00D25F88">
        <w:rPr>
          <w:rFonts w:asciiTheme="majorHAnsi" w:hAnsiTheme="majorHAnsi" w:cstheme="majorHAnsi"/>
          <w:bCs/>
          <w:sz w:val="24"/>
          <w:szCs w:val="24"/>
          <w:lang w:val="ro-MD" w:eastAsia="ro-RO"/>
        </w:rPr>
        <w:t xml:space="preserve">казание медицинской помощи пациентам с COVID-19 на основе определения случая контакт/подозреваемый/вероятный/подтвержденный”. </w:t>
      </w:r>
      <w:r w:rsidR="002E194B" w:rsidRPr="002E194B">
        <w:rPr>
          <w:rFonts w:asciiTheme="majorHAnsi" w:hAnsiTheme="majorHAnsi" w:cstheme="majorHAnsi"/>
          <w:bCs/>
          <w:sz w:val="24"/>
          <w:szCs w:val="24"/>
          <w:lang w:val="ro-MD" w:eastAsia="ro-RO"/>
        </w:rPr>
        <w:t>П</w:t>
      </w:r>
      <w:r w:rsidRPr="00D25F88">
        <w:rPr>
          <w:rFonts w:asciiTheme="majorHAnsi" w:hAnsiTheme="majorHAnsi" w:cstheme="majorHAnsi"/>
          <w:bCs/>
          <w:sz w:val="24"/>
          <w:szCs w:val="24"/>
          <w:lang w:val="ro-MD" w:eastAsia="ro-RO"/>
        </w:rPr>
        <w:t>исьм</w:t>
      </w:r>
      <w:r w:rsidR="002E194B" w:rsidRPr="002E194B">
        <w:rPr>
          <w:rFonts w:asciiTheme="majorHAnsi" w:hAnsiTheme="majorHAnsi" w:cstheme="majorHAnsi"/>
          <w:bCs/>
          <w:sz w:val="24"/>
          <w:szCs w:val="24"/>
          <w:lang w:val="ro-MD" w:eastAsia="ro-RO"/>
        </w:rPr>
        <w:t>ом</w:t>
      </w:r>
      <w:r w:rsidRPr="00D25F88">
        <w:rPr>
          <w:rFonts w:asciiTheme="majorHAnsi" w:hAnsiTheme="majorHAnsi" w:cstheme="majorHAnsi"/>
          <w:bCs/>
          <w:sz w:val="24"/>
          <w:szCs w:val="24"/>
          <w:lang w:val="ro-MD" w:eastAsia="ro-RO"/>
        </w:rPr>
        <w:t xml:space="preserve"> министерства от июля 2020 года</w:t>
      </w:r>
      <w:r w:rsidR="002E194B" w:rsidRPr="00B13B9A">
        <w:rPr>
          <w:rStyle w:val="a9"/>
          <w:rFonts w:asciiTheme="majorHAnsi" w:hAnsiTheme="majorHAnsi" w:cstheme="majorHAnsi"/>
          <w:bCs/>
          <w:sz w:val="24"/>
          <w:szCs w:val="24"/>
          <w:lang w:val="ro-MD" w:eastAsia="ro-RO"/>
        </w:rPr>
        <w:footnoteReference w:id="54"/>
      </w:r>
      <w:r w:rsidRPr="00D25F88">
        <w:rPr>
          <w:rFonts w:asciiTheme="majorHAnsi" w:hAnsiTheme="majorHAnsi" w:cstheme="majorHAnsi"/>
          <w:bCs/>
          <w:sz w:val="24"/>
          <w:szCs w:val="24"/>
          <w:lang w:val="ro-MD" w:eastAsia="ro-RO"/>
        </w:rPr>
        <w:t xml:space="preserve"> было сообщено </w:t>
      </w:r>
      <w:r w:rsidR="00815146">
        <w:rPr>
          <w:rFonts w:asciiTheme="majorHAnsi" w:hAnsiTheme="majorHAnsi" w:cstheme="majorHAnsi"/>
          <w:bCs/>
          <w:sz w:val="24"/>
          <w:szCs w:val="24"/>
          <w:lang w:val="ro-MD" w:eastAsia="ro-RO"/>
        </w:rPr>
        <w:t>НКМС</w:t>
      </w:r>
      <w:r w:rsidRPr="00D25F88">
        <w:rPr>
          <w:rFonts w:asciiTheme="majorHAnsi" w:hAnsiTheme="majorHAnsi" w:cstheme="majorHAnsi"/>
          <w:bCs/>
          <w:sz w:val="24"/>
          <w:szCs w:val="24"/>
          <w:lang w:val="ro-MD" w:eastAsia="ro-RO"/>
        </w:rPr>
        <w:t xml:space="preserve"> о том, что </w:t>
      </w:r>
      <w:r w:rsidR="002E194B" w:rsidRPr="002E194B">
        <w:rPr>
          <w:rFonts w:asciiTheme="majorHAnsi" w:hAnsiTheme="majorHAnsi" w:cstheme="majorHAnsi"/>
          <w:bCs/>
          <w:sz w:val="24"/>
          <w:szCs w:val="24"/>
          <w:lang w:val="ro-MD" w:eastAsia="ro-RO"/>
        </w:rPr>
        <w:t>надбавка</w:t>
      </w:r>
      <w:r w:rsidRPr="00D25F88">
        <w:rPr>
          <w:rFonts w:asciiTheme="majorHAnsi" w:hAnsiTheme="majorHAnsi" w:cstheme="majorHAnsi"/>
          <w:bCs/>
          <w:sz w:val="24"/>
          <w:szCs w:val="24"/>
          <w:lang w:val="ro-MD" w:eastAsia="ro-RO"/>
        </w:rPr>
        <w:t xml:space="preserve"> устанавливается и </w:t>
      </w:r>
      <w:r w:rsidR="002E194B" w:rsidRPr="002E194B">
        <w:rPr>
          <w:rFonts w:asciiTheme="majorHAnsi" w:hAnsiTheme="majorHAnsi" w:cstheme="majorHAnsi"/>
          <w:bCs/>
          <w:sz w:val="24"/>
          <w:szCs w:val="24"/>
          <w:lang w:val="ro-MD" w:eastAsia="ro-RO"/>
        </w:rPr>
        <w:t>вы</w:t>
      </w:r>
      <w:r w:rsidRPr="00D25F88">
        <w:rPr>
          <w:rFonts w:asciiTheme="majorHAnsi" w:hAnsiTheme="majorHAnsi" w:cstheme="majorHAnsi"/>
          <w:bCs/>
          <w:sz w:val="24"/>
          <w:szCs w:val="24"/>
          <w:lang w:val="ro-MD" w:eastAsia="ro-RO"/>
        </w:rPr>
        <w:t>плачивается персоналу, непосредственно участвующему в оказании медицинской помощи л</w:t>
      </w:r>
      <w:r w:rsidR="002E194B" w:rsidRPr="002E194B">
        <w:rPr>
          <w:rFonts w:asciiTheme="majorHAnsi" w:hAnsiTheme="majorHAnsi" w:cstheme="majorHAnsi"/>
          <w:bCs/>
          <w:sz w:val="24"/>
          <w:szCs w:val="24"/>
          <w:lang w:val="ro-MD" w:eastAsia="ro-RO"/>
        </w:rPr>
        <w:t>ица</w:t>
      </w:r>
      <w:r w:rsidRPr="00D25F88">
        <w:rPr>
          <w:rFonts w:asciiTheme="majorHAnsi" w:hAnsiTheme="majorHAnsi" w:cstheme="majorHAnsi"/>
          <w:bCs/>
          <w:sz w:val="24"/>
          <w:szCs w:val="24"/>
          <w:lang w:val="ro-MD" w:eastAsia="ro-RO"/>
        </w:rPr>
        <w:t>м с COVID-19, в соответствии с фактическим временем</w:t>
      </w:r>
      <w:r w:rsidR="002E194B" w:rsidRPr="002E194B">
        <w:rPr>
          <w:rFonts w:asciiTheme="majorHAnsi" w:hAnsiTheme="majorHAnsi" w:cstheme="majorHAnsi"/>
          <w:bCs/>
          <w:sz w:val="24"/>
          <w:szCs w:val="24"/>
          <w:lang w:val="ro-MD" w:eastAsia="ro-RO"/>
        </w:rPr>
        <w:t xml:space="preserve"> участия в</w:t>
      </w:r>
      <w:r w:rsidRPr="00D25F88">
        <w:rPr>
          <w:rFonts w:asciiTheme="majorHAnsi" w:hAnsiTheme="majorHAnsi" w:cstheme="majorHAnsi"/>
          <w:bCs/>
          <w:sz w:val="24"/>
          <w:szCs w:val="24"/>
          <w:lang w:val="ro-MD" w:eastAsia="ro-RO"/>
        </w:rPr>
        <w:t xml:space="preserve"> </w:t>
      </w:r>
      <w:r w:rsidR="002E194B" w:rsidRPr="002E194B">
        <w:rPr>
          <w:rFonts w:asciiTheme="majorHAnsi" w:hAnsiTheme="majorHAnsi" w:cstheme="majorHAnsi"/>
          <w:bCs/>
          <w:sz w:val="24"/>
          <w:szCs w:val="24"/>
          <w:lang w:val="ro-MD" w:eastAsia="ro-RO"/>
        </w:rPr>
        <w:t>реализации</w:t>
      </w:r>
      <w:r w:rsidRPr="00D25F88">
        <w:rPr>
          <w:rFonts w:asciiTheme="majorHAnsi" w:hAnsiTheme="majorHAnsi" w:cstheme="majorHAnsi"/>
          <w:bCs/>
          <w:sz w:val="24"/>
          <w:szCs w:val="24"/>
          <w:lang w:val="ro-MD" w:eastAsia="ro-RO"/>
        </w:rPr>
        <w:t xml:space="preserve"> </w:t>
      </w:r>
      <w:r w:rsidR="002E194B" w:rsidRPr="002E194B">
        <w:rPr>
          <w:rFonts w:asciiTheme="majorHAnsi" w:hAnsiTheme="majorHAnsi" w:cstheme="majorHAnsi"/>
          <w:bCs/>
          <w:sz w:val="24"/>
          <w:szCs w:val="24"/>
          <w:lang w:val="ro-MD" w:eastAsia="ro-RO"/>
        </w:rPr>
        <w:t>по</w:t>
      </w:r>
      <w:r w:rsidRPr="00D25F88">
        <w:rPr>
          <w:rFonts w:asciiTheme="majorHAnsi" w:hAnsiTheme="majorHAnsi" w:cstheme="majorHAnsi"/>
          <w:bCs/>
          <w:sz w:val="24"/>
          <w:szCs w:val="24"/>
          <w:lang w:val="ro-MD" w:eastAsia="ro-RO"/>
        </w:rPr>
        <w:t>казателя</w:t>
      </w:r>
      <w:r w:rsidR="00EF1983" w:rsidRPr="00B13B9A">
        <w:rPr>
          <w:rFonts w:asciiTheme="majorHAnsi" w:hAnsiTheme="majorHAnsi" w:cstheme="majorHAnsi"/>
          <w:bCs/>
          <w:sz w:val="24"/>
          <w:szCs w:val="24"/>
          <w:lang w:val="ro-MD" w:eastAsia="ro-RO"/>
        </w:rPr>
        <w:t xml:space="preserve">.   </w:t>
      </w:r>
    </w:p>
    <w:p w14:paraId="43E3372E" w14:textId="7B6D8570" w:rsidR="00717D02" w:rsidRPr="00B13B9A" w:rsidRDefault="00D25F88" w:rsidP="00EF1983">
      <w:pPr>
        <w:spacing w:before="240" w:after="0" w:line="276" w:lineRule="auto"/>
        <w:jc w:val="both"/>
        <w:rPr>
          <w:rFonts w:asciiTheme="majorHAnsi" w:hAnsiTheme="majorHAnsi" w:cstheme="majorHAnsi"/>
          <w:bCs/>
          <w:sz w:val="24"/>
          <w:szCs w:val="24"/>
          <w:lang w:val="ro-MD" w:eastAsia="ro-RO"/>
        </w:rPr>
      </w:pPr>
      <w:r w:rsidRPr="00D25F88">
        <w:rPr>
          <w:rFonts w:asciiTheme="majorHAnsi" w:hAnsiTheme="majorHAnsi" w:cstheme="majorHAnsi"/>
          <w:bCs/>
          <w:sz w:val="24"/>
          <w:szCs w:val="24"/>
          <w:lang w:val="ro-MD" w:eastAsia="ro-RO"/>
        </w:rPr>
        <w:t xml:space="preserve">Аудиторская </w:t>
      </w:r>
      <w:r w:rsidR="002E194B" w:rsidRPr="002E194B">
        <w:rPr>
          <w:rFonts w:asciiTheme="majorHAnsi" w:hAnsiTheme="majorHAnsi" w:cstheme="majorHAnsi"/>
          <w:bCs/>
          <w:sz w:val="24"/>
          <w:szCs w:val="24"/>
          <w:lang w:val="ro-MD" w:eastAsia="ro-RO"/>
        </w:rPr>
        <w:t>миссия</w:t>
      </w:r>
      <w:r w:rsidRPr="00D25F88">
        <w:rPr>
          <w:rFonts w:asciiTheme="majorHAnsi" w:hAnsiTheme="majorHAnsi" w:cstheme="majorHAnsi"/>
          <w:bCs/>
          <w:sz w:val="24"/>
          <w:szCs w:val="24"/>
          <w:lang w:val="ro-MD" w:eastAsia="ro-RO"/>
        </w:rPr>
        <w:t xml:space="preserve"> установила, что при оценке профессиональной </w:t>
      </w:r>
      <w:r w:rsidR="002E194B" w:rsidRPr="002E194B">
        <w:rPr>
          <w:rFonts w:asciiTheme="majorHAnsi" w:hAnsiTheme="majorHAnsi" w:cstheme="majorHAnsi"/>
          <w:bCs/>
          <w:sz w:val="24"/>
          <w:szCs w:val="24"/>
          <w:lang w:val="ro-MD" w:eastAsia="ro-RO"/>
        </w:rPr>
        <w:t>эффектив</w:t>
      </w:r>
      <w:r w:rsidRPr="00D25F88">
        <w:rPr>
          <w:rFonts w:asciiTheme="majorHAnsi" w:hAnsiTheme="majorHAnsi" w:cstheme="majorHAnsi"/>
          <w:bCs/>
          <w:sz w:val="24"/>
          <w:szCs w:val="24"/>
          <w:lang w:val="ro-MD" w:eastAsia="ro-RO"/>
        </w:rPr>
        <w:t xml:space="preserve">ности в </w:t>
      </w:r>
      <w:r w:rsidR="002E194B" w:rsidRPr="002E194B">
        <w:rPr>
          <w:rFonts w:asciiTheme="majorHAnsi" w:hAnsiTheme="majorHAnsi" w:cstheme="majorHAnsi"/>
          <w:bCs/>
          <w:sz w:val="24"/>
          <w:szCs w:val="24"/>
          <w:lang w:val="ro-MD" w:eastAsia="ro-RO"/>
        </w:rPr>
        <w:t>рамках аудируемого</w:t>
      </w:r>
      <w:r w:rsidRPr="00D25F88">
        <w:rPr>
          <w:rFonts w:asciiTheme="majorHAnsi" w:hAnsiTheme="majorHAnsi" w:cstheme="majorHAnsi"/>
          <w:bCs/>
          <w:sz w:val="24"/>
          <w:szCs w:val="24"/>
          <w:lang w:val="ro-MD" w:eastAsia="ro-RO"/>
        </w:rPr>
        <w:t xml:space="preserve"> </w:t>
      </w:r>
      <w:r w:rsidR="00E77520">
        <w:rPr>
          <w:rFonts w:asciiTheme="majorHAnsi" w:hAnsiTheme="majorHAnsi" w:cstheme="majorHAnsi"/>
          <w:bCs/>
          <w:sz w:val="24"/>
          <w:szCs w:val="24"/>
          <w:lang w:val="ro-MD" w:eastAsia="ro-RO"/>
        </w:rPr>
        <w:t>учреждени</w:t>
      </w:r>
      <w:r w:rsidR="002E194B" w:rsidRPr="002E194B">
        <w:rPr>
          <w:rFonts w:asciiTheme="majorHAnsi" w:hAnsiTheme="majorHAnsi" w:cstheme="majorHAnsi"/>
          <w:bCs/>
          <w:sz w:val="24"/>
          <w:szCs w:val="24"/>
          <w:lang w:val="ro-MD" w:eastAsia="ro-RO"/>
        </w:rPr>
        <w:t>я,</w:t>
      </w:r>
      <w:r w:rsidRPr="00D25F88">
        <w:rPr>
          <w:rFonts w:asciiTheme="majorHAnsi" w:hAnsiTheme="majorHAnsi" w:cstheme="majorHAnsi"/>
          <w:bCs/>
          <w:sz w:val="24"/>
          <w:szCs w:val="24"/>
          <w:lang w:val="ro-MD" w:eastAsia="ro-RO"/>
        </w:rPr>
        <w:t xml:space="preserve"> не был</w:t>
      </w:r>
      <w:r w:rsidR="002E194B" w:rsidRPr="002E194B">
        <w:rPr>
          <w:rFonts w:asciiTheme="majorHAnsi" w:hAnsiTheme="majorHAnsi" w:cstheme="majorHAnsi"/>
          <w:bCs/>
          <w:sz w:val="24"/>
          <w:szCs w:val="24"/>
          <w:lang w:val="ro-MD" w:eastAsia="ro-RO"/>
        </w:rPr>
        <w:t>и</w:t>
      </w:r>
      <w:r w:rsidRPr="00D25F88">
        <w:rPr>
          <w:rFonts w:asciiTheme="majorHAnsi" w:hAnsiTheme="majorHAnsi" w:cstheme="majorHAnsi"/>
          <w:bCs/>
          <w:sz w:val="24"/>
          <w:szCs w:val="24"/>
          <w:lang w:val="ro-MD" w:eastAsia="ro-RO"/>
        </w:rPr>
        <w:t xml:space="preserve"> оценен</w:t>
      </w:r>
      <w:r w:rsidR="002E194B" w:rsidRPr="002E194B">
        <w:rPr>
          <w:rFonts w:asciiTheme="majorHAnsi" w:hAnsiTheme="majorHAnsi" w:cstheme="majorHAnsi"/>
          <w:bCs/>
          <w:sz w:val="24"/>
          <w:szCs w:val="24"/>
          <w:lang w:val="ro-MD" w:eastAsia="ro-RO"/>
        </w:rPr>
        <w:t>ы</w:t>
      </w:r>
      <w:r w:rsidRPr="00D25F88">
        <w:rPr>
          <w:rFonts w:asciiTheme="majorHAnsi" w:hAnsiTheme="majorHAnsi" w:cstheme="majorHAnsi"/>
          <w:bCs/>
          <w:sz w:val="24"/>
          <w:szCs w:val="24"/>
          <w:lang w:val="ro-MD" w:eastAsia="ro-RO"/>
        </w:rPr>
        <w:t xml:space="preserve"> и не зафиксирован</w:t>
      </w:r>
      <w:r w:rsidR="002E194B" w:rsidRPr="002E194B">
        <w:rPr>
          <w:rFonts w:asciiTheme="majorHAnsi" w:hAnsiTheme="majorHAnsi" w:cstheme="majorHAnsi"/>
          <w:bCs/>
          <w:sz w:val="24"/>
          <w:szCs w:val="24"/>
          <w:lang w:val="ro-MD" w:eastAsia="ro-RO"/>
        </w:rPr>
        <w:t>ы</w:t>
      </w:r>
      <w:r w:rsidRPr="00D25F88">
        <w:rPr>
          <w:rFonts w:asciiTheme="majorHAnsi" w:hAnsiTheme="majorHAnsi" w:cstheme="majorHAnsi"/>
          <w:bCs/>
          <w:sz w:val="24"/>
          <w:szCs w:val="24"/>
          <w:lang w:val="ro-MD" w:eastAsia="ro-RO"/>
        </w:rPr>
        <w:t xml:space="preserve"> в протоколах комиссий </w:t>
      </w:r>
      <w:r w:rsidR="002E194B" w:rsidRPr="002E194B">
        <w:rPr>
          <w:rFonts w:asciiTheme="majorHAnsi" w:hAnsiTheme="majorHAnsi" w:cstheme="majorHAnsi"/>
          <w:bCs/>
          <w:sz w:val="24"/>
          <w:szCs w:val="24"/>
          <w:lang w:val="ro-MD" w:eastAsia="ro-RO"/>
        </w:rPr>
        <w:t xml:space="preserve">по оценке, </w:t>
      </w:r>
      <w:r w:rsidRPr="00D25F88">
        <w:rPr>
          <w:rFonts w:asciiTheme="majorHAnsi" w:hAnsiTheme="majorHAnsi" w:cstheme="majorHAnsi"/>
          <w:bCs/>
          <w:sz w:val="24"/>
          <w:szCs w:val="24"/>
          <w:lang w:val="ro-MD" w:eastAsia="ro-RO"/>
        </w:rPr>
        <w:t xml:space="preserve">показатели профессиональной </w:t>
      </w:r>
      <w:r w:rsidR="002E194B" w:rsidRPr="002E194B">
        <w:rPr>
          <w:rFonts w:asciiTheme="majorHAnsi" w:hAnsiTheme="majorHAnsi" w:cstheme="majorHAnsi"/>
          <w:bCs/>
          <w:sz w:val="24"/>
          <w:szCs w:val="24"/>
          <w:lang w:val="ro-MD" w:eastAsia="ro-RO"/>
        </w:rPr>
        <w:t>эффектив</w:t>
      </w:r>
      <w:r w:rsidRPr="00D25F88">
        <w:rPr>
          <w:rFonts w:asciiTheme="majorHAnsi" w:hAnsiTheme="majorHAnsi" w:cstheme="majorHAnsi"/>
          <w:bCs/>
          <w:sz w:val="24"/>
          <w:szCs w:val="24"/>
          <w:lang w:val="ro-MD" w:eastAsia="ro-RO"/>
        </w:rPr>
        <w:t>ности по оказанию медицинской помощи пациентам с COVID-19, таким образом были допущены не</w:t>
      </w:r>
      <w:r w:rsidR="00742AA9" w:rsidRPr="00742AA9">
        <w:rPr>
          <w:rFonts w:asciiTheme="majorHAnsi" w:hAnsiTheme="majorHAnsi" w:cstheme="majorHAnsi"/>
          <w:bCs/>
          <w:sz w:val="24"/>
          <w:szCs w:val="24"/>
          <w:lang w:val="ro-MD" w:eastAsia="ro-RO"/>
        </w:rPr>
        <w:t>надлежащи</w:t>
      </w:r>
      <w:r w:rsidRPr="00D25F88">
        <w:rPr>
          <w:rFonts w:asciiTheme="majorHAnsi" w:hAnsiTheme="majorHAnsi" w:cstheme="majorHAnsi"/>
          <w:bCs/>
          <w:sz w:val="24"/>
          <w:szCs w:val="24"/>
          <w:lang w:val="ro-MD" w:eastAsia="ro-RO"/>
        </w:rPr>
        <w:t>е расходы в размере 24 199,1 тыс. леев</w:t>
      </w:r>
      <w:r w:rsidR="00695C89" w:rsidRPr="00B13B9A">
        <w:rPr>
          <w:rFonts w:asciiTheme="majorHAnsi" w:hAnsiTheme="majorHAnsi" w:cstheme="majorHAnsi"/>
          <w:bCs/>
          <w:sz w:val="24"/>
          <w:szCs w:val="24"/>
          <w:lang w:val="ro-MD" w:eastAsia="ro-RO"/>
        </w:rPr>
        <w:t>.</w:t>
      </w:r>
    </w:p>
    <w:p w14:paraId="7EC8B7E6" w14:textId="78D138EE" w:rsidR="00EF1983" w:rsidRPr="00B13B9A" w:rsidRDefault="00D25F88" w:rsidP="00EF1983">
      <w:pPr>
        <w:tabs>
          <w:tab w:val="left" w:pos="0"/>
        </w:tabs>
        <w:spacing w:before="240" w:after="0" w:line="276" w:lineRule="auto"/>
        <w:jc w:val="both"/>
        <w:rPr>
          <w:rFonts w:asciiTheme="majorHAnsi" w:hAnsiTheme="majorHAnsi" w:cstheme="majorHAnsi"/>
          <w:sz w:val="24"/>
          <w:szCs w:val="24"/>
          <w:lang w:val="ro-MD"/>
        </w:rPr>
      </w:pPr>
      <w:r w:rsidRPr="00D25F88">
        <w:rPr>
          <w:rFonts w:asciiTheme="majorHAnsi" w:hAnsiTheme="majorHAnsi" w:cstheme="majorHAnsi"/>
          <w:sz w:val="24"/>
          <w:szCs w:val="24"/>
          <w:lang w:val="ro-MD"/>
        </w:rPr>
        <w:t>Недостаточный контроль со стороны руководства создал условия для недокументированн</w:t>
      </w:r>
      <w:r w:rsidR="00742AA9">
        <w:rPr>
          <w:rFonts w:asciiTheme="majorHAnsi" w:hAnsiTheme="majorHAnsi" w:cstheme="majorHAnsi"/>
          <w:sz w:val="24"/>
          <w:szCs w:val="24"/>
          <w:lang w:val="ru-RU"/>
        </w:rPr>
        <w:t>ия</w:t>
      </w:r>
      <w:r w:rsidRPr="00D25F88">
        <w:rPr>
          <w:rFonts w:asciiTheme="majorHAnsi" w:hAnsiTheme="majorHAnsi" w:cstheme="majorHAnsi"/>
          <w:sz w:val="24"/>
          <w:szCs w:val="24"/>
          <w:lang w:val="ro-MD"/>
        </w:rPr>
        <w:t xml:space="preserve"> выплаты надбавок к зар</w:t>
      </w:r>
      <w:r w:rsidR="00742AA9">
        <w:rPr>
          <w:rFonts w:asciiTheme="majorHAnsi" w:hAnsiTheme="majorHAnsi" w:cstheme="majorHAnsi"/>
          <w:sz w:val="24"/>
          <w:szCs w:val="24"/>
          <w:lang w:val="ru-RU"/>
        </w:rPr>
        <w:t xml:space="preserve">аботной </w:t>
      </w:r>
      <w:r w:rsidRPr="00D25F88">
        <w:rPr>
          <w:rFonts w:asciiTheme="majorHAnsi" w:hAnsiTheme="majorHAnsi" w:cstheme="majorHAnsi"/>
          <w:sz w:val="24"/>
          <w:szCs w:val="24"/>
          <w:lang w:val="ro-MD"/>
        </w:rPr>
        <w:t>плате. Не</w:t>
      </w:r>
      <w:r w:rsidR="00742AA9" w:rsidRPr="00742AA9">
        <w:rPr>
          <w:rFonts w:asciiTheme="majorHAnsi" w:hAnsiTheme="majorHAnsi" w:cstheme="majorHAnsi"/>
          <w:sz w:val="24"/>
          <w:szCs w:val="24"/>
          <w:lang w:val="ro-MD"/>
        </w:rPr>
        <w:t>ис</w:t>
      </w:r>
      <w:r w:rsidRPr="00D25F88">
        <w:rPr>
          <w:rFonts w:asciiTheme="majorHAnsi" w:hAnsiTheme="majorHAnsi" w:cstheme="majorHAnsi"/>
          <w:sz w:val="24"/>
          <w:szCs w:val="24"/>
          <w:lang w:val="ro-MD"/>
        </w:rPr>
        <w:t xml:space="preserve">полнение управленческих </w:t>
      </w:r>
      <w:r w:rsidR="00742AA9" w:rsidRPr="00742AA9">
        <w:rPr>
          <w:rFonts w:asciiTheme="majorHAnsi" w:hAnsiTheme="majorHAnsi" w:cstheme="majorHAnsi"/>
          <w:sz w:val="24"/>
          <w:szCs w:val="24"/>
          <w:lang w:val="ro-MD"/>
        </w:rPr>
        <w:t>полномочи</w:t>
      </w:r>
      <w:r w:rsidRPr="00D25F88">
        <w:rPr>
          <w:rFonts w:asciiTheme="majorHAnsi" w:hAnsiTheme="majorHAnsi" w:cstheme="majorHAnsi"/>
          <w:sz w:val="24"/>
          <w:szCs w:val="24"/>
          <w:lang w:val="ro-MD"/>
        </w:rPr>
        <w:t xml:space="preserve">й по </w:t>
      </w:r>
      <w:r w:rsidR="00742AA9" w:rsidRPr="00742AA9">
        <w:rPr>
          <w:rFonts w:asciiTheme="majorHAnsi" w:hAnsiTheme="majorHAnsi" w:cstheme="majorHAnsi"/>
          <w:sz w:val="24"/>
          <w:szCs w:val="24"/>
          <w:lang w:val="ro-MD"/>
        </w:rPr>
        <w:t>изданию</w:t>
      </w:r>
      <w:r w:rsidRPr="00D25F88">
        <w:rPr>
          <w:rFonts w:asciiTheme="majorHAnsi" w:hAnsiTheme="majorHAnsi" w:cstheme="majorHAnsi"/>
          <w:sz w:val="24"/>
          <w:szCs w:val="24"/>
          <w:lang w:val="ro-MD"/>
        </w:rPr>
        <w:t xml:space="preserve"> приказов </w:t>
      </w:r>
      <w:r w:rsidR="00742AA9" w:rsidRPr="00742AA9">
        <w:rPr>
          <w:rFonts w:asciiTheme="majorHAnsi" w:hAnsiTheme="majorHAnsi" w:cstheme="majorHAnsi"/>
          <w:sz w:val="24"/>
          <w:szCs w:val="24"/>
          <w:lang w:val="ro-MD"/>
        </w:rPr>
        <w:t xml:space="preserve">отрицательно </w:t>
      </w:r>
      <w:r w:rsidRPr="00D25F88">
        <w:rPr>
          <w:rFonts w:asciiTheme="majorHAnsi" w:hAnsiTheme="majorHAnsi" w:cstheme="majorHAnsi"/>
          <w:sz w:val="24"/>
          <w:szCs w:val="24"/>
          <w:lang w:val="ro-MD"/>
        </w:rPr>
        <w:t xml:space="preserve">повлияло на прозрачность использования финансовых средств, выделенных для </w:t>
      </w:r>
      <w:r w:rsidR="00742AA9" w:rsidRPr="00742AA9">
        <w:rPr>
          <w:rFonts w:asciiTheme="majorHAnsi" w:hAnsiTheme="majorHAnsi" w:cstheme="majorHAnsi"/>
          <w:sz w:val="24"/>
          <w:szCs w:val="24"/>
          <w:lang w:val="ro-MD"/>
        </w:rPr>
        <w:t>стимулирования</w:t>
      </w:r>
      <w:r w:rsidRPr="00D25F88">
        <w:rPr>
          <w:rFonts w:asciiTheme="majorHAnsi" w:hAnsiTheme="majorHAnsi" w:cstheme="majorHAnsi"/>
          <w:sz w:val="24"/>
          <w:szCs w:val="24"/>
          <w:lang w:val="ro-MD"/>
        </w:rPr>
        <w:t xml:space="preserve"> сотрудников, участвующих в оказании медицинской помощи пациентам с COVID-19</w:t>
      </w:r>
      <w:r w:rsidR="00EF1983" w:rsidRPr="00B13B9A">
        <w:rPr>
          <w:rFonts w:asciiTheme="majorHAnsi" w:hAnsiTheme="majorHAnsi" w:cstheme="majorHAnsi"/>
          <w:sz w:val="24"/>
          <w:szCs w:val="24"/>
          <w:lang w:val="ro-MD"/>
        </w:rPr>
        <w:t>.</w:t>
      </w:r>
    </w:p>
    <w:p w14:paraId="7543EABD" w14:textId="2FCF80B9" w:rsidR="00EF1983" w:rsidRPr="00B13B9A" w:rsidRDefault="00D25F88" w:rsidP="00D25F88">
      <w:pPr>
        <w:pStyle w:val="a7"/>
        <w:numPr>
          <w:ilvl w:val="2"/>
          <w:numId w:val="10"/>
        </w:numPr>
        <w:spacing w:before="240" w:after="0" w:line="276" w:lineRule="auto"/>
        <w:ind w:left="0" w:firstLine="284"/>
        <w:jc w:val="both"/>
        <w:outlineLvl w:val="2"/>
        <w:rPr>
          <w:rFonts w:asciiTheme="majorHAnsi" w:hAnsiTheme="majorHAnsi" w:cstheme="majorHAnsi"/>
          <w:sz w:val="24"/>
          <w:szCs w:val="24"/>
          <w:lang w:val="ro-MD"/>
        </w:rPr>
      </w:pPr>
      <w:bookmarkStart w:id="36" w:name="_Toc96432102"/>
      <w:bookmarkStart w:id="37" w:name="_Toc158317240"/>
      <w:r w:rsidRPr="00D25F88">
        <w:rPr>
          <w:rFonts w:asciiTheme="majorHAnsi" w:hAnsiTheme="majorHAnsi" w:cstheme="majorHAnsi"/>
          <w:b/>
          <w:bCs/>
          <w:sz w:val="24"/>
          <w:szCs w:val="24"/>
          <w:lang w:val="ro-MD"/>
        </w:rPr>
        <w:t xml:space="preserve">Недостаточный внутренний контроль в рамках субъекта привел к использованию </w:t>
      </w:r>
      <w:r w:rsidR="00EE088D">
        <w:rPr>
          <w:rFonts w:asciiTheme="majorHAnsi" w:hAnsiTheme="majorHAnsi" w:cstheme="majorHAnsi"/>
          <w:b/>
          <w:bCs/>
          <w:sz w:val="24"/>
          <w:szCs w:val="24"/>
          <w:lang w:val="ro-MD"/>
        </w:rPr>
        <w:t>публич</w:t>
      </w:r>
      <w:r w:rsidRPr="00D25F88">
        <w:rPr>
          <w:rFonts w:asciiTheme="majorHAnsi" w:hAnsiTheme="majorHAnsi" w:cstheme="majorHAnsi"/>
          <w:b/>
          <w:bCs/>
          <w:sz w:val="24"/>
          <w:szCs w:val="24"/>
          <w:lang w:val="ro-MD"/>
        </w:rPr>
        <w:t xml:space="preserve">ных средств </w:t>
      </w:r>
      <w:r w:rsidR="00742AA9" w:rsidRPr="00742AA9">
        <w:rPr>
          <w:rFonts w:asciiTheme="majorHAnsi" w:hAnsiTheme="majorHAnsi" w:cstheme="majorHAnsi"/>
          <w:b/>
          <w:bCs/>
          <w:sz w:val="24"/>
          <w:szCs w:val="24"/>
          <w:lang w:val="ro-MD"/>
        </w:rPr>
        <w:t>на</w:t>
      </w:r>
      <w:r w:rsidRPr="00D25F88">
        <w:rPr>
          <w:rFonts w:asciiTheme="majorHAnsi" w:hAnsiTheme="majorHAnsi" w:cstheme="majorHAnsi"/>
          <w:b/>
          <w:bCs/>
          <w:sz w:val="24"/>
          <w:szCs w:val="24"/>
          <w:lang w:val="ro-MD"/>
        </w:rPr>
        <w:t xml:space="preserve"> оплат</w:t>
      </w:r>
      <w:r w:rsidR="00742AA9" w:rsidRPr="00742AA9">
        <w:rPr>
          <w:rFonts w:asciiTheme="majorHAnsi" w:hAnsiTheme="majorHAnsi" w:cstheme="majorHAnsi"/>
          <w:b/>
          <w:bCs/>
          <w:sz w:val="24"/>
          <w:szCs w:val="24"/>
          <w:lang w:val="ro-MD"/>
        </w:rPr>
        <w:t>у</w:t>
      </w:r>
      <w:r w:rsidRPr="00D25F88">
        <w:rPr>
          <w:rFonts w:asciiTheme="majorHAnsi" w:hAnsiTheme="majorHAnsi" w:cstheme="majorHAnsi"/>
          <w:b/>
          <w:bCs/>
          <w:sz w:val="24"/>
          <w:szCs w:val="24"/>
          <w:lang w:val="ro-MD"/>
        </w:rPr>
        <w:t xml:space="preserve"> труда с несением необоснованных расходов в размере 63,4 тыс. леев</w:t>
      </w:r>
      <w:bookmarkEnd w:id="36"/>
      <w:r w:rsidR="00EF1983" w:rsidRPr="00B13B9A">
        <w:rPr>
          <w:rFonts w:asciiTheme="majorHAnsi" w:hAnsiTheme="majorHAnsi" w:cstheme="majorHAnsi"/>
          <w:b/>
          <w:bCs/>
          <w:sz w:val="24"/>
          <w:szCs w:val="24"/>
          <w:lang w:val="ro-MD"/>
        </w:rPr>
        <w:t>.</w:t>
      </w:r>
      <w:bookmarkEnd w:id="37"/>
    </w:p>
    <w:p w14:paraId="49913BFC" w14:textId="77777777" w:rsidR="00EF1983" w:rsidRPr="00B13B9A" w:rsidRDefault="00EF1983" w:rsidP="00EF1983">
      <w:pPr>
        <w:pStyle w:val="a7"/>
        <w:keepNext/>
        <w:widowControl w:val="0"/>
        <w:spacing w:line="276" w:lineRule="auto"/>
        <w:ind w:left="0"/>
        <w:jc w:val="both"/>
        <w:rPr>
          <w:rFonts w:asciiTheme="majorHAnsi" w:hAnsiTheme="majorHAnsi" w:cstheme="majorHAnsi"/>
          <w:color w:val="000000" w:themeColor="text1"/>
          <w:sz w:val="24"/>
          <w:szCs w:val="24"/>
          <w:lang w:val="ro-MD"/>
        </w:rPr>
      </w:pPr>
    </w:p>
    <w:p w14:paraId="63B71EF7" w14:textId="5EAFD12B" w:rsidR="00EF1983" w:rsidRPr="00B13B9A" w:rsidRDefault="00D25F88" w:rsidP="00EF1983">
      <w:pPr>
        <w:pStyle w:val="a7"/>
        <w:keepNext/>
        <w:widowControl w:val="0"/>
        <w:spacing w:line="276" w:lineRule="auto"/>
        <w:ind w:left="0"/>
        <w:jc w:val="both"/>
        <w:rPr>
          <w:rFonts w:asciiTheme="majorHAnsi" w:hAnsiTheme="majorHAnsi" w:cstheme="majorHAnsi"/>
          <w:sz w:val="24"/>
          <w:szCs w:val="24"/>
          <w:lang w:val="ro-MD"/>
        </w:rPr>
      </w:pPr>
      <w:r w:rsidRPr="00D25F88">
        <w:rPr>
          <w:rFonts w:asciiTheme="majorHAnsi" w:hAnsiTheme="majorHAnsi" w:cstheme="majorHAnsi"/>
          <w:color w:val="000000" w:themeColor="text1"/>
          <w:sz w:val="24"/>
          <w:szCs w:val="24"/>
          <w:lang w:val="ro-MD"/>
        </w:rPr>
        <w:t xml:space="preserve">В результате аудиторских мероприятий и проверки персонала на рабочем месте было установлено, что одна сотрудница отсутствовала на рабочем месте, хотя она была зарегистрирована в табелях учета рабочего времени как присутствующая. В то же время было </w:t>
      </w:r>
      <w:r w:rsidR="00742AA9">
        <w:rPr>
          <w:rFonts w:asciiTheme="majorHAnsi" w:hAnsiTheme="majorHAnsi" w:cstheme="majorHAnsi"/>
          <w:color w:val="000000" w:themeColor="text1"/>
          <w:sz w:val="24"/>
          <w:szCs w:val="24"/>
          <w:lang w:val="ru-RU"/>
        </w:rPr>
        <w:t>установл</w:t>
      </w:r>
      <w:r w:rsidRPr="00D25F88">
        <w:rPr>
          <w:rFonts w:asciiTheme="majorHAnsi" w:hAnsiTheme="majorHAnsi" w:cstheme="majorHAnsi"/>
          <w:color w:val="000000" w:themeColor="text1"/>
          <w:sz w:val="24"/>
          <w:szCs w:val="24"/>
          <w:lang w:val="ro-MD"/>
        </w:rPr>
        <w:t>ено, что эт</w:t>
      </w:r>
      <w:r w:rsidR="00742AA9">
        <w:rPr>
          <w:rFonts w:asciiTheme="majorHAnsi" w:hAnsiTheme="majorHAnsi" w:cstheme="majorHAnsi"/>
          <w:color w:val="000000" w:themeColor="text1"/>
          <w:sz w:val="24"/>
          <w:szCs w:val="24"/>
          <w:lang w:val="ru-RU"/>
        </w:rPr>
        <w:t>а</w:t>
      </w:r>
      <w:r w:rsidRPr="00D25F88">
        <w:rPr>
          <w:rFonts w:asciiTheme="majorHAnsi" w:hAnsiTheme="majorHAnsi" w:cstheme="majorHAnsi"/>
          <w:color w:val="000000" w:themeColor="text1"/>
          <w:sz w:val="24"/>
          <w:szCs w:val="24"/>
          <w:lang w:val="ro-MD"/>
        </w:rPr>
        <w:t xml:space="preserve"> сотрудни</w:t>
      </w:r>
      <w:r w:rsidR="00742AA9">
        <w:rPr>
          <w:rFonts w:asciiTheme="majorHAnsi" w:hAnsiTheme="majorHAnsi" w:cstheme="majorHAnsi"/>
          <w:color w:val="000000" w:themeColor="text1"/>
          <w:sz w:val="24"/>
          <w:szCs w:val="24"/>
          <w:lang w:val="ru-RU"/>
        </w:rPr>
        <w:t>ца</w:t>
      </w:r>
      <w:r w:rsidRPr="00D25F88">
        <w:rPr>
          <w:rFonts w:asciiTheme="majorHAnsi" w:hAnsiTheme="majorHAnsi" w:cstheme="majorHAnsi"/>
          <w:color w:val="000000" w:themeColor="text1"/>
          <w:sz w:val="24"/>
          <w:szCs w:val="24"/>
          <w:lang w:val="ro-MD"/>
        </w:rPr>
        <w:t xml:space="preserve"> является студент</w:t>
      </w:r>
      <w:r w:rsidR="00742AA9">
        <w:rPr>
          <w:rFonts w:asciiTheme="majorHAnsi" w:hAnsiTheme="majorHAnsi" w:cstheme="majorHAnsi"/>
          <w:color w:val="000000" w:themeColor="text1"/>
          <w:sz w:val="24"/>
          <w:szCs w:val="24"/>
          <w:lang w:val="ru-RU"/>
        </w:rPr>
        <w:t>кой</w:t>
      </w:r>
      <w:r w:rsidRPr="00D25F88">
        <w:rPr>
          <w:rFonts w:asciiTheme="majorHAnsi" w:hAnsiTheme="majorHAnsi" w:cstheme="majorHAnsi"/>
          <w:color w:val="000000" w:themeColor="text1"/>
          <w:sz w:val="24"/>
          <w:szCs w:val="24"/>
          <w:lang w:val="ro-MD"/>
        </w:rPr>
        <w:t xml:space="preserve"> университета, </w:t>
      </w:r>
      <w:r w:rsidR="00742AA9">
        <w:rPr>
          <w:rFonts w:asciiTheme="majorHAnsi" w:hAnsiTheme="majorHAnsi" w:cstheme="majorHAnsi"/>
          <w:color w:val="000000" w:themeColor="text1"/>
          <w:sz w:val="24"/>
          <w:szCs w:val="24"/>
          <w:lang w:val="ru-RU"/>
        </w:rPr>
        <w:t>при том,</w:t>
      </w:r>
      <w:r w:rsidRPr="00D25F88">
        <w:rPr>
          <w:rFonts w:asciiTheme="majorHAnsi" w:hAnsiTheme="majorHAnsi" w:cstheme="majorHAnsi"/>
          <w:color w:val="000000" w:themeColor="text1"/>
          <w:sz w:val="24"/>
          <w:szCs w:val="24"/>
          <w:lang w:val="ro-MD"/>
        </w:rPr>
        <w:t xml:space="preserve"> он</w:t>
      </w:r>
      <w:r w:rsidR="00742AA9">
        <w:rPr>
          <w:rFonts w:asciiTheme="majorHAnsi" w:hAnsiTheme="majorHAnsi" w:cstheme="majorHAnsi"/>
          <w:color w:val="000000" w:themeColor="text1"/>
          <w:sz w:val="24"/>
          <w:szCs w:val="24"/>
          <w:lang w:val="ru-RU"/>
        </w:rPr>
        <w:t>а</w:t>
      </w:r>
      <w:r w:rsidRPr="00D25F88">
        <w:rPr>
          <w:rFonts w:asciiTheme="majorHAnsi" w:hAnsiTheme="majorHAnsi" w:cstheme="majorHAnsi"/>
          <w:color w:val="000000" w:themeColor="text1"/>
          <w:sz w:val="24"/>
          <w:szCs w:val="24"/>
          <w:lang w:val="ro-MD"/>
        </w:rPr>
        <w:t xml:space="preserve"> по 8 часов в день </w:t>
      </w:r>
      <w:r w:rsidR="00742AA9">
        <w:rPr>
          <w:rFonts w:asciiTheme="majorHAnsi" w:hAnsiTheme="majorHAnsi" w:cstheme="majorHAnsi"/>
          <w:color w:val="000000" w:themeColor="text1"/>
          <w:sz w:val="24"/>
          <w:szCs w:val="24"/>
          <w:lang w:val="ru-RU"/>
        </w:rPr>
        <w:t xml:space="preserve">числилась </w:t>
      </w:r>
      <w:r w:rsidR="00C727C3">
        <w:rPr>
          <w:rFonts w:asciiTheme="majorHAnsi" w:hAnsiTheme="majorHAnsi" w:cstheme="majorHAnsi"/>
          <w:color w:val="000000" w:themeColor="text1"/>
          <w:sz w:val="24"/>
          <w:szCs w:val="24"/>
          <w:lang w:val="ru-RU"/>
        </w:rPr>
        <w:t>в табеле в рамках субъекта</w:t>
      </w:r>
      <w:r w:rsidRPr="00D25F88">
        <w:rPr>
          <w:rFonts w:asciiTheme="majorHAnsi" w:hAnsiTheme="majorHAnsi" w:cstheme="majorHAnsi"/>
          <w:color w:val="000000" w:themeColor="text1"/>
          <w:sz w:val="24"/>
          <w:szCs w:val="24"/>
          <w:lang w:val="ro-MD"/>
        </w:rPr>
        <w:t>, в течение того же периода и во время учеб</w:t>
      </w:r>
      <w:r w:rsidR="00C727C3">
        <w:rPr>
          <w:rFonts w:asciiTheme="majorHAnsi" w:hAnsiTheme="majorHAnsi" w:cstheme="majorHAnsi"/>
          <w:color w:val="000000" w:themeColor="text1"/>
          <w:sz w:val="24"/>
          <w:szCs w:val="24"/>
          <w:lang w:val="ru-RU"/>
        </w:rPr>
        <w:t>ных занятий</w:t>
      </w:r>
      <w:r w:rsidRPr="00D25F88">
        <w:rPr>
          <w:rFonts w:asciiTheme="majorHAnsi" w:hAnsiTheme="majorHAnsi" w:cstheme="majorHAnsi"/>
          <w:color w:val="000000" w:themeColor="text1"/>
          <w:sz w:val="24"/>
          <w:szCs w:val="24"/>
          <w:lang w:val="ro-MD"/>
        </w:rPr>
        <w:t xml:space="preserve">. Одновременно, </w:t>
      </w:r>
      <w:r w:rsidR="00C727C3">
        <w:rPr>
          <w:rFonts w:asciiTheme="majorHAnsi" w:hAnsiTheme="majorHAnsi" w:cstheme="majorHAnsi"/>
          <w:color w:val="000000" w:themeColor="text1"/>
          <w:sz w:val="24"/>
          <w:szCs w:val="24"/>
          <w:lang w:val="ru-RU"/>
        </w:rPr>
        <w:t>согласно п</w:t>
      </w:r>
      <w:r w:rsidRPr="00D25F88">
        <w:rPr>
          <w:rFonts w:asciiTheme="majorHAnsi" w:hAnsiTheme="majorHAnsi" w:cstheme="majorHAnsi"/>
          <w:color w:val="000000" w:themeColor="text1"/>
          <w:sz w:val="24"/>
          <w:szCs w:val="24"/>
          <w:lang w:val="ro-MD"/>
        </w:rPr>
        <w:t xml:space="preserve">.66.5 коллективного трудового договора на 2023 - 2025 годы </w:t>
      </w:r>
      <w:r w:rsidR="00E77520">
        <w:rPr>
          <w:rFonts w:asciiTheme="majorHAnsi" w:hAnsiTheme="majorHAnsi" w:cstheme="majorHAnsi"/>
          <w:color w:val="000000" w:themeColor="text1"/>
          <w:sz w:val="24"/>
          <w:szCs w:val="24"/>
          <w:lang w:val="ro-MD"/>
        </w:rPr>
        <w:t>ПМСУ</w:t>
      </w:r>
      <w:r w:rsidRPr="00D25F88">
        <w:rPr>
          <w:rFonts w:asciiTheme="majorHAnsi" w:hAnsiTheme="majorHAnsi" w:cstheme="majorHAnsi"/>
          <w:color w:val="000000" w:themeColor="text1"/>
          <w:sz w:val="24"/>
          <w:szCs w:val="24"/>
          <w:lang w:val="ro-MD"/>
        </w:rPr>
        <w:t xml:space="preserve"> </w:t>
      </w:r>
      <w:r w:rsidR="00070ACE">
        <w:rPr>
          <w:rFonts w:asciiTheme="majorHAnsi" w:hAnsiTheme="majorHAnsi" w:cstheme="majorHAnsi"/>
          <w:color w:val="000000" w:themeColor="text1"/>
          <w:sz w:val="24"/>
          <w:szCs w:val="24"/>
          <w:lang w:val="ro-MD"/>
        </w:rPr>
        <w:t>ИФП</w:t>
      </w:r>
      <w:r w:rsidRPr="00D25F88">
        <w:rPr>
          <w:rFonts w:asciiTheme="majorHAnsi" w:hAnsiTheme="majorHAnsi" w:cstheme="majorHAnsi"/>
          <w:color w:val="000000" w:themeColor="text1"/>
          <w:sz w:val="24"/>
          <w:szCs w:val="24"/>
          <w:lang w:val="ro-MD"/>
        </w:rPr>
        <w:t xml:space="preserve"> </w:t>
      </w:r>
      <w:r w:rsidR="00AC00D0">
        <w:rPr>
          <w:rFonts w:asciiTheme="majorHAnsi" w:hAnsiTheme="majorHAnsi" w:cstheme="majorHAnsi"/>
          <w:color w:val="000000" w:themeColor="text1"/>
          <w:sz w:val="24"/>
          <w:szCs w:val="24"/>
          <w:lang w:val="ro-MD"/>
        </w:rPr>
        <w:t>„</w:t>
      </w:r>
      <w:r w:rsidR="00AC00D0">
        <w:rPr>
          <w:rFonts w:asciiTheme="majorHAnsi" w:hAnsiTheme="majorHAnsi" w:cs="Calibri Light"/>
          <w:sz w:val="24"/>
          <w:szCs w:val="24"/>
          <w:lang w:val="ru-MD" w:eastAsia="ru-RU"/>
        </w:rPr>
        <w:t>Кирилл Драганюк</w:t>
      </w:r>
      <w:r w:rsidR="00F56EC1">
        <w:rPr>
          <w:rFonts w:asciiTheme="majorHAnsi" w:hAnsiTheme="majorHAnsi" w:cstheme="majorHAnsi"/>
          <w:color w:val="000000" w:themeColor="text1"/>
          <w:sz w:val="24"/>
          <w:szCs w:val="24"/>
          <w:lang w:val="ro-MD"/>
        </w:rPr>
        <w:t>”</w:t>
      </w:r>
      <w:r w:rsidR="00C727C3">
        <w:rPr>
          <w:rFonts w:asciiTheme="majorHAnsi" w:hAnsiTheme="majorHAnsi" w:cstheme="majorHAnsi"/>
          <w:color w:val="000000" w:themeColor="text1"/>
          <w:sz w:val="24"/>
          <w:szCs w:val="24"/>
          <w:lang w:val="ru-RU"/>
        </w:rPr>
        <w:t>,</w:t>
      </w:r>
      <w:r w:rsidRPr="00D25F88">
        <w:rPr>
          <w:rFonts w:asciiTheme="majorHAnsi" w:hAnsiTheme="majorHAnsi" w:cstheme="majorHAnsi"/>
          <w:color w:val="000000" w:themeColor="text1"/>
          <w:sz w:val="24"/>
          <w:szCs w:val="24"/>
          <w:lang w:val="ro-MD"/>
        </w:rPr>
        <w:t xml:space="preserve"> ежемесячные графики </w:t>
      </w:r>
      <w:r w:rsidR="00C727C3">
        <w:rPr>
          <w:rFonts w:asciiTheme="majorHAnsi" w:hAnsiTheme="majorHAnsi" w:cstheme="majorHAnsi"/>
          <w:color w:val="000000" w:themeColor="text1"/>
          <w:sz w:val="24"/>
          <w:szCs w:val="24"/>
          <w:lang w:val="ru-RU"/>
        </w:rPr>
        <w:t>работы</w:t>
      </w:r>
      <w:r w:rsidRPr="00D25F88">
        <w:rPr>
          <w:rFonts w:asciiTheme="majorHAnsi" w:hAnsiTheme="majorHAnsi" w:cstheme="majorHAnsi"/>
          <w:color w:val="000000" w:themeColor="text1"/>
          <w:sz w:val="24"/>
          <w:szCs w:val="24"/>
          <w:lang w:val="ro-MD"/>
        </w:rPr>
        <w:t xml:space="preserve"> составляются отдельно </w:t>
      </w:r>
      <w:r w:rsidR="00C727C3">
        <w:rPr>
          <w:rFonts w:asciiTheme="majorHAnsi" w:hAnsiTheme="majorHAnsi" w:cstheme="majorHAnsi"/>
          <w:color w:val="000000" w:themeColor="text1"/>
          <w:sz w:val="24"/>
          <w:szCs w:val="24"/>
          <w:lang w:val="ru-RU"/>
        </w:rPr>
        <w:t>по</w:t>
      </w:r>
      <w:r w:rsidRPr="00D25F88">
        <w:rPr>
          <w:rFonts w:asciiTheme="majorHAnsi" w:hAnsiTheme="majorHAnsi" w:cstheme="majorHAnsi"/>
          <w:color w:val="000000" w:themeColor="text1"/>
          <w:sz w:val="24"/>
          <w:szCs w:val="24"/>
          <w:lang w:val="ro-MD"/>
        </w:rPr>
        <w:t xml:space="preserve"> каждом</w:t>
      </w:r>
      <w:r w:rsidR="00C727C3">
        <w:rPr>
          <w:rFonts w:asciiTheme="majorHAnsi" w:hAnsiTheme="majorHAnsi" w:cstheme="majorHAnsi"/>
          <w:color w:val="000000" w:themeColor="text1"/>
          <w:sz w:val="24"/>
          <w:szCs w:val="24"/>
          <w:lang w:val="ru-RU"/>
        </w:rPr>
        <w:t>у</w:t>
      </w:r>
      <w:r w:rsidRPr="00D25F88">
        <w:rPr>
          <w:rFonts w:asciiTheme="majorHAnsi" w:hAnsiTheme="majorHAnsi" w:cstheme="majorHAnsi"/>
          <w:color w:val="000000" w:themeColor="text1"/>
          <w:sz w:val="24"/>
          <w:szCs w:val="24"/>
          <w:lang w:val="ro-MD"/>
        </w:rPr>
        <w:t xml:space="preserve"> подразделени</w:t>
      </w:r>
      <w:r w:rsidR="00C727C3">
        <w:rPr>
          <w:rFonts w:asciiTheme="majorHAnsi" w:hAnsiTheme="majorHAnsi" w:cstheme="majorHAnsi"/>
          <w:color w:val="000000" w:themeColor="text1"/>
          <w:sz w:val="24"/>
          <w:szCs w:val="24"/>
          <w:lang w:val="ru-RU"/>
        </w:rPr>
        <w:t>ю</w:t>
      </w:r>
      <w:r w:rsidRPr="00D25F88">
        <w:rPr>
          <w:rFonts w:asciiTheme="majorHAnsi" w:hAnsiTheme="majorHAnsi" w:cstheme="majorHAnsi"/>
          <w:color w:val="000000" w:themeColor="text1"/>
          <w:sz w:val="24"/>
          <w:szCs w:val="24"/>
          <w:lang w:val="ro-MD"/>
        </w:rPr>
        <w:t xml:space="preserve"> </w:t>
      </w:r>
      <w:r w:rsidR="00E77520">
        <w:rPr>
          <w:rFonts w:asciiTheme="majorHAnsi" w:hAnsiTheme="majorHAnsi" w:cstheme="majorHAnsi"/>
          <w:color w:val="000000" w:themeColor="text1"/>
          <w:sz w:val="24"/>
          <w:szCs w:val="24"/>
          <w:lang w:val="ro-MD"/>
        </w:rPr>
        <w:t>учреждени</w:t>
      </w:r>
      <w:r w:rsidRPr="00D25F88">
        <w:rPr>
          <w:rFonts w:asciiTheme="majorHAnsi" w:hAnsiTheme="majorHAnsi" w:cstheme="majorHAnsi"/>
          <w:color w:val="000000" w:themeColor="text1"/>
          <w:sz w:val="24"/>
          <w:szCs w:val="24"/>
          <w:lang w:val="ro-MD"/>
        </w:rPr>
        <w:t xml:space="preserve">я и </w:t>
      </w:r>
      <w:r w:rsidR="00C727C3">
        <w:rPr>
          <w:rFonts w:asciiTheme="majorHAnsi" w:hAnsiTheme="majorHAnsi" w:cstheme="majorHAnsi"/>
          <w:color w:val="000000" w:themeColor="text1"/>
          <w:sz w:val="24"/>
          <w:szCs w:val="24"/>
          <w:lang w:val="ru-RU"/>
        </w:rPr>
        <w:t>по</w:t>
      </w:r>
      <w:r w:rsidRPr="00D25F88">
        <w:rPr>
          <w:rFonts w:asciiTheme="majorHAnsi" w:hAnsiTheme="majorHAnsi" w:cstheme="majorHAnsi"/>
          <w:color w:val="000000" w:themeColor="text1"/>
          <w:sz w:val="24"/>
          <w:szCs w:val="24"/>
          <w:lang w:val="ro-MD"/>
        </w:rPr>
        <w:t xml:space="preserve"> каждой занимаемой должности, как правило, начальником подразделения или </w:t>
      </w:r>
      <w:r w:rsidR="00C727C3">
        <w:rPr>
          <w:rFonts w:asciiTheme="majorHAnsi" w:hAnsiTheme="majorHAnsi" w:cstheme="majorHAnsi"/>
          <w:color w:val="000000" w:themeColor="text1"/>
          <w:sz w:val="24"/>
          <w:szCs w:val="24"/>
          <w:lang w:val="ru-RU"/>
        </w:rPr>
        <w:t>старш</w:t>
      </w:r>
      <w:r w:rsidRPr="00D25F88">
        <w:rPr>
          <w:rFonts w:asciiTheme="majorHAnsi" w:hAnsiTheme="majorHAnsi" w:cstheme="majorHAnsi"/>
          <w:color w:val="000000" w:themeColor="text1"/>
          <w:sz w:val="24"/>
          <w:szCs w:val="24"/>
          <w:lang w:val="ro-MD"/>
        </w:rPr>
        <w:t xml:space="preserve">ей медсестрой, в начале месяца и утверждаются руководством </w:t>
      </w:r>
      <w:r w:rsidR="00E77520">
        <w:rPr>
          <w:rFonts w:asciiTheme="majorHAnsi" w:hAnsiTheme="majorHAnsi" w:cstheme="majorHAnsi"/>
          <w:color w:val="000000" w:themeColor="text1"/>
          <w:sz w:val="24"/>
          <w:szCs w:val="24"/>
          <w:lang w:val="ro-MD"/>
        </w:rPr>
        <w:t>учреждени</w:t>
      </w:r>
      <w:r w:rsidRPr="00D25F88">
        <w:rPr>
          <w:rFonts w:asciiTheme="majorHAnsi" w:hAnsiTheme="majorHAnsi" w:cstheme="majorHAnsi"/>
          <w:color w:val="000000" w:themeColor="text1"/>
          <w:sz w:val="24"/>
          <w:szCs w:val="24"/>
          <w:lang w:val="ro-MD"/>
        </w:rPr>
        <w:t>я. Аудит показ</w:t>
      </w:r>
      <w:r w:rsidR="00C727C3" w:rsidRPr="00C727C3">
        <w:rPr>
          <w:rFonts w:asciiTheme="majorHAnsi" w:hAnsiTheme="majorHAnsi" w:cstheme="majorHAnsi"/>
          <w:color w:val="000000" w:themeColor="text1"/>
          <w:sz w:val="24"/>
          <w:szCs w:val="24"/>
          <w:lang w:val="ro-MD"/>
        </w:rPr>
        <w:t>ал</w:t>
      </w:r>
      <w:r w:rsidRPr="00D25F88">
        <w:rPr>
          <w:rFonts w:asciiTheme="majorHAnsi" w:hAnsiTheme="majorHAnsi" w:cstheme="majorHAnsi"/>
          <w:color w:val="000000" w:themeColor="text1"/>
          <w:sz w:val="24"/>
          <w:szCs w:val="24"/>
          <w:lang w:val="ro-MD"/>
        </w:rPr>
        <w:t xml:space="preserve">, что для </w:t>
      </w:r>
      <w:r w:rsidR="00C727C3" w:rsidRPr="00C727C3">
        <w:rPr>
          <w:rFonts w:asciiTheme="majorHAnsi" w:hAnsiTheme="majorHAnsi" w:cstheme="majorHAnsi"/>
          <w:color w:val="000000" w:themeColor="text1"/>
          <w:sz w:val="24"/>
          <w:szCs w:val="24"/>
          <w:lang w:val="ro-MD"/>
        </w:rPr>
        <w:t>отмеченной</w:t>
      </w:r>
      <w:r w:rsidRPr="00D25F88">
        <w:rPr>
          <w:rFonts w:asciiTheme="majorHAnsi" w:hAnsiTheme="majorHAnsi" w:cstheme="majorHAnsi"/>
          <w:color w:val="000000" w:themeColor="text1"/>
          <w:sz w:val="24"/>
          <w:szCs w:val="24"/>
          <w:lang w:val="ro-MD"/>
        </w:rPr>
        <w:t xml:space="preserve"> сотрудни</w:t>
      </w:r>
      <w:r w:rsidR="00C727C3" w:rsidRPr="00C727C3">
        <w:rPr>
          <w:rFonts w:asciiTheme="majorHAnsi" w:hAnsiTheme="majorHAnsi" w:cstheme="majorHAnsi"/>
          <w:color w:val="000000" w:themeColor="text1"/>
          <w:sz w:val="24"/>
          <w:szCs w:val="24"/>
          <w:lang w:val="ro-MD"/>
        </w:rPr>
        <w:t>цы</w:t>
      </w:r>
      <w:r w:rsidRPr="00D25F88">
        <w:rPr>
          <w:rFonts w:asciiTheme="majorHAnsi" w:hAnsiTheme="majorHAnsi" w:cstheme="majorHAnsi"/>
          <w:color w:val="000000" w:themeColor="text1"/>
          <w:sz w:val="24"/>
          <w:szCs w:val="24"/>
          <w:lang w:val="ro-MD"/>
        </w:rPr>
        <w:t xml:space="preserve"> ежемесячный график </w:t>
      </w:r>
      <w:r w:rsidR="00C727C3" w:rsidRPr="00C727C3">
        <w:rPr>
          <w:rFonts w:asciiTheme="majorHAnsi" w:hAnsiTheme="majorHAnsi" w:cstheme="majorHAnsi"/>
          <w:color w:val="000000" w:themeColor="text1"/>
          <w:sz w:val="24"/>
          <w:szCs w:val="24"/>
          <w:lang w:val="ro-MD"/>
        </w:rPr>
        <w:t>работы</w:t>
      </w:r>
      <w:r w:rsidRPr="00D25F88">
        <w:rPr>
          <w:rFonts w:asciiTheme="majorHAnsi" w:hAnsiTheme="majorHAnsi" w:cstheme="majorHAnsi"/>
          <w:color w:val="000000" w:themeColor="text1"/>
          <w:sz w:val="24"/>
          <w:szCs w:val="24"/>
          <w:lang w:val="ro-MD"/>
        </w:rPr>
        <w:t xml:space="preserve"> за сентябрь, октябрь 2023 года</w:t>
      </w:r>
      <w:r w:rsidR="00C727C3" w:rsidRPr="00C727C3">
        <w:rPr>
          <w:rFonts w:asciiTheme="majorHAnsi" w:hAnsiTheme="majorHAnsi" w:cstheme="majorHAnsi"/>
          <w:color w:val="000000" w:themeColor="text1"/>
          <w:sz w:val="24"/>
          <w:szCs w:val="24"/>
          <w:lang w:val="ro-MD"/>
        </w:rPr>
        <w:t xml:space="preserve"> </w:t>
      </w:r>
      <w:r w:rsidR="00C727C3" w:rsidRPr="00D25F88">
        <w:rPr>
          <w:rFonts w:asciiTheme="majorHAnsi" w:hAnsiTheme="majorHAnsi" w:cstheme="majorHAnsi"/>
          <w:color w:val="000000" w:themeColor="text1"/>
          <w:sz w:val="24"/>
          <w:szCs w:val="24"/>
          <w:lang w:val="ro-MD"/>
        </w:rPr>
        <w:t>отсутствует</w:t>
      </w:r>
      <w:r w:rsidRPr="00D25F88">
        <w:rPr>
          <w:rFonts w:asciiTheme="majorHAnsi" w:hAnsiTheme="majorHAnsi" w:cstheme="majorHAnsi"/>
          <w:color w:val="000000" w:themeColor="text1"/>
          <w:sz w:val="24"/>
          <w:szCs w:val="24"/>
          <w:lang w:val="ro-MD"/>
        </w:rPr>
        <w:t>, что означает, что он</w:t>
      </w:r>
      <w:r w:rsidR="00C727C3" w:rsidRPr="00C727C3">
        <w:rPr>
          <w:rFonts w:asciiTheme="majorHAnsi" w:hAnsiTheme="majorHAnsi" w:cstheme="majorHAnsi"/>
          <w:color w:val="000000" w:themeColor="text1"/>
          <w:sz w:val="24"/>
          <w:szCs w:val="24"/>
          <w:lang w:val="ro-MD"/>
        </w:rPr>
        <w:t>а</w:t>
      </w:r>
      <w:r w:rsidRPr="00D25F88">
        <w:rPr>
          <w:rFonts w:asciiTheme="majorHAnsi" w:hAnsiTheme="majorHAnsi" w:cstheme="majorHAnsi"/>
          <w:color w:val="000000" w:themeColor="text1"/>
          <w:sz w:val="24"/>
          <w:szCs w:val="24"/>
          <w:lang w:val="ro-MD"/>
        </w:rPr>
        <w:t xml:space="preserve"> не </w:t>
      </w:r>
      <w:r w:rsidR="00C727C3" w:rsidRPr="00C727C3">
        <w:rPr>
          <w:rFonts w:asciiTheme="majorHAnsi" w:hAnsiTheme="majorHAnsi" w:cstheme="majorHAnsi"/>
          <w:color w:val="000000" w:themeColor="text1"/>
          <w:sz w:val="24"/>
          <w:szCs w:val="24"/>
          <w:lang w:val="ro-MD"/>
        </w:rPr>
        <w:t>работала</w:t>
      </w:r>
      <w:r w:rsidRPr="00D25F88">
        <w:rPr>
          <w:rFonts w:asciiTheme="majorHAnsi" w:hAnsiTheme="majorHAnsi" w:cstheme="majorHAnsi"/>
          <w:color w:val="000000" w:themeColor="text1"/>
          <w:sz w:val="24"/>
          <w:szCs w:val="24"/>
          <w:lang w:val="ro-MD"/>
        </w:rPr>
        <w:t xml:space="preserve"> в течение </w:t>
      </w:r>
      <w:r w:rsidR="00C727C3" w:rsidRPr="00C727C3">
        <w:rPr>
          <w:rFonts w:asciiTheme="majorHAnsi" w:hAnsiTheme="majorHAnsi" w:cstheme="majorHAnsi"/>
          <w:color w:val="000000" w:themeColor="text1"/>
          <w:sz w:val="24"/>
          <w:szCs w:val="24"/>
          <w:lang w:val="ro-MD"/>
        </w:rPr>
        <w:t>указанн</w:t>
      </w:r>
      <w:r w:rsidRPr="00D25F88">
        <w:rPr>
          <w:rFonts w:asciiTheme="majorHAnsi" w:hAnsiTheme="majorHAnsi" w:cstheme="majorHAnsi"/>
          <w:color w:val="000000" w:themeColor="text1"/>
          <w:sz w:val="24"/>
          <w:szCs w:val="24"/>
          <w:lang w:val="ro-MD"/>
        </w:rPr>
        <w:t>ого периода</w:t>
      </w:r>
      <w:r w:rsidR="00EF1983" w:rsidRPr="00B13B9A">
        <w:rPr>
          <w:rFonts w:asciiTheme="majorHAnsi" w:hAnsiTheme="majorHAnsi" w:cstheme="majorHAnsi"/>
          <w:sz w:val="24"/>
          <w:szCs w:val="24"/>
          <w:lang w:val="ro-MD"/>
        </w:rPr>
        <w:t xml:space="preserve">. </w:t>
      </w:r>
    </w:p>
    <w:p w14:paraId="032BE391" w14:textId="5B003489" w:rsidR="00EF1983" w:rsidRPr="00B13B9A" w:rsidRDefault="00C727C3" w:rsidP="00EF1983">
      <w:pPr>
        <w:pStyle w:val="a7"/>
        <w:keepNext/>
        <w:widowControl w:val="0"/>
        <w:spacing w:line="276" w:lineRule="auto"/>
        <w:ind w:left="0"/>
        <w:jc w:val="both"/>
        <w:rPr>
          <w:rFonts w:asciiTheme="majorHAnsi" w:hAnsiTheme="majorHAnsi" w:cstheme="majorHAnsi"/>
          <w:sz w:val="24"/>
          <w:szCs w:val="24"/>
          <w:lang w:val="ro-MD"/>
        </w:rPr>
      </w:pPr>
      <w:r w:rsidRPr="00C727C3">
        <w:rPr>
          <w:rFonts w:asciiTheme="majorHAnsi" w:eastAsia="Times New Roman" w:hAnsiTheme="majorHAnsi" w:cstheme="majorHAnsi"/>
          <w:color w:val="000000"/>
          <w:sz w:val="24"/>
          <w:szCs w:val="24"/>
          <w:lang w:val="ro-MD"/>
        </w:rPr>
        <w:t>О</w:t>
      </w:r>
      <w:r w:rsidR="00D25F88" w:rsidRPr="00D25F88">
        <w:rPr>
          <w:rFonts w:asciiTheme="majorHAnsi" w:eastAsia="Times New Roman" w:hAnsiTheme="majorHAnsi" w:cstheme="majorHAnsi"/>
          <w:color w:val="000000"/>
          <w:sz w:val="24"/>
          <w:szCs w:val="24"/>
          <w:lang w:val="ro-MD"/>
        </w:rPr>
        <w:t>тме</w:t>
      </w:r>
      <w:r w:rsidRPr="00C727C3">
        <w:rPr>
          <w:rFonts w:asciiTheme="majorHAnsi" w:eastAsia="Times New Roman" w:hAnsiTheme="majorHAnsi" w:cstheme="majorHAnsi"/>
          <w:color w:val="000000"/>
          <w:sz w:val="24"/>
          <w:szCs w:val="24"/>
          <w:lang w:val="ro-MD"/>
        </w:rPr>
        <w:t>чается</w:t>
      </w:r>
      <w:r w:rsidR="00D25F88" w:rsidRPr="00D25F88">
        <w:rPr>
          <w:rFonts w:asciiTheme="majorHAnsi" w:eastAsia="Times New Roman" w:hAnsiTheme="majorHAnsi" w:cstheme="majorHAnsi"/>
          <w:color w:val="000000"/>
          <w:sz w:val="24"/>
          <w:szCs w:val="24"/>
          <w:lang w:val="ro-MD"/>
        </w:rPr>
        <w:t xml:space="preserve">, что </w:t>
      </w:r>
      <w:r w:rsidRPr="00C727C3">
        <w:rPr>
          <w:rFonts w:asciiTheme="majorHAnsi" w:eastAsia="Times New Roman" w:hAnsiTheme="majorHAnsi" w:cstheme="majorHAnsi"/>
          <w:color w:val="000000"/>
          <w:sz w:val="24"/>
          <w:szCs w:val="24"/>
          <w:lang w:val="ro-MD"/>
        </w:rPr>
        <w:t>сотрудница</w:t>
      </w:r>
      <w:r w:rsidR="00D25F88" w:rsidRPr="00D25F88">
        <w:rPr>
          <w:rFonts w:asciiTheme="majorHAnsi" w:eastAsia="Times New Roman" w:hAnsiTheme="majorHAnsi" w:cstheme="majorHAnsi"/>
          <w:color w:val="000000"/>
          <w:sz w:val="24"/>
          <w:szCs w:val="24"/>
          <w:lang w:val="ro-MD"/>
        </w:rPr>
        <w:t xml:space="preserve"> был занесен</w:t>
      </w:r>
      <w:r w:rsidRPr="00C727C3">
        <w:rPr>
          <w:rFonts w:asciiTheme="majorHAnsi" w:eastAsia="Times New Roman" w:hAnsiTheme="majorHAnsi" w:cstheme="majorHAnsi"/>
          <w:color w:val="000000"/>
          <w:sz w:val="24"/>
          <w:szCs w:val="24"/>
          <w:lang w:val="ro-MD"/>
        </w:rPr>
        <w:t>а</w:t>
      </w:r>
      <w:r w:rsidR="00D25F88" w:rsidRPr="00D25F88">
        <w:rPr>
          <w:rFonts w:asciiTheme="majorHAnsi" w:eastAsia="Times New Roman" w:hAnsiTheme="majorHAnsi" w:cstheme="majorHAnsi"/>
          <w:color w:val="000000"/>
          <w:sz w:val="24"/>
          <w:szCs w:val="24"/>
          <w:lang w:val="ro-MD"/>
        </w:rPr>
        <w:t xml:space="preserve"> в таб</w:t>
      </w:r>
      <w:r w:rsidRPr="00C727C3">
        <w:rPr>
          <w:rFonts w:asciiTheme="majorHAnsi" w:eastAsia="Times New Roman" w:hAnsiTheme="majorHAnsi" w:cstheme="majorHAnsi"/>
          <w:color w:val="000000"/>
          <w:sz w:val="24"/>
          <w:szCs w:val="24"/>
          <w:lang w:val="ro-MD"/>
        </w:rPr>
        <w:t>ель</w:t>
      </w:r>
      <w:r w:rsidR="00D25F88" w:rsidRPr="00D25F88">
        <w:rPr>
          <w:rFonts w:asciiTheme="majorHAnsi" w:eastAsia="Times New Roman" w:hAnsiTheme="majorHAnsi" w:cstheme="majorHAnsi"/>
          <w:color w:val="000000"/>
          <w:sz w:val="24"/>
          <w:szCs w:val="24"/>
          <w:lang w:val="ro-MD"/>
        </w:rPr>
        <w:t xml:space="preserve"> как присутствующ</w:t>
      </w:r>
      <w:r w:rsidRPr="00C727C3">
        <w:rPr>
          <w:rFonts w:asciiTheme="majorHAnsi" w:eastAsia="Times New Roman" w:hAnsiTheme="majorHAnsi" w:cstheme="majorHAnsi"/>
          <w:color w:val="000000"/>
          <w:sz w:val="24"/>
          <w:szCs w:val="24"/>
          <w:lang w:val="ro-MD"/>
        </w:rPr>
        <w:t xml:space="preserve">ая </w:t>
      </w:r>
      <w:r w:rsidR="00D25F88" w:rsidRPr="00D25F88">
        <w:rPr>
          <w:rFonts w:asciiTheme="majorHAnsi" w:eastAsia="Times New Roman" w:hAnsiTheme="majorHAnsi" w:cstheme="majorHAnsi"/>
          <w:color w:val="000000"/>
          <w:sz w:val="24"/>
          <w:szCs w:val="24"/>
          <w:lang w:val="ro-MD"/>
        </w:rPr>
        <w:t xml:space="preserve">на рабочем месте, а </w:t>
      </w:r>
      <w:r w:rsidRPr="00C727C3">
        <w:rPr>
          <w:rFonts w:asciiTheme="majorHAnsi" w:eastAsia="Times New Roman" w:hAnsiTheme="majorHAnsi" w:cstheme="majorHAnsi"/>
          <w:color w:val="000000"/>
          <w:sz w:val="24"/>
          <w:szCs w:val="24"/>
          <w:lang w:val="ro-MD"/>
        </w:rPr>
        <w:t>согласно расчетным ведомостям</w:t>
      </w:r>
      <w:r w:rsidR="00D25F88" w:rsidRPr="00D25F88">
        <w:rPr>
          <w:rFonts w:asciiTheme="majorHAnsi" w:eastAsia="Times New Roman" w:hAnsiTheme="majorHAnsi" w:cstheme="majorHAnsi"/>
          <w:color w:val="000000"/>
          <w:sz w:val="24"/>
          <w:szCs w:val="24"/>
          <w:lang w:val="ro-MD"/>
        </w:rPr>
        <w:t xml:space="preserve"> е</w:t>
      </w:r>
      <w:r w:rsidRPr="00C727C3">
        <w:rPr>
          <w:rFonts w:asciiTheme="majorHAnsi" w:eastAsia="Times New Roman" w:hAnsiTheme="majorHAnsi" w:cstheme="majorHAnsi"/>
          <w:color w:val="000000"/>
          <w:sz w:val="24"/>
          <w:szCs w:val="24"/>
          <w:lang w:val="ro-MD"/>
        </w:rPr>
        <w:t>й</w:t>
      </w:r>
      <w:r w:rsidR="00D25F88" w:rsidRPr="00D25F88">
        <w:rPr>
          <w:rFonts w:asciiTheme="majorHAnsi" w:eastAsia="Times New Roman" w:hAnsiTheme="majorHAnsi" w:cstheme="majorHAnsi"/>
          <w:color w:val="000000"/>
          <w:sz w:val="24"/>
          <w:szCs w:val="24"/>
          <w:lang w:val="ro-MD"/>
        </w:rPr>
        <w:t xml:space="preserve"> было выплачено вознаграждение в размере 19,7 тыс. леев, </w:t>
      </w:r>
      <w:r w:rsidRPr="00C727C3">
        <w:rPr>
          <w:rFonts w:asciiTheme="majorHAnsi" w:eastAsia="Times New Roman" w:hAnsiTheme="majorHAnsi" w:cstheme="majorHAnsi"/>
          <w:color w:val="000000"/>
          <w:sz w:val="24"/>
          <w:szCs w:val="24"/>
          <w:lang w:val="ro-MD"/>
        </w:rPr>
        <w:t>и</w:t>
      </w:r>
      <w:r w:rsidR="00D25F88" w:rsidRPr="00D25F88">
        <w:rPr>
          <w:rFonts w:asciiTheme="majorHAnsi" w:eastAsia="Times New Roman" w:hAnsiTheme="majorHAnsi" w:cstheme="majorHAnsi"/>
          <w:color w:val="000000"/>
          <w:sz w:val="24"/>
          <w:szCs w:val="24"/>
          <w:lang w:val="ro-MD"/>
        </w:rPr>
        <w:t xml:space="preserve"> был</w:t>
      </w:r>
      <w:r w:rsidRPr="00C727C3">
        <w:rPr>
          <w:rFonts w:asciiTheme="majorHAnsi" w:eastAsia="Times New Roman" w:hAnsiTheme="majorHAnsi" w:cstheme="majorHAnsi"/>
          <w:color w:val="000000"/>
          <w:sz w:val="24"/>
          <w:szCs w:val="24"/>
          <w:lang w:val="ro-MD"/>
        </w:rPr>
        <w:t>а</w:t>
      </w:r>
      <w:r w:rsidR="00D25F88" w:rsidRPr="00D25F88">
        <w:rPr>
          <w:rFonts w:asciiTheme="majorHAnsi" w:eastAsia="Times New Roman" w:hAnsiTheme="majorHAnsi" w:cstheme="majorHAnsi"/>
          <w:color w:val="000000"/>
          <w:sz w:val="24"/>
          <w:szCs w:val="24"/>
          <w:lang w:val="ro-MD"/>
        </w:rPr>
        <w:t xml:space="preserve"> </w:t>
      </w:r>
      <w:r w:rsidRPr="00C727C3">
        <w:rPr>
          <w:rFonts w:asciiTheme="majorHAnsi" w:eastAsia="Times New Roman" w:hAnsiTheme="majorHAnsi" w:cstheme="majorHAnsi"/>
          <w:color w:val="000000"/>
          <w:sz w:val="24"/>
          <w:szCs w:val="24"/>
          <w:lang w:val="ro-MD"/>
        </w:rPr>
        <w:t>уволена с работы</w:t>
      </w:r>
      <w:r w:rsidR="00D25F88" w:rsidRPr="00D25F88">
        <w:rPr>
          <w:rFonts w:asciiTheme="majorHAnsi" w:eastAsia="Times New Roman" w:hAnsiTheme="majorHAnsi" w:cstheme="majorHAnsi"/>
          <w:color w:val="000000"/>
          <w:sz w:val="24"/>
          <w:szCs w:val="24"/>
          <w:lang w:val="ro-MD"/>
        </w:rPr>
        <w:t xml:space="preserve"> 01.11.2023 после проведения аудито</w:t>
      </w:r>
      <w:r w:rsidRPr="00C727C3">
        <w:rPr>
          <w:rFonts w:asciiTheme="majorHAnsi" w:eastAsia="Times New Roman" w:hAnsiTheme="majorHAnsi" w:cstheme="majorHAnsi"/>
          <w:color w:val="000000"/>
          <w:sz w:val="24"/>
          <w:szCs w:val="24"/>
          <w:lang w:val="ro-MD"/>
        </w:rPr>
        <w:t>рских</w:t>
      </w:r>
      <w:r w:rsidR="00D25F88" w:rsidRPr="00D25F88">
        <w:rPr>
          <w:rFonts w:asciiTheme="majorHAnsi" w:eastAsia="Times New Roman" w:hAnsiTheme="majorHAnsi" w:cstheme="majorHAnsi"/>
          <w:color w:val="000000"/>
          <w:sz w:val="24"/>
          <w:szCs w:val="24"/>
          <w:lang w:val="ro-MD"/>
        </w:rPr>
        <w:t xml:space="preserve"> </w:t>
      </w:r>
      <w:r w:rsidRPr="00D25F88">
        <w:rPr>
          <w:rFonts w:asciiTheme="majorHAnsi" w:eastAsia="Times New Roman" w:hAnsiTheme="majorHAnsi" w:cstheme="majorHAnsi"/>
          <w:color w:val="000000"/>
          <w:sz w:val="24"/>
          <w:szCs w:val="24"/>
          <w:lang w:val="ro-MD"/>
        </w:rPr>
        <w:t>проверок</w:t>
      </w:r>
      <w:r w:rsidR="00EF1983" w:rsidRPr="00B13B9A">
        <w:rPr>
          <w:rFonts w:asciiTheme="majorHAnsi" w:hAnsiTheme="majorHAnsi" w:cstheme="majorHAnsi"/>
          <w:sz w:val="24"/>
          <w:szCs w:val="24"/>
          <w:lang w:val="ro-MD"/>
        </w:rPr>
        <w:t>.</w:t>
      </w:r>
    </w:p>
    <w:p w14:paraId="45C5F27D" w14:textId="6DE39F24" w:rsidR="00EF1983" w:rsidRPr="00B13B9A" w:rsidRDefault="00D25F88" w:rsidP="00EF1983">
      <w:pPr>
        <w:pStyle w:val="a7"/>
        <w:keepNext/>
        <w:widowControl w:val="0"/>
        <w:spacing w:line="276" w:lineRule="auto"/>
        <w:ind w:left="0"/>
        <w:jc w:val="both"/>
        <w:rPr>
          <w:rFonts w:asciiTheme="majorHAnsi" w:hAnsiTheme="majorHAnsi" w:cstheme="majorHAnsi"/>
          <w:sz w:val="24"/>
          <w:szCs w:val="24"/>
          <w:lang w:val="ro-MD"/>
        </w:rPr>
      </w:pPr>
      <w:r w:rsidRPr="00D25F88">
        <w:rPr>
          <w:rFonts w:asciiTheme="majorHAnsi" w:hAnsiTheme="majorHAnsi" w:cstheme="majorHAnsi"/>
          <w:color w:val="000000" w:themeColor="text1"/>
          <w:sz w:val="24"/>
          <w:szCs w:val="24"/>
          <w:lang w:val="ro-MD"/>
        </w:rPr>
        <w:t xml:space="preserve">Кроме того, дополнительные аудиторские мероприятия установили, что с этим лицом был заключен трудовой договор на выполнение </w:t>
      </w:r>
      <w:r w:rsidR="007A33EF">
        <w:rPr>
          <w:rFonts w:asciiTheme="majorHAnsi" w:hAnsiTheme="majorHAnsi" w:cstheme="majorHAnsi"/>
          <w:color w:val="000000" w:themeColor="text1"/>
          <w:sz w:val="24"/>
          <w:szCs w:val="24"/>
          <w:lang w:val="ru-RU"/>
        </w:rPr>
        <w:t>малярных</w:t>
      </w:r>
      <w:r w:rsidR="007A33EF" w:rsidRPr="00D25F88">
        <w:rPr>
          <w:rFonts w:asciiTheme="majorHAnsi" w:hAnsiTheme="majorHAnsi" w:cstheme="majorHAnsi"/>
          <w:color w:val="000000" w:themeColor="text1"/>
          <w:sz w:val="24"/>
          <w:szCs w:val="24"/>
          <w:lang w:val="ro-MD"/>
        </w:rPr>
        <w:t xml:space="preserve"> </w:t>
      </w:r>
      <w:r w:rsidRPr="00D25F88">
        <w:rPr>
          <w:rFonts w:asciiTheme="majorHAnsi" w:hAnsiTheme="majorHAnsi" w:cstheme="majorHAnsi"/>
          <w:color w:val="000000" w:themeColor="text1"/>
          <w:sz w:val="24"/>
          <w:szCs w:val="24"/>
          <w:lang w:val="ro-MD"/>
        </w:rPr>
        <w:t>работ на площади 1 000 м</w:t>
      </w:r>
      <w:r w:rsidRPr="007A33EF">
        <w:rPr>
          <w:rFonts w:asciiTheme="majorHAnsi" w:hAnsiTheme="majorHAnsi" w:cstheme="majorHAnsi"/>
          <w:color w:val="000000" w:themeColor="text1"/>
          <w:sz w:val="24"/>
          <w:szCs w:val="24"/>
          <w:vertAlign w:val="superscript"/>
          <w:lang w:val="ro-MD"/>
        </w:rPr>
        <w:t>2</w:t>
      </w:r>
      <w:r w:rsidRPr="00D25F88">
        <w:rPr>
          <w:rFonts w:asciiTheme="majorHAnsi" w:hAnsiTheme="majorHAnsi" w:cstheme="majorHAnsi"/>
          <w:color w:val="000000" w:themeColor="text1"/>
          <w:sz w:val="24"/>
          <w:szCs w:val="24"/>
          <w:lang w:val="ro-MD"/>
        </w:rPr>
        <w:t xml:space="preserve"> на сумму 43,7 тыс. леев. Этот </w:t>
      </w:r>
      <w:r w:rsidR="007A33EF">
        <w:rPr>
          <w:rFonts w:asciiTheme="majorHAnsi" w:hAnsiTheme="majorHAnsi" w:cstheme="majorHAnsi"/>
          <w:color w:val="000000" w:themeColor="text1"/>
          <w:sz w:val="24"/>
          <w:szCs w:val="24"/>
          <w:lang w:val="ru-RU"/>
        </w:rPr>
        <w:t>договор</w:t>
      </w:r>
      <w:r w:rsidRPr="00D25F88">
        <w:rPr>
          <w:rFonts w:asciiTheme="majorHAnsi" w:hAnsiTheme="majorHAnsi" w:cstheme="majorHAnsi"/>
          <w:color w:val="000000" w:themeColor="text1"/>
          <w:sz w:val="24"/>
          <w:szCs w:val="24"/>
          <w:lang w:val="ro-MD"/>
        </w:rPr>
        <w:t xml:space="preserve"> был подписан в отсутствие </w:t>
      </w:r>
      <w:r w:rsidR="007A33EF">
        <w:rPr>
          <w:rFonts w:asciiTheme="majorHAnsi" w:hAnsiTheme="majorHAnsi" w:cstheme="majorHAnsi"/>
          <w:color w:val="000000" w:themeColor="text1"/>
          <w:sz w:val="24"/>
          <w:szCs w:val="24"/>
          <w:lang w:val="ru-RU"/>
        </w:rPr>
        <w:t>сметы</w:t>
      </w:r>
      <w:r w:rsidRPr="00D25F88">
        <w:rPr>
          <w:rFonts w:asciiTheme="majorHAnsi" w:hAnsiTheme="majorHAnsi" w:cstheme="majorHAnsi"/>
          <w:color w:val="000000" w:themeColor="text1"/>
          <w:sz w:val="24"/>
          <w:szCs w:val="24"/>
          <w:lang w:val="ro-MD"/>
        </w:rPr>
        <w:t xml:space="preserve"> расходов, который отражал бы место </w:t>
      </w:r>
      <w:r w:rsidR="007A33EF">
        <w:rPr>
          <w:rFonts w:asciiTheme="majorHAnsi" w:hAnsiTheme="majorHAnsi" w:cstheme="majorHAnsi"/>
          <w:color w:val="000000" w:themeColor="text1"/>
          <w:sz w:val="24"/>
          <w:szCs w:val="24"/>
          <w:lang w:val="ru-RU"/>
        </w:rPr>
        <w:t>исполн</w:t>
      </w:r>
      <w:r w:rsidRPr="00D25F88">
        <w:rPr>
          <w:rFonts w:asciiTheme="majorHAnsi" w:hAnsiTheme="majorHAnsi" w:cstheme="majorHAnsi"/>
          <w:color w:val="000000" w:themeColor="text1"/>
          <w:sz w:val="24"/>
          <w:szCs w:val="24"/>
          <w:lang w:val="ro-MD"/>
        </w:rPr>
        <w:t>ения, объем и тип работ</w:t>
      </w:r>
      <w:r w:rsidR="007A33EF">
        <w:rPr>
          <w:rFonts w:asciiTheme="majorHAnsi" w:hAnsiTheme="majorHAnsi" w:cstheme="majorHAnsi"/>
          <w:color w:val="000000" w:themeColor="text1"/>
          <w:sz w:val="24"/>
          <w:szCs w:val="24"/>
          <w:lang w:val="ru-RU"/>
        </w:rPr>
        <w:t>, которые должны были быть</w:t>
      </w:r>
      <w:r w:rsidR="007A33EF" w:rsidRPr="007A33EF">
        <w:rPr>
          <w:rFonts w:asciiTheme="majorHAnsi" w:hAnsiTheme="majorHAnsi" w:cstheme="majorHAnsi"/>
          <w:color w:val="000000" w:themeColor="text1"/>
          <w:sz w:val="24"/>
          <w:szCs w:val="24"/>
          <w:lang w:val="ro-MD"/>
        </w:rPr>
        <w:t xml:space="preserve"> </w:t>
      </w:r>
      <w:r w:rsidR="007A33EF" w:rsidRPr="00D25F88">
        <w:rPr>
          <w:rFonts w:asciiTheme="majorHAnsi" w:hAnsiTheme="majorHAnsi" w:cstheme="majorHAnsi"/>
          <w:color w:val="000000" w:themeColor="text1"/>
          <w:sz w:val="24"/>
          <w:szCs w:val="24"/>
          <w:lang w:val="ro-MD"/>
        </w:rPr>
        <w:t>выполн</w:t>
      </w:r>
      <w:r w:rsidR="007A33EF">
        <w:rPr>
          <w:rFonts w:asciiTheme="majorHAnsi" w:hAnsiTheme="majorHAnsi" w:cstheme="majorHAnsi"/>
          <w:color w:val="000000" w:themeColor="text1"/>
          <w:sz w:val="24"/>
          <w:szCs w:val="24"/>
          <w:lang w:val="ru-RU"/>
        </w:rPr>
        <w:t>ены</w:t>
      </w:r>
      <w:r w:rsidRPr="00D25F88">
        <w:rPr>
          <w:rFonts w:asciiTheme="majorHAnsi" w:hAnsiTheme="majorHAnsi" w:cstheme="majorHAnsi"/>
          <w:color w:val="000000" w:themeColor="text1"/>
          <w:sz w:val="24"/>
          <w:szCs w:val="24"/>
          <w:lang w:val="ro-MD"/>
        </w:rPr>
        <w:t xml:space="preserve">. В </w:t>
      </w:r>
      <w:r w:rsidR="007A33EF">
        <w:rPr>
          <w:rFonts w:asciiTheme="majorHAnsi" w:hAnsiTheme="majorHAnsi" w:cstheme="majorHAnsi"/>
          <w:color w:val="000000" w:themeColor="text1"/>
          <w:sz w:val="24"/>
          <w:szCs w:val="24"/>
          <w:lang w:val="ru-RU"/>
        </w:rPr>
        <w:t xml:space="preserve">этой </w:t>
      </w:r>
      <w:r w:rsidRPr="00D25F88">
        <w:rPr>
          <w:rFonts w:asciiTheme="majorHAnsi" w:hAnsiTheme="majorHAnsi" w:cstheme="majorHAnsi"/>
          <w:color w:val="000000" w:themeColor="text1"/>
          <w:sz w:val="24"/>
          <w:szCs w:val="24"/>
          <w:lang w:val="ro-MD"/>
        </w:rPr>
        <w:t>связи</w:t>
      </w:r>
      <w:r w:rsidR="007A33EF">
        <w:rPr>
          <w:rFonts w:asciiTheme="majorHAnsi" w:hAnsiTheme="majorHAnsi" w:cstheme="majorHAnsi"/>
          <w:color w:val="000000" w:themeColor="text1"/>
          <w:sz w:val="24"/>
          <w:szCs w:val="24"/>
          <w:lang w:val="ru-RU"/>
        </w:rPr>
        <w:t>,</w:t>
      </w:r>
      <w:r w:rsidRPr="00D25F88">
        <w:rPr>
          <w:rFonts w:asciiTheme="majorHAnsi" w:hAnsiTheme="majorHAnsi" w:cstheme="majorHAnsi"/>
          <w:color w:val="000000" w:themeColor="text1"/>
          <w:sz w:val="24"/>
          <w:szCs w:val="24"/>
          <w:lang w:val="ro-MD"/>
        </w:rPr>
        <w:t xml:space="preserve"> </w:t>
      </w:r>
      <w:r w:rsidR="007A33EF">
        <w:rPr>
          <w:rFonts w:asciiTheme="majorHAnsi" w:hAnsiTheme="majorHAnsi" w:cstheme="majorHAnsi"/>
          <w:color w:val="000000" w:themeColor="text1"/>
          <w:sz w:val="24"/>
          <w:szCs w:val="24"/>
          <w:lang w:val="ru-RU"/>
        </w:rPr>
        <w:t>субъект</w:t>
      </w:r>
      <w:r w:rsidRPr="00D25F88">
        <w:rPr>
          <w:rFonts w:asciiTheme="majorHAnsi" w:hAnsiTheme="majorHAnsi" w:cstheme="majorHAnsi"/>
          <w:color w:val="000000" w:themeColor="text1"/>
          <w:sz w:val="24"/>
          <w:szCs w:val="24"/>
          <w:lang w:val="ro-MD"/>
        </w:rPr>
        <w:t xml:space="preserve"> </w:t>
      </w:r>
      <w:r w:rsidR="007A33EF">
        <w:rPr>
          <w:rFonts w:asciiTheme="majorHAnsi" w:hAnsiTheme="majorHAnsi" w:cstheme="majorHAnsi"/>
          <w:color w:val="000000" w:themeColor="text1"/>
          <w:sz w:val="24"/>
          <w:szCs w:val="24"/>
          <w:lang w:val="ru-RU"/>
        </w:rPr>
        <w:t>напис</w:t>
      </w:r>
      <w:r w:rsidRPr="00D25F88">
        <w:rPr>
          <w:rFonts w:asciiTheme="majorHAnsi" w:hAnsiTheme="majorHAnsi" w:cstheme="majorHAnsi"/>
          <w:color w:val="000000" w:themeColor="text1"/>
          <w:sz w:val="24"/>
          <w:szCs w:val="24"/>
          <w:lang w:val="ro-MD"/>
        </w:rPr>
        <w:t xml:space="preserve">ал ходатайство </w:t>
      </w:r>
      <w:r w:rsidR="007A33EF">
        <w:rPr>
          <w:rFonts w:asciiTheme="majorHAnsi" w:hAnsiTheme="majorHAnsi" w:cstheme="majorHAnsi"/>
          <w:color w:val="000000" w:themeColor="text1"/>
          <w:sz w:val="24"/>
          <w:szCs w:val="24"/>
          <w:lang w:val="ru-RU"/>
        </w:rPr>
        <w:t xml:space="preserve">с запросом </w:t>
      </w:r>
      <w:r w:rsidRPr="00D25F88">
        <w:rPr>
          <w:rFonts w:asciiTheme="majorHAnsi" w:hAnsiTheme="majorHAnsi" w:cstheme="majorHAnsi"/>
          <w:color w:val="000000" w:themeColor="text1"/>
          <w:sz w:val="24"/>
          <w:szCs w:val="24"/>
          <w:lang w:val="ro-MD"/>
        </w:rPr>
        <w:t xml:space="preserve">о включении </w:t>
      </w:r>
      <w:r w:rsidR="007A33EF">
        <w:rPr>
          <w:rFonts w:asciiTheme="majorHAnsi" w:hAnsiTheme="majorHAnsi" w:cstheme="majorHAnsi"/>
          <w:color w:val="000000" w:themeColor="text1"/>
          <w:sz w:val="24"/>
          <w:szCs w:val="24"/>
          <w:lang w:val="ru-RU"/>
        </w:rPr>
        <w:t xml:space="preserve">малярных </w:t>
      </w:r>
      <w:r w:rsidRPr="00D25F88">
        <w:rPr>
          <w:rFonts w:asciiTheme="majorHAnsi" w:hAnsiTheme="majorHAnsi" w:cstheme="majorHAnsi"/>
          <w:color w:val="000000" w:themeColor="text1"/>
          <w:sz w:val="24"/>
          <w:szCs w:val="24"/>
          <w:lang w:val="ro-MD"/>
        </w:rPr>
        <w:t xml:space="preserve">работ, которое было составлено </w:t>
      </w:r>
      <w:r w:rsidR="007A33EF">
        <w:rPr>
          <w:rFonts w:asciiTheme="majorHAnsi" w:hAnsiTheme="majorHAnsi" w:cstheme="majorHAnsi"/>
          <w:color w:val="000000" w:themeColor="text1"/>
          <w:sz w:val="24"/>
          <w:szCs w:val="24"/>
          <w:lang w:val="ru-RU"/>
        </w:rPr>
        <w:t xml:space="preserve">на </w:t>
      </w:r>
      <w:r w:rsidRPr="00D25F88">
        <w:rPr>
          <w:rFonts w:asciiTheme="majorHAnsi" w:hAnsiTheme="majorHAnsi" w:cstheme="majorHAnsi"/>
          <w:color w:val="000000" w:themeColor="text1"/>
          <w:sz w:val="24"/>
          <w:szCs w:val="24"/>
          <w:lang w:val="ro-MD"/>
        </w:rPr>
        <w:t xml:space="preserve">28 дней </w:t>
      </w:r>
      <w:r w:rsidR="007A33EF">
        <w:rPr>
          <w:rFonts w:asciiTheme="majorHAnsi" w:hAnsiTheme="majorHAnsi" w:cstheme="majorHAnsi"/>
          <w:color w:val="000000" w:themeColor="text1"/>
          <w:sz w:val="24"/>
          <w:szCs w:val="24"/>
          <w:lang w:val="ru-RU"/>
        </w:rPr>
        <w:t>позже</w:t>
      </w:r>
      <w:r w:rsidRPr="00D25F88">
        <w:rPr>
          <w:rFonts w:asciiTheme="majorHAnsi" w:hAnsiTheme="majorHAnsi" w:cstheme="majorHAnsi"/>
          <w:color w:val="000000" w:themeColor="text1"/>
          <w:sz w:val="24"/>
          <w:szCs w:val="24"/>
          <w:lang w:val="ro-MD"/>
        </w:rPr>
        <w:t xml:space="preserve"> дат</w:t>
      </w:r>
      <w:r w:rsidR="007A33EF">
        <w:rPr>
          <w:rFonts w:asciiTheme="majorHAnsi" w:hAnsiTheme="majorHAnsi" w:cstheme="majorHAnsi"/>
          <w:color w:val="000000" w:themeColor="text1"/>
          <w:sz w:val="24"/>
          <w:szCs w:val="24"/>
          <w:lang w:val="ru-RU"/>
        </w:rPr>
        <w:t>ы</w:t>
      </w:r>
      <w:r w:rsidRPr="00D25F88">
        <w:rPr>
          <w:rFonts w:asciiTheme="majorHAnsi" w:hAnsiTheme="majorHAnsi" w:cstheme="majorHAnsi"/>
          <w:color w:val="000000" w:themeColor="text1"/>
          <w:sz w:val="24"/>
          <w:szCs w:val="24"/>
          <w:lang w:val="ro-MD"/>
        </w:rPr>
        <w:t xml:space="preserve"> заключения договора (08.09.2023) и, </w:t>
      </w:r>
      <w:r w:rsidR="007A33EF">
        <w:rPr>
          <w:rFonts w:asciiTheme="majorHAnsi" w:hAnsiTheme="majorHAnsi" w:cstheme="majorHAnsi"/>
          <w:color w:val="000000" w:themeColor="text1"/>
          <w:sz w:val="24"/>
          <w:szCs w:val="24"/>
          <w:lang w:val="ru-RU"/>
        </w:rPr>
        <w:t>практически</w:t>
      </w:r>
      <w:r w:rsidRPr="00D25F88">
        <w:rPr>
          <w:rFonts w:asciiTheme="majorHAnsi" w:hAnsiTheme="majorHAnsi" w:cstheme="majorHAnsi"/>
          <w:color w:val="000000" w:themeColor="text1"/>
          <w:sz w:val="24"/>
          <w:szCs w:val="24"/>
          <w:lang w:val="ro-MD"/>
        </w:rPr>
        <w:t xml:space="preserve">, по завершении работ (12.09.2023). В акте приема не указано </w:t>
      </w:r>
      <w:r w:rsidR="007A33EF" w:rsidRPr="00D25F88">
        <w:rPr>
          <w:rFonts w:asciiTheme="majorHAnsi" w:hAnsiTheme="majorHAnsi" w:cstheme="majorHAnsi"/>
          <w:color w:val="000000" w:themeColor="text1"/>
          <w:sz w:val="24"/>
          <w:szCs w:val="24"/>
          <w:lang w:val="ro-MD"/>
        </w:rPr>
        <w:t>точно</w:t>
      </w:r>
      <w:r w:rsidR="007A33EF">
        <w:rPr>
          <w:rFonts w:asciiTheme="majorHAnsi" w:hAnsiTheme="majorHAnsi" w:cstheme="majorHAnsi"/>
          <w:color w:val="000000" w:themeColor="text1"/>
          <w:sz w:val="24"/>
          <w:szCs w:val="24"/>
          <w:lang w:val="ru-RU"/>
        </w:rPr>
        <w:t>е</w:t>
      </w:r>
      <w:r w:rsidR="007A33EF" w:rsidRPr="00D25F88">
        <w:rPr>
          <w:rFonts w:asciiTheme="majorHAnsi" w:hAnsiTheme="majorHAnsi" w:cstheme="majorHAnsi"/>
          <w:color w:val="000000" w:themeColor="text1"/>
          <w:sz w:val="24"/>
          <w:szCs w:val="24"/>
          <w:lang w:val="ro-MD"/>
        </w:rPr>
        <w:t xml:space="preserve"> </w:t>
      </w:r>
      <w:r w:rsidRPr="00D25F88">
        <w:rPr>
          <w:rFonts w:asciiTheme="majorHAnsi" w:hAnsiTheme="majorHAnsi" w:cstheme="majorHAnsi"/>
          <w:color w:val="000000" w:themeColor="text1"/>
          <w:sz w:val="24"/>
          <w:szCs w:val="24"/>
          <w:lang w:val="ro-MD"/>
        </w:rPr>
        <w:t xml:space="preserve">место проведения ремонта, вид и объем работ, указанных в договоре (нанесение </w:t>
      </w:r>
      <w:r w:rsidR="007A33EF">
        <w:rPr>
          <w:rFonts w:asciiTheme="majorHAnsi" w:hAnsiTheme="majorHAnsi" w:cstheme="majorHAnsi"/>
          <w:color w:val="000000" w:themeColor="text1"/>
          <w:sz w:val="24"/>
          <w:szCs w:val="24"/>
          <w:lang w:val="ru-RU"/>
        </w:rPr>
        <w:t>в</w:t>
      </w:r>
      <w:r w:rsidR="007A33EF" w:rsidRPr="00D25F88">
        <w:rPr>
          <w:rFonts w:asciiTheme="majorHAnsi" w:hAnsiTheme="majorHAnsi" w:cstheme="majorHAnsi"/>
          <w:color w:val="000000" w:themeColor="text1"/>
          <w:sz w:val="24"/>
          <w:szCs w:val="24"/>
          <w:lang w:val="ro-MD"/>
        </w:rPr>
        <w:t>ручн</w:t>
      </w:r>
      <w:r w:rsidR="007A33EF">
        <w:rPr>
          <w:rFonts w:asciiTheme="majorHAnsi" w:hAnsiTheme="majorHAnsi" w:cstheme="majorHAnsi"/>
          <w:color w:val="000000" w:themeColor="text1"/>
          <w:sz w:val="24"/>
          <w:szCs w:val="24"/>
          <w:lang w:val="ru-RU"/>
        </w:rPr>
        <w:t>ую</w:t>
      </w:r>
      <w:r w:rsidR="007A33EF" w:rsidRPr="00D25F88">
        <w:rPr>
          <w:rFonts w:asciiTheme="majorHAnsi" w:hAnsiTheme="majorHAnsi" w:cstheme="majorHAnsi"/>
          <w:color w:val="000000" w:themeColor="text1"/>
          <w:sz w:val="24"/>
          <w:szCs w:val="24"/>
          <w:lang w:val="ro-MD"/>
        </w:rPr>
        <w:t xml:space="preserve"> </w:t>
      </w:r>
      <w:r w:rsidRPr="00D25F88">
        <w:rPr>
          <w:rFonts w:asciiTheme="majorHAnsi" w:hAnsiTheme="majorHAnsi" w:cstheme="majorHAnsi"/>
          <w:color w:val="000000" w:themeColor="text1"/>
          <w:sz w:val="24"/>
          <w:szCs w:val="24"/>
          <w:lang w:val="ro-MD"/>
        </w:rPr>
        <w:t xml:space="preserve">грунтовки, </w:t>
      </w:r>
      <w:r w:rsidR="007A33EF">
        <w:rPr>
          <w:rFonts w:asciiTheme="majorHAnsi" w:hAnsiTheme="majorHAnsi" w:cstheme="majorHAnsi"/>
          <w:color w:val="000000" w:themeColor="text1"/>
          <w:sz w:val="24"/>
          <w:szCs w:val="24"/>
          <w:lang w:val="ru-RU"/>
        </w:rPr>
        <w:t>выровне</w:t>
      </w:r>
      <w:r w:rsidRPr="00D25F88">
        <w:rPr>
          <w:rFonts w:asciiTheme="majorHAnsi" w:hAnsiTheme="majorHAnsi" w:cstheme="majorHAnsi"/>
          <w:color w:val="000000" w:themeColor="text1"/>
          <w:sz w:val="24"/>
          <w:szCs w:val="24"/>
          <w:lang w:val="ro-MD"/>
        </w:rPr>
        <w:t xml:space="preserve">ние стен и моста, нанесение видимого слоя, </w:t>
      </w:r>
      <w:r w:rsidR="007A33EF" w:rsidRPr="007A33EF">
        <w:rPr>
          <w:rFonts w:asciiTheme="majorHAnsi" w:hAnsiTheme="majorHAnsi" w:cstheme="majorHAnsi"/>
          <w:color w:val="000000" w:themeColor="text1"/>
          <w:sz w:val="24"/>
          <w:szCs w:val="24"/>
          <w:lang w:val="ro-MD"/>
        </w:rPr>
        <w:t>выполнение отделочных и малярных работ</w:t>
      </w:r>
      <w:r w:rsidRPr="00D25F88">
        <w:rPr>
          <w:rFonts w:asciiTheme="majorHAnsi" w:hAnsiTheme="majorHAnsi" w:cstheme="majorHAnsi"/>
          <w:color w:val="000000" w:themeColor="text1"/>
          <w:sz w:val="24"/>
          <w:szCs w:val="24"/>
          <w:lang w:val="ro-MD"/>
        </w:rPr>
        <w:t xml:space="preserve">), </w:t>
      </w:r>
      <w:r w:rsidR="007A33EF">
        <w:rPr>
          <w:rFonts w:asciiTheme="majorHAnsi" w:hAnsiTheme="majorHAnsi" w:cstheme="majorHAnsi"/>
          <w:color w:val="000000" w:themeColor="text1"/>
          <w:sz w:val="24"/>
          <w:szCs w:val="24"/>
          <w:lang w:val="ru-RU"/>
        </w:rPr>
        <w:t xml:space="preserve">а </w:t>
      </w:r>
      <w:r w:rsidRPr="00D25F88">
        <w:rPr>
          <w:rFonts w:asciiTheme="majorHAnsi" w:hAnsiTheme="majorHAnsi" w:cstheme="majorHAnsi"/>
          <w:color w:val="000000" w:themeColor="text1"/>
          <w:sz w:val="24"/>
          <w:szCs w:val="24"/>
          <w:lang w:val="ro-MD"/>
        </w:rPr>
        <w:t>указывается только площадь 1000 м</w:t>
      </w:r>
      <w:r w:rsidRPr="007A33EF">
        <w:rPr>
          <w:rFonts w:asciiTheme="majorHAnsi" w:hAnsiTheme="majorHAnsi" w:cstheme="majorHAnsi"/>
          <w:color w:val="000000" w:themeColor="text1"/>
          <w:sz w:val="24"/>
          <w:szCs w:val="24"/>
          <w:vertAlign w:val="superscript"/>
          <w:lang w:val="ro-MD"/>
        </w:rPr>
        <w:t>2</w:t>
      </w:r>
      <w:r w:rsidRPr="00D25F88">
        <w:rPr>
          <w:rFonts w:asciiTheme="majorHAnsi" w:hAnsiTheme="majorHAnsi" w:cstheme="majorHAnsi"/>
          <w:color w:val="000000" w:themeColor="text1"/>
          <w:sz w:val="24"/>
          <w:szCs w:val="24"/>
          <w:lang w:val="ro-MD"/>
        </w:rPr>
        <w:t xml:space="preserve">. Таким образом, при </w:t>
      </w:r>
      <w:r w:rsidR="007A33EF">
        <w:rPr>
          <w:rFonts w:asciiTheme="majorHAnsi" w:hAnsiTheme="majorHAnsi" w:cstheme="majorHAnsi"/>
          <w:color w:val="000000" w:themeColor="text1"/>
          <w:sz w:val="24"/>
          <w:szCs w:val="24"/>
          <w:lang w:val="ru-RU"/>
        </w:rPr>
        <w:t>выезде</w:t>
      </w:r>
      <w:r w:rsidRPr="00D25F88">
        <w:rPr>
          <w:rFonts w:asciiTheme="majorHAnsi" w:hAnsiTheme="majorHAnsi" w:cstheme="majorHAnsi"/>
          <w:color w:val="000000" w:themeColor="text1"/>
          <w:sz w:val="24"/>
          <w:szCs w:val="24"/>
          <w:lang w:val="ro-MD"/>
        </w:rPr>
        <w:t xml:space="preserve"> и </w:t>
      </w:r>
      <w:r w:rsidR="007A33EF">
        <w:rPr>
          <w:rFonts w:asciiTheme="majorHAnsi" w:hAnsiTheme="majorHAnsi" w:cstheme="majorHAnsi"/>
          <w:color w:val="000000" w:themeColor="text1"/>
          <w:sz w:val="24"/>
          <w:szCs w:val="24"/>
          <w:lang w:val="ru-RU"/>
        </w:rPr>
        <w:t>осмотре на месте</w:t>
      </w:r>
      <w:r w:rsidRPr="00D25F88">
        <w:rPr>
          <w:rFonts w:asciiTheme="majorHAnsi" w:hAnsiTheme="majorHAnsi" w:cstheme="majorHAnsi"/>
          <w:color w:val="000000" w:themeColor="text1"/>
          <w:sz w:val="24"/>
          <w:szCs w:val="24"/>
          <w:lang w:val="ro-MD"/>
        </w:rPr>
        <w:t xml:space="preserve"> недавно отремонтированных п</w:t>
      </w:r>
      <w:r w:rsidR="007A33EF">
        <w:rPr>
          <w:rFonts w:asciiTheme="majorHAnsi" w:hAnsiTheme="majorHAnsi" w:cstheme="majorHAnsi"/>
          <w:color w:val="000000" w:themeColor="text1"/>
          <w:sz w:val="24"/>
          <w:szCs w:val="24"/>
          <w:lang w:val="ru-RU"/>
        </w:rPr>
        <w:t>лощад</w:t>
      </w:r>
      <w:r w:rsidRPr="00D25F88">
        <w:rPr>
          <w:rFonts w:asciiTheme="majorHAnsi" w:hAnsiTheme="majorHAnsi" w:cstheme="majorHAnsi"/>
          <w:color w:val="000000" w:themeColor="text1"/>
          <w:sz w:val="24"/>
          <w:szCs w:val="24"/>
          <w:lang w:val="ro-MD"/>
        </w:rPr>
        <w:t>ей</w:t>
      </w:r>
      <w:r w:rsidR="007A33EF">
        <w:rPr>
          <w:rFonts w:asciiTheme="majorHAnsi" w:hAnsiTheme="majorHAnsi" w:cstheme="majorHAnsi"/>
          <w:color w:val="000000" w:themeColor="text1"/>
          <w:sz w:val="24"/>
          <w:szCs w:val="24"/>
          <w:lang w:val="ru-RU"/>
        </w:rPr>
        <w:t>,</w:t>
      </w:r>
      <w:r w:rsidRPr="00D25F88">
        <w:rPr>
          <w:rFonts w:asciiTheme="majorHAnsi" w:hAnsiTheme="majorHAnsi" w:cstheme="majorHAnsi"/>
          <w:color w:val="000000" w:themeColor="text1"/>
          <w:sz w:val="24"/>
          <w:szCs w:val="24"/>
          <w:lang w:val="ro-MD"/>
        </w:rPr>
        <w:t xml:space="preserve"> аудит не смог подтвердить точную п</w:t>
      </w:r>
      <w:r w:rsidR="00077A62">
        <w:rPr>
          <w:rFonts w:asciiTheme="majorHAnsi" w:hAnsiTheme="majorHAnsi" w:cstheme="majorHAnsi"/>
          <w:color w:val="000000" w:themeColor="text1"/>
          <w:sz w:val="24"/>
          <w:szCs w:val="24"/>
          <w:lang w:val="ru-RU"/>
        </w:rPr>
        <w:t>лощад</w:t>
      </w:r>
      <w:r w:rsidRPr="00D25F88">
        <w:rPr>
          <w:rFonts w:asciiTheme="majorHAnsi" w:hAnsiTheme="majorHAnsi" w:cstheme="majorHAnsi"/>
          <w:color w:val="000000" w:themeColor="text1"/>
          <w:sz w:val="24"/>
          <w:szCs w:val="24"/>
          <w:lang w:val="ro-MD"/>
        </w:rPr>
        <w:t xml:space="preserve">ь, на которой проводились работы, поскольку измерения окрашенной поверхности, </w:t>
      </w:r>
      <w:r w:rsidR="00077A62">
        <w:rPr>
          <w:rFonts w:asciiTheme="majorHAnsi" w:hAnsiTheme="majorHAnsi" w:cstheme="majorHAnsi"/>
          <w:color w:val="000000" w:themeColor="text1"/>
          <w:sz w:val="24"/>
          <w:szCs w:val="24"/>
          <w:lang w:val="ru-RU"/>
        </w:rPr>
        <w:t>провед</w:t>
      </w:r>
      <w:r w:rsidRPr="00D25F88">
        <w:rPr>
          <w:rFonts w:asciiTheme="majorHAnsi" w:hAnsiTheme="majorHAnsi" w:cstheme="majorHAnsi"/>
          <w:color w:val="000000" w:themeColor="text1"/>
          <w:sz w:val="24"/>
          <w:szCs w:val="24"/>
          <w:lang w:val="ro-MD"/>
        </w:rPr>
        <w:t xml:space="preserve">енные совместно с представителями </w:t>
      </w:r>
      <w:r w:rsidR="00E77520">
        <w:rPr>
          <w:rFonts w:asciiTheme="majorHAnsi" w:hAnsiTheme="majorHAnsi" w:cstheme="majorHAnsi"/>
          <w:color w:val="000000" w:themeColor="text1"/>
          <w:sz w:val="24"/>
          <w:szCs w:val="24"/>
          <w:lang w:val="ro-MD"/>
        </w:rPr>
        <w:t>учреждени</w:t>
      </w:r>
      <w:r w:rsidRPr="00D25F88">
        <w:rPr>
          <w:rFonts w:asciiTheme="majorHAnsi" w:hAnsiTheme="majorHAnsi" w:cstheme="majorHAnsi"/>
          <w:color w:val="000000" w:themeColor="text1"/>
          <w:sz w:val="24"/>
          <w:szCs w:val="24"/>
          <w:lang w:val="ro-MD"/>
        </w:rPr>
        <w:t>я, не совпадают с п</w:t>
      </w:r>
      <w:r w:rsidR="00077A62">
        <w:rPr>
          <w:rFonts w:asciiTheme="majorHAnsi" w:hAnsiTheme="majorHAnsi" w:cstheme="majorHAnsi"/>
          <w:color w:val="000000" w:themeColor="text1"/>
          <w:sz w:val="24"/>
          <w:szCs w:val="24"/>
          <w:lang w:val="ru-RU"/>
        </w:rPr>
        <w:t>лощад</w:t>
      </w:r>
      <w:r w:rsidRPr="00D25F88">
        <w:rPr>
          <w:rFonts w:asciiTheme="majorHAnsi" w:hAnsiTheme="majorHAnsi" w:cstheme="majorHAnsi"/>
          <w:color w:val="000000" w:themeColor="text1"/>
          <w:sz w:val="24"/>
          <w:szCs w:val="24"/>
          <w:lang w:val="ro-MD"/>
        </w:rPr>
        <w:t>ью, указанной в акте. Также было выявлено, что на отремонтированных поверхностях зафиксированы трещины, для других видна окрашенная и неокрашенная поверхность</w:t>
      </w:r>
      <w:r w:rsidR="00EF1983" w:rsidRPr="00B13B9A">
        <w:rPr>
          <w:rFonts w:asciiTheme="majorHAnsi" w:hAnsiTheme="majorHAnsi" w:cstheme="majorHAnsi"/>
          <w:sz w:val="24"/>
          <w:szCs w:val="24"/>
          <w:lang w:val="ro-MD"/>
        </w:rPr>
        <w:t xml:space="preserve">. </w:t>
      </w:r>
    </w:p>
    <w:p w14:paraId="55F483D2" w14:textId="2487DE66" w:rsidR="00EF1983" w:rsidRPr="00B13B9A" w:rsidRDefault="00843144" w:rsidP="00EF1983">
      <w:pPr>
        <w:spacing w:after="0" w:line="276" w:lineRule="auto"/>
        <w:jc w:val="both"/>
        <w:rPr>
          <w:rFonts w:asciiTheme="majorHAnsi" w:hAnsiTheme="majorHAnsi" w:cstheme="majorHAnsi"/>
          <w:sz w:val="24"/>
          <w:szCs w:val="24"/>
          <w:lang w:val="ro-MD"/>
        </w:rPr>
      </w:pPr>
      <w:r w:rsidRPr="00843144">
        <w:rPr>
          <w:rFonts w:asciiTheme="majorHAnsi" w:hAnsiTheme="majorHAnsi" w:cstheme="majorHAnsi"/>
          <w:sz w:val="24"/>
          <w:szCs w:val="24"/>
          <w:lang w:val="ro-MD"/>
        </w:rPr>
        <w:t>Расчеты аудитора, связанные с необоснованностью расходов на ремонтные работы</w:t>
      </w:r>
      <w:r w:rsidR="00077A62" w:rsidRPr="00077A62">
        <w:rPr>
          <w:rFonts w:asciiTheme="majorHAnsi" w:hAnsiTheme="majorHAnsi" w:cstheme="majorHAnsi"/>
          <w:sz w:val="24"/>
          <w:szCs w:val="24"/>
          <w:lang w:val="ro-MD"/>
        </w:rPr>
        <w:t>,</w:t>
      </w:r>
      <w:r w:rsidRPr="00843144">
        <w:rPr>
          <w:rFonts w:asciiTheme="majorHAnsi" w:hAnsiTheme="majorHAnsi" w:cstheme="majorHAnsi"/>
          <w:sz w:val="24"/>
          <w:szCs w:val="24"/>
          <w:lang w:val="ro-MD"/>
        </w:rPr>
        <w:t xml:space="preserve"> в размере 43,7 тыс. леев, а также</w:t>
      </w:r>
      <w:r w:rsidR="00077A62" w:rsidRPr="00077A62">
        <w:rPr>
          <w:rFonts w:asciiTheme="majorHAnsi" w:hAnsiTheme="majorHAnsi" w:cstheme="majorHAnsi"/>
          <w:sz w:val="24"/>
          <w:szCs w:val="24"/>
          <w:lang w:val="ro-MD"/>
        </w:rPr>
        <w:t xml:space="preserve"> выплата</w:t>
      </w:r>
      <w:r w:rsidRPr="00843144">
        <w:rPr>
          <w:rFonts w:asciiTheme="majorHAnsi" w:hAnsiTheme="majorHAnsi" w:cstheme="majorHAnsi"/>
          <w:sz w:val="24"/>
          <w:szCs w:val="24"/>
          <w:lang w:val="ro-MD"/>
        </w:rPr>
        <w:t xml:space="preserve"> вознаграждени</w:t>
      </w:r>
      <w:r w:rsidR="00077A62" w:rsidRPr="00077A62">
        <w:rPr>
          <w:rFonts w:asciiTheme="majorHAnsi" w:hAnsiTheme="majorHAnsi" w:cstheme="majorHAnsi"/>
          <w:sz w:val="24"/>
          <w:szCs w:val="24"/>
          <w:lang w:val="ro-MD"/>
        </w:rPr>
        <w:t>я</w:t>
      </w:r>
      <w:r w:rsidRPr="00843144">
        <w:rPr>
          <w:rFonts w:asciiTheme="majorHAnsi" w:hAnsiTheme="majorHAnsi" w:cstheme="majorHAnsi"/>
          <w:sz w:val="24"/>
          <w:szCs w:val="24"/>
          <w:lang w:val="ro-MD"/>
        </w:rPr>
        <w:t xml:space="preserve"> в </w:t>
      </w:r>
      <w:r w:rsidR="00077A62" w:rsidRPr="00077A62">
        <w:rPr>
          <w:rFonts w:asciiTheme="majorHAnsi" w:hAnsiTheme="majorHAnsi" w:cstheme="majorHAnsi"/>
          <w:sz w:val="24"/>
          <w:szCs w:val="24"/>
          <w:lang w:val="ro-MD"/>
        </w:rPr>
        <w:t>сумм</w:t>
      </w:r>
      <w:r w:rsidRPr="00843144">
        <w:rPr>
          <w:rFonts w:asciiTheme="majorHAnsi" w:hAnsiTheme="majorHAnsi" w:cstheme="majorHAnsi"/>
          <w:sz w:val="24"/>
          <w:szCs w:val="24"/>
          <w:lang w:val="ro-MD"/>
        </w:rPr>
        <w:t>е 19,7 тыс. леев</w:t>
      </w:r>
      <w:r w:rsidR="00077A62" w:rsidRPr="00077A62">
        <w:rPr>
          <w:rFonts w:asciiTheme="majorHAnsi" w:hAnsiTheme="majorHAnsi" w:cstheme="majorHAnsi"/>
          <w:sz w:val="24"/>
          <w:szCs w:val="24"/>
          <w:lang w:val="ro-MD"/>
        </w:rPr>
        <w:t xml:space="preserve"> </w:t>
      </w:r>
      <w:r w:rsidR="00077A62" w:rsidRPr="00843144">
        <w:rPr>
          <w:rFonts w:asciiTheme="majorHAnsi" w:hAnsiTheme="majorHAnsi" w:cstheme="majorHAnsi"/>
          <w:sz w:val="24"/>
          <w:szCs w:val="24"/>
          <w:lang w:val="ro-MD"/>
        </w:rPr>
        <w:t>соответствующе</w:t>
      </w:r>
      <w:r w:rsidR="00077A62" w:rsidRPr="00077A62">
        <w:rPr>
          <w:rFonts w:asciiTheme="majorHAnsi" w:hAnsiTheme="majorHAnsi" w:cstheme="majorHAnsi"/>
          <w:sz w:val="24"/>
          <w:szCs w:val="24"/>
          <w:lang w:val="ro-MD"/>
        </w:rPr>
        <w:t>му</w:t>
      </w:r>
      <w:r w:rsidR="00077A62" w:rsidRPr="00843144">
        <w:rPr>
          <w:rFonts w:asciiTheme="majorHAnsi" w:hAnsiTheme="majorHAnsi" w:cstheme="majorHAnsi"/>
          <w:sz w:val="24"/>
          <w:szCs w:val="24"/>
          <w:lang w:val="ro-MD"/>
        </w:rPr>
        <w:t xml:space="preserve"> лиц</w:t>
      </w:r>
      <w:r w:rsidR="00077A62" w:rsidRPr="00077A62">
        <w:rPr>
          <w:rFonts w:asciiTheme="majorHAnsi" w:hAnsiTheme="majorHAnsi" w:cstheme="majorHAnsi"/>
          <w:sz w:val="24"/>
          <w:szCs w:val="24"/>
          <w:lang w:val="ro-MD"/>
        </w:rPr>
        <w:t>у</w:t>
      </w:r>
      <w:r w:rsidRPr="00843144">
        <w:rPr>
          <w:rFonts w:asciiTheme="majorHAnsi" w:hAnsiTheme="majorHAnsi" w:cstheme="majorHAnsi"/>
          <w:sz w:val="24"/>
          <w:szCs w:val="24"/>
          <w:lang w:val="ro-MD"/>
        </w:rPr>
        <w:t xml:space="preserve">, которое не </w:t>
      </w:r>
      <w:r w:rsidR="00077A62" w:rsidRPr="00077A62">
        <w:rPr>
          <w:rFonts w:asciiTheme="majorHAnsi" w:hAnsiTheme="majorHAnsi" w:cstheme="majorHAnsi"/>
          <w:sz w:val="24"/>
          <w:szCs w:val="24"/>
          <w:lang w:val="ro-MD"/>
        </w:rPr>
        <w:t>находилось</w:t>
      </w:r>
      <w:r w:rsidRPr="00843144">
        <w:rPr>
          <w:rFonts w:asciiTheme="majorHAnsi" w:hAnsiTheme="majorHAnsi" w:cstheme="majorHAnsi"/>
          <w:sz w:val="24"/>
          <w:szCs w:val="24"/>
          <w:lang w:val="ro-MD"/>
        </w:rPr>
        <w:t xml:space="preserve"> на рабо</w:t>
      </w:r>
      <w:r w:rsidR="00077A62" w:rsidRPr="00077A62">
        <w:rPr>
          <w:rFonts w:asciiTheme="majorHAnsi" w:hAnsiTheme="majorHAnsi" w:cstheme="majorHAnsi"/>
          <w:sz w:val="24"/>
          <w:szCs w:val="24"/>
          <w:lang w:val="ro-MD"/>
        </w:rPr>
        <w:t>чем месте</w:t>
      </w:r>
      <w:r w:rsidRPr="00843144">
        <w:rPr>
          <w:rFonts w:asciiTheme="majorHAnsi" w:hAnsiTheme="majorHAnsi" w:cstheme="majorHAnsi"/>
          <w:sz w:val="24"/>
          <w:szCs w:val="24"/>
          <w:lang w:val="ro-MD"/>
        </w:rPr>
        <w:t xml:space="preserve"> и не выполняло работы, указывают на </w:t>
      </w:r>
      <w:r w:rsidR="00077A62" w:rsidRPr="00077A62">
        <w:rPr>
          <w:rFonts w:asciiTheme="majorHAnsi" w:hAnsiTheme="majorHAnsi" w:cstheme="majorHAnsi"/>
          <w:sz w:val="24"/>
          <w:szCs w:val="24"/>
          <w:lang w:val="ro-MD"/>
        </w:rPr>
        <w:t xml:space="preserve">неэффективный менеджмент </w:t>
      </w:r>
      <w:r w:rsidRPr="00843144">
        <w:rPr>
          <w:rFonts w:asciiTheme="majorHAnsi" w:hAnsiTheme="majorHAnsi" w:cstheme="majorHAnsi"/>
          <w:sz w:val="24"/>
          <w:szCs w:val="24"/>
          <w:lang w:val="ro-MD"/>
        </w:rPr>
        <w:t xml:space="preserve">в управлении </w:t>
      </w:r>
      <w:r w:rsidR="00EE088D">
        <w:rPr>
          <w:rFonts w:asciiTheme="majorHAnsi" w:hAnsiTheme="majorHAnsi" w:cstheme="majorHAnsi"/>
          <w:sz w:val="24"/>
          <w:szCs w:val="24"/>
          <w:lang w:val="ro-MD"/>
        </w:rPr>
        <w:t>публич</w:t>
      </w:r>
      <w:r w:rsidRPr="00843144">
        <w:rPr>
          <w:rFonts w:asciiTheme="majorHAnsi" w:hAnsiTheme="majorHAnsi" w:cstheme="majorHAnsi"/>
          <w:sz w:val="24"/>
          <w:szCs w:val="24"/>
          <w:lang w:val="ro-MD"/>
        </w:rPr>
        <w:t>ными деньгами</w:t>
      </w:r>
      <w:r w:rsidR="00EF1983" w:rsidRPr="00B13B9A">
        <w:rPr>
          <w:rFonts w:asciiTheme="majorHAnsi" w:hAnsiTheme="majorHAnsi" w:cstheme="majorHAnsi"/>
          <w:sz w:val="24"/>
          <w:szCs w:val="24"/>
          <w:lang w:val="ro-MD"/>
        </w:rPr>
        <w:t xml:space="preserve">. </w:t>
      </w:r>
    </w:p>
    <w:p w14:paraId="2071FB0A" w14:textId="42A6927F" w:rsidR="00E44391" w:rsidRPr="00B13B9A" w:rsidRDefault="00E44391" w:rsidP="001E775F">
      <w:pPr>
        <w:spacing w:after="0" w:line="276" w:lineRule="auto"/>
        <w:jc w:val="both"/>
        <w:rPr>
          <w:rFonts w:asciiTheme="majorHAnsi" w:hAnsiTheme="majorHAnsi" w:cstheme="majorHAnsi"/>
          <w:i/>
          <w:sz w:val="24"/>
          <w:szCs w:val="24"/>
          <w:lang w:val="ro-MD"/>
        </w:rPr>
      </w:pPr>
      <w:r w:rsidRPr="00B13B9A">
        <w:rPr>
          <w:rFonts w:asciiTheme="majorHAnsi" w:hAnsiTheme="majorHAnsi" w:cstheme="majorHAnsi"/>
          <w:i/>
          <w:sz w:val="24"/>
          <w:szCs w:val="24"/>
          <w:lang w:val="ro-MD"/>
        </w:rPr>
        <w:t>*</w:t>
      </w:r>
      <w:r w:rsidR="00AC3FAC">
        <w:rPr>
          <w:rFonts w:asciiTheme="majorHAnsi" w:hAnsiTheme="majorHAnsi" w:cstheme="majorHAnsi"/>
          <w:i/>
          <w:sz w:val="24"/>
          <w:szCs w:val="24"/>
          <w:lang w:val="ro-MD"/>
        </w:rPr>
        <w:t>Справка</w:t>
      </w:r>
      <w:r w:rsidRPr="00B13B9A">
        <w:rPr>
          <w:rFonts w:asciiTheme="majorHAnsi" w:hAnsiTheme="majorHAnsi" w:cstheme="majorHAnsi"/>
          <w:i/>
          <w:sz w:val="24"/>
          <w:szCs w:val="24"/>
          <w:lang w:val="ro-MD"/>
        </w:rPr>
        <w:t xml:space="preserve">: </w:t>
      </w:r>
      <w:r w:rsidR="00843144" w:rsidRPr="00843144">
        <w:rPr>
          <w:rFonts w:asciiTheme="majorHAnsi" w:hAnsiTheme="majorHAnsi" w:cstheme="majorHAnsi"/>
          <w:i/>
          <w:sz w:val="24"/>
          <w:szCs w:val="24"/>
          <w:lang w:val="ro-MD"/>
        </w:rPr>
        <w:t xml:space="preserve">Субъект инициировал процедуру возврата необоснованно выплаченных финансовых средств по оплате труда </w:t>
      </w:r>
      <w:r w:rsidR="00077A62" w:rsidRPr="00077A62">
        <w:rPr>
          <w:rFonts w:asciiTheme="majorHAnsi" w:hAnsiTheme="majorHAnsi" w:cstheme="majorHAnsi"/>
          <w:i/>
          <w:sz w:val="24"/>
          <w:szCs w:val="24"/>
          <w:lang w:val="ro-MD"/>
        </w:rPr>
        <w:t>сотрудницы</w:t>
      </w:r>
      <w:r w:rsidRPr="00B13B9A">
        <w:rPr>
          <w:rFonts w:asciiTheme="majorHAnsi" w:hAnsiTheme="majorHAnsi" w:cstheme="majorHAnsi"/>
          <w:i/>
          <w:sz w:val="24"/>
          <w:szCs w:val="24"/>
          <w:lang w:val="ro-MD"/>
        </w:rPr>
        <w:t>.</w:t>
      </w:r>
    </w:p>
    <w:p w14:paraId="4FB869C0" w14:textId="39AAC4C8" w:rsidR="00EF1983" w:rsidRPr="00B13B9A" w:rsidRDefault="00843144" w:rsidP="00843144">
      <w:pPr>
        <w:pStyle w:val="a7"/>
        <w:numPr>
          <w:ilvl w:val="2"/>
          <w:numId w:val="10"/>
        </w:numPr>
        <w:tabs>
          <w:tab w:val="left" w:pos="0"/>
          <w:tab w:val="left" w:pos="1080"/>
        </w:tabs>
        <w:spacing w:before="240" w:after="0" w:line="276" w:lineRule="auto"/>
        <w:ind w:left="0" w:firstLine="284"/>
        <w:jc w:val="both"/>
        <w:outlineLvl w:val="2"/>
        <w:rPr>
          <w:rFonts w:asciiTheme="majorHAnsi" w:hAnsiTheme="majorHAnsi" w:cstheme="majorHAnsi"/>
          <w:b/>
          <w:sz w:val="24"/>
          <w:szCs w:val="24"/>
          <w:lang w:val="ro-MD"/>
        </w:rPr>
      </w:pPr>
      <w:bookmarkStart w:id="38" w:name="_Toc158317241"/>
      <w:r w:rsidRPr="00843144">
        <w:rPr>
          <w:rFonts w:asciiTheme="majorHAnsi" w:hAnsiTheme="majorHAnsi" w:cstheme="majorHAnsi"/>
          <w:b/>
          <w:sz w:val="24"/>
          <w:szCs w:val="24"/>
          <w:lang w:val="ro-MD"/>
        </w:rPr>
        <w:t>Накопление 6</w:t>
      </w:r>
      <w:r>
        <w:rPr>
          <w:rFonts w:asciiTheme="majorHAnsi" w:hAnsiTheme="majorHAnsi" w:cstheme="majorHAnsi"/>
          <w:b/>
          <w:sz w:val="24"/>
          <w:szCs w:val="24"/>
          <w:lang w:val="ro-MD"/>
        </w:rPr>
        <w:t> </w:t>
      </w:r>
      <w:r w:rsidRPr="00843144">
        <w:rPr>
          <w:rFonts w:asciiTheme="majorHAnsi" w:hAnsiTheme="majorHAnsi" w:cstheme="majorHAnsi"/>
          <w:b/>
          <w:sz w:val="24"/>
          <w:szCs w:val="24"/>
          <w:lang w:val="ro-MD"/>
        </w:rPr>
        <w:t>770 неиспользованных дней ежегодного отпуска, оцениваем</w:t>
      </w:r>
      <w:r w:rsidR="00077A62" w:rsidRPr="00077A62">
        <w:rPr>
          <w:rFonts w:asciiTheme="majorHAnsi" w:hAnsiTheme="majorHAnsi" w:cstheme="majorHAnsi"/>
          <w:b/>
          <w:sz w:val="24"/>
          <w:szCs w:val="24"/>
          <w:lang w:val="ro-MD"/>
        </w:rPr>
        <w:t>ых</w:t>
      </w:r>
      <w:r w:rsidRPr="00843144">
        <w:rPr>
          <w:rFonts w:asciiTheme="majorHAnsi" w:hAnsiTheme="majorHAnsi" w:cstheme="majorHAnsi"/>
          <w:b/>
          <w:sz w:val="24"/>
          <w:szCs w:val="24"/>
          <w:lang w:val="ro-MD"/>
        </w:rPr>
        <w:t xml:space="preserve"> в 4 648,5 тыс. леев, влечет за собой возможные дополнительные расходы и может повлиять на финансовую стабильность учреждения</w:t>
      </w:r>
      <w:r w:rsidR="002F5C19" w:rsidRPr="00B13B9A">
        <w:rPr>
          <w:rFonts w:asciiTheme="majorHAnsi" w:hAnsiTheme="majorHAnsi" w:cstheme="majorHAnsi"/>
          <w:b/>
          <w:sz w:val="24"/>
          <w:szCs w:val="24"/>
          <w:lang w:val="ro-MD"/>
        </w:rPr>
        <w:t>.</w:t>
      </w:r>
      <w:bookmarkEnd w:id="38"/>
    </w:p>
    <w:p w14:paraId="70BDD0A6" w14:textId="74F4F914" w:rsidR="00EF1983" w:rsidRPr="00B13B9A" w:rsidRDefault="00843144" w:rsidP="00EF1983">
      <w:pPr>
        <w:tabs>
          <w:tab w:val="left" w:pos="9072"/>
        </w:tabs>
        <w:spacing w:before="240" w:after="0" w:line="276" w:lineRule="auto"/>
        <w:jc w:val="both"/>
        <w:rPr>
          <w:rFonts w:asciiTheme="majorHAnsi" w:hAnsiTheme="majorHAnsi" w:cstheme="majorHAnsi"/>
          <w:sz w:val="24"/>
          <w:szCs w:val="24"/>
          <w:shd w:val="clear" w:color="auto" w:fill="FFFFFF" w:themeFill="background1"/>
          <w:lang w:val="ro-MD"/>
        </w:rPr>
      </w:pPr>
      <w:r w:rsidRPr="00843144">
        <w:rPr>
          <w:rFonts w:asciiTheme="majorHAnsi" w:eastAsia="Times New Roman" w:hAnsiTheme="majorHAnsi" w:cstheme="majorHAnsi"/>
          <w:color w:val="000000"/>
          <w:sz w:val="24"/>
          <w:szCs w:val="24"/>
          <w:lang w:val="ro-MD"/>
        </w:rPr>
        <w:t xml:space="preserve">Отпуск предоставляется ежегодно в соответствии с </w:t>
      </w:r>
      <w:r w:rsidR="00077A62">
        <w:rPr>
          <w:rFonts w:asciiTheme="majorHAnsi" w:eastAsia="Times New Roman" w:hAnsiTheme="majorHAnsi" w:cstheme="majorHAnsi"/>
          <w:color w:val="000000"/>
          <w:sz w:val="24"/>
          <w:szCs w:val="24"/>
          <w:lang w:val="ru-RU"/>
        </w:rPr>
        <w:t>графиком</w:t>
      </w:r>
      <w:r w:rsidRPr="00843144">
        <w:rPr>
          <w:rFonts w:asciiTheme="majorHAnsi" w:eastAsia="Times New Roman" w:hAnsiTheme="majorHAnsi" w:cstheme="majorHAnsi"/>
          <w:color w:val="000000"/>
          <w:sz w:val="24"/>
          <w:szCs w:val="24"/>
          <w:lang w:val="ro-MD"/>
        </w:rPr>
        <w:t>, и работодатель обязан принимать необходимые меры для того, чтобы работники использовали отпуск</w:t>
      </w:r>
      <w:r w:rsidR="00077A62">
        <w:rPr>
          <w:rFonts w:asciiTheme="majorHAnsi" w:eastAsia="Times New Roman" w:hAnsiTheme="majorHAnsi" w:cstheme="majorHAnsi"/>
          <w:color w:val="000000"/>
          <w:sz w:val="24"/>
          <w:szCs w:val="24"/>
          <w:lang w:val="ru-RU"/>
        </w:rPr>
        <w:t>и</w:t>
      </w:r>
      <w:r w:rsidRPr="00843144">
        <w:rPr>
          <w:rFonts w:asciiTheme="majorHAnsi" w:eastAsia="Times New Roman" w:hAnsiTheme="majorHAnsi" w:cstheme="majorHAnsi"/>
          <w:color w:val="000000"/>
          <w:sz w:val="24"/>
          <w:szCs w:val="24"/>
          <w:lang w:val="ro-MD"/>
        </w:rPr>
        <w:t xml:space="preserve"> каждый календарный год</w:t>
      </w:r>
      <w:r w:rsidR="00077A62" w:rsidRPr="00B13B9A">
        <w:rPr>
          <w:rStyle w:val="a9"/>
          <w:rFonts w:asciiTheme="majorHAnsi" w:eastAsia="Times New Roman" w:hAnsiTheme="majorHAnsi" w:cstheme="majorHAnsi"/>
          <w:color w:val="000000"/>
          <w:sz w:val="24"/>
          <w:szCs w:val="24"/>
          <w:lang w:val="ro-MD"/>
        </w:rPr>
        <w:footnoteReference w:id="55"/>
      </w:r>
      <w:r w:rsidRPr="00843144">
        <w:rPr>
          <w:rFonts w:asciiTheme="majorHAnsi" w:eastAsia="Times New Roman" w:hAnsiTheme="majorHAnsi" w:cstheme="majorHAnsi"/>
          <w:color w:val="000000"/>
          <w:sz w:val="24"/>
          <w:szCs w:val="24"/>
          <w:lang w:val="ro-MD"/>
        </w:rPr>
        <w:t xml:space="preserve">. Таким образом, </w:t>
      </w:r>
      <w:r w:rsidR="00077A62">
        <w:rPr>
          <w:rFonts w:asciiTheme="majorHAnsi" w:eastAsia="Times New Roman" w:hAnsiTheme="majorHAnsi" w:cstheme="majorHAnsi"/>
          <w:color w:val="000000"/>
          <w:sz w:val="24"/>
          <w:szCs w:val="24"/>
          <w:lang w:val="ru-RU"/>
        </w:rPr>
        <w:t>на</w:t>
      </w:r>
      <w:r w:rsidRPr="00843144">
        <w:rPr>
          <w:rFonts w:asciiTheme="majorHAnsi" w:eastAsia="Times New Roman" w:hAnsiTheme="majorHAnsi" w:cstheme="majorHAnsi"/>
          <w:color w:val="000000"/>
          <w:sz w:val="24"/>
          <w:szCs w:val="24"/>
          <w:lang w:val="ro-MD"/>
        </w:rPr>
        <w:t xml:space="preserve"> кон</w:t>
      </w:r>
      <w:r w:rsidR="00077A62">
        <w:rPr>
          <w:rFonts w:asciiTheme="majorHAnsi" w:eastAsia="Times New Roman" w:hAnsiTheme="majorHAnsi" w:cstheme="majorHAnsi"/>
          <w:color w:val="000000"/>
          <w:sz w:val="24"/>
          <w:szCs w:val="24"/>
          <w:lang w:val="ru-RU"/>
        </w:rPr>
        <w:t>е</w:t>
      </w:r>
      <w:r w:rsidRPr="00843144">
        <w:rPr>
          <w:rFonts w:asciiTheme="majorHAnsi" w:eastAsia="Times New Roman" w:hAnsiTheme="majorHAnsi" w:cstheme="majorHAnsi"/>
          <w:color w:val="000000"/>
          <w:sz w:val="24"/>
          <w:szCs w:val="24"/>
          <w:lang w:val="ro-MD"/>
        </w:rPr>
        <w:t xml:space="preserve">ц 2022 года неиспользованные отпуска составили </w:t>
      </w:r>
      <w:r w:rsidR="00077A62" w:rsidRPr="00843144">
        <w:rPr>
          <w:rFonts w:asciiTheme="majorHAnsi" w:eastAsia="Times New Roman" w:hAnsiTheme="majorHAnsi" w:cstheme="majorHAnsi"/>
          <w:color w:val="000000"/>
          <w:sz w:val="24"/>
          <w:szCs w:val="24"/>
          <w:lang w:val="ro-MD"/>
        </w:rPr>
        <w:t xml:space="preserve">в совокупности </w:t>
      </w:r>
      <w:r w:rsidRPr="00843144">
        <w:rPr>
          <w:rFonts w:asciiTheme="majorHAnsi" w:eastAsia="Times New Roman" w:hAnsiTheme="majorHAnsi" w:cstheme="majorHAnsi"/>
          <w:color w:val="000000"/>
          <w:sz w:val="24"/>
          <w:szCs w:val="24"/>
          <w:lang w:val="ro-MD"/>
        </w:rPr>
        <w:t xml:space="preserve">6 770 дней, </w:t>
      </w:r>
      <w:r w:rsidR="00077A62">
        <w:rPr>
          <w:rFonts w:asciiTheme="majorHAnsi" w:eastAsia="Times New Roman" w:hAnsiTheme="majorHAnsi" w:cstheme="majorHAnsi"/>
          <w:color w:val="000000"/>
          <w:sz w:val="24"/>
          <w:szCs w:val="24"/>
          <w:lang w:val="ru-RU"/>
        </w:rPr>
        <w:t>начиная с</w:t>
      </w:r>
      <w:r w:rsidRPr="00843144">
        <w:rPr>
          <w:rFonts w:asciiTheme="majorHAnsi" w:eastAsia="Times New Roman" w:hAnsiTheme="majorHAnsi" w:cstheme="majorHAnsi"/>
          <w:color w:val="000000"/>
          <w:sz w:val="24"/>
          <w:szCs w:val="24"/>
          <w:lang w:val="ro-MD"/>
        </w:rPr>
        <w:t xml:space="preserve"> 2017 год</w:t>
      </w:r>
      <w:r w:rsidR="00077A62">
        <w:rPr>
          <w:rFonts w:asciiTheme="majorHAnsi" w:eastAsia="Times New Roman" w:hAnsiTheme="majorHAnsi" w:cstheme="majorHAnsi"/>
          <w:color w:val="000000"/>
          <w:sz w:val="24"/>
          <w:szCs w:val="24"/>
          <w:lang w:val="ru-RU"/>
        </w:rPr>
        <w:t>а,</w:t>
      </w:r>
      <w:r w:rsidRPr="00843144">
        <w:rPr>
          <w:rFonts w:asciiTheme="majorHAnsi" w:eastAsia="Times New Roman" w:hAnsiTheme="majorHAnsi" w:cstheme="majorHAnsi"/>
          <w:color w:val="000000"/>
          <w:sz w:val="24"/>
          <w:szCs w:val="24"/>
          <w:lang w:val="ro-MD"/>
        </w:rPr>
        <w:t xml:space="preserve"> </w:t>
      </w:r>
      <w:r w:rsidR="00077A62">
        <w:rPr>
          <w:rFonts w:asciiTheme="majorHAnsi" w:eastAsia="Times New Roman" w:hAnsiTheme="majorHAnsi" w:cstheme="majorHAnsi"/>
          <w:color w:val="000000"/>
          <w:sz w:val="24"/>
          <w:szCs w:val="24"/>
          <w:lang w:val="ru-RU"/>
        </w:rPr>
        <w:t xml:space="preserve">и </w:t>
      </w:r>
      <w:r w:rsidRPr="00843144">
        <w:rPr>
          <w:rFonts w:asciiTheme="majorHAnsi" w:eastAsia="Times New Roman" w:hAnsiTheme="majorHAnsi" w:cstheme="majorHAnsi"/>
          <w:color w:val="000000"/>
          <w:sz w:val="24"/>
          <w:szCs w:val="24"/>
          <w:lang w:val="ro-MD"/>
        </w:rPr>
        <w:t>их стоимость оценивается в 4 648,5 тыс. леев, что примерно составляет финансовые средства, используемые на заработн</w:t>
      </w:r>
      <w:r w:rsidR="0051798D">
        <w:rPr>
          <w:rFonts w:asciiTheme="majorHAnsi" w:eastAsia="Times New Roman" w:hAnsiTheme="majorHAnsi" w:cstheme="majorHAnsi"/>
          <w:color w:val="000000"/>
          <w:sz w:val="24"/>
          <w:szCs w:val="24"/>
          <w:lang w:val="ru-RU"/>
        </w:rPr>
        <w:t>ую</w:t>
      </w:r>
      <w:r w:rsidRPr="00843144">
        <w:rPr>
          <w:rFonts w:asciiTheme="majorHAnsi" w:eastAsia="Times New Roman" w:hAnsiTheme="majorHAnsi" w:cstheme="majorHAnsi"/>
          <w:color w:val="000000"/>
          <w:sz w:val="24"/>
          <w:szCs w:val="24"/>
          <w:lang w:val="ro-MD"/>
        </w:rPr>
        <w:t xml:space="preserve"> плат</w:t>
      </w:r>
      <w:r w:rsidR="0051798D">
        <w:rPr>
          <w:rFonts w:asciiTheme="majorHAnsi" w:eastAsia="Times New Roman" w:hAnsiTheme="majorHAnsi" w:cstheme="majorHAnsi"/>
          <w:color w:val="000000"/>
          <w:sz w:val="24"/>
          <w:szCs w:val="24"/>
          <w:lang w:val="ru-RU"/>
        </w:rPr>
        <w:t>у за о</w:t>
      </w:r>
      <w:r w:rsidR="0051798D" w:rsidRPr="00843144">
        <w:rPr>
          <w:rFonts w:asciiTheme="majorHAnsi" w:eastAsia="Times New Roman" w:hAnsiTheme="majorHAnsi" w:cstheme="majorHAnsi"/>
          <w:color w:val="000000"/>
          <w:sz w:val="24"/>
          <w:szCs w:val="24"/>
          <w:lang w:val="ro-MD"/>
        </w:rPr>
        <w:t>дин месяц</w:t>
      </w:r>
      <w:r w:rsidRPr="00843144">
        <w:rPr>
          <w:rFonts w:asciiTheme="majorHAnsi" w:eastAsia="Times New Roman" w:hAnsiTheme="majorHAnsi" w:cstheme="majorHAnsi"/>
          <w:color w:val="000000"/>
          <w:sz w:val="24"/>
          <w:szCs w:val="24"/>
          <w:lang w:val="ro-MD"/>
        </w:rPr>
        <w:t xml:space="preserve">. Согласно нормативным положениям, запрещается не </w:t>
      </w:r>
      <w:r w:rsidR="0051798D" w:rsidRPr="0051798D">
        <w:rPr>
          <w:rFonts w:asciiTheme="majorHAnsi" w:eastAsia="Times New Roman" w:hAnsiTheme="majorHAnsi" w:cstheme="majorHAnsi"/>
          <w:color w:val="000000"/>
          <w:sz w:val="24"/>
          <w:szCs w:val="24"/>
          <w:lang w:val="ro-MD"/>
        </w:rPr>
        <w:t>предоставля</w:t>
      </w:r>
      <w:r w:rsidRPr="00843144">
        <w:rPr>
          <w:rFonts w:asciiTheme="majorHAnsi" w:eastAsia="Times New Roman" w:hAnsiTheme="majorHAnsi" w:cstheme="majorHAnsi"/>
          <w:color w:val="000000"/>
          <w:sz w:val="24"/>
          <w:szCs w:val="24"/>
          <w:lang w:val="ro-MD"/>
        </w:rPr>
        <w:t xml:space="preserve">ть ежегодный отпуск в течение 2 лет подряд, а </w:t>
      </w:r>
      <w:r w:rsidR="0051798D" w:rsidRPr="0051798D">
        <w:rPr>
          <w:rFonts w:asciiTheme="majorHAnsi" w:eastAsia="Times New Roman" w:hAnsiTheme="majorHAnsi" w:cstheme="majorHAnsi"/>
          <w:color w:val="000000"/>
          <w:sz w:val="24"/>
          <w:szCs w:val="24"/>
          <w:lang w:val="ro-MD"/>
        </w:rPr>
        <w:t>непредоставление</w:t>
      </w:r>
      <w:r w:rsidRPr="00843144">
        <w:rPr>
          <w:rFonts w:asciiTheme="majorHAnsi" w:eastAsia="Times New Roman" w:hAnsiTheme="majorHAnsi" w:cstheme="majorHAnsi"/>
          <w:color w:val="000000"/>
          <w:sz w:val="24"/>
          <w:szCs w:val="24"/>
          <w:lang w:val="ro-MD"/>
        </w:rPr>
        <w:t xml:space="preserve"> отпуск</w:t>
      </w:r>
      <w:r w:rsidR="0051798D" w:rsidRPr="0051798D">
        <w:rPr>
          <w:rFonts w:asciiTheme="majorHAnsi" w:eastAsia="Times New Roman" w:hAnsiTheme="majorHAnsi" w:cstheme="majorHAnsi"/>
          <w:color w:val="000000"/>
          <w:sz w:val="24"/>
          <w:szCs w:val="24"/>
          <w:lang w:val="ro-MD"/>
        </w:rPr>
        <w:t>ов</w:t>
      </w:r>
      <w:r w:rsidRPr="00843144">
        <w:rPr>
          <w:rFonts w:asciiTheme="majorHAnsi" w:eastAsia="Times New Roman" w:hAnsiTheme="majorHAnsi" w:cstheme="majorHAnsi"/>
          <w:color w:val="000000"/>
          <w:sz w:val="24"/>
          <w:szCs w:val="24"/>
          <w:lang w:val="ro-MD"/>
        </w:rPr>
        <w:t xml:space="preserve"> сотрудник</w:t>
      </w:r>
      <w:r w:rsidR="0051798D" w:rsidRPr="0051798D">
        <w:rPr>
          <w:rFonts w:asciiTheme="majorHAnsi" w:eastAsia="Times New Roman" w:hAnsiTheme="majorHAnsi" w:cstheme="majorHAnsi"/>
          <w:color w:val="000000"/>
          <w:sz w:val="24"/>
          <w:szCs w:val="24"/>
          <w:lang w:val="ro-MD"/>
        </w:rPr>
        <w:t>ам</w:t>
      </w:r>
      <w:r w:rsidRPr="00843144">
        <w:rPr>
          <w:rFonts w:asciiTheme="majorHAnsi" w:eastAsia="Times New Roman" w:hAnsiTheme="majorHAnsi" w:cstheme="majorHAnsi"/>
          <w:color w:val="000000"/>
          <w:sz w:val="24"/>
          <w:szCs w:val="24"/>
          <w:lang w:val="ro-MD"/>
        </w:rPr>
        <w:t xml:space="preserve"> </w:t>
      </w:r>
      <w:r w:rsidR="00E77520">
        <w:rPr>
          <w:rFonts w:asciiTheme="majorHAnsi" w:eastAsia="Times New Roman" w:hAnsiTheme="majorHAnsi" w:cstheme="majorHAnsi"/>
          <w:color w:val="000000"/>
          <w:sz w:val="24"/>
          <w:szCs w:val="24"/>
          <w:lang w:val="ro-MD"/>
        </w:rPr>
        <w:t>ПМСУ</w:t>
      </w:r>
      <w:r w:rsidRPr="00843144">
        <w:rPr>
          <w:rFonts w:asciiTheme="majorHAnsi" w:eastAsia="Times New Roman" w:hAnsiTheme="majorHAnsi" w:cstheme="majorHAnsi"/>
          <w:color w:val="000000"/>
          <w:sz w:val="24"/>
          <w:szCs w:val="24"/>
          <w:lang w:val="ro-MD"/>
        </w:rPr>
        <w:t xml:space="preserve"> </w:t>
      </w:r>
      <w:r w:rsidR="00070ACE">
        <w:rPr>
          <w:rFonts w:asciiTheme="majorHAnsi" w:eastAsia="Times New Roman" w:hAnsiTheme="majorHAnsi" w:cstheme="majorHAnsi"/>
          <w:color w:val="000000"/>
          <w:sz w:val="24"/>
          <w:szCs w:val="24"/>
          <w:lang w:val="ro-MD"/>
        </w:rPr>
        <w:t>ИФП</w:t>
      </w:r>
      <w:r w:rsidRPr="00843144">
        <w:rPr>
          <w:rFonts w:asciiTheme="majorHAnsi" w:eastAsia="Times New Roman" w:hAnsiTheme="majorHAnsi" w:cstheme="majorHAnsi"/>
          <w:color w:val="000000"/>
          <w:sz w:val="24"/>
          <w:szCs w:val="24"/>
          <w:lang w:val="ro-MD"/>
        </w:rPr>
        <w:t xml:space="preserve"> </w:t>
      </w:r>
      <w:r w:rsidR="00AC00D0">
        <w:rPr>
          <w:rFonts w:asciiTheme="majorHAnsi" w:eastAsia="Times New Roman" w:hAnsiTheme="majorHAnsi" w:cstheme="majorHAnsi"/>
          <w:color w:val="000000"/>
          <w:sz w:val="24"/>
          <w:szCs w:val="24"/>
          <w:lang w:val="ro-MD"/>
        </w:rPr>
        <w:t>„</w:t>
      </w:r>
      <w:r w:rsidR="00AC00D0">
        <w:rPr>
          <w:rFonts w:asciiTheme="majorHAnsi" w:hAnsiTheme="majorHAnsi" w:cs="Calibri Light"/>
          <w:sz w:val="24"/>
          <w:szCs w:val="24"/>
          <w:lang w:val="ru-MD" w:eastAsia="ru-RU"/>
        </w:rPr>
        <w:t>Кирилл Драганюк</w:t>
      </w:r>
      <w:r w:rsidR="00F56EC1">
        <w:rPr>
          <w:rFonts w:asciiTheme="majorHAnsi" w:eastAsia="Times New Roman" w:hAnsiTheme="majorHAnsi" w:cstheme="majorHAnsi"/>
          <w:color w:val="000000"/>
          <w:sz w:val="24"/>
          <w:szCs w:val="24"/>
          <w:lang w:val="ro-MD"/>
        </w:rPr>
        <w:t>”</w:t>
      </w:r>
      <w:r w:rsidRPr="00843144">
        <w:rPr>
          <w:rFonts w:asciiTheme="majorHAnsi" w:eastAsia="Times New Roman" w:hAnsiTheme="majorHAnsi" w:cstheme="majorHAnsi"/>
          <w:color w:val="000000"/>
          <w:sz w:val="24"/>
          <w:szCs w:val="24"/>
          <w:lang w:val="ro-MD"/>
        </w:rPr>
        <w:t xml:space="preserve"> </w:t>
      </w:r>
      <w:r w:rsidR="0051798D" w:rsidRPr="0051798D">
        <w:rPr>
          <w:rFonts w:asciiTheme="majorHAnsi" w:eastAsia="Times New Roman" w:hAnsiTheme="majorHAnsi" w:cstheme="majorHAnsi"/>
          <w:color w:val="000000"/>
          <w:sz w:val="24"/>
          <w:szCs w:val="24"/>
          <w:lang w:val="ro-MD"/>
        </w:rPr>
        <w:t>я</w:t>
      </w:r>
      <w:r w:rsidRPr="00843144">
        <w:rPr>
          <w:rFonts w:asciiTheme="majorHAnsi" w:eastAsia="Times New Roman" w:hAnsiTheme="majorHAnsi" w:cstheme="majorHAnsi"/>
          <w:color w:val="000000"/>
          <w:sz w:val="24"/>
          <w:szCs w:val="24"/>
          <w:lang w:val="ro-MD"/>
        </w:rPr>
        <w:t>вляет</w:t>
      </w:r>
      <w:r w:rsidR="0051798D" w:rsidRPr="0051798D">
        <w:rPr>
          <w:rFonts w:asciiTheme="majorHAnsi" w:eastAsia="Times New Roman" w:hAnsiTheme="majorHAnsi" w:cstheme="majorHAnsi"/>
          <w:color w:val="000000"/>
          <w:sz w:val="24"/>
          <w:szCs w:val="24"/>
          <w:lang w:val="ro-MD"/>
        </w:rPr>
        <w:t>ся</w:t>
      </w:r>
      <w:r w:rsidRPr="00843144">
        <w:rPr>
          <w:rFonts w:asciiTheme="majorHAnsi" w:eastAsia="Times New Roman" w:hAnsiTheme="majorHAnsi" w:cstheme="majorHAnsi"/>
          <w:color w:val="000000"/>
          <w:sz w:val="24"/>
          <w:szCs w:val="24"/>
          <w:lang w:val="ro-MD"/>
        </w:rPr>
        <w:t xml:space="preserve"> </w:t>
      </w:r>
      <w:r w:rsidR="0051798D" w:rsidRPr="0051798D">
        <w:rPr>
          <w:rFonts w:asciiTheme="majorHAnsi" w:eastAsia="Times New Roman" w:hAnsiTheme="majorHAnsi" w:cstheme="majorHAnsi"/>
          <w:color w:val="000000"/>
          <w:sz w:val="24"/>
          <w:szCs w:val="24"/>
          <w:lang w:val="ro-MD"/>
        </w:rPr>
        <w:t>наруш</w:t>
      </w:r>
      <w:r w:rsidRPr="00843144">
        <w:rPr>
          <w:rFonts w:asciiTheme="majorHAnsi" w:eastAsia="Times New Roman" w:hAnsiTheme="majorHAnsi" w:cstheme="majorHAnsi"/>
          <w:color w:val="000000"/>
          <w:sz w:val="24"/>
          <w:szCs w:val="24"/>
          <w:lang w:val="ro-MD"/>
        </w:rPr>
        <w:t>ение</w:t>
      </w:r>
      <w:r w:rsidR="0051798D" w:rsidRPr="0051798D">
        <w:rPr>
          <w:rFonts w:asciiTheme="majorHAnsi" w:eastAsia="Times New Roman" w:hAnsiTheme="majorHAnsi" w:cstheme="majorHAnsi"/>
          <w:color w:val="000000"/>
          <w:sz w:val="24"/>
          <w:szCs w:val="24"/>
          <w:lang w:val="ro-MD"/>
        </w:rPr>
        <w:t>м</w:t>
      </w:r>
      <w:r w:rsidRPr="00843144">
        <w:rPr>
          <w:rFonts w:asciiTheme="majorHAnsi" w:eastAsia="Times New Roman" w:hAnsiTheme="majorHAnsi" w:cstheme="majorHAnsi"/>
          <w:color w:val="000000"/>
          <w:sz w:val="24"/>
          <w:szCs w:val="24"/>
          <w:lang w:val="ro-MD"/>
        </w:rPr>
        <w:t xml:space="preserve"> действующей </w:t>
      </w:r>
      <w:r w:rsidR="0051798D" w:rsidRPr="0051798D">
        <w:rPr>
          <w:rFonts w:asciiTheme="majorHAnsi" w:eastAsia="Times New Roman" w:hAnsiTheme="majorHAnsi" w:cstheme="majorHAnsi"/>
          <w:color w:val="000000"/>
          <w:sz w:val="24"/>
          <w:szCs w:val="24"/>
          <w:lang w:val="ro-MD"/>
        </w:rPr>
        <w:t>законодательн</w:t>
      </w:r>
      <w:r w:rsidRPr="00843144">
        <w:rPr>
          <w:rFonts w:asciiTheme="majorHAnsi" w:eastAsia="Times New Roman" w:hAnsiTheme="majorHAnsi" w:cstheme="majorHAnsi"/>
          <w:color w:val="000000"/>
          <w:sz w:val="24"/>
          <w:szCs w:val="24"/>
          <w:lang w:val="ro-MD"/>
        </w:rPr>
        <w:t xml:space="preserve">ой </w:t>
      </w:r>
      <w:r w:rsidR="0051798D" w:rsidRPr="0051798D">
        <w:rPr>
          <w:rFonts w:asciiTheme="majorHAnsi" w:eastAsia="Times New Roman" w:hAnsiTheme="majorHAnsi" w:cstheme="majorHAnsi"/>
          <w:color w:val="000000"/>
          <w:sz w:val="24"/>
          <w:szCs w:val="24"/>
          <w:lang w:val="ro-MD"/>
        </w:rPr>
        <w:t>баз</w:t>
      </w:r>
      <w:r w:rsidRPr="00843144">
        <w:rPr>
          <w:rFonts w:asciiTheme="majorHAnsi" w:eastAsia="Times New Roman" w:hAnsiTheme="majorHAnsi" w:cstheme="majorHAnsi"/>
          <w:color w:val="000000"/>
          <w:sz w:val="24"/>
          <w:szCs w:val="24"/>
          <w:lang w:val="ro-MD"/>
        </w:rPr>
        <w:t>ы</w:t>
      </w:r>
      <w:r w:rsidR="00EF1983" w:rsidRPr="00B13B9A">
        <w:rPr>
          <w:rFonts w:asciiTheme="majorHAnsi" w:hAnsiTheme="majorHAnsi" w:cstheme="majorHAnsi"/>
          <w:sz w:val="24"/>
          <w:szCs w:val="24"/>
          <w:shd w:val="clear" w:color="auto" w:fill="FFFFFF" w:themeFill="background1"/>
          <w:vertAlign w:val="superscript"/>
          <w:lang w:val="ro-MD"/>
        </w:rPr>
        <w:footnoteReference w:id="56"/>
      </w:r>
      <w:r w:rsidR="00EF1983" w:rsidRPr="00B13B9A">
        <w:rPr>
          <w:rFonts w:asciiTheme="majorHAnsi" w:hAnsiTheme="majorHAnsi" w:cstheme="majorHAnsi"/>
          <w:sz w:val="24"/>
          <w:szCs w:val="24"/>
          <w:shd w:val="clear" w:color="auto" w:fill="FFFFFF" w:themeFill="background1"/>
          <w:lang w:val="ro-MD"/>
        </w:rPr>
        <w:t>.</w:t>
      </w:r>
      <w:r w:rsidR="00EF1983" w:rsidRPr="00B13B9A">
        <w:rPr>
          <w:rFonts w:asciiTheme="majorHAnsi" w:hAnsiTheme="majorHAnsi" w:cstheme="majorHAnsi"/>
          <w:strike/>
          <w:sz w:val="24"/>
          <w:szCs w:val="24"/>
          <w:lang w:val="ro-MD"/>
        </w:rPr>
        <w:t xml:space="preserve"> </w:t>
      </w:r>
    </w:p>
    <w:p w14:paraId="3CFA71B5" w14:textId="2FFE678C" w:rsidR="00EF1983" w:rsidRPr="00B13B9A" w:rsidRDefault="00843144" w:rsidP="00EF1983">
      <w:pPr>
        <w:tabs>
          <w:tab w:val="left" w:pos="9072"/>
        </w:tabs>
        <w:spacing w:before="240" w:after="0" w:line="276" w:lineRule="auto"/>
        <w:jc w:val="both"/>
        <w:rPr>
          <w:rFonts w:asciiTheme="majorHAnsi" w:hAnsiTheme="majorHAnsi" w:cstheme="majorHAnsi"/>
          <w:sz w:val="24"/>
          <w:szCs w:val="24"/>
          <w:lang w:val="ro-MD"/>
        </w:rPr>
      </w:pPr>
      <w:r w:rsidRPr="00843144">
        <w:rPr>
          <w:rFonts w:asciiTheme="majorHAnsi" w:hAnsiTheme="majorHAnsi" w:cstheme="majorHAnsi"/>
          <w:sz w:val="24"/>
          <w:szCs w:val="24"/>
          <w:shd w:val="clear" w:color="auto" w:fill="FFFFFF" w:themeFill="background1"/>
          <w:lang w:val="ro-MD"/>
        </w:rPr>
        <w:t>Одновременно аудит обращает внимание на то , что в соответствии с примен</w:t>
      </w:r>
      <w:r w:rsidR="0051798D">
        <w:rPr>
          <w:rFonts w:asciiTheme="majorHAnsi" w:hAnsiTheme="majorHAnsi" w:cstheme="majorHAnsi"/>
          <w:sz w:val="24"/>
          <w:szCs w:val="24"/>
          <w:shd w:val="clear" w:color="auto" w:fill="FFFFFF" w:themeFill="background1"/>
          <w:lang w:val="ru-RU"/>
        </w:rPr>
        <w:t>яе</w:t>
      </w:r>
      <w:r w:rsidRPr="00843144">
        <w:rPr>
          <w:rFonts w:asciiTheme="majorHAnsi" w:hAnsiTheme="majorHAnsi" w:cstheme="majorHAnsi"/>
          <w:sz w:val="24"/>
          <w:szCs w:val="24"/>
          <w:shd w:val="clear" w:color="auto" w:fill="FFFFFF" w:themeFill="background1"/>
          <w:lang w:val="ro-MD"/>
        </w:rPr>
        <w:t xml:space="preserve">мыми </w:t>
      </w:r>
      <w:r w:rsidR="0051798D">
        <w:rPr>
          <w:rFonts w:asciiTheme="majorHAnsi" w:hAnsiTheme="majorHAnsi" w:cstheme="majorHAnsi"/>
          <w:sz w:val="24"/>
          <w:szCs w:val="24"/>
          <w:shd w:val="clear" w:color="auto" w:fill="FFFFFF" w:themeFill="background1"/>
          <w:lang w:val="ru-RU"/>
        </w:rPr>
        <w:t>норма</w:t>
      </w:r>
      <w:r w:rsidRPr="00843144">
        <w:rPr>
          <w:rFonts w:asciiTheme="majorHAnsi" w:hAnsiTheme="majorHAnsi" w:cstheme="majorHAnsi"/>
          <w:sz w:val="24"/>
          <w:szCs w:val="24"/>
          <w:shd w:val="clear" w:color="auto" w:fill="FFFFFF" w:themeFill="background1"/>
          <w:lang w:val="ro-MD"/>
        </w:rPr>
        <w:t>ми</w:t>
      </w:r>
      <w:r w:rsidR="0051798D" w:rsidRPr="00B13B9A">
        <w:rPr>
          <w:rFonts w:asciiTheme="majorHAnsi" w:hAnsiTheme="majorHAnsi" w:cstheme="majorHAnsi"/>
          <w:bCs/>
          <w:iCs/>
          <w:noProof/>
          <w:sz w:val="24"/>
          <w:szCs w:val="24"/>
          <w:shd w:val="clear" w:color="auto" w:fill="FFFFFF"/>
          <w:vertAlign w:val="superscript"/>
          <w:lang w:val="ro-MD"/>
        </w:rPr>
        <w:footnoteReference w:id="57"/>
      </w:r>
      <w:r w:rsidR="0051798D">
        <w:rPr>
          <w:rFonts w:asciiTheme="majorHAnsi" w:hAnsiTheme="majorHAnsi" w:cstheme="majorHAnsi"/>
          <w:sz w:val="24"/>
          <w:szCs w:val="24"/>
          <w:shd w:val="clear" w:color="auto" w:fill="FFFFFF" w:themeFill="background1"/>
          <w:lang w:val="ru-RU"/>
        </w:rPr>
        <w:t>,</w:t>
      </w:r>
      <w:r w:rsidRPr="00843144">
        <w:rPr>
          <w:rFonts w:asciiTheme="majorHAnsi" w:hAnsiTheme="majorHAnsi" w:cstheme="majorHAnsi"/>
          <w:sz w:val="24"/>
          <w:szCs w:val="24"/>
          <w:shd w:val="clear" w:color="auto" w:fill="FFFFFF" w:themeFill="background1"/>
          <w:lang w:val="ro-MD"/>
        </w:rPr>
        <w:t xml:space="preserve"> любая организация должна составлять резервы для покрытия определенных убытков или расходов, причина которых точна и в отношении которых существует неопределенность в отношении размера или даты их производства, а способ их создания, расчета и учета должен соответствовать предполагаемым рискам и расходам. Таким образом, хотя </w:t>
      </w:r>
      <w:r w:rsidR="0051798D">
        <w:rPr>
          <w:rFonts w:asciiTheme="majorHAnsi" w:hAnsiTheme="majorHAnsi" w:cstheme="majorHAnsi"/>
          <w:sz w:val="24"/>
          <w:szCs w:val="24"/>
          <w:shd w:val="clear" w:color="auto" w:fill="FFFFFF" w:themeFill="background1"/>
          <w:lang w:val="ru-RU"/>
        </w:rPr>
        <w:t>ПМСУ</w:t>
      </w:r>
      <w:r w:rsidRPr="00843144">
        <w:rPr>
          <w:rFonts w:asciiTheme="majorHAnsi" w:hAnsiTheme="majorHAnsi" w:cstheme="majorHAnsi"/>
          <w:sz w:val="24"/>
          <w:szCs w:val="24"/>
          <w:shd w:val="clear" w:color="auto" w:fill="FFFFFF" w:themeFill="background1"/>
          <w:lang w:val="ro-MD"/>
        </w:rPr>
        <w:t xml:space="preserve"> организ</w:t>
      </w:r>
      <w:r w:rsidR="0051798D">
        <w:rPr>
          <w:rFonts w:asciiTheme="majorHAnsi" w:hAnsiTheme="majorHAnsi" w:cstheme="majorHAnsi"/>
          <w:sz w:val="24"/>
          <w:szCs w:val="24"/>
          <w:shd w:val="clear" w:color="auto" w:fill="FFFFFF" w:themeFill="background1"/>
          <w:lang w:val="ru-RU"/>
        </w:rPr>
        <w:t>овыва</w:t>
      </w:r>
      <w:r w:rsidRPr="00843144">
        <w:rPr>
          <w:rFonts w:asciiTheme="majorHAnsi" w:hAnsiTheme="majorHAnsi" w:cstheme="majorHAnsi"/>
          <w:sz w:val="24"/>
          <w:szCs w:val="24"/>
          <w:shd w:val="clear" w:color="auto" w:fill="FFFFFF" w:themeFill="background1"/>
          <w:lang w:val="ro-MD"/>
        </w:rPr>
        <w:t xml:space="preserve">ет и ведет бухгалтерский учет в соответствии с </w:t>
      </w:r>
      <w:r w:rsidR="0051798D">
        <w:rPr>
          <w:rFonts w:asciiTheme="majorHAnsi" w:hAnsiTheme="majorHAnsi" w:cstheme="majorHAnsi"/>
          <w:sz w:val="24"/>
          <w:szCs w:val="24"/>
          <w:shd w:val="clear" w:color="auto" w:fill="FFFFFF" w:themeFill="background1"/>
          <w:lang w:val="ru-RU"/>
        </w:rPr>
        <w:t>НСБУ</w:t>
      </w:r>
      <w:r w:rsidRPr="00843144">
        <w:rPr>
          <w:rFonts w:asciiTheme="majorHAnsi" w:hAnsiTheme="majorHAnsi" w:cstheme="majorHAnsi"/>
          <w:sz w:val="24"/>
          <w:szCs w:val="24"/>
          <w:shd w:val="clear" w:color="auto" w:fill="FFFFFF" w:themeFill="background1"/>
          <w:lang w:val="ro-MD"/>
        </w:rPr>
        <w:t>, он</w:t>
      </w:r>
      <w:r w:rsidR="0051798D">
        <w:rPr>
          <w:rFonts w:asciiTheme="majorHAnsi" w:hAnsiTheme="majorHAnsi" w:cstheme="majorHAnsi"/>
          <w:sz w:val="24"/>
          <w:szCs w:val="24"/>
          <w:shd w:val="clear" w:color="auto" w:fill="FFFFFF" w:themeFill="background1"/>
          <w:lang w:val="ru-RU"/>
        </w:rPr>
        <w:t>о,</w:t>
      </w:r>
      <w:r w:rsidRPr="00843144">
        <w:rPr>
          <w:rFonts w:asciiTheme="majorHAnsi" w:hAnsiTheme="majorHAnsi" w:cstheme="majorHAnsi"/>
          <w:sz w:val="24"/>
          <w:szCs w:val="24"/>
          <w:shd w:val="clear" w:color="auto" w:fill="FFFFFF" w:themeFill="background1"/>
          <w:lang w:val="ro-MD"/>
        </w:rPr>
        <w:t xml:space="preserve"> </w:t>
      </w:r>
      <w:r w:rsidR="0051798D">
        <w:rPr>
          <w:rFonts w:asciiTheme="majorHAnsi" w:hAnsiTheme="majorHAnsi" w:cstheme="majorHAnsi"/>
          <w:sz w:val="24"/>
          <w:szCs w:val="24"/>
          <w:shd w:val="clear" w:color="auto" w:fill="FFFFFF" w:themeFill="background1"/>
          <w:lang w:val="ru-RU"/>
        </w:rPr>
        <w:t>согласно</w:t>
      </w:r>
      <w:r w:rsidRPr="00843144">
        <w:rPr>
          <w:rFonts w:asciiTheme="majorHAnsi" w:hAnsiTheme="majorHAnsi" w:cstheme="majorHAnsi"/>
          <w:sz w:val="24"/>
          <w:szCs w:val="24"/>
          <w:shd w:val="clear" w:color="auto" w:fill="FFFFFF" w:themeFill="background1"/>
          <w:lang w:val="ro-MD"/>
        </w:rPr>
        <w:t xml:space="preserve"> принят</w:t>
      </w:r>
      <w:r w:rsidR="0051798D">
        <w:rPr>
          <w:rFonts w:asciiTheme="majorHAnsi" w:hAnsiTheme="majorHAnsi" w:cstheme="majorHAnsi"/>
          <w:sz w:val="24"/>
          <w:szCs w:val="24"/>
          <w:shd w:val="clear" w:color="auto" w:fill="FFFFFF" w:themeFill="background1"/>
          <w:lang w:val="ru-RU"/>
        </w:rPr>
        <w:t>ым</w:t>
      </w:r>
      <w:r w:rsidRPr="00843144">
        <w:rPr>
          <w:rFonts w:asciiTheme="majorHAnsi" w:hAnsiTheme="majorHAnsi" w:cstheme="majorHAnsi"/>
          <w:sz w:val="24"/>
          <w:szCs w:val="24"/>
          <w:shd w:val="clear" w:color="auto" w:fill="FFFFFF" w:themeFill="background1"/>
          <w:lang w:val="ro-MD"/>
        </w:rPr>
        <w:t xml:space="preserve"> учетн</w:t>
      </w:r>
      <w:r w:rsidR="0051798D">
        <w:rPr>
          <w:rFonts w:asciiTheme="majorHAnsi" w:hAnsiTheme="majorHAnsi" w:cstheme="majorHAnsi"/>
          <w:sz w:val="24"/>
          <w:szCs w:val="24"/>
          <w:shd w:val="clear" w:color="auto" w:fill="FFFFFF" w:themeFill="background1"/>
          <w:lang w:val="ru-RU"/>
        </w:rPr>
        <w:t>ым</w:t>
      </w:r>
      <w:r w:rsidRPr="00843144">
        <w:rPr>
          <w:rFonts w:asciiTheme="majorHAnsi" w:hAnsiTheme="majorHAnsi" w:cstheme="majorHAnsi"/>
          <w:sz w:val="24"/>
          <w:szCs w:val="24"/>
          <w:shd w:val="clear" w:color="auto" w:fill="FFFFFF" w:themeFill="background1"/>
          <w:lang w:val="ro-MD"/>
        </w:rPr>
        <w:t xml:space="preserve"> политик</w:t>
      </w:r>
      <w:r w:rsidR="0051798D">
        <w:rPr>
          <w:rFonts w:asciiTheme="majorHAnsi" w:hAnsiTheme="majorHAnsi" w:cstheme="majorHAnsi"/>
          <w:sz w:val="24"/>
          <w:szCs w:val="24"/>
          <w:shd w:val="clear" w:color="auto" w:fill="FFFFFF" w:themeFill="background1"/>
          <w:lang w:val="ru-RU"/>
        </w:rPr>
        <w:t>ам,</w:t>
      </w:r>
      <w:r w:rsidRPr="00843144">
        <w:rPr>
          <w:rFonts w:asciiTheme="majorHAnsi" w:hAnsiTheme="majorHAnsi" w:cstheme="majorHAnsi"/>
          <w:sz w:val="24"/>
          <w:szCs w:val="24"/>
          <w:shd w:val="clear" w:color="auto" w:fill="FFFFFF" w:themeFill="background1"/>
          <w:lang w:val="ro-MD"/>
        </w:rPr>
        <w:t xml:space="preserve"> не </w:t>
      </w:r>
      <w:r w:rsidR="0051798D">
        <w:rPr>
          <w:rFonts w:asciiTheme="majorHAnsi" w:hAnsiTheme="majorHAnsi" w:cstheme="majorHAnsi"/>
          <w:sz w:val="24"/>
          <w:szCs w:val="24"/>
          <w:shd w:val="clear" w:color="auto" w:fill="FFFFFF" w:themeFill="background1"/>
          <w:lang w:val="ru-RU"/>
        </w:rPr>
        <w:t>у</w:t>
      </w:r>
      <w:r w:rsidRPr="00843144">
        <w:rPr>
          <w:rFonts w:asciiTheme="majorHAnsi" w:hAnsiTheme="majorHAnsi" w:cstheme="majorHAnsi"/>
          <w:sz w:val="24"/>
          <w:szCs w:val="24"/>
          <w:shd w:val="clear" w:color="auto" w:fill="FFFFFF" w:themeFill="background1"/>
          <w:lang w:val="ro-MD"/>
        </w:rPr>
        <w:t>регулир</w:t>
      </w:r>
      <w:r w:rsidR="0051798D">
        <w:rPr>
          <w:rFonts w:asciiTheme="majorHAnsi" w:hAnsiTheme="majorHAnsi" w:cstheme="majorHAnsi"/>
          <w:sz w:val="24"/>
          <w:szCs w:val="24"/>
          <w:shd w:val="clear" w:color="auto" w:fill="FFFFFF" w:themeFill="background1"/>
          <w:lang w:val="ru-RU"/>
        </w:rPr>
        <w:t>овало</w:t>
      </w:r>
      <w:r w:rsidRPr="00843144">
        <w:rPr>
          <w:rFonts w:asciiTheme="majorHAnsi" w:hAnsiTheme="majorHAnsi" w:cstheme="majorHAnsi"/>
          <w:sz w:val="24"/>
          <w:szCs w:val="24"/>
          <w:shd w:val="clear" w:color="auto" w:fill="FFFFFF" w:themeFill="background1"/>
          <w:lang w:val="ro-MD"/>
        </w:rPr>
        <w:t xml:space="preserve"> способ создания резервов, </w:t>
      </w:r>
      <w:r w:rsidR="0051798D">
        <w:rPr>
          <w:rFonts w:asciiTheme="majorHAnsi" w:hAnsiTheme="majorHAnsi" w:cstheme="majorHAnsi"/>
          <w:sz w:val="24"/>
          <w:szCs w:val="24"/>
          <w:shd w:val="clear" w:color="auto" w:fill="FFFFFF" w:themeFill="background1"/>
          <w:lang w:val="ru-RU"/>
        </w:rPr>
        <w:t>в частности</w:t>
      </w:r>
      <w:r w:rsidRPr="00843144">
        <w:rPr>
          <w:rFonts w:asciiTheme="majorHAnsi" w:hAnsiTheme="majorHAnsi" w:cstheme="majorHAnsi"/>
          <w:sz w:val="24"/>
          <w:szCs w:val="24"/>
          <w:shd w:val="clear" w:color="auto" w:fill="FFFFFF" w:themeFill="background1"/>
          <w:lang w:val="ro-MD"/>
        </w:rPr>
        <w:t xml:space="preserve"> для отпусков сотрудников, что не обеспечивает </w:t>
      </w:r>
      <w:r w:rsidR="0051798D">
        <w:rPr>
          <w:rFonts w:asciiTheme="majorHAnsi" w:hAnsiTheme="majorHAnsi" w:cstheme="majorHAnsi"/>
          <w:sz w:val="24"/>
          <w:szCs w:val="24"/>
          <w:shd w:val="clear" w:color="auto" w:fill="FFFFFF" w:themeFill="background1"/>
          <w:lang w:val="ru-RU"/>
        </w:rPr>
        <w:t>прудент</w:t>
      </w:r>
      <w:r w:rsidRPr="00843144">
        <w:rPr>
          <w:rFonts w:asciiTheme="majorHAnsi" w:hAnsiTheme="majorHAnsi" w:cstheme="majorHAnsi"/>
          <w:sz w:val="24"/>
          <w:szCs w:val="24"/>
          <w:shd w:val="clear" w:color="auto" w:fill="FFFFFF" w:themeFill="background1"/>
          <w:lang w:val="ro-MD"/>
        </w:rPr>
        <w:t>но</w:t>
      </w:r>
      <w:r w:rsidR="0051798D">
        <w:rPr>
          <w:rFonts w:asciiTheme="majorHAnsi" w:hAnsiTheme="majorHAnsi" w:cstheme="majorHAnsi"/>
          <w:sz w:val="24"/>
          <w:szCs w:val="24"/>
          <w:shd w:val="clear" w:color="auto" w:fill="FFFFFF" w:themeFill="background1"/>
          <w:lang w:val="ru-RU"/>
        </w:rPr>
        <w:t>е</w:t>
      </w:r>
      <w:r w:rsidRPr="00843144">
        <w:rPr>
          <w:rFonts w:asciiTheme="majorHAnsi" w:hAnsiTheme="majorHAnsi" w:cstheme="majorHAnsi"/>
          <w:sz w:val="24"/>
          <w:szCs w:val="24"/>
          <w:shd w:val="clear" w:color="auto" w:fill="FFFFFF" w:themeFill="background1"/>
          <w:lang w:val="ro-MD"/>
        </w:rPr>
        <w:t xml:space="preserve"> управлени</w:t>
      </w:r>
      <w:r w:rsidR="0051798D">
        <w:rPr>
          <w:rFonts w:asciiTheme="majorHAnsi" w:hAnsiTheme="majorHAnsi" w:cstheme="majorHAnsi"/>
          <w:sz w:val="24"/>
          <w:szCs w:val="24"/>
          <w:shd w:val="clear" w:color="auto" w:fill="FFFFFF" w:themeFill="background1"/>
          <w:lang w:val="ru-RU"/>
        </w:rPr>
        <w:t>е</w:t>
      </w:r>
      <w:r w:rsidRPr="00843144">
        <w:rPr>
          <w:rFonts w:asciiTheme="majorHAnsi" w:hAnsiTheme="majorHAnsi" w:cstheme="majorHAnsi"/>
          <w:sz w:val="24"/>
          <w:szCs w:val="24"/>
          <w:shd w:val="clear" w:color="auto" w:fill="FFFFFF" w:themeFill="background1"/>
          <w:lang w:val="ro-MD"/>
        </w:rPr>
        <w:t xml:space="preserve"> рисками, </w:t>
      </w:r>
      <w:r w:rsidR="0051798D">
        <w:rPr>
          <w:rFonts w:asciiTheme="majorHAnsi" w:hAnsiTheme="majorHAnsi" w:cstheme="majorHAnsi"/>
          <w:sz w:val="24"/>
          <w:szCs w:val="24"/>
          <w:shd w:val="clear" w:color="auto" w:fill="FFFFFF" w:themeFill="background1"/>
          <w:lang w:val="ru-RU"/>
        </w:rPr>
        <w:t>в соотетветсвтвии</w:t>
      </w:r>
      <w:r w:rsidRPr="00843144">
        <w:rPr>
          <w:rFonts w:asciiTheme="majorHAnsi" w:hAnsiTheme="majorHAnsi" w:cstheme="majorHAnsi"/>
          <w:sz w:val="24"/>
          <w:szCs w:val="24"/>
          <w:shd w:val="clear" w:color="auto" w:fill="FFFFFF" w:themeFill="background1"/>
          <w:lang w:val="ro-MD"/>
        </w:rPr>
        <w:t xml:space="preserve"> с возможными сопутствующими </w:t>
      </w:r>
      <w:r w:rsidR="00F93C47">
        <w:rPr>
          <w:rFonts w:asciiTheme="majorHAnsi" w:hAnsiTheme="majorHAnsi" w:cstheme="majorHAnsi"/>
          <w:sz w:val="24"/>
          <w:szCs w:val="24"/>
          <w:shd w:val="clear" w:color="auto" w:fill="FFFFFF" w:themeFill="background1"/>
          <w:lang w:val="ru-RU"/>
        </w:rPr>
        <w:t>затрат</w:t>
      </w:r>
      <w:r w:rsidRPr="00843144">
        <w:rPr>
          <w:rFonts w:asciiTheme="majorHAnsi" w:hAnsiTheme="majorHAnsi" w:cstheme="majorHAnsi"/>
          <w:sz w:val="24"/>
          <w:szCs w:val="24"/>
          <w:shd w:val="clear" w:color="auto" w:fill="FFFFFF" w:themeFill="background1"/>
          <w:lang w:val="ro-MD"/>
        </w:rPr>
        <w:t xml:space="preserve">ами/расходами, учитывая, что они участвуют в формировании </w:t>
      </w:r>
      <w:r w:rsidR="00F93C47">
        <w:rPr>
          <w:rFonts w:asciiTheme="majorHAnsi" w:hAnsiTheme="majorHAnsi" w:cstheme="majorHAnsi"/>
          <w:sz w:val="24"/>
          <w:szCs w:val="24"/>
          <w:shd w:val="clear" w:color="auto" w:fill="FFFFFF" w:themeFill="background1"/>
          <w:lang w:val="ru-RU"/>
        </w:rPr>
        <w:t>цен</w:t>
      </w:r>
      <w:r w:rsidRPr="00843144">
        <w:rPr>
          <w:rFonts w:asciiTheme="majorHAnsi" w:hAnsiTheme="majorHAnsi" w:cstheme="majorHAnsi"/>
          <w:sz w:val="24"/>
          <w:szCs w:val="24"/>
          <w:shd w:val="clear" w:color="auto" w:fill="FFFFFF" w:themeFill="background1"/>
          <w:lang w:val="ro-MD"/>
        </w:rPr>
        <w:t xml:space="preserve"> на оказанные услуги и влекут за собой возможные дополнительные расходы, </w:t>
      </w:r>
      <w:r w:rsidR="00F93C47">
        <w:rPr>
          <w:rFonts w:asciiTheme="majorHAnsi" w:hAnsiTheme="majorHAnsi" w:cstheme="majorHAnsi"/>
          <w:sz w:val="24"/>
          <w:szCs w:val="24"/>
          <w:shd w:val="clear" w:color="auto" w:fill="FFFFFF" w:themeFill="background1"/>
          <w:lang w:val="ru-RU"/>
        </w:rPr>
        <w:t>с вероятным воздействием</w:t>
      </w:r>
      <w:r w:rsidRPr="00843144">
        <w:rPr>
          <w:rFonts w:asciiTheme="majorHAnsi" w:hAnsiTheme="majorHAnsi" w:cstheme="majorHAnsi"/>
          <w:sz w:val="24"/>
          <w:szCs w:val="24"/>
          <w:shd w:val="clear" w:color="auto" w:fill="FFFFFF" w:themeFill="background1"/>
          <w:lang w:val="ro-MD"/>
        </w:rPr>
        <w:t xml:space="preserve"> на непрерывность деятельности </w:t>
      </w:r>
      <w:r w:rsidR="00E77520">
        <w:rPr>
          <w:rFonts w:asciiTheme="majorHAnsi" w:hAnsiTheme="majorHAnsi" w:cstheme="majorHAnsi"/>
          <w:sz w:val="24"/>
          <w:szCs w:val="24"/>
          <w:shd w:val="clear" w:color="auto" w:fill="FFFFFF" w:themeFill="background1"/>
          <w:lang w:val="ro-MD"/>
        </w:rPr>
        <w:t>учреждени</w:t>
      </w:r>
      <w:r w:rsidRPr="00843144">
        <w:rPr>
          <w:rFonts w:asciiTheme="majorHAnsi" w:hAnsiTheme="majorHAnsi" w:cstheme="majorHAnsi"/>
          <w:sz w:val="24"/>
          <w:szCs w:val="24"/>
          <w:shd w:val="clear" w:color="auto" w:fill="FFFFFF" w:themeFill="background1"/>
          <w:lang w:val="ro-MD"/>
        </w:rPr>
        <w:t xml:space="preserve">я. В этом контексте </w:t>
      </w:r>
      <w:r w:rsidR="00F93C47">
        <w:rPr>
          <w:rFonts w:asciiTheme="majorHAnsi" w:hAnsiTheme="majorHAnsi" w:cstheme="majorHAnsi"/>
          <w:sz w:val="24"/>
          <w:szCs w:val="24"/>
          <w:shd w:val="clear" w:color="auto" w:fill="FFFFFF" w:themeFill="background1"/>
          <w:lang w:val="ru-RU"/>
        </w:rPr>
        <w:t>субъект</w:t>
      </w:r>
      <w:r w:rsidRPr="00843144">
        <w:rPr>
          <w:rFonts w:asciiTheme="majorHAnsi" w:hAnsiTheme="majorHAnsi" w:cstheme="majorHAnsi"/>
          <w:sz w:val="24"/>
          <w:szCs w:val="24"/>
          <w:shd w:val="clear" w:color="auto" w:fill="FFFFFF" w:themeFill="background1"/>
          <w:lang w:val="ro-MD"/>
        </w:rPr>
        <w:t xml:space="preserve"> мотивировал </w:t>
      </w:r>
      <w:r w:rsidR="00F93C47">
        <w:rPr>
          <w:rFonts w:asciiTheme="majorHAnsi" w:hAnsiTheme="majorHAnsi" w:cstheme="majorHAnsi"/>
          <w:sz w:val="24"/>
          <w:szCs w:val="24"/>
          <w:shd w:val="clear" w:color="auto" w:fill="FFFFFF" w:themeFill="background1"/>
          <w:lang w:val="ru-RU"/>
        </w:rPr>
        <w:t>не</w:t>
      </w:r>
      <w:r w:rsidRPr="00843144">
        <w:rPr>
          <w:rFonts w:asciiTheme="majorHAnsi" w:hAnsiTheme="majorHAnsi" w:cstheme="majorHAnsi"/>
          <w:sz w:val="24"/>
          <w:szCs w:val="24"/>
          <w:shd w:val="clear" w:color="auto" w:fill="FFFFFF" w:themeFill="background1"/>
          <w:lang w:val="ro-MD"/>
        </w:rPr>
        <w:t>формировани</w:t>
      </w:r>
      <w:r w:rsidR="00F93C47">
        <w:rPr>
          <w:rFonts w:asciiTheme="majorHAnsi" w:hAnsiTheme="majorHAnsi" w:cstheme="majorHAnsi"/>
          <w:sz w:val="24"/>
          <w:szCs w:val="24"/>
          <w:shd w:val="clear" w:color="auto" w:fill="FFFFFF" w:themeFill="background1"/>
          <w:lang w:val="ru-RU"/>
        </w:rPr>
        <w:t>е</w:t>
      </w:r>
      <w:r w:rsidRPr="00843144">
        <w:rPr>
          <w:rFonts w:asciiTheme="majorHAnsi" w:hAnsiTheme="majorHAnsi" w:cstheme="majorHAnsi"/>
          <w:sz w:val="24"/>
          <w:szCs w:val="24"/>
          <w:shd w:val="clear" w:color="auto" w:fill="FFFFFF" w:themeFill="background1"/>
          <w:lang w:val="ro-MD"/>
        </w:rPr>
        <w:t xml:space="preserve"> резервов тем, что </w:t>
      </w:r>
      <w:r w:rsidR="00F93C47">
        <w:rPr>
          <w:rFonts w:asciiTheme="majorHAnsi" w:hAnsiTheme="majorHAnsi" w:cstheme="majorHAnsi"/>
          <w:sz w:val="24"/>
          <w:szCs w:val="24"/>
          <w:shd w:val="clear" w:color="auto" w:fill="FFFFFF" w:themeFill="background1"/>
          <w:lang w:val="ru-RU"/>
        </w:rPr>
        <w:t>не располагает</w:t>
      </w:r>
      <w:r w:rsidRPr="00843144">
        <w:rPr>
          <w:rFonts w:asciiTheme="majorHAnsi" w:hAnsiTheme="majorHAnsi" w:cstheme="majorHAnsi"/>
          <w:sz w:val="24"/>
          <w:szCs w:val="24"/>
          <w:shd w:val="clear" w:color="auto" w:fill="FFFFFF" w:themeFill="background1"/>
          <w:lang w:val="ro-MD"/>
        </w:rPr>
        <w:t xml:space="preserve"> финансовы</w:t>
      </w:r>
      <w:r w:rsidR="00F93C47">
        <w:rPr>
          <w:rFonts w:asciiTheme="majorHAnsi" w:hAnsiTheme="majorHAnsi" w:cstheme="majorHAnsi"/>
          <w:sz w:val="24"/>
          <w:szCs w:val="24"/>
          <w:shd w:val="clear" w:color="auto" w:fill="FFFFFF" w:themeFill="background1"/>
          <w:lang w:val="ru-RU"/>
        </w:rPr>
        <w:t>ми</w:t>
      </w:r>
      <w:r w:rsidRPr="00843144">
        <w:rPr>
          <w:rFonts w:asciiTheme="majorHAnsi" w:hAnsiTheme="majorHAnsi" w:cstheme="majorHAnsi"/>
          <w:sz w:val="24"/>
          <w:szCs w:val="24"/>
          <w:shd w:val="clear" w:color="auto" w:fill="FFFFFF" w:themeFill="background1"/>
          <w:lang w:val="ro-MD"/>
        </w:rPr>
        <w:t xml:space="preserve"> средств</w:t>
      </w:r>
      <w:r w:rsidR="00F93C47">
        <w:rPr>
          <w:rFonts w:asciiTheme="majorHAnsi" w:hAnsiTheme="majorHAnsi" w:cstheme="majorHAnsi"/>
          <w:sz w:val="24"/>
          <w:szCs w:val="24"/>
          <w:shd w:val="clear" w:color="auto" w:fill="FFFFFF" w:themeFill="background1"/>
          <w:lang w:val="ru-RU"/>
        </w:rPr>
        <w:t>ами</w:t>
      </w:r>
      <w:r w:rsidRPr="00843144">
        <w:rPr>
          <w:rFonts w:asciiTheme="majorHAnsi" w:hAnsiTheme="majorHAnsi" w:cstheme="majorHAnsi"/>
          <w:sz w:val="24"/>
          <w:szCs w:val="24"/>
          <w:shd w:val="clear" w:color="auto" w:fill="FFFFFF" w:themeFill="background1"/>
          <w:lang w:val="ro-MD"/>
        </w:rPr>
        <w:t xml:space="preserve"> для их </w:t>
      </w:r>
      <w:r w:rsidR="00F93C47">
        <w:rPr>
          <w:rFonts w:asciiTheme="majorHAnsi" w:hAnsiTheme="majorHAnsi" w:cstheme="majorHAnsi"/>
          <w:sz w:val="24"/>
          <w:szCs w:val="24"/>
          <w:shd w:val="clear" w:color="auto" w:fill="FFFFFF" w:themeFill="background1"/>
          <w:lang w:val="ru-RU"/>
        </w:rPr>
        <w:t>формиров</w:t>
      </w:r>
      <w:r w:rsidRPr="00843144">
        <w:rPr>
          <w:rFonts w:asciiTheme="majorHAnsi" w:hAnsiTheme="majorHAnsi" w:cstheme="majorHAnsi"/>
          <w:sz w:val="24"/>
          <w:szCs w:val="24"/>
          <w:shd w:val="clear" w:color="auto" w:fill="FFFFFF" w:themeFill="background1"/>
          <w:lang w:val="ro-MD"/>
        </w:rPr>
        <w:t>ания</w:t>
      </w:r>
      <w:r w:rsidR="00EF1983" w:rsidRPr="00B13B9A">
        <w:rPr>
          <w:rFonts w:asciiTheme="majorHAnsi" w:hAnsiTheme="majorHAnsi" w:cstheme="majorHAnsi"/>
          <w:bCs/>
          <w:iCs/>
          <w:noProof/>
          <w:sz w:val="24"/>
          <w:szCs w:val="24"/>
          <w:shd w:val="clear" w:color="auto" w:fill="FFFFFF"/>
          <w:lang w:val="ro-MD"/>
        </w:rPr>
        <w:t xml:space="preserve">. </w:t>
      </w:r>
    </w:p>
    <w:p w14:paraId="6EE8FAE7" w14:textId="77777777" w:rsidR="00B37661" w:rsidRPr="00B13B9A" w:rsidRDefault="00B37661" w:rsidP="00B37661">
      <w:pPr>
        <w:spacing w:after="0" w:line="276" w:lineRule="auto"/>
        <w:jc w:val="both"/>
        <w:rPr>
          <w:rFonts w:asciiTheme="majorHAnsi" w:hAnsiTheme="majorHAnsi" w:cstheme="majorHAnsi"/>
          <w:sz w:val="24"/>
          <w:szCs w:val="24"/>
          <w:lang w:val="ro-MD"/>
        </w:rPr>
      </w:pPr>
    </w:p>
    <w:p w14:paraId="7AEE5B10" w14:textId="5C4BD6F3" w:rsidR="00B37661" w:rsidRPr="00B13B9A" w:rsidRDefault="00843144" w:rsidP="00843144">
      <w:pPr>
        <w:pStyle w:val="a7"/>
        <w:numPr>
          <w:ilvl w:val="2"/>
          <w:numId w:val="10"/>
        </w:numPr>
        <w:tabs>
          <w:tab w:val="left" w:pos="1080"/>
        </w:tabs>
        <w:ind w:left="0" w:firstLine="284"/>
        <w:jc w:val="both"/>
        <w:outlineLvl w:val="2"/>
        <w:rPr>
          <w:rFonts w:asciiTheme="majorHAnsi" w:hAnsiTheme="majorHAnsi" w:cstheme="majorHAnsi"/>
          <w:b/>
          <w:color w:val="000000" w:themeColor="text1"/>
          <w:sz w:val="24"/>
          <w:szCs w:val="24"/>
          <w:lang w:val="ro-MD"/>
        </w:rPr>
      </w:pPr>
      <w:bookmarkStart w:id="39" w:name="_Toc158317242"/>
      <w:r w:rsidRPr="00843144">
        <w:rPr>
          <w:rFonts w:asciiTheme="majorHAnsi" w:hAnsiTheme="majorHAnsi" w:cstheme="majorHAnsi"/>
          <w:b/>
          <w:color w:val="000000" w:themeColor="text1"/>
          <w:sz w:val="24"/>
          <w:szCs w:val="24"/>
          <w:lang w:val="ro-MD"/>
        </w:rPr>
        <w:t xml:space="preserve">Ненадлежащая оценка реальных потребностей привела к проведению </w:t>
      </w:r>
      <w:r w:rsidR="00F93C47">
        <w:rPr>
          <w:rFonts w:asciiTheme="majorHAnsi" w:hAnsiTheme="majorHAnsi" w:cstheme="majorHAnsi"/>
          <w:b/>
          <w:color w:val="000000" w:themeColor="text1"/>
          <w:sz w:val="24"/>
          <w:szCs w:val="24"/>
          <w:lang w:val="ru-RU"/>
        </w:rPr>
        <w:t>за</w:t>
      </w:r>
      <w:r w:rsidRPr="00843144">
        <w:rPr>
          <w:rFonts w:asciiTheme="majorHAnsi" w:hAnsiTheme="majorHAnsi" w:cstheme="majorHAnsi"/>
          <w:b/>
          <w:color w:val="000000" w:themeColor="text1"/>
          <w:sz w:val="24"/>
          <w:szCs w:val="24"/>
          <w:lang w:val="ro-MD"/>
        </w:rPr>
        <w:t>купок вне плана закупок</w:t>
      </w:r>
      <w:r w:rsidR="00F93C47">
        <w:rPr>
          <w:rFonts w:asciiTheme="majorHAnsi" w:hAnsiTheme="majorHAnsi" w:cstheme="majorHAnsi"/>
          <w:b/>
          <w:color w:val="000000" w:themeColor="text1"/>
          <w:sz w:val="24"/>
          <w:szCs w:val="24"/>
          <w:lang w:val="ru-RU"/>
        </w:rPr>
        <w:t>,</w:t>
      </w:r>
      <w:r w:rsidRPr="00843144">
        <w:rPr>
          <w:rFonts w:asciiTheme="majorHAnsi" w:hAnsiTheme="majorHAnsi" w:cstheme="majorHAnsi"/>
          <w:b/>
          <w:color w:val="000000" w:themeColor="text1"/>
          <w:sz w:val="24"/>
          <w:szCs w:val="24"/>
          <w:lang w:val="ro-MD"/>
        </w:rPr>
        <w:t xml:space="preserve"> на сумму 247,9 тыс. леев</w:t>
      </w:r>
      <w:r w:rsidR="00383C42" w:rsidRPr="00B13B9A">
        <w:rPr>
          <w:rFonts w:asciiTheme="majorHAnsi" w:hAnsiTheme="majorHAnsi" w:cstheme="majorHAnsi"/>
          <w:b/>
          <w:color w:val="000000" w:themeColor="text1"/>
          <w:sz w:val="24"/>
          <w:szCs w:val="24"/>
          <w:lang w:val="ro-MD"/>
        </w:rPr>
        <w:t>.</w:t>
      </w:r>
      <w:bookmarkEnd w:id="39"/>
    </w:p>
    <w:p w14:paraId="25286B6D" w14:textId="77777777" w:rsidR="00B37661" w:rsidRPr="00B13B9A" w:rsidRDefault="00B37661" w:rsidP="00B37661">
      <w:pPr>
        <w:pStyle w:val="a7"/>
        <w:spacing w:after="0" w:line="276" w:lineRule="auto"/>
        <w:ind w:left="12"/>
        <w:jc w:val="both"/>
        <w:rPr>
          <w:rFonts w:asciiTheme="majorHAnsi" w:hAnsiTheme="majorHAnsi" w:cstheme="majorHAnsi"/>
          <w:sz w:val="24"/>
          <w:szCs w:val="24"/>
          <w:lang w:val="ro-MD"/>
        </w:rPr>
      </w:pPr>
    </w:p>
    <w:p w14:paraId="1AADFCC2" w14:textId="2E93C80B" w:rsidR="00B37661" w:rsidRPr="00B13B9A" w:rsidRDefault="00843144" w:rsidP="000B206B">
      <w:pPr>
        <w:spacing w:after="0" w:line="276" w:lineRule="auto"/>
        <w:jc w:val="both"/>
        <w:rPr>
          <w:rFonts w:asciiTheme="majorHAnsi" w:hAnsiTheme="majorHAnsi" w:cstheme="majorHAnsi"/>
          <w:bCs/>
          <w:sz w:val="24"/>
          <w:szCs w:val="24"/>
          <w:lang w:val="ro-MD"/>
        </w:rPr>
      </w:pPr>
      <w:r w:rsidRPr="00843144">
        <w:rPr>
          <w:rFonts w:asciiTheme="majorHAnsi" w:hAnsiTheme="majorHAnsi" w:cstheme="majorHAnsi"/>
          <w:sz w:val="24"/>
          <w:szCs w:val="24"/>
          <w:lang w:val="ro-MD"/>
        </w:rPr>
        <w:t>Для обеспечения непрерывности предоставления достаточных и качественных медицинских услуг</w:t>
      </w:r>
      <w:r w:rsidR="00F93C47">
        <w:rPr>
          <w:rFonts w:asciiTheme="majorHAnsi" w:hAnsiTheme="majorHAnsi" w:cstheme="majorHAnsi"/>
          <w:sz w:val="24"/>
          <w:szCs w:val="24"/>
          <w:lang w:val="ru-RU"/>
        </w:rPr>
        <w:t>,</w:t>
      </w:r>
      <w:r w:rsidRPr="00843144">
        <w:rPr>
          <w:rFonts w:asciiTheme="majorHAnsi" w:hAnsiTheme="majorHAnsi" w:cstheme="majorHAnsi"/>
          <w:sz w:val="24"/>
          <w:szCs w:val="24"/>
          <w:lang w:val="ro-MD"/>
        </w:rPr>
        <w:t xml:space="preserve"> медицинские учреждения приобретают товары, работы и услуги. За ауди</w:t>
      </w:r>
      <w:r w:rsidR="00F93C47">
        <w:rPr>
          <w:rFonts w:asciiTheme="majorHAnsi" w:hAnsiTheme="majorHAnsi" w:cstheme="majorHAnsi"/>
          <w:sz w:val="24"/>
          <w:szCs w:val="24"/>
          <w:lang w:val="ru-RU"/>
        </w:rPr>
        <w:t>руемый период</w:t>
      </w:r>
      <w:r w:rsidRPr="00843144">
        <w:rPr>
          <w:rFonts w:asciiTheme="majorHAnsi" w:hAnsiTheme="majorHAnsi" w:cstheme="majorHAnsi"/>
          <w:sz w:val="24"/>
          <w:szCs w:val="24"/>
          <w:lang w:val="ro-MD"/>
        </w:rPr>
        <w:t xml:space="preserve"> 2021-2023 гг. (6 месяцев) были заключены договоры о государственных закупках на сумму 48 886,3 тыс. леев. Планирование </w:t>
      </w:r>
      <w:r w:rsidR="00F93C47">
        <w:rPr>
          <w:rFonts w:asciiTheme="majorHAnsi" w:hAnsiTheme="majorHAnsi" w:cstheme="majorHAnsi"/>
          <w:sz w:val="24"/>
          <w:szCs w:val="24"/>
          <w:lang w:val="ro-MD"/>
        </w:rPr>
        <w:t>договор</w:t>
      </w:r>
      <w:r w:rsidRPr="00843144">
        <w:rPr>
          <w:rFonts w:asciiTheme="majorHAnsi" w:hAnsiTheme="majorHAnsi" w:cstheme="majorHAnsi"/>
          <w:sz w:val="24"/>
          <w:szCs w:val="24"/>
          <w:lang w:val="ro-MD"/>
        </w:rPr>
        <w:t xml:space="preserve">ов </w:t>
      </w:r>
      <w:r w:rsidR="00F93C47">
        <w:rPr>
          <w:rFonts w:asciiTheme="majorHAnsi" w:hAnsiTheme="majorHAnsi" w:cstheme="majorHAnsi"/>
          <w:sz w:val="24"/>
          <w:szCs w:val="24"/>
          <w:lang w:val="ru-RU"/>
        </w:rPr>
        <w:t>государственных</w:t>
      </w:r>
      <w:r w:rsidRPr="00843144">
        <w:rPr>
          <w:rFonts w:asciiTheme="majorHAnsi" w:hAnsiTheme="majorHAnsi" w:cstheme="majorHAnsi"/>
          <w:sz w:val="24"/>
          <w:szCs w:val="24"/>
          <w:lang w:val="ro-MD"/>
        </w:rPr>
        <w:t xml:space="preserve"> закуп</w:t>
      </w:r>
      <w:r w:rsidR="00F93C47">
        <w:rPr>
          <w:rFonts w:asciiTheme="majorHAnsi" w:hAnsiTheme="majorHAnsi" w:cstheme="majorHAnsi"/>
          <w:sz w:val="24"/>
          <w:szCs w:val="24"/>
          <w:lang w:val="ru-RU"/>
        </w:rPr>
        <w:t>о</w:t>
      </w:r>
      <w:r w:rsidRPr="00843144">
        <w:rPr>
          <w:rFonts w:asciiTheme="majorHAnsi" w:hAnsiTheme="majorHAnsi" w:cstheme="majorHAnsi"/>
          <w:sz w:val="24"/>
          <w:szCs w:val="24"/>
          <w:lang w:val="ro-MD"/>
        </w:rPr>
        <w:t>к является важн</w:t>
      </w:r>
      <w:r w:rsidR="00F93C47">
        <w:rPr>
          <w:rFonts w:asciiTheme="majorHAnsi" w:hAnsiTheme="majorHAnsi" w:cstheme="majorHAnsi"/>
          <w:sz w:val="24"/>
          <w:szCs w:val="24"/>
          <w:lang w:val="ru-RU"/>
        </w:rPr>
        <w:t>ым этапом</w:t>
      </w:r>
      <w:r w:rsidRPr="00843144">
        <w:rPr>
          <w:rFonts w:asciiTheme="majorHAnsi" w:hAnsiTheme="majorHAnsi" w:cstheme="majorHAnsi"/>
          <w:sz w:val="24"/>
          <w:szCs w:val="24"/>
          <w:lang w:val="ro-MD"/>
        </w:rPr>
        <w:t xml:space="preserve">, </w:t>
      </w:r>
      <w:r w:rsidR="00F93C47">
        <w:rPr>
          <w:rFonts w:asciiTheme="majorHAnsi" w:hAnsiTheme="majorHAnsi" w:cstheme="majorHAnsi"/>
          <w:sz w:val="24"/>
          <w:szCs w:val="24"/>
          <w:lang w:val="ru-RU"/>
        </w:rPr>
        <w:t>в корреляции</w:t>
      </w:r>
      <w:r w:rsidRPr="00843144">
        <w:rPr>
          <w:rFonts w:asciiTheme="majorHAnsi" w:hAnsiTheme="majorHAnsi" w:cstheme="majorHAnsi"/>
          <w:sz w:val="24"/>
          <w:szCs w:val="24"/>
          <w:lang w:val="ro-MD"/>
        </w:rPr>
        <w:t xml:space="preserve"> с потребностями в товарах, работах и услугах, необходимых для обеспечения непрерывности деятельности, и </w:t>
      </w:r>
      <w:r w:rsidR="00F93C47">
        <w:rPr>
          <w:rFonts w:asciiTheme="majorHAnsi" w:hAnsiTheme="majorHAnsi" w:cstheme="majorHAnsi"/>
          <w:sz w:val="24"/>
          <w:szCs w:val="24"/>
          <w:lang w:val="ru-RU"/>
        </w:rPr>
        <w:t xml:space="preserve">с </w:t>
      </w:r>
      <w:r w:rsidR="00EE088D">
        <w:rPr>
          <w:rFonts w:asciiTheme="majorHAnsi" w:hAnsiTheme="majorHAnsi" w:cstheme="majorHAnsi"/>
          <w:sz w:val="24"/>
          <w:szCs w:val="24"/>
          <w:lang w:val="ro-MD"/>
        </w:rPr>
        <w:t>публич</w:t>
      </w:r>
      <w:r w:rsidRPr="00843144">
        <w:rPr>
          <w:rFonts w:asciiTheme="majorHAnsi" w:hAnsiTheme="majorHAnsi" w:cstheme="majorHAnsi"/>
          <w:sz w:val="24"/>
          <w:szCs w:val="24"/>
          <w:lang w:val="ro-MD"/>
        </w:rPr>
        <w:t xml:space="preserve">ными финансовыми средствами, предназначенными для этого. Так, в начале каждого </w:t>
      </w:r>
      <w:r w:rsidR="00E43E66">
        <w:rPr>
          <w:rFonts w:asciiTheme="majorHAnsi" w:hAnsiTheme="majorHAnsi" w:cstheme="majorHAnsi"/>
          <w:sz w:val="24"/>
          <w:szCs w:val="24"/>
          <w:lang w:val="ru-RU"/>
        </w:rPr>
        <w:t xml:space="preserve">отчетного </w:t>
      </w:r>
      <w:r w:rsidRPr="00843144">
        <w:rPr>
          <w:rFonts w:asciiTheme="majorHAnsi" w:hAnsiTheme="majorHAnsi" w:cstheme="majorHAnsi"/>
          <w:sz w:val="24"/>
          <w:szCs w:val="24"/>
          <w:lang w:val="ro-MD"/>
        </w:rPr>
        <w:t xml:space="preserve">года </w:t>
      </w:r>
      <w:r w:rsidR="00E43E66">
        <w:rPr>
          <w:rFonts w:asciiTheme="majorHAnsi" w:hAnsiTheme="majorHAnsi" w:cstheme="majorHAnsi"/>
          <w:sz w:val="24"/>
          <w:szCs w:val="24"/>
          <w:lang w:val="ru-RU"/>
        </w:rPr>
        <w:t>субъект утверждал</w:t>
      </w:r>
      <w:r w:rsidRPr="00843144">
        <w:rPr>
          <w:rFonts w:asciiTheme="majorHAnsi" w:hAnsiTheme="majorHAnsi" w:cstheme="majorHAnsi"/>
          <w:sz w:val="24"/>
          <w:szCs w:val="24"/>
          <w:lang w:val="ro-MD"/>
        </w:rPr>
        <w:t xml:space="preserve"> план государственных закупок, который </w:t>
      </w:r>
      <w:r w:rsidR="00E43E66">
        <w:rPr>
          <w:rFonts w:asciiTheme="majorHAnsi" w:hAnsiTheme="majorHAnsi" w:cstheme="majorHAnsi"/>
          <w:sz w:val="24"/>
          <w:szCs w:val="24"/>
          <w:lang w:val="ru-RU"/>
        </w:rPr>
        <w:t>согласовывался</w:t>
      </w:r>
      <w:r w:rsidRPr="00843144">
        <w:rPr>
          <w:rFonts w:asciiTheme="majorHAnsi" w:hAnsiTheme="majorHAnsi" w:cstheme="majorHAnsi"/>
          <w:sz w:val="24"/>
          <w:szCs w:val="24"/>
          <w:lang w:val="ro-MD"/>
        </w:rPr>
        <w:t xml:space="preserve"> с бюджетом учреждения, общая оценочная стоимость</w:t>
      </w:r>
      <w:r w:rsidR="00E43E66">
        <w:rPr>
          <w:rFonts w:asciiTheme="majorHAnsi" w:hAnsiTheme="majorHAnsi" w:cstheme="majorHAnsi"/>
          <w:sz w:val="24"/>
          <w:szCs w:val="24"/>
          <w:lang w:val="ru-RU"/>
        </w:rPr>
        <w:t xml:space="preserve"> составляла</w:t>
      </w:r>
      <w:r w:rsidRPr="00843144">
        <w:rPr>
          <w:rFonts w:asciiTheme="majorHAnsi" w:hAnsiTheme="majorHAnsi" w:cstheme="majorHAnsi"/>
          <w:sz w:val="24"/>
          <w:szCs w:val="24"/>
          <w:lang w:val="ro-MD"/>
        </w:rPr>
        <w:t xml:space="preserve">: на 2021 год – 22 174,9 тыс. леев, на 2022 год – 27 182,1 тыс. леев, </w:t>
      </w:r>
      <w:r w:rsidR="00E43E66">
        <w:rPr>
          <w:rFonts w:asciiTheme="majorHAnsi" w:hAnsiTheme="majorHAnsi" w:cstheme="majorHAnsi"/>
          <w:sz w:val="24"/>
          <w:szCs w:val="24"/>
          <w:lang w:val="ru-RU"/>
        </w:rPr>
        <w:t>и</w:t>
      </w:r>
      <w:r w:rsidRPr="00843144">
        <w:rPr>
          <w:rFonts w:asciiTheme="majorHAnsi" w:hAnsiTheme="majorHAnsi" w:cstheme="majorHAnsi"/>
          <w:sz w:val="24"/>
          <w:szCs w:val="24"/>
          <w:lang w:val="ro-MD"/>
        </w:rPr>
        <w:t xml:space="preserve"> на 2023 год – 33 198,9 тыс. леев.  </w:t>
      </w:r>
      <w:r w:rsidR="00E43E66">
        <w:rPr>
          <w:rFonts w:asciiTheme="majorHAnsi" w:hAnsiTheme="majorHAnsi" w:cstheme="majorHAnsi"/>
          <w:sz w:val="24"/>
          <w:szCs w:val="24"/>
          <w:lang w:val="ru-RU"/>
        </w:rPr>
        <w:t>На протяжении</w:t>
      </w:r>
      <w:r w:rsidRPr="00843144">
        <w:rPr>
          <w:rFonts w:asciiTheme="majorHAnsi" w:hAnsiTheme="majorHAnsi" w:cstheme="majorHAnsi"/>
          <w:sz w:val="24"/>
          <w:szCs w:val="24"/>
          <w:lang w:val="ro-MD"/>
        </w:rPr>
        <w:t xml:space="preserve"> лет </w:t>
      </w:r>
      <w:r w:rsidR="00E43E66">
        <w:rPr>
          <w:rFonts w:asciiTheme="majorHAnsi" w:hAnsiTheme="majorHAnsi" w:cstheme="majorHAnsi"/>
          <w:sz w:val="24"/>
          <w:szCs w:val="24"/>
          <w:lang w:val="ru-RU"/>
        </w:rPr>
        <w:t>осуществлялись</w:t>
      </w:r>
      <w:r w:rsidRPr="00843144">
        <w:rPr>
          <w:rFonts w:asciiTheme="majorHAnsi" w:hAnsiTheme="majorHAnsi" w:cstheme="majorHAnsi"/>
          <w:sz w:val="24"/>
          <w:szCs w:val="24"/>
          <w:lang w:val="ro-MD"/>
        </w:rPr>
        <w:t xml:space="preserve"> закупки, которые изначально не были запланированы и отражены в плане закупок. Так, </w:t>
      </w:r>
      <w:r w:rsidR="00E43E66" w:rsidRPr="00E43E66">
        <w:rPr>
          <w:rFonts w:asciiTheme="majorHAnsi" w:hAnsiTheme="majorHAnsi" w:cstheme="majorHAnsi"/>
          <w:sz w:val="24"/>
          <w:szCs w:val="24"/>
          <w:lang w:val="ro-MD"/>
        </w:rPr>
        <w:t xml:space="preserve">в </w:t>
      </w:r>
      <w:r w:rsidRPr="00843144">
        <w:rPr>
          <w:rFonts w:asciiTheme="majorHAnsi" w:hAnsiTheme="majorHAnsi" w:cstheme="majorHAnsi"/>
          <w:sz w:val="24"/>
          <w:szCs w:val="24"/>
          <w:lang w:val="ro-MD"/>
        </w:rPr>
        <w:t xml:space="preserve">план закупок на 2022 год </w:t>
      </w:r>
      <w:r w:rsidR="00E43E66" w:rsidRPr="00E43E66">
        <w:rPr>
          <w:rFonts w:asciiTheme="majorHAnsi" w:hAnsiTheme="majorHAnsi" w:cstheme="majorHAnsi"/>
          <w:sz w:val="24"/>
          <w:szCs w:val="24"/>
          <w:lang w:val="ro-MD"/>
        </w:rPr>
        <w:t>вносились</w:t>
      </w:r>
      <w:r w:rsidRPr="00843144">
        <w:rPr>
          <w:rFonts w:asciiTheme="majorHAnsi" w:hAnsiTheme="majorHAnsi" w:cstheme="majorHAnsi"/>
          <w:sz w:val="24"/>
          <w:szCs w:val="24"/>
          <w:lang w:val="ro-MD"/>
        </w:rPr>
        <w:t xml:space="preserve"> изменения в мае и</w:t>
      </w:r>
      <w:r w:rsidR="00E43E66" w:rsidRPr="00E43E66">
        <w:rPr>
          <w:rFonts w:asciiTheme="majorHAnsi" w:hAnsiTheme="majorHAnsi" w:cstheme="majorHAnsi"/>
          <w:sz w:val="24"/>
          <w:szCs w:val="24"/>
          <w:lang w:val="ro-MD"/>
        </w:rPr>
        <w:t>,</w:t>
      </w:r>
      <w:r w:rsidRPr="00843144">
        <w:rPr>
          <w:rFonts w:asciiTheme="majorHAnsi" w:hAnsiTheme="majorHAnsi" w:cstheme="majorHAnsi"/>
          <w:sz w:val="24"/>
          <w:szCs w:val="24"/>
          <w:lang w:val="ro-MD"/>
        </w:rPr>
        <w:t xml:space="preserve"> </w:t>
      </w:r>
      <w:r w:rsidR="00E43E66" w:rsidRPr="00843144">
        <w:rPr>
          <w:rFonts w:asciiTheme="majorHAnsi" w:hAnsiTheme="majorHAnsi" w:cstheme="majorHAnsi"/>
          <w:sz w:val="24"/>
          <w:szCs w:val="24"/>
          <w:lang w:val="ro-MD"/>
        </w:rPr>
        <w:t>соответственно</w:t>
      </w:r>
      <w:r w:rsidR="00E43E66" w:rsidRPr="00E43E66">
        <w:rPr>
          <w:rFonts w:asciiTheme="majorHAnsi" w:hAnsiTheme="majorHAnsi" w:cstheme="majorHAnsi"/>
          <w:sz w:val="24"/>
          <w:szCs w:val="24"/>
          <w:lang w:val="ro-MD"/>
        </w:rPr>
        <w:t>,</w:t>
      </w:r>
      <w:r w:rsidR="00E43E66" w:rsidRPr="00843144">
        <w:rPr>
          <w:rFonts w:asciiTheme="majorHAnsi" w:hAnsiTheme="majorHAnsi" w:cstheme="majorHAnsi"/>
          <w:sz w:val="24"/>
          <w:szCs w:val="24"/>
          <w:lang w:val="ro-MD"/>
        </w:rPr>
        <w:t xml:space="preserve"> </w:t>
      </w:r>
      <w:r w:rsidRPr="00843144">
        <w:rPr>
          <w:rFonts w:asciiTheme="majorHAnsi" w:hAnsiTheme="majorHAnsi" w:cstheme="majorHAnsi"/>
          <w:sz w:val="24"/>
          <w:szCs w:val="24"/>
          <w:lang w:val="ro-MD"/>
        </w:rPr>
        <w:t>июле</w:t>
      </w:r>
      <w:r w:rsidR="00E43E66" w:rsidRPr="00E43E66">
        <w:rPr>
          <w:rFonts w:asciiTheme="majorHAnsi" w:hAnsiTheme="majorHAnsi" w:cstheme="majorHAnsi"/>
          <w:sz w:val="24"/>
          <w:szCs w:val="24"/>
          <w:lang w:val="ro-MD"/>
        </w:rPr>
        <w:t xml:space="preserve"> месяце</w:t>
      </w:r>
      <w:r w:rsidRPr="00843144">
        <w:rPr>
          <w:rFonts w:asciiTheme="majorHAnsi" w:hAnsiTheme="majorHAnsi" w:cstheme="majorHAnsi"/>
          <w:sz w:val="24"/>
          <w:szCs w:val="24"/>
          <w:lang w:val="ro-MD"/>
        </w:rPr>
        <w:t xml:space="preserve">, а в 2021 году </w:t>
      </w:r>
      <w:r w:rsidR="00E43E66">
        <w:rPr>
          <w:rFonts w:asciiTheme="majorHAnsi" w:hAnsiTheme="majorHAnsi" w:cstheme="majorHAnsi"/>
          <w:sz w:val="24"/>
          <w:szCs w:val="24"/>
          <w:lang w:val="ru-RU"/>
        </w:rPr>
        <w:t>не вносились</w:t>
      </w:r>
      <w:r w:rsidRPr="00843144">
        <w:rPr>
          <w:rFonts w:asciiTheme="majorHAnsi" w:hAnsiTheme="majorHAnsi" w:cstheme="majorHAnsi"/>
          <w:sz w:val="24"/>
          <w:szCs w:val="24"/>
          <w:lang w:val="ro-MD"/>
        </w:rPr>
        <w:t xml:space="preserve"> никаки</w:t>
      </w:r>
      <w:r w:rsidR="00E43E66">
        <w:rPr>
          <w:rFonts w:asciiTheme="majorHAnsi" w:hAnsiTheme="majorHAnsi" w:cstheme="majorHAnsi"/>
          <w:sz w:val="24"/>
          <w:szCs w:val="24"/>
          <w:lang w:val="ru-RU"/>
        </w:rPr>
        <w:t xml:space="preserve">е </w:t>
      </w:r>
      <w:r w:rsidRPr="00843144">
        <w:rPr>
          <w:rFonts w:asciiTheme="majorHAnsi" w:hAnsiTheme="majorHAnsi" w:cstheme="majorHAnsi"/>
          <w:sz w:val="24"/>
          <w:szCs w:val="24"/>
          <w:lang w:val="ro-MD"/>
        </w:rPr>
        <w:t>изменени</w:t>
      </w:r>
      <w:r w:rsidR="00E43E66">
        <w:rPr>
          <w:rFonts w:asciiTheme="majorHAnsi" w:hAnsiTheme="majorHAnsi" w:cstheme="majorHAnsi"/>
          <w:sz w:val="24"/>
          <w:szCs w:val="24"/>
          <w:lang w:val="ru-RU"/>
        </w:rPr>
        <w:t>я</w:t>
      </w:r>
      <w:r w:rsidRPr="00843144">
        <w:rPr>
          <w:rFonts w:asciiTheme="majorHAnsi" w:hAnsiTheme="majorHAnsi" w:cstheme="majorHAnsi"/>
          <w:sz w:val="24"/>
          <w:szCs w:val="24"/>
          <w:lang w:val="ro-MD"/>
        </w:rPr>
        <w:t>/дополнени</w:t>
      </w:r>
      <w:r w:rsidR="00E43E66">
        <w:rPr>
          <w:rFonts w:asciiTheme="majorHAnsi" w:hAnsiTheme="majorHAnsi" w:cstheme="majorHAnsi"/>
          <w:sz w:val="24"/>
          <w:szCs w:val="24"/>
          <w:lang w:val="ru-RU"/>
        </w:rPr>
        <w:t>я</w:t>
      </w:r>
      <w:r w:rsidR="00145067" w:rsidRPr="00B13B9A">
        <w:rPr>
          <w:rFonts w:asciiTheme="majorHAnsi" w:hAnsiTheme="majorHAnsi" w:cstheme="majorHAnsi"/>
          <w:sz w:val="24"/>
          <w:szCs w:val="24"/>
          <w:lang w:val="ro-MD"/>
        </w:rPr>
        <w:t xml:space="preserve">. </w:t>
      </w:r>
      <w:r w:rsidR="00B37661" w:rsidRPr="00B13B9A">
        <w:rPr>
          <w:rFonts w:asciiTheme="majorHAnsi" w:hAnsiTheme="majorHAnsi" w:cstheme="majorHAnsi"/>
          <w:sz w:val="24"/>
          <w:szCs w:val="24"/>
          <w:lang w:val="ro-MD"/>
        </w:rPr>
        <w:t xml:space="preserve"> </w:t>
      </w:r>
    </w:p>
    <w:p w14:paraId="1FC64EE2" w14:textId="45F561EF" w:rsidR="00B37661" w:rsidRPr="00B13B9A" w:rsidRDefault="00843144" w:rsidP="00B37661">
      <w:pPr>
        <w:tabs>
          <w:tab w:val="left" w:pos="851"/>
        </w:tabs>
        <w:spacing w:after="0" w:line="276" w:lineRule="auto"/>
        <w:jc w:val="both"/>
        <w:rPr>
          <w:rFonts w:asciiTheme="majorHAnsi" w:hAnsiTheme="majorHAnsi" w:cstheme="majorHAnsi"/>
          <w:i/>
          <w:sz w:val="24"/>
          <w:szCs w:val="24"/>
          <w:lang w:val="ro-MD"/>
        </w:rPr>
      </w:pPr>
      <w:r w:rsidRPr="00843144">
        <w:rPr>
          <w:rFonts w:asciiTheme="majorHAnsi" w:hAnsiTheme="majorHAnsi" w:cstheme="majorHAnsi"/>
          <w:sz w:val="24"/>
          <w:szCs w:val="24"/>
          <w:lang w:val="ro-MD"/>
        </w:rPr>
        <w:t xml:space="preserve">Информация о </w:t>
      </w:r>
      <w:r w:rsidR="00264DD3">
        <w:rPr>
          <w:rFonts w:asciiTheme="majorHAnsi" w:hAnsiTheme="majorHAnsi" w:cstheme="majorHAnsi"/>
          <w:sz w:val="24"/>
          <w:szCs w:val="24"/>
          <w:lang w:val="ru-RU"/>
        </w:rPr>
        <w:t>проведенных за</w:t>
      </w:r>
      <w:r w:rsidRPr="00843144">
        <w:rPr>
          <w:rFonts w:asciiTheme="majorHAnsi" w:hAnsiTheme="majorHAnsi" w:cstheme="majorHAnsi"/>
          <w:sz w:val="24"/>
          <w:szCs w:val="24"/>
          <w:lang w:val="ro-MD"/>
        </w:rPr>
        <w:t>купках</w:t>
      </w:r>
      <w:r w:rsidR="00264DD3">
        <w:rPr>
          <w:rFonts w:asciiTheme="majorHAnsi" w:hAnsiTheme="majorHAnsi" w:cstheme="majorHAnsi"/>
          <w:sz w:val="24"/>
          <w:szCs w:val="24"/>
          <w:lang w:val="ru-RU"/>
        </w:rPr>
        <w:t xml:space="preserve"> на протяжении</w:t>
      </w:r>
      <w:r w:rsidRPr="00843144">
        <w:rPr>
          <w:rFonts w:asciiTheme="majorHAnsi" w:hAnsiTheme="majorHAnsi" w:cstheme="majorHAnsi"/>
          <w:sz w:val="24"/>
          <w:szCs w:val="24"/>
          <w:lang w:val="ro-MD"/>
        </w:rPr>
        <w:t xml:space="preserve"> лет представлена в </w:t>
      </w:r>
      <w:r w:rsidR="00264DD3">
        <w:rPr>
          <w:rFonts w:asciiTheme="majorHAnsi" w:hAnsiTheme="majorHAnsi" w:cstheme="majorHAnsi"/>
          <w:sz w:val="24"/>
          <w:szCs w:val="24"/>
          <w:lang w:val="ru-RU"/>
        </w:rPr>
        <w:t>П</w:t>
      </w:r>
      <w:r w:rsidRPr="00843144">
        <w:rPr>
          <w:rFonts w:asciiTheme="majorHAnsi" w:hAnsiTheme="majorHAnsi" w:cstheme="majorHAnsi"/>
          <w:sz w:val="24"/>
          <w:szCs w:val="24"/>
          <w:lang w:val="ro-MD"/>
        </w:rPr>
        <w:t xml:space="preserve">риложении №15 к настоящему </w:t>
      </w:r>
      <w:r w:rsidR="00896273">
        <w:rPr>
          <w:rFonts w:asciiTheme="majorHAnsi" w:hAnsiTheme="majorHAnsi" w:cstheme="majorHAnsi"/>
          <w:sz w:val="24"/>
          <w:szCs w:val="24"/>
          <w:lang w:val="ro-MD"/>
        </w:rPr>
        <w:t>Отчету аудита</w:t>
      </w:r>
      <w:r w:rsidRPr="00843144">
        <w:rPr>
          <w:rFonts w:asciiTheme="majorHAnsi" w:hAnsiTheme="majorHAnsi" w:cstheme="majorHAnsi"/>
          <w:sz w:val="24"/>
          <w:szCs w:val="24"/>
          <w:lang w:val="ro-MD"/>
        </w:rPr>
        <w:t xml:space="preserve">. Таким образом, </w:t>
      </w:r>
      <w:r w:rsidR="00C10BD2">
        <w:rPr>
          <w:rFonts w:asciiTheme="majorHAnsi" w:hAnsiTheme="majorHAnsi" w:cstheme="majorHAnsi"/>
          <w:sz w:val="24"/>
          <w:szCs w:val="24"/>
          <w:lang w:val="ru-RU"/>
        </w:rPr>
        <w:t xml:space="preserve">в результате </w:t>
      </w:r>
      <w:r w:rsidRPr="00843144">
        <w:rPr>
          <w:rFonts w:asciiTheme="majorHAnsi" w:hAnsiTheme="majorHAnsi" w:cstheme="majorHAnsi"/>
          <w:sz w:val="24"/>
          <w:szCs w:val="24"/>
          <w:lang w:val="ro-MD"/>
        </w:rPr>
        <w:t xml:space="preserve">оценки </w:t>
      </w:r>
      <w:r w:rsidR="00C10BD2">
        <w:rPr>
          <w:rFonts w:asciiTheme="majorHAnsi" w:hAnsiTheme="majorHAnsi" w:cstheme="majorHAnsi"/>
          <w:sz w:val="24"/>
          <w:szCs w:val="24"/>
          <w:lang w:val="ru-RU"/>
        </w:rPr>
        <w:t>отче</w:t>
      </w:r>
      <w:r w:rsidRPr="00843144">
        <w:rPr>
          <w:rFonts w:asciiTheme="majorHAnsi" w:hAnsiTheme="majorHAnsi" w:cstheme="majorHAnsi"/>
          <w:sz w:val="24"/>
          <w:szCs w:val="24"/>
          <w:lang w:val="ro-MD"/>
        </w:rPr>
        <w:t>тов о</w:t>
      </w:r>
      <w:r w:rsidR="00C10BD2">
        <w:rPr>
          <w:rFonts w:asciiTheme="majorHAnsi" w:hAnsiTheme="majorHAnsi" w:cstheme="majorHAnsi"/>
          <w:sz w:val="24"/>
          <w:szCs w:val="24"/>
          <w:lang w:val="ru-RU"/>
        </w:rPr>
        <w:t>б</w:t>
      </w:r>
      <w:r w:rsidRPr="00843144">
        <w:rPr>
          <w:rFonts w:asciiTheme="majorHAnsi" w:hAnsiTheme="majorHAnsi" w:cstheme="majorHAnsi"/>
          <w:sz w:val="24"/>
          <w:szCs w:val="24"/>
          <w:lang w:val="ro-MD"/>
        </w:rPr>
        <w:t xml:space="preserve"> осуществлени</w:t>
      </w:r>
      <w:r w:rsidR="00C10BD2">
        <w:rPr>
          <w:rFonts w:asciiTheme="majorHAnsi" w:hAnsiTheme="majorHAnsi" w:cstheme="majorHAnsi"/>
          <w:sz w:val="24"/>
          <w:szCs w:val="24"/>
          <w:lang w:val="ru-RU"/>
        </w:rPr>
        <w:t>и</w:t>
      </w:r>
      <w:r w:rsidRPr="00843144">
        <w:rPr>
          <w:rFonts w:asciiTheme="majorHAnsi" w:hAnsiTheme="majorHAnsi" w:cstheme="majorHAnsi"/>
          <w:sz w:val="24"/>
          <w:szCs w:val="24"/>
          <w:lang w:val="ro-MD"/>
        </w:rPr>
        <w:t xml:space="preserve"> государственных закупок </w:t>
      </w:r>
      <w:r w:rsidR="00C10BD2">
        <w:rPr>
          <w:rFonts w:asciiTheme="majorHAnsi" w:hAnsiTheme="majorHAnsi" w:cstheme="majorHAnsi"/>
          <w:sz w:val="24"/>
          <w:szCs w:val="24"/>
          <w:lang w:val="ru-RU"/>
        </w:rPr>
        <w:t xml:space="preserve">небольшой стоимости </w:t>
      </w:r>
      <w:r w:rsidRPr="00843144">
        <w:rPr>
          <w:rFonts w:asciiTheme="majorHAnsi" w:hAnsiTheme="majorHAnsi" w:cstheme="majorHAnsi"/>
          <w:sz w:val="24"/>
          <w:szCs w:val="24"/>
          <w:lang w:val="ro-MD"/>
        </w:rPr>
        <w:t xml:space="preserve">и </w:t>
      </w:r>
      <w:r w:rsidR="00C10BD2">
        <w:rPr>
          <w:rFonts w:asciiTheme="majorHAnsi" w:hAnsiTheme="majorHAnsi" w:cstheme="majorHAnsi"/>
          <w:sz w:val="24"/>
          <w:szCs w:val="24"/>
          <w:lang w:val="ru-RU"/>
        </w:rPr>
        <w:t>их с</w:t>
      </w:r>
      <w:r w:rsidRPr="00843144">
        <w:rPr>
          <w:rFonts w:asciiTheme="majorHAnsi" w:hAnsiTheme="majorHAnsi" w:cstheme="majorHAnsi"/>
          <w:sz w:val="24"/>
          <w:szCs w:val="24"/>
          <w:lang w:val="ro-MD"/>
        </w:rPr>
        <w:t xml:space="preserve">опоставления </w:t>
      </w:r>
      <w:r w:rsidR="00C10BD2">
        <w:rPr>
          <w:rFonts w:asciiTheme="majorHAnsi" w:hAnsiTheme="majorHAnsi" w:cstheme="majorHAnsi"/>
          <w:sz w:val="24"/>
          <w:szCs w:val="24"/>
          <w:lang w:val="ru-RU"/>
        </w:rPr>
        <w:t xml:space="preserve">с </w:t>
      </w:r>
      <w:r w:rsidRPr="00843144">
        <w:rPr>
          <w:rFonts w:asciiTheme="majorHAnsi" w:hAnsiTheme="majorHAnsi" w:cstheme="majorHAnsi"/>
          <w:sz w:val="24"/>
          <w:szCs w:val="24"/>
          <w:lang w:val="ro-MD"/>
        </w:rPr>
        <w:t>работ</w:t>
      </w:r>
      <w:r w:rsidR="00C10BD2">
        <w:rPr>
          <w:rFonts w:asciiTheme="majorHAnsi" w:hAnsiTheme="majorHAnsi" w:cstheme="majorHAnsi"/>
          <w:sz w:val="24"/>
          <w:szCs w:val="24"/>
          <w:lang w:val="ru-RU"/>
        </w:rPr>
        <w:t>ами</w:t>
      </w:r>
      <w:r w:rsidRPr="00843144">
        <w:rPr>
          <w:rFonts w:asciiTheme="majorHAnsi" w:hAnsiTheme="majorHAnsi" w:cstheme="majorHAnsi"/>
          <w:sz w:val="24"/>
          <w:szCs w:val="24"/>
          <w:lang w:val="ro-MD"/>
        </w:rPr>
        <w:t xml:space="preserve"> и услуг</w:t>
      </w:r>
      <w:r w:rsidR="00C10BD2">
        <w:rPr>
          <w:rFonts w:asciiTheme="majorHAnsi" w:hAnsiTheme="majorHAnsi" w:cstheme="majorHAnsi"/>
          <w:sz w:val="24"/>
          <w:szCs w:val="24"/>
          <w:lang w:val="ru-RU"/>
        </w:rPr>
        <w:t>ами</w:t>
      </w:r>
      <w:r w:rsidRPr="00843144">
        <w:rPr>
          <w:rFonts w:asciiTheme="majorHAnsi" w:hAnsiTheme="majorHAnsi" w:cstheme="majorHAnsi"/>
          <w:sz w:val="24"/>
          <w:szCs w:val="24"/>
          <w:lang w:val="ro-MD"/>
        </w:rPr>
        <w:t xml:space="preserve"> </w:t>
      </w:r>
      <w:r w:rsidR="00C10BD2">
        <w:rPr>
          <w:rFonts w:asciiTheme="majorHAnsi" w:hAnsiTheme="majorHAnsi" w:cstheme="majorHAnsi"/>
          <w:sz w:val="24"/>
          <w:szCs w:val="24"/>
          <w:lang w:val="ru-RU"/>
        </w:rPr>
        <w:t>из</w:t>
      </w:r>
      <w:r w:rsidRPr="00843144">
        <w:rPr>
          <w:rFonts w:asciiTheme="majorHAnsi" w:hAnsiTheme="majorHAnsi" w:cstheme="majorHAnsi"/>
          <w:sz w:val="24"/>
          <w:szCs w:val="24"/>
          <w:lang w:val="ro-MD"/>
        </w:rPr>
        <w:t xml:space="preserve"> годово</w:t>
      </w:r>
      <w:r w:rsidR="00C10BD2">
        <w:rPr>
          <w:rFonts w:asciiTheme="majorHAnsi" w:hAnsiTheme="majorHAnsi" w:cstheme="majorHAnsi"/>
          <w:sz w:val="24"/>
          <w:szCs w:val="24"/>
          <w:lang w:val="ru-RU"/>
        </w:rPr>
        <w:t>го</w:t>
      </w:r>
      <w:r w:rsidRPr="00843144">
        <w:rPr>
          <w:rFonts w:asciiTheme="majorHAnsi" w:hAnsiTheme="majorHAnsi" w:cstheme="majorHAnsi"/>
          <w:sz w:val="24"/>
          <w:szCs w:val="24"/>
          <w:lang w:val="ro-MD"/>
        </w:rPr>
        <w:t xml:space="preserve"> план</w:t>
      </w:r>
      <w:r w:rsidR="00C10BD2">
        <w:rPr>
          <w:rFonts w:asciiTheme="majorHAnsi" w:hAnsiTheme="majorHAnsi" w:cstheme="majorHAnsi"/>
          <w:sz w:val="24"/>
          <w:szCs w:val="24"/>
          <w:lang w:val="ru-RU"/>
        </w:rPr>
        <w:t>а</w:t>
      </w:r>
      <w:r w:rsidRPr="00843144">
        <w:rPr>
          <w:rFonts w:asciiTheme="majorHAnsi" w:hAnsiTheme="majorHAnsi" w:cstheme="majorHAnsi"/>
          <w:sz w:val="24"/>
          <w:szCs w:val="24"/>
          <w:lang w:val="ro-MD"/>
        </w:rPr>
        <w:t xml:space="preserve"> закупок</w:t>
      </w:r>
      <w:r w:rsidR="00C10BD2">
        <w:rPr>
          <w:rFonts w:asciiTheme="majorHAnsi" w:hAnsiTheme="majorHAnsi" w:cstheme="majorHAnsi"/>
          <w:sz w:val="24"/>
          <w:szCs w:val="24"/>
          <w:lang w:val="ru-RU"/>
        </w:rPr>
        <w:t>,</w:t>
      </w:r>
      <w:r w:rsidRPr="00843144">
        <w:rPr>
          <w:rFonts w:asciiTheme="majorHAnsi" w:hAnsiTheme="majorHAnsi" w:cstheme="majorHAnsi"/>
          <w:sz w:val="24"/>
          <w:szCs w:val="24"/>
          <w:lang w:val="ro-MD"/>
        </w:rPr>
        <w:t xml:space="preserve"> был</w:t>
      </w:r>
      <w:r w:rsidR="00C10BD2">
        <w:rPr>
          <w:rFonts w:asciiTheme="majorHAnsi" w:hAnsiTheme="majorHAnsi" w:cstheme="majorHAnsi"/>
          <w:sz w:val="24"/>
          <w:szCs w:val="24"/>
          <w:lang w:val="ru-RU"/>
        </w:rPr>
        <w:t>и</w:t>
      </w:r>
      <w:r w:rsidRPr="00843144">
        <w:rPr>
          <w:rFonts w:asciiTheme="majorHAnsi" w:hAnsiTheme="majorHAnsi" w:cstheme="majorHAnsi"/>
          <w:sz w:val="24"/>
          <w:szCs w:val="24"/>
          <w:lang w:val="ro-MD"/>
        </w:rPr>
        <w:t xml:space="preserve"> выявлен</w:t>
      </w:r>
      <w:r w:rsidR="00C10BD2">
        <w:rPr>
          <w:rFonts w:asciiTheme="majorHAnsi" w:hAnsiTheme="majorHAnsi" w:cstheme="majorHAnsi"/>
          <w:sz w:val="24"/>
          <w:szCs w:val="24"/>
          <w:lang w:val="ru-RU"/>
        </w:rPr>
        <w:t>ы</w:t>
      </w:r>
      <w:r w:rsidRPr="00843144">
        <w:rPr>
          <w:rFonts w:asciiTheme="majorHAnsi" w:hAnsiTheme="majorHAnsi" w:cstheme="majorHAnsi"/>
          <w:sz w:val="24"/>
          <w:szCs w:val="24"/>
          <w:lang w:val="ro-MD"/>
        </w:rPr>
        <w:t xml:space="preserve"> 4 </w:t>
      </w:r>
      <w:r w:rsidR="00C10BD2">
        <w:rPr>
          <w:rFonts w:asciiTheme="majorHAnsi" w:hAnsiTheme="majorHAnsi" w:cstheme="majorHAnsi"/>
          <w:sz w:val="24"/>
          <w:szCs w:val="24"/>
          <w:lang w:val="ru-RU"/>
        </w:rPr>
        <w:t>закупки</w:t>
      </w:r>
      <w:r w:rsidRPr="00843144">
        <w:rPr>
          <w:rFonts w:asciiTheme="majorHAnsi" w:hAnsiTheme="majorHAnsi" w:cstheme="majorHAnsi"/>
          <w:sz w:val="24"/>
          <w:szCs w:val="24"/>
          <w:lang w:val="ro-MD"/>
        </w:rPr>
        <w:t xml:space="preserve"> услуг и работ, не включенных в план на 2021 год, информация представлен</w:t>
      </w:r>
      <w:r w:rsidR="00C10BD2">
        <w:rPr>
          <w:rFonts w:asciiTheme="majorHAnsi" w:hAnsiTheme="majorHAnsi" w:cstheme="majorHAnsi"/>
          <w:sz w:val="24"/>
          <w:szCs w:val="24"/>
          <w:lang w:val="ru-RU"/>
        </w:rPr>
        <w:t>а</w:t>
      </w:r>
      <w:r w:rsidRPr="00843144">
        <w:rPr>
          <w:rFonts w:asciiTheme="majorHAnsi" w:hAnsiTheme="majorHAnsi" w:cstheme="majorHAnsi"/>
          <w:sz w:val="24"/>
          <w:szCs w:val="24"/>
          <w:lang w:val="ro-MD"/>
        </w:rPr>
        <w:t xml:space="preserve"> в </w:t>
      </w:r>
      <w:r w:rsidR="00C10BD2">
        <w:rPr>
          <w:rFonts w:asciiTheme="majorHAnsi" w:hAnsiTheme="majorHAnsi" w:cstheme="majorHAnsi"/>
          <w:sz w:val="24"/>
          <w:szCs w:val="24"/>
          <w:lang w:val="ru-RU"/>
        </w:rPr>
        <w:t>П</w:t>
      </w:r>
      <w:r w:rsidR="00C10BD2">
        <w:rPr>
          <w:rFonts w:asciiTheme="majorHAnsi" w:hAnsiTheme="majorHAnsi" w:cstheme="majorHAnsi"/>
          <w:sz w:val="24"/>
          <w:szCs w:val="24"/>
          <w:lang w:val="ro-MD"/>
        </w:rPr>
        <w:t>риложении №</w:t>
      </w:r>
      <w:r w:rsidRPr="00843144">
        <w:rPr>
          <w:rFonts w:asciiTheme="majorHAnsi" w:hAnsiTheme="majorHAnsi" w:cstheme="majorHAnsi"/>
          <w:sz w:val="24"/>
          <w:szCs w:val="24"/>
          <w:lang w:val="ro-MD"/>
        </w:rPr>
        <w:t xml:space="preserve">16 к настоящему </w:t>
      </w:r>
      <w:r w:rsidR="00896273">
        <w:rPr>
          <w:rFonts w:asciiTheme="majorHAnsi" w:hAnsiTheme="majorHAnsi" w:cstheme="majorHAnsi"/>
          <w:sz w:val="24"/>
          <w:szCs w:val="24"/>
          <w:lang w:val="ro-MD"/>
        </w:rPr>
        <w:t>Отчету аудита</w:t>
      </w:r>
      <w:r w:rsidR="00B37661" w:rsidRPr="00B13B9A">
        <w:rPr>
          <w:rFonts w:asciiTheme="majorHAnsi" w:hAnsiTheme="majorHAnsi" w:cstheme="majorHAnsi"/>
          <w:sz w:val="24"/>
          <w:szCs w:val="24"/>
          <w:lang w:val="ro-MD"/>
        </w:rPr>
        <w:t>.</w:t>
      </w:r>
    </w:p>
    <w:p w14:paraId="67E3E35B" w14:textId="326FB345" w:rsidR="00843144" w:rsidRPr="00843144" w:rsidRDefault="00843144" w:rsidP="00843144">
      <w:pPr>
        <w:tabs>
          <w:tab w:val="left" w:pos="851"/>
        </w:tabs>
        <w:spacing w:after="0" w:line="276" w:lineRule="auto"/>
        <w:jc w:val="both"/>
        <w:rPr>
          <w:rFonts w:asciiTheme="majorHAnsi" w:hAnsiTheme="majorHAnsi" w:cstheme="majorHAnsi"/>
          <w:sz w:val="24"/>
          <w:szCs w:val="24"/>
          <w:lang w:val="ro-MD"/>
        </w:rPr>
      </w:pPr>
      <w:r w:rsidRPr="00843144">
        <w:rPr>
          <w:rFonts w:asciiTheme="majorHAnsi" w:hAnsiTheme="majorHAnsi" w:cstheme="majorHAnsi"/>
          <w:sz w:val="24"/>
          <w:szCs w:val="24"/>
          <w:lang w:val="ro-MD"/>
        </w:rPr>
        <w:t xml:space="preserve">Аудит отмечает, что члены рабочей группы по государственным закупкам </w:t>
      </w:r>
      <w:r w:rsidR="00C10BD2">
        <w:rPr>
          <w:rFonts w:asciiTheme="majorHAnsi" w:hAnsiTheme="majorHAnsi" w:cstheme="majorHAnsi"/>
          <w:sz w:val="24"/>
          <w:szCs w:val="24"/>
          <w:lang w:val="ru-RU"/>
        </w:rPr>
        <w:t xml:space="preserve">в рамках </w:t>
      </w:r>
      <w:r w:rsidR="00E77520">
        <w:rPr>
          <w:rFonts w:asciiTheme="majorHAnsi" w:hAnsiTheme="majorHAnsi" w:cstheme="majorHAnsi"/>
          <w:sz w:val="24"/>
          <w:szCs w:val="24"/>
          <w:lang w:val="ro-MD"/>
        </w:rPr>
        <w:t>ПМСУ</w:t>
      </w:r>
      <w:r w:rsidRPr="00843144">
        <w:rPr>
          <w:rFonts w:asciiTheme="majorHAnsi" w:hAnsiTheme="majorHAnsi" w:cstheme="majorHAnsi"/>
          <w:sz w:val="24"/>
          <w:szCs w:val="24"/>
          <w:lang w:val="ro-MD"/>
        </w:rPr>
        <w:t xml:space="preserve"> ИФП </w:t>
      </w:r>
      <w:r w:rsidR="001924A7" w:rsidRPr="001924A7">
        <w:rPr>
          <w:rFonts w:asciiTheme="majorHAnsi" w:eastAsia="Times New Roman" w:hAnsiTheme="majorHAnsi" w:cstheme="majorHAnsi"/>
          <w:sz w:val="24"/>
          <w:szCs w:val="24"/>
          <w:lang w:val="ru-RU" w:eastAsia="ro-MD"/>
        </w:rPr>
        <w:t>“</w:t>
      </w:r>
      <w:r w:rsidR="001924A7">
        <w:rPr>
          <w:rFonts w:asciiTheme="majorHAnsi" w:eastAsia="Times New Roman" w:hAnsiTheme="majorHAnsi" w:cstheme="majorHAnsi"/>
          <w:sz w:val="24"/>
          <w:szCs w:val="24"/>
          <w:lang w:val="ru-MD" w:eastAsia="ro-MD"/>
        </w:rPr>
        <w:t>Кирилл Драганюк”</w:t>
      </w:r>
      <w:r w:rsidRPr="00843144">
        <w:rPr>
          <w:rFonts w:asciiTheme="majorHAnsi" w:hAnsiTheme="majorHAnsi" w:cstheme="majorHAnsi"/>
          <w:sz w:val="24"/>
          <w:szCs w:val="24"/>
          <w:lang w:val="ro-MD"/>
        </w:rPr>
        <w:t xml:space="preserve"> пренебрегли действующими </w:t>
      </w:r>
      <w:r w:rsidR="00C10BD2">
        <w:rPr>
          <w:rFonts w:asciiTheme="majorHAnsi" w:hAnsiTheme="majorHAnsi" w:cstheme="majorHAnsi"/>
          <w:sz w:val="24"/>
          <w:szCs w:val="24"/>
          <w:lang w:val="ru-RU"/>
        </w:rPr>
        <w:t>законодательн</w:t>
      </w:r>
      <w:r w:rsidRPr="00843144">
        <w:rPr>
          <w:rFonts w:asciiTheme="majorHAnsi" w:hAnsiTheme="majorHAnsi" w:cstheme="majorHAnsi"/>
          <w:sz w:val="24"/>
          <w:szCs w:val="24"/>
          <w:lang w:val="ro-MD"/>
        </w:rPr>
        <w:t>ыми нормами</w:t>
      </w:r>
      <w:r w:rsidR="00C10BD2" w:rsidRPr="00B13B9A">
        <w:rPr>
          <w:rStyle w:val="a9"/>
          <w:rFonts w:asciiTheme="majorHAnsi" w:hAnsiTheme="majorHAnsi" w:cstheme="majorHAnsi"/>
          <w:sz w:val="24"/>
          <w:szCs w:val="24"/>
          <w:lang w:val="ro-MD"/>
        </w:rPr>
        <w:footnoteReference w:id="58"/>
      </w:r>
      <w:r w:rsidR="00C10BD2" w:rsidRPr="00B13B9A">
        <w:rPr>
          <w:rFonts w:asciiTheme="majorHAnsi" w:hAnsiTheme="majorHAnsi" w:cstheme="majorHAnsi"/>
          <w:sz w:val="24"/>
          <w:szCs w:val="24"/>
          <w:lang w:val="ro-MD"/>
        </w:rPr>
        <w:t xml:space="preserve"> </w:t>
      </w:r>
      <w:r w:rsidRPr="00843144">
        <w:rPr>
          <w:rFonts w:asciiTheme="majorHAnsi" w:hAnsiTheme="majorHAnsi" w:cstheme="majorHAnsi"/>
          <w:sz w:val="24"/>
          <w:szCs w:val="24"/>
          <w:lang w:val="ro-MD"/>
        </w:rPr>
        <w:t xml:space="preserve"> при разработке потребностей учреждения и не обеспечили их </w:t>
      </w:r>
      <w:r w:rsidR="00C10BD2">
        <w:rPr>
          <w:rFonts w:asciiTheme="majorHAnsi" w:hAnsiTheme="majorHAnsi" w:cstheme="majorHAnsi"/>
          <w:sz w:val="24"/>
          <w:szCs w:val="24"/>
          <w:lang w:val="ru-RU"/>
        </w:rPr>
        <w:t>надлежа</w:t>
      </w:r>
      <w:r w:rsidRPr="00843144">
        <w:rPr>
          <w:rFonts w:asciiTheme="majorHAnsi" w:hAnsiTheme="majorHAnsi" w:cstheme="majorHAnsi"/>
          <w:sz w:val="24"/>
          <w:szCs w:val="24"/>
          <w:lang w:val="ro-MD"/>
        </w:rPr>
        <w:t xml:space="preserve">щую оценку и точную идентификацию, что </w:t>
      </w:r>
      <w:r w:rsidR="00C10BD2">
        <w:rPr>
          <w:rFonts w:asciiTheme="majorHAnsi" w:hAnsiTheme="majorHAnsi" w:cstheme="majorHAnsi"/>
          <w:sz w:val="24"/>
          <w:szCs w:val="24"/>
          <w:lang w:val="ru-RU"/>
        </w:rPr>
        <w:t>обуслови</w:t>
      </w:r>
      <w:r w:rsidRPr="00843144">
        <w:rPr>
          <w:rFonts w:asciiTheme="majorHAnsi" w:hAnsiTheme="majorHAnsi" w:cstheme="majorHAnsi"/>
          <w:sz w:val="24"/>
          <w:szCs w:val="24"/>
          <w:lang w:val="ro-MD"/>
        </w:rPr>
        <w:t>ло приобретени</w:t>
      </w:r>
      <w:r w:rsidR="00C10BD2">
        <w:rPr>
          <w:rFonts w:asciiTheme="majorHAnsi" w:hAnsiTheme="majorHAnsi" w:cstheme="majorHAnsi"/>
          <w:sz w:val="24"/>
          <w:szCs w:val="24"/>
          <w:lang w:val="ru-RU"/>
        </w:rPr>
        <w:t>е</w:t>
      </w:r>
      <w:r w:rsidRPr="00843144">
        <w:rPr>
          <w:rFonts w:asciiTheme="majorHAnsi" w:hAnsiTheme="majorHAnsi" w:cstheme="majorHAnsi"/>
          <w:sz w:val="24"/>
          <w:szCs w:val="24"/>
          <w:lang w:val="ro-MD"/>
        </w:rPr>
        <w:t xml:space="preserve"> услуг и работ вне плана закупок</w:t>
      </w:r>
      <w:r w:rsidR="00C10BD2">
        <w:rPr>
          <w:rFonts w:asciiTheme="majorHAnsi" w:hAnsiTheme="majorHAnsi" w:cstheme="majorHAnsi"/>
          <w:sz w:val="24"/>
          <w:szCs w:val="24"/>
          <w:lang w:val="ru-RU"/>
        </w:rPr>
        <w:t>,</w:t>
      </w:r>
      <w:r w:rsidRPr="00843144">
        <w:rPr>
          <w:rFonts w:asciiTheme="majorHAnsi" w:hAnsiTheme="majorHAnsi" w:cstheme="majorHAnsi"/>
          <w:sz w:val="24"/>
          <w:szCs w:val="24"/>
          <w:lang w:val="ro-MD"/>
        </w:rPr>
        <w:t xml:space="preserve"> на сумму 247,9 тыс. леев.</w:t>
      </w:r>
    </w:p>
    <w:p w14:paraId="72D113EF" w14:textId="34C454C0" w:rsidR="00B37661" w:rsidRPr="00C10BD2" w:rsidRDefault="00843144" w:rsidP="00B37661">
      <w:pPr>
        <w:tabs>
          <w:tab w:val="left" w:pos="851"/>
        </w:tabs>
        <w:spacing w:after="0" w:line="276" w:lineRule="auto"/>
        <w:jc w:val="both"/>
        <w:rPr>
          <w:rFonts w:asciiTheme="majorHAnsi" w:hAnsiTheme="majorHAnsi" w:cstheme="majorHAnsi"/>
          <w:sz w:val="24"/>
          <w:szCs w:val="24"/>
          <w:lang w:val="ro-MD"/>
        </w:rPr>
      </w:pPr>
      <w:r w:rsidRPr="00843144">
        <w:rPr>
          <w:rFonts w:asciiTheme="majorHAnsi" w:hAnsiTheme="majorHAnsi" w:cstheme="majorHAnsi"/>
          <w:sz w:val="24"/>
          <w:szCs w:val="24"/>
          <w:lang w:val="ro-MD"/>
        </w:rPr>
        <w:t xml:space="preserve">Субъект мотивировал недостатки, выявленные аудитом, </w:t>
      </w:r>
      <w:r w:rsidR="00C10BD2" w:rsidRPr="00B13B9A">
        <w:rPr>
          <w:rFonts w:asciiTheme="majorHAnsi" w:hAnsiTheme="majorHAnsi" w:cstheme="majorHAnsi"/>
          <w:bCs/>
          <w:i/>
          <w:iCs/>
          <w:sz w:val="24"/>
          <w:szCs w:val="24"/>
          <w:lang w:val="ro-MD"/>
        </w:rPr>
        <w:t>„</w:t>
      </w:r>
      <w:r w:rsidRPr="00C10BD2">
        <w:rPr>
          <w:rFonts w:asciiTheme="majorHAnsi" w:hAnsiTheme="majorHAnsi" w:cstheme="majorHAnsi"/>
          <w:i/>
          <w:sz w:val="24"/>
          <w:szCs w:val="24"/>
          <w:lang w:val="ro-MD"/>
        </w:rPr>
        <w:t xml:space="preserve">отсутствием финансовых источников </w:t>
      </w:r>
      <w:r w:rsidR="00C10BD2">
        <w:rPr>
          <w:rFonts w:asciiTheme="majorHAnsi" w:hAnsiTheme="majorHAnsi" w:cstheme="majorHAnsi"/>
          <w:i/>
          <w:sz w:val="24"/>
          <w:szCs w:val="24"/>
          <w:lang w:val="ru-RU"/>
        </w:rPr>
        <w:t xml:space="preserve">для </w:t>
      </w:r>
      <w:r w:rsidRPr="00C10BD2">
        <w:rPr>
          <w:rFonts w:asciiTheme="majorHAnsi" w:hAnsiTheme="majorHAnsi" w:cstheme="majorHAnsi"/>
          <w:i/>
          <w:sz w:val="24"/>
          <w:szCs w:val="24"/>
          <w:lang w:val="ro-MD"/>
        </w:rPr>
        <w:t xml:space="preserve">приобретенных услуг и работ, которые не были включены в первоначальный </w:t>
      </w:r>
      <w:r w:rsidR="00C10BD2">
        <w:rPr>
          <w:rFonts w:asciiTheme="majorHAnsi" w:hAnsiTheme="majorHAnsi" w:cstheme="majorHAnsi"/>
          <w:i/>
          <w:sz w:val="24"/>
          <w:szCs w:val="24"/>
          <w:lang w:val="ru-RU"/>
        </w:rPr>
        <w:t>П</w:t>
      </w:r>
      <w:r w:rsidRPr="00C10BD2">
        <w:rPr>
          <w:rFonts w:asciiTheme="majorHAnsi" w:hAnsiTheme="majorHAnsi" w:cstheme="majorHAnsi"/>
          <w:i/>
          <w:sz w:val="24"/>
          <w:szCs w:val="24"/>
          <w:lang w:val="ro-MD"/>
        </w:rPr>
        <w:t>лан закупок. Впоследствии, в результате выявления необходимых финансовых ресурсов, изменения в план закупок не были внесены”</w:t>
      </w:r>
      <w:r w:rsidR="00B37661" w:rsidRPr="00B13B9A">
        <w:rPr>
          <w:rFonts w:asciiTheme="majorHAnsi" w:hAnsiTheme="majorHAnsi" w:cstheme="majorHAnsi"/>
          <w:bCs/>
          <w:i/>
          <w:iCs/>
          <w:sz w:val="24"/>
          <w:szCs w:val="24"/>
          <w:lang w:val="ro-MD"/>
        </w:rPr>
        <w:t>.</w:t>
      </w:r>
    </w:p>
    <w:p w14:paraId="59F69D0D" w14:textId="77777777" w:rsidR="00B37661" w:rsidRPr="00B13B9A" w:rsidRDefault="00B37661" w:rsidP="00B37661">
      <w:pPr>
        <w:tabs>
          <w:tab w:val="left" w:pos="851"/>
        </w:tabs>
        <w:spacing w:after="0" w:line="276" w:lineRule="auto"/>
        <w:jc w:val="both"/>
        <w:rPr>
          <w:rFonts w:asciiTheme="majorHAnsi" w:hAnsiTheme="majorHAnsi" w:cstheme="majorHAnsi"/>
          <w:sz w:val="24"/>
          <w:szCs w:val="24"/>
          <w:lang w:val="ro-MD"/>
        </w:rPr>
      </w:pPr>
    </w:p>
    <w:p w14:paraId="64F3E4D8" w14:textId="6B90A2A3" w:rsidR="00B37661" w:rsidRPr="00B13B9A" w:rsidRDefault="00843144" w:rsidP="00C10BD2">
      <w:pPr>
        <w:pStyle w:val="a7"/>
        <w:numPr>
          <w:ilvl w:val="2"/>
          <w:numId w:val="10"/>
        </w:numPr>
        <w:tabs>
          <w:tab w:val="left" w:pos="1080"/>
        </w:tabs>
        <w:ind w:left="0" w:firstLine="284"/>
        <w:jc w:val="both"/>
        <w:outlineLvl w:val="2"/>
        <w:rPr>
          <w:rFonts w:asciiTheme="majorHAnsi" w:hAnsiTheme="majorHAnsi" w:cstheme="majorHAnsi"/>
          <w:b/>
          <w:color w:val="000000" w:themeColor="text1"/>
          <w:sz w:val="24"/>
          <w:szCs w:val="24"/>
          <w:lang w:val="ro-MD"/>
        </w:rPr>
      </w:pPr>
      <w:bookmarkStart w:id="40" w:name="_Toc158317243"/>
      <w:r w:rsidRPr="00843144">
        <w:rPr>
          <w:rFonts w:asciiTheme="majorHAnsi" w:hAnsiTheme="majorHAnsi" w:cstheme="majorHAnsi"/>
          <w:b/>
          <w:color w:val="000000" w:themeColor="text1"/>
          <w:sz w:val="24"/>
          <w:szCs w:val="24"/>
          <w:lang w:val="ro-MD"/>
        </w:rPr>
        <w:t xml:space="preserve">Несоблюдение нормативных положений </w:t>
      </w:r>
      <w:r w:rsidR="00C10BD2" w:rsidRPr="00C10BD2">
        <w:rPr>
          <w:rFonts w:asciiTheme="majorHAnsi" w:hAnsiTheme="majorHAnsi" w:cstheme="majorHAnsi"/>
          <w:b/>
          <w:color w:val="000000" w:themeColor="text1"/>
          <w:sz w:val="24"/>
          <w:szCs w:val="24"/>
          <w:lang w:val="ro-MD"/>
        </w:rPr>
        <w:t>обуслови</w:t>
      </w:r>
      <w:r w:rsidRPr="00843144">
        <w:rPr>
          <w:rFonts w:asciiTheme="majorHAnsi" w:hAnsiTheme="majorHAnsi" w:cstheme="majorHAnsi"/>
          <w:b/>
          <w:color w:val="000000" w:themeColor="text1"/>
          <w:sz w:val="24"/>
          <w:szCs w:val="24"/>
          <w:lang w:val="ro-MD"/>
        </w:rPr>
        <w:t xml:space="preserve">ло дроблению государственных закупок путем заключения отдельных договоров для одного и того же </w:t>
      </w:r>
      <w:r w:rsidR="00C10BD2" w:rsidRPr="00C10BD2">
        <w:rPr>
          <w:rFonts w:asciiTheme="majorHAnsi" w:hAnsiTheme="majorHAnsi" w:cstheme="majorHAnsi"/>
          <w:b/>
          <w:color w:val="000000" w:themeColor="text1"/>
          <w:sz w:val="24"/>
          <w:szCs w:val="24"/>
          <w:lang w:val="ro-MD"/>
        </w:rPr>
        <w:t>предме</w:t>
      </w:r>
      <w:r w:rsidRPr="00843144">
        <w:rPr>
          <w:rFonts w:asciiTheme="majorHAnsi" w:hAnsiTheme="majorHAnsi" w:cstheme="majorHAnsi"/>
          <w:b/>
          <w:color w:val="000000" w:themeColor="text1"/>
          <w:sz w:val="24"/>
          <w:szCs w:val="24"/>
          <w:lang w:val="ro-MD"/>
        </w:rPr>
        <w:t xml:space="preserve">та и с одним и тем же экономическим оператором, на сумму 777,8 тыс. леев  </w:t>
      </w:r>
      <w:r w:rsidR="00B37661" w:rsidRPr="00B13B9A">
        <w:rPr>
          <w:rFonts w:asciiTheme="majorHAnsi" w:hAnsiTheme="majorHAnsi" w:cstheme="majorHAnsi"/>
          <w:b/>
          <w:color w:val="000000" w:themeColor="text1"/>
          <w:sz w:val="24"/>
          <w:szCs w:val="24"/>
          <w:lang w:val="ro-MD"/>
        </w:rPr>
        <w:t>.</w:t>
      </w:r>
      <w:bookmarkEnd w:id="40"/>
      <w:r w:rsidR="00B37661" w:rsidRPr="00B13B9A">
        <w:rPr>
          <w:rFonts w:asciiTheme="majorHAnsi" w:hAnsiTheme="majorHAnsi" w:cstheme="majorHAnsi"/>
          <w:b/>
          <w:color w:val="000000" w:themeColor="text1"/>
          <w:sz w:val="24"/>
          <w:szCs w:val="24"/>
          <w:lang w:val="ro-MD"/>
        </w:rPr>
        <w:t xml:space="preserve"> </w:t>
      </w:r>
    </w:p>
    <w:p w14:paraId="7B9F2C99" w14:textId="03623896" w:rsidR="00B37661" w:rsidRPr="00B13B9A" w:rsidRDefault="00843144" w:rsidP="00816F1B">
      <w:pPr>
        <w:tabs>
          <w:tab w:val="left" w:pos="851"/>
        </w:tabs>
        <w:spacing w:after="0" w:line="240" w:lineRule="auto"/>
        <w:contextualSpacing/>
        <w:jc w:val="both"/>
        <w:rPr>
          <w:rFonts w:asciiTheme="majorHAnsi" w:hAnsiTheme="majorHAnsi" w:cstheme="majorHAnsi"/>
          <w:sz w:val="24"/>
          <w:szCs w:val="24"/>
          <w:lang w:val="ro-MD"/>
        </w:rPr>
      </w:pPr>
      <w:r w:rsidRPr="00843144">
        <w:rPr>
          <w:rFonts w:asciiTheme="majorHAnsi" w:hAnsiTheme="majorHAnsi" w:cstheme="majorHAnsi"/>
          <w:sz w:val="24"/>
          <w:szCs w:val="24"/>
          <w:lang w:val="ro-MD"/>
        </w:rPr>
        <w:t xml:space="preserve">Согласно нормам в области государственных закупок, </w:t>
      </w:r>
      <w:r w:rsidR="00C10BD2">
        <w:rPr>
          <w:rFonts w:asciiTheme="majorHAnsi" w:hAnsiTheme="majorHAnsi" w:cstheme="majorHAnsi"/>
          <w:sz w:val="24"/>
          <w:szCs w:val="24"/>
          <w:lang w:val="ru-RU"/>
        </w:rPr>
        <w:t>субъект</w:t>
      </w:r>
      <w:r w:rsidRPr="00843144">
        <w:rPr>
          <w:rFonts w:asciiTheme="majorHAnsi" w:hAnsiTheme="majorHAnsi" w:cstheme="majorHAnsi"/>
          <w:sz w:val="24"/>
          <w:szCs w:val="24"/>
          <w:lang w:val="ro-MD"/>
        </w:rPr>
        <w:t xml:space="preserve"> долж</w:t>
      </w:r>
      <w:r w:rsidR="00C10BD2">
        <w:rPr>
          <w:rFonts w:asciiTheme="majorHAnsi" w:hAnsiTheme="majorHAnsi" w:cstheme="majorHAnsi"/>
          <w:sz w:val="24"/>
          <w:szCs w:val="24"/>
          <w:lang w:val="ru-RU"/>
        </w:rPr>
        <w:t>е</w:t>
      </w:r>
      <w:r w:rsidRPr="00843144">
        <w:rPr>
          <w:rFonts w:asciiTheme="majorHAnsi" w:hAnsiTheme="majorHAnsi" w:cstheme="majorHAnsi"/>
          <w:sz w:val="24"/>
          <w:szCs w:val="24"/>
          <w:lang w:val="ro-MD"/>
        </w:rPr>
        <w:t xml:space="preserve">н был применять процедуры закупок </w:t>
      </w:r>
      <w:r w:rsidR="00C10BD2">
        <w:rPr>
          <w:rFonts w:asciiTheme="majorHAnsi" w:hAnsiTheme="majorHAnsi" w:cstheme="majorHAnsi"/>
          <w:sz w:val="24"/>
          <w:szCs w:val="24"/>
          <w:lang w:val="ru-RU"/>
        </w:rPr>
        <w:t>небольш</w:t>
      </w:r>
      <w:r w:rsidRPr="00843144">
        <w:rPr>
          <w:rFonts w:asciiTheme="majorHAnsi" w:hAnsiTheme="majorHAnsi" w:cstheme="majorHAnsi"/>
          <w:sz w:val="24"/>
          <w:szCs w:val="24"/>
          <w:lang w:val="ro-MD"/>
        </w:rPr>
        <w:t xml:space="preserve">ой стоимости для </w:t>
      </w:r>
      <w:r w:rsidR="00F93C47">
        <w:rPr>
          <w:rFonts w:asciiTheme="majorHAnsi" w:hAnsiTheme="majorHAnsi" w:cstheme="majorHAnsi"/>
          <w:sz w:val="24"/>
          <w:szCs w:val="24"/>
          <w:lang w:val="ro-MD"/>
        </w:rPr>
        <w:t>договор</w:t>
      </w:r>
      <w:r w:rsidRPr="00843144">
        <w:rPr>
          <w:rFonts w:asciiTheme="majorHAnsi" w:hAnsiTheme="majorHAnsi" w:cstheme="majorHAnsi"/>
          <w:sz w:val="24"/>
          <w:szCs w:val="24"/>
          <w:lang w:val="ro-MD"/>
        </w:rPr>
        <w:t xml:space="preserve">ов </w:t>
      </w:r>
      <w:r w:rsidR="00C10BD2">
        <w:rPr>
          <w:rFonts w:asciiTheme="majorHAnsi" w:hAnsiTheme="majorHAnsi" w:cstheme="majorHAnsi"/>
          <w:sz w:val="24"/>
          <w:szCs w:val="24"/>
          <w:lang w:val="ru-RU"/>
        </w:rPr>
        <w:t>о государственных</w:t>
      </w:r>
      <w:r w:rsidRPr="00843144">
        <w:rPr>
          <w:rFonts w:asciiTheme="majorHAnsi" w:hAnsiTheme="majorHAnsi" w:cstheme="majorHAnsi"/>
          <w:sz w:val="24"/>
          <w:szCs w:val="24"/>
          <w:lang w:val="ro-MD"/>
        </w:rPr>
        <w:t xml:space="preserve"> закупк</w:t>
      </w:r>
      <w:r w:rsidR="00C10BD2">
        <w:rPr>
          <w:rFonts w:asciiTheme="majorHAnsi" w:hAnsiTheme="majorHAnsi" w:cstheme="majorHAnsi"/>
          <w:sz w:val="24"/>
          <w:szCs w:val="24"/>
          <w:lang w:val="ru-RU"/>
        </w:rPr>
        <w:t>ах</w:t>
      </w:r>
      <w:r w:rsidRPr="00843144">
        <w:rPr>
          <w:rFonts w:asciiTheme="majorHAnsi" w:hAnsiTheme="majorHAnsi" w:cstheme="majorHAnsi"/>
          <w:sz w:val="24"/>
          <w:szCs w:val="24"/>
          <w:lang w:val="ro-MD"/>
        </w:rPr>
        <w:t xml:space="preserve"> работ, не превышающих 250,0 тыс. леев. О</w:t>
      </w:r>
      <w:r w:rsidR="00C10BD2" w:rsidRPr="00C10BD2">
        <w:rPr>
          <w:rFonts w:asciiTheme="majorHAnsi" w:hAnsiTheme="majorHAnsi" w:cstheme="majorHAnsi"/>
          <w:sz w:val="24"/>
          <w:szCs w:val="24"/>
          <w:lang w:val="ro-MD"/>
        </w:rPr>
        <w:t>тмечается</w:t>
      </w:r>
      <w:r w:rsidRPr="00843144">
        <w:rPr>
          <w:rFonts w:asciiTheme="majorHAnsi" w:hAnsiTheme="majorHAnsi" w:cstheme="majorHAnsi"/>
          <w:sz w:val="24"/>
          <w:szCs w:val="24"/>
          <w:lang w:val="ro-MD"/>
        </w:rPr>
        <w:t xml:space="preserve">, что в 2021 году </w:t>
      </w:r>
      <w:r w:rsidR="00C10BD2">
        <w:rPr>
          <w:rFonts w:asciiTheme="majorHAnsi" w:hAnsiTheme="majorHAnsi" w:cstheme="majorHAnsi"/>
          <w:sz w:val="24"/>
          <w:szCs w:val="24"/>
          <w:lang w:val="ro-MD"/>
        </w:rPr>
        <w:t>субъект</w:t>
      </w:r>
      <w:r w:rsidRPr="00843144">
        <w:rPr>
          <w:rFonts w:asciiTheme="majorHAnsi" w:hAnsiTheme="majorHAnsi" w:cstheme="majorHAnsi"/>
          <w:sz w:val="24"/>
          <w:szCs w:val="24"/>
          <w:lang w:val="ro-MD"/>
        </w:rPr>
        <w:t>, вопреки этим пр</w:t>
      </w:r>
      <w:r w:rsidR="0006432A" w:rsidRPr="0006432A">
        <w:rPr>
          <w:rFonts w:asciiTheme="majorHAnsi" w:hAnsiTheme="majorHAnsi" w:cstheme="majorHAnsi"/>
          <w:sz w:val="24"/>
          <w:szCs w:val="24"/>
          <w:lang w:val="ro-MD"/>
        </w:rPr>
        <w:t>едписаниям</w:t>
      </w:r>
      <w:r w:rsidR="0006432A" w:rsidRPr="00B13B9A">
        <w:rPr>
          <w:rStyle w:val="a9"/>
          <w:rFonts w:asciiTheme="majorHAnsi" w:hAnsiTheme="majorHAnsi" w:cstheme="majorHAnsi"/>
          <w:sz w:val="24"/>
          <w:szCs w:val="24"/>
          <w:lang w:val="ro-MD"/>
        </w:rPr>
        <w:footnoteReference w:id="59"/>
      </w:r>
      <w:r w:rsidRPr="00843144">
        <w:rPr>
          <w:rFonts w:asciiTheme="majorHAnsi" w:hAnsiTheme="majorHAnsi" w:cstheme="majorHAnsi"/>
          <w:sz w:val="24"/>
          <w:szCs w:val="24"/>
          <w:lang w:val="ro-MD"/>
        </w:rPr>
        <w:t xml:space="preserve">, заключил 3 договора </w:t>
      </w:r>
      <w:r w:rsidR="0006432A" w:rsidRPr="0006432A">
        <w:rPr>
          <w:rFonts w:asciiTheme="majorHAnsi" w:hAnsiTheme="majorHAnsi" w:cstheme="majorHAnsi"/>
          <w:sz w:val="24"/>
          <w:szCs w:val="24"/>
          <w:lang w:val="ro-MD"/>
        </w:rPr>
        <w:t>о закупке</w:t>
      </w:r>
      <w:r w:rsidRPr="00843144">
        <w:rPr>
          <w:rFonts w:asciiTheme="majorHAnsi" w:hAnsiTheme="majorHAnsi" w:cstheme="majorHAnsi"/>
          <w:sz w:val="24"/>
          <w:szCs w:val="24"/>
          <w:lang w:val="ro-MD"/>
        </w:rPr>
        <w:t xml:space="preserve"> ремонтных работ на общую сумму 777,8 тыс. леев с </w:t>
      </w:r>
      <w:r w:rsidR="0006432A" w:rsidRPr="0006432A">
        <w:rPr>
          <w:rFonts w:asciiTheme="majorHAnsi" w:hAnsiTheme="majorHAnsi" w:cstheme="majorHAnsi"/>
          <w:sz w:val="24"/>
          <w:szCs w:val="24"/>
          <w:lang w:val="ro-MD"/>
        </w:rPr>
        <w:t xml:space="preserve">одним и </w:t>
      </w:r>
      <w:r w:rsidRPr="00843144">
        <w:rPr>
          <w:rFonts w:asciiTheme="majorHAnsi" w:hAnsiTheme="majorHAnsi" w:cstheme="majorHAnsi"/>
          <w:sz w:val="24"/>
          <w:szCs w:val="24"/>
          <w:lang w:val="ro-MD"/>
        </w:rPr>
        <w:t>тем же экономическим оператором</w:t>
      </w:r>
      <w:r w:rsidR="0006432A" w:rsidRPr="00B13B9A">
        <w:rPr>
          <w:rStyle w:val="a9"/>
          <w:rFonts w:asciiTheme="majorHAnsi" w:hAnsiTheme="majorHAnsi" w:cstheme="majorHAnsi"/>
          <w:sz w:val="24"/>
          <w:szCs w:val="24"/>
          <w:lang w:val="ro-MD"/>
        </w:rPr>
        <w:footnoteReference w:id="60"/>
      </w:r>
      <w:r w:rsidR="0006432A" w:rsidRPr="0006432A">
        <w:rPr>
          <w:rFonts w:asciiTheme="majorHAnsi" w:hAnsiTheme="majorHAnsi" w:cstheme="majorHAnsi"/>
          <w:sz w:val="24"/>
          <w:szCs w:val="24"/>
          <w:lang w:val="ro-MD"/>
        </w:rPr>
        <w:t>, с применением процедуры закупки</w:t>
      </w:r>
      <w:r w:rsidRPr="00843144">
        <w:rPr>
          <w:rFonts w:asciiTheme="majorHAnsi" w:hAnsiTheme="majorHAnsi" w:cstheme="majorHAnsi"/>
          <w:sz w:val="24"/>
          <w:szCs w:val="24"/>
          <w:lang w:val="ro-MD"/>
        </w:rPr>
        <w:t xml:space="preserve"> </w:t>
      </w:r>
      <w:r w:rsidR="0006432A" w:rsidRPr="0006432A">
        <w:rPr>
          <w:rFonts w:asciiTheme="majorHAnsi" w:hAnsiTheme="majorHAnsi" w:cstheme="majorHAnsi"/>
          <w:sz w:val="24"/>
          <w:szCs w:val="24"/>
          <w:lang w:val="ro-MD"/>
        </w:rPr>
        <w:t>небольш</w:t>
      </w:r>
      <w:r w:rsidRPr="00843144">
        <w:rPr>
          <w:rFonts w:asciiTheme="majorHAnsi" w:hAnsiTheme="majorHAnsi" w:cstheme="majorHAnsi"/>
          <w:sz w:val="24"/>
          <w:szCs w:val="24"/>
          <w:lang w:val="ro-MD"/>
        </w:rPr>
        <w:t>ой стоимости, ситуация пр</w:t>
      </w:r>
      <w:r w:rsidR="0006432A" w:rsidRPr="0006432A">
        <w:rPr>
          <w:rFonts w:asciiTheme="majorHAnsi" w:hAnsiTheme="majorHAnsi" w:cstheme="majorHAnsi"/>
          <w:sz w:val="24"/>
          <w:szCs w:val="24"/>
          <w:lang w:val="ro-MD"/>
        </w:rPr>
        <w:t>едставл</w:t>
      </w:r>
      <w:r w:rsidRPr="00843144">
        <w:rPr>
          <w:rFonts w:asciiTheme="majorHAnsi" w:hAnsiTheme="majorHAnsi" w:cstheme="majorHAnsi"/>
          <w:sz w:val="24"/>
          <w:szCs w:val="24"/>
          <w:lang w:val="ro-MD"/>
        </w:rPr>
        <w:t>ена ниже</w:t>
      </w:r>
      <w:r w:rsidR="00B37661" w:rsidRPr="00B13B9A">
        <w:rPr>
          <w:rFonts w:asciiTheme="majorHAnsi" w:hAnsiTheme="majorHAnsi" w:cstheme="majorHAnsi"/>
          <w:sz w:val="24"/>
          <w:szCs w:val="24"/>
          <w:lang w:val="ro-MD"/>
        </w:rPr>
        <w:t xml:space="preserve">: </w:t>
      </w:r>
    </w:p>
    <w:p w14:paraId="247EECA2" w14:textId="575821C5" w:rsidR="00B37661" w:rsidRPr="00B13B9A" w:rsidRDefault="00843144" w:rsidP="00816F1B">
      <w:pPr>
        <w:tabs>
          <w:tab w:val="left" w:pos="851"/>
        </w:tabs>
        <w:spacing w:after="0" w:line="240" w:lineRule="auto"/>
        <w:contextualSpacing/>
        <w:jc w:val="right"/>
        <w:rPr>
          <w:rFonts w:asciiTheme="majorHAnsi" w:hAnsiTheme="majorHAnsi" w:cstheme="majorHAnsi"/>
          <w:i/>
          <w:sz w:val="24"/>
          <w:szCs w:val="24"/>
          <w:lang w:val="ro-MD"/>
        </w:rPr>
      </w:pPr>
      <w:r>
        <w:rPr>
          <w:rFonts w:asciiTheme="majorHAnsi" w:hAnsiTheme="majorHAnsi" w:cstheme="majorHAnsi"/>
          <w:i/>
          <w:sz w:val="24"/>
          <w:szCs w:val="24"/>
          <w:lang w:val="ru-RU"/>
        </w:rPr>
        <w:t>Таблица №</w:t>
      </w:r>
      <w:r w:rsidR="00D37D8A" w:rsidRPr="00B13B9A">
        <w:rPr>
          <w:rFonts w:asciiTheme="majorHAnsi" w:hAnsiTheme="majorHAnsi" w:cstheme="majorHAnsi"/>
          <w:i/>
          <w:sz w:val="24"/>
          <w:szCs w:val="24"/>
          <w:lang w:val="ro-MD"/>
        </w:rPr>
        <w:t>2</w:t>
      </w:r>
    </w:p>
    <w:p w14:paraId="3448D0DA" w14:textId="3CB6BAE4" w:rsidR="00B37661" w:rsidRPr="00B13B9A" w:rsidRDefault="00843144" w:rsidP="00816F1B">
      <w:pPr>
        <w:tabs>
          <w:tab w:val="left" w:pos="851"/>
        </w:tabs>
        <w:spacing w:after="0" w:line="240" w:lineRule="auto"/>
        <w:jc w:val="center"/>
        <w:rPr>
          <w:rFonts w:asciiTheme="majorHAnsi" w:hAnsiTheme="majorHAnsi" w:cstheme="majorHAnsi"/>
          <w:i/>
          <w:sz w:val="24"/>
          <w:szCs w:val="24"/>
          <w:lang w:val="ro-MD"/>
        </w:rPr>
      </w:pPr>
      <w:r w:rsidRPr="00843144">
        <w:rPr>
          <w:rFonts w:asciiTheme="majorHAnsi" w:hAnsiTheme="majorHAnsi" w:cstheme="majorHAnsi"/>
          <w:i/>
          <w:sz w:val="24"/>
          <w:szCs w:val="24"/>
          <w:lang w:val="ro-MD"/>
        </w:rPr>
        <w:t>Информация о договорах государственных закупок ремонтных работ</w:t>
      </w:r>
    </w:p>
    <w:tbl>
      <w:tblPr>
        <w:tblStyle w:val="a3"/>
        <w:tblW w:w="9747" w:type="dxa"/>
        <w:tblLook w:val="04A0" w:firstRow="1" w:lastRow="0" w:firstColumn="1" w:lastColumn="0" w:noHBand="0" w:noVBand="1"/>
      </w:tblPr>
      <w:tblGrid>
        <w:gridCol w:w="1271"/>
        <w:gridCol w:w="3827"/>
        <w:gridCol w:w="1276"/>
        <w:gridCol w:w="1316"/>
        <w:gridCol w:w="1206"/>
        <w:gridCol w:w="851"/>
      </w:tblGrid>
      <w:tr w:rsidR="00B37661" w:rsidRPr="00EC5C4D" w14:paraId="6C9263E2" w14:textId="77777777" w:rsidTr="004B30CE">
        <w:tc>
          <w:tcPr>
            <w:tcW w:w="1271" w:type="dxa"/>
            <w:shd w:val="clear" w:color="auto" w:fill="auto"/>
            <w:vAlign w:val="center"/>
          </w:tcPr>
          <w:p w14:paraId="68811867" w14:textId="0BA45719" w:rsidR="00B37661" w:rsidRPr="00843144" w:rsidRDefault="00843144" w:rsidP="00816F1B">
            <w:pPr>
              <w:tabs>
                <w:tab w:val="left" w:pos="851"/>
              </w:tabs>
              <w:contextualSpacing/>
              <w:jc w:val="center"/>
              <w:rPr>
                <w:rFonts w:asciiTheme="majorHAnsi" w:hAnsiTheme="majorHAnsi" w:cstheme="majorHAnsi"/>
                <w:b/>
                <w:sz w:val="20"/>
                <w:szCs w:val="20"/>
                <w:lang w:val="ru-RU"/>
              </w:rPr>
            </w:pPr>
            <w:r>
              <w:rPr>
                <w:rFonts w:asciiTheme="majorHAnsi" w:hAnsiTheme="majorHAnsi" w:cstheme="majorHAnsi"/>
                <w:b/>
                <w:sz w:val="20"/>
                <w:szCs w:val="20"/>
                <w:lang w:val="ru-RU"/>
              </w:rPr>
              <w:t>№ и дата договора</w:t>
            </w:r>
          </w:p>
        </w:tc>
        <w:tc>
          <w:tcPr>
            <w:tcW w:w="3827" w:type="dxa"/>
            <w:shd w:val="clear" w:color="auto" w:fill="auto"/>
            <w:vAlign w:val="center"/>
          </w:tcPr>
          <w:p w14:paraId="3B92261F" w14:textId="5C559BBB" w:rsidR="00B37661" w:rsidRPr="00843144" w:rsidRDefault="00843144" w:rsidP="00816F1B">
            <w:pPr>
              <w:tabs>
                <w:tab w:val="left" w:pos="851"/>
              </w:tabs>
              <w:contextualSpacing/>
              <w:jc w:val="center"/>
              <w:rPr>
                <w:rFonts w:asciiTheme="majorHAnsi" w:hAnsiTheme="majorHAnsi" w:cstheme="majorHAnsi"/>
                <w:b/>
                <w:sz w:val="20"/>
                <w:szCs w:val="20"/>
                <w:lang w:val="ru-RU"/>
              </w:rPr>
            </w:pPr>
            <w:r>
              <w:rPr>
                <w:rFonts w:asciiTheme="majorHAnsi" w:hAnsiTheme="majorHAnsi" w:cstheme="majorHAnsi"/>
                <w:b/>
                <w:sz w:val="20"/>
                <w:szCs w:val="20"/>
                <w:lang w:val="ru-RU"/>
              </w:rPr>
              <w:t>Предмет договора</w:t>
            </w:r>
          </w:p>
        </w:tc>
        <w:tc>
          <w:tcPr>
            <w:tcW w:w="1276" w:type="dxa"/>
            <w:shd w:val="clear" w:color="auto" w:fill="auto"/>
            <w:vAlign w:val="center"/>
          </w:tcPr>
          <w:p w14:paraId="70CD5304" w14:textId="63DB331F" w:rsidR="00B37661" w:rsidRPr="00B13B9A" w:rsidRDefault="00843144" w:rsidP="00816F1B">
            <w:pPr>
              <w:tabs>
                <w:tab w:val="left" w:pos="851"/>
              </w:tabs>
              <w:contextualSpacing/>
              <w:jc w:val="center"/>
              <w:rPr>
                <w:rFonts w:asciiTheme="majorHAnsi" w:hAnsiTheme="majorHAnsi" w:cstheme="majorHAnsi"/>
                <w:b/>
                <w:sz w:val="20"/>
                <w:szCs w:val="20"/>
                <w:lang w:val="ro-MD"/>
              </w:rPr>
            </w:pPr>
            <w:r>
              <w:rPr>
                <w:rFonts w:asciiTheme="majorHAnsi" w:hAnsiTheme="majorHAnsi" w:cstheme="majorHAnsi"/>
                <w:b/>
                <w:sz w:val="20"/>
                <w:szCs w:val="20"/>
                <w:lang w:val="ru-RU"/>
              </w:rPr>
              <w:t>Стоимость договора</w:t>
            </w:r>
            <w:r w:rsidR="00B37661" w:rsidRPr="00B13B9A">
              <w:rPr>
                <w:rFonts w:asciiTheme="majorHAnsi" w:hAnsiTheme="majorHAnsi" w:cstheme="majorHAnsi"/>
                <w:b/>
                <w:sz w:val="20"/>
                <w:szCs w:val="20"/>
                <w:lang w:val="ro-MD"/>
              </w:rPr>
              <w:t xml:space="preserve"> (</w:t>
            </w:r>
            <w:r w:rsidR="00EC5C4D">
              <w:rPr>
                <w:rFonts w:asciiTheme="majorHAnsi" w:hAnsiTheme="majorHAnsi" w:cstheme="majorHAnsi"/>
                <w:b/>
                <w:sz w:val="20"/>
                <w:szCs w:val="20"/>
                <w:lang w:val="ru-RU"/>
              </w:rPr>
              <w:t>тыс. леев</w:t>
            </w:r>
            <w:r w:rsidR="00B37661" w:rsidRPr="00B13B9A">
              <w:rPr>
                <w:rFonts w:asciiTheme="majorHAnsi" w:hAnsiTheme="majorHAnsi" w:cstheme="majorHAnsi"/>
                <w:b/>
                <w:sz w:val="20"/>
                <w:szCs w:val="20"/>
                <w:lang w:val="ro-MD"/>
              </w:rPr>
              <w:t>)</w:t>
            </w:r>
          </w:p>
        </w:tc>
        <w:tc>
          <w:tcPr>
            <w:tcW w:w="1316" w:type="dxa"/>
            <w:shd w:val="clear" w:color="auto" w:fill="auto"/>
            <w:vAlign w:val="center"/>
          </w:tcPr>
          <w:p w14:paraId="0FF6C5E7" w14:textId="26613871" w:rsidR="00B37661" w:rsidRPr="00B13B9A" w:rsidRDefault="00843144" w:rsidP="00816F1B">
            <w:pPr>
              <w:tabs>
                <w:tab w:val="left" w:pos="851"/>
              </w:tabs>
              <w:contextualSpacing/>
              <w:jc w:val="center"/>
              <w:rPr>
                <w:rFonts w:asciiTheme="majorHAnsi" w:hAnsiTheme="majorHAnsi" w:cstheme="majorHAnsi"/>
                <w:b/>
                <w:sz w:val="20"/>
                <w:szCs w:val="20"/>
                <w:lang w:val="ro-MD"/>
              </w:rPr>
            </w:pPr>
            <w:r>
              <w:rPr>
                <w:rFonts w:asciiTheme="majorHAnsi" w:hAnsiTheme="majorHAnsi" w:cstheme="majorHAnsi"/>
                <w:b/>
                <w:sz w:val="20"/>
                <w:szCs w:val="20"/>
                <w:lang w:val="ru-RU"/>
              </w:rPr>
              <w:t>Срок действия договора</w:t>
            </w:r>
            <w:r w:rsidR="00B37661" w:rsidRPr="00B13B9A">
              <w:rPr>
                <w:rFonts w:asciiTheme="majorHAnsi" w:hAnsiTheme="majorHAnsi" w:cstheme="majorHAnsi"/>
                <w:b/>
                <w:sz w:val="20"/>
                <w:szCs w:val="20"/>
                <w:lang w:val="ro-MD"/>
              </w:rPr>
              <w:t xml:space="preserve"> </w:t>
            </w:r>
          </w:p>
        </w:tc>
        <w:tc>
          <w:tcPr>
            <w:tcW w:w="1206" w:type="dxa"/>
            <w:shd w:val="clear" w:color="auto" w:fill="auto"/>
            <w:vAlign w:val="center"/>
          </w:tcPr>
          <w:p w14:paraId="0912F5BB" w14:textId="35CE6A3B" w:rsidR="00B37661" w:rsidRPr="00843144" w:rsidRDefault="00EC5C4D" w:rsidP="00816F1B">
            <w:pPr>
              <w:tabs>
                <w:tab w:val="left" w:pos="851"/>
              </w:tabs>
              <w:contextualSpacing/>
              <w:jc w:val="center"/>
              <w:rPr>
                <w:rFonts w:asciiTheme="majorHAnsi" w:hAnsiTheme="majorHAnsi" w:cstheme="majorHAnsi"/>
                <w:b/>
                <w:sz w:val="20"/>
                <w:szCs w:val="20"/>
                <w:lang w:val="ru-RU"/>
              </w:rPr>
            </w:pPr>
            <w:r>
              <w:rPr>
                <w:rFonts w:asciiTheme="majorHAnsi" w:hAnsiTheme="majorHAnsi" w:cstheme="majorHAnsi"/>
                <w:b/>
                <w:sz w:val="20"/>
                <w:szCs w:val="20"/>
                <w:lang w:val="ru-RU"/>
              </w:rPr>
              <w:t>Дата оплаты фактуры</w:t>
            </w:r>
          </w:p>
        </w:tc>
        <w:tc>
          <w:tcPr>
            <w:tcW w:w="851" w:type="dxa"/>
            <w:shd w:val="clear" w:color="auto" w:fill="auto"/>
            <w:vAlign w:val="center"/>
          </w:tcPr>
          <w:p w14:paraId="3769ACFF" w14:textId="27CA9674" w:rsidR="00B37661" w:rsidRPr="00EC5C4D" w:rsidRDefault="00EC5C4D" w:rsidP="00816F1B">
            <w:pPr>
              <w:tabs>
                <w:tab w:val="left" w:pos="851"/>
              </w:tabs>
              <w:contextualSpacing/>
              <w:jc w:val="center"/>
              <w:rPr>
                <w:rFonts w:asciiTheme="majorHAnsi" w:hAnsiTheme="majorHAnsi" w:cstheme="majorHAnsi"/>
                <w:b/>
                <w:sz w:val="20"/>
                <w:szCs w:val="20"/>
                <w:lang w:val="ru-RU"/>
              </w:rPr>
            </w:pPr>
            <w:r>
              <w:rPr>
                <w:rFonts w:asciiTheme="majorHAnsi" w:hAnsiTheme="majorHAnsi" w:cstheme="majorHAnsi"/>
                <w:b/>
                <w:sz w:val="20"/>
                <w:szCs w:val="20"/>
                <w:lang w:val="ru-RU"/>
              </w:rPr>
              <w:t>Сумма</w:t>
            </w:r>
          </w:p>
          <w:p w14:paraId="6C1E96F7" w14:textId="72D6728B" w:rsidR="00B37661" w:rsidRPr="00B13B9A" w:rsidRDefault="00B37661" w:rsidP="00816F1B">
            <w:pPr>
              <w:tabs>
                <w:tab w:val="left" w:pos="851"/>
              </w:tabs>
              <w:contextualSpacing/>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w:t>
            </w:r>
            <w:r w:rsidR="00EC5C4D">
              <w:rPr>
                <w:rFonts w:asciiTheme="majorHAnsi" w:hAnsiTheme="majorHAnsi" w:cstheme="majorHAnsi"/>
                <w:b/>
                <w:sz w:val="20"/>
                <w:szCs w:val="20"/>
                <w:lang w:val="ru-RU"/>
              </w:rPr>
              <w:t>тыс. леев</w:t>
            </w:r>
            <w:r w:rsidRPr="00B13B9A">
              <w:rPr>
                <w:rFonts w:asciiTheme="majorHAnsi" w:hAnsiTheme="majorHAnsi" w:cstheme="majorHAnsi"/>
                <w:b/>
                <w:sz w:val="20"/>
                <w:szCs w:val="20"/>
                <w:lang w:val="ro-MD"/>
              </w:rPr>
              <w:t>)</w:t>
            </w:r>
          </w:p>
        </w:tc>
      </w:tr>
      <w:tr w:rsidR="00B37661" w:rsidRPr="00B13B9A" w14:paraId="618F7C0F" w14:textId="77777777" w:rsidTr="004B30CE">
        <w:tc>
          <w:tcPr>
            <w:tcW w:w="1271" w:type="dxa"/>
            <w:vMerge w:val="restart"/>
            <w:vAlign w:val="center"/>
          </w:tcPr>
          <w:p w14:paraId="470ED381" w14:textId="4B14BA32" w:rsidR="00B37661" w:rsidRPr="00B13B9A" w:rsidRDefault="00EC5C4D" w:rsidP="00EC5C4D">
            <w:pPr>
              <w:tabs>
                <w:tab w:val="left" w:pos="851"/>
              </w:tabs>
              <w:spacing w:line="276" w:lineRule="auto"/>
              <w:jc w:val="center"/>
              <w:rPr>
                <w:rFonts w:asciiTheme="majorHAnsi" w:hAnsiTheme="majorHAnsi" w:cstheme="majorHAnsi"/>
                <w:sz w:val="20"/>
                <w:szCs w:val="20"/>
                <w:lang w:val="ro-MD"/>
              </w:rPr>
            </w:pPr>
            <w:r>
              <w:rPr>
                <w:rFonts w:asciiTheme="majorHAnsi" w:hAnsiTheme="majorHAnsi" w:cstheme="majorHAnsi"/>
                <w:sz w:val="20"/>
                <w:szCs w:val="20"/>
                <w:lang w:val="ro-MD"/>
              </w:rPr>
              <w:t>№</w:t>
            </w:r>
            <w:r w:rsidR="00B37661" w:rsidRPr="00B13B9A">
              <w:rPr>
                <w:rFonts w:asciiTheme="majorHAnsi" w:hAnsiTheme="majorHAnsi" w:cstheme="majorHAnsi"/>
                <w:sz w:val="20"/>
                <w:szCs w:val="20"/>
                <w:lang w:val="ro-MD"/>
              </w:rPr>
              <w:t xml:space="preserve">13 </w:t>
            </w:r>
            <w:r>
              <w:rPr>
                <w:rFonts w:asciiTheme="majorHAnsi" w:hAnsiTheme="majorHAnsi" w:cstheme="majorHAnsi"/>
                <w:sz w:val="20"/>
                <w:szCs w:val="20"/>
                <w:lang w:val="ru-RU"/>
              </w:rPr>
              <w:t>от</w:t>
            </w:r>
            <w:r w:rsidR="00B37661" w:rsidRPr="00B13B9A">
              <w:rPr>
                <w:rFonts w:asciiTheme="majorHAnsi" w:hAnsiTheme="majorHAnsi" w:cstheme="majorHAnsi"/>
                <w:sz w:val="20"/>
                <w:szCs w:val="20"/>
                <w:lang w:val="ro-MD"/>
              </w:rPr>
              <w:t xml:space="preserve"> 31.05.2021</w:t>
            </w:r>
          </w:p>
        </w:tc>
        <w:tc>
          <w:tcPr>
            <w:tcW w:w="3827" w:type="dxa"/>
            <w:vMerge w:val="restart"/>
            <w:vAlign w:val="center"/>
          </w:tcPr>
          <w:p w14:paraId="1ED4E630" w14:textId="53FB8DC0" w:rsidR="00B37661" w:rsidRPr="00B13B9A" w:rsidRDefault="00EC5C4D" w:rsidP="00E976F0">
            <w:pPr>
              <w:tabs>
                <w:tab w:val="left" w:pos="851"/>
              </w:tabs>
              <w:jc w:val="both"/>
              <w:rPr>
                <w:rFonts w:asciiTheme="majorHAnsi" w:hAnsiTheme="majorHAnsi" w:cstheme="majorHAnsi"/>
                <w:b/>
                <w:sz w:val="20"/>
                <w:szCs w:val="20"/>
                <w:lang w:val="ro-MD"/>
              </w:rPr>
            </w:pPr>
            <w:r w:rsidRPr="00EC5C4D">
              <w:rPr>
                <w:rFonts w:asciiTheme="majorHAnsi" w:hAnsiTheme="majorHAnsi" w:cstheme="majorHAnsi"/>
                <w:sz w:val="20"/>
                <w:szCs w:val="20"/>
                <w:lang w:val="ro-MD"/>
              </w:rPr>
              <w:t>Работы по частичному ремонту внутренних сетей питьевой воды в подвале Национальной референс лаборатории</w:t>
            </w:r>
          </w:p>
        </w:tc>
        <w:tc>
          <w:tcPr>
            <w:tcW w:w="1276" w:type="dxa"/>
            <w:vMerge w:val="restart"/>
            <w:vAlign w:val="center"/>
          </w:tcPr>
          <w:p w14:paraId="688F8F9C" w14:textId="77777777" w:rsidR="00B37661" w:rsidRPr="00B13B9A" w:rsidRDefault="00B37661" w:rsidP="00553C24">
            <w:pPr>
              <w:tabs>
                <w:tab w:val="left" w:pos="851"/>
              </w:tabs>
              <w:spacing w:line="276" w:lineRule="auto"/>
              <w:jc w:val="center"/>
              <w:rPr>
                <w:rFonts w:asciiTheme="majorHAnsi" w:hAnsiTheme="majorHAnsi" w:cstheme="majorHAnsi"/>
                <w:b/>
                <w:sz w:val="20"/>
                <w:szCs w:val="20"/>
                <w:lang w:val="ro-MD"/>
              </w:rPr>
            </w:pPr>
            <w:r w:rsidRPr="00B13B9A">
              <w:rPr>
                <w:rFonts w:asciiTheme="majorHAnsi" w:hAnsiTheme="majorHAnsi" w:cstheme="majorHAnsi"/>
                <w:sz w:val="20"/>
                <w:szCs w:val="20"/>
                <w:lang w:val="ro-MD"/>
              </w:rPr>
              <w:t>179,3</w:t>
            </w:r>
          </w:p>
        </w:tc>
        <w:tc>
          <w:tcPr>
            <w:tcW w:w="1316" w:type="dxa"/>
            <w:vMerge w:val="restart"/>
            <w:vAlign w:val="center"/>
          </w:tcPr>
          <w:p w14:paraId="66853B25"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b/>
                <w:sz w:val="20"/>
                <w:szCs w:val="20"/>
                <w:lang w:val="ro-MD"/>
              </w:rPr>
              <w:t>01.09.2021</w:t>
            </w:r>
          </w:p>
        </w:tc>
        <w:tc>
          <w:tcPr>
            <w:tcW w:w="1206" w:type="dxa"/>
            <w:vAlign w:val="center"/>
          </w:tcPr>
          <w:p w14:paraId="203AF4BA"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19.07.2021</w:t>
            </w:r>
          </w:p>
        </w:tc>
        <w:tc>
          <w:tcPr>
            <w:tcW w:w="851" w:type="dxa"/>
            <w:vAlign w:val="center"/>
          </w:tcPr>
          <w:p w14:paraId="10CB47D5"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69,3</w:t>
            </w:r>
          </w:p>
        </w:tc>
      </w:tr>
      <w:tr w:rsidR="00B37661" w:rsidRPr="00B13B9A" w14:paraId="394F4956" w14:textId="77777777" w:rsidTr="004B30CE">
        <w:tc>
          <w:tcPr>
            <w:tcW w:w="1271" w:type="dxa"/>
            <w:vMerge/>
            <w:vAlign w:val="center"/>
          </w:tcPr>
          <w:p w14:paraId="589748CE"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p>
        </w:tc>
        <w:tc>
          <w:tcPr>
            <w:tcW w:w="3827" w:type="dxa"/>
            <w:vMerge/>
            <w:vAlign w:val="center"/>
          </w:tcPr>
          <w:p w14:paraId="3ED0DC41" w14:textId="77777777" w:rsidR="00B37661" w:rsidRPr="00B13B9A" w:rsidRDefault="00B37661" w:rsidP="00553C24">
            <w:pPr>
              <w:tabs>
                <w:tab w:val="left" w:pos="851"/>
              </w:tabs>
              <w:spacing w:line="276" w:lineRule="auto"/>
              <w:jc w:val="both"/>
              <w:rPr>
                <w:rFonts w:asciiTheme="majorHAnsi" w:hAnsiTheme="majorHAnsi" w:cstheme="majorHAnsi"/>
                <w:b/>
                <w:sz w:val="20"/>
                <w:szCs w:val="20"/>
                <w:lang w:val="ro-MD"/>
              </w:rPr>
            </w:pPr>
          </w:p>
        </w:tc>
        <w:tc>
          <w:tcPr>
            <w:tcW w:w="1276" w:type="dxa"/>
            <w:vMerge/>
            <w:vAlign w:val="center"/>
          </w:tcPr>
          <w:p w14:paraId="6D9E8626" w14:textId="77777777" w:rsidR="00B37661" w:rsidRPr="00B13B9A" w:rsidRDefault="00B37661" w:rsidP="00553C24">
            <w:pPr>
              <w:tabs>
                <w:tab w:val="left" w:pos="851"/>
              </w:tabs>
              <w:spacing w:line="276" w:lineRule="auto"/>
              <w:jc w:val="center"/>
              <w:rPr>
                <w:rFonts w:asciiTheme="majorHAnsi" w:hAnsiTheme="majorHAnsi" w:cstheme="majorHAnsi"/>
                <w:b/>
                <w:sz w:val="20"/>
                <w:szCs w:val="20"/>
                <w:lang w:val="ro-MD"/>
              </w:rPr>
            </w:pPr>
          </w:p>
        </w:tc>
        <w:tc>
          <w:tcPr>
            <w:tcW w:w="1316" w:type="dxa"/>
            <w:vMerge/>
            <w:vAlign w:val="center"/>
          </w:tcPr>
          <w:p w14:paraId="758D4627"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p>
        </w:tc>
        <w:tc>
          <w:tcPr>
            <w:tcW w:w="1206" w:type="dxa"/>
            <w:vAlign w:val="center"/>
          </w:tcPr>
          <w:p w14:paraId="47C94B2A"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01.09.2021</w:t>
            </w:r>
          </w:p>
        </w:tc>
        <w:tc>
          <w:tcPr>
            <w:tcW w:w="851" w:type="dxa"/>
            <w:vAlign w:val="center"/>
          </w:tcPr>
          <w:p w14:paraId="105573FC"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110,0</w:t>
            </w:r>
          </w:p>
        </w:tc>
      </w:tr>
      <w:tr w:rsidR="00B37661" w:rsidRPr="00B13B9A" w14:paraId="40D31D49" w14:textId="77777777" w:rsidTr="004B30CE">
        <w:tc>
          <w:tcPr>
            <w:tcW w:w="1271" w:type="dxa"/>
            <w:vMerge w:val="restart"/>
            <w:vAlign w:val="center"/>
          </w:tcPr>
          <w:p w14:paraId="31BD4A53" w14:textId="3B3E6FCD" w:rsidR="00B37661" w:rsidRPr="00B13B9A" w:rsidRDefault="00EC5C4D" w:rsidP="00EC5C4D">
            <w:pPr>
              <w:tabs>
                <w:tab w:val="left" w:pos="851"/>
              </w:tabs>
              <w:spacing w:line="276" w:lineRule="auto"/>
              <w:jc w:val="center"/>
              <w:rPr>
                <w:rFonts w:asciiTheme="majorHAnsi" w:hAnsiTheme="majorHAnsi" w:cstheme="majorHAnsi"/>
                <w:sz w:val="20"/>
                <w:szCs w:val="20"/>
                <w:lang w:val="ro-MD"/>
              </w:rPr>
            </w:pPr>
            <w:r>
              <w:rPr>
                <w:rFonts w:asciiTheme="majorHAnsi" w:hAnsiTheme="majorHAnsi" w:cstheme="majorHAnsi"/>
                <w:sz w:val="20"/>
                <w:szCs w:val="20"/>
                <w:lang w:val="ro-MD"/>
              </w:rPr>
              <w:t>№</w:t>
            </w:r>
            <w:r w:rsidR="00B37661" w:rsidRPr="00B13B9A">
              <w:rPr>
                <w:rFonts w:asciiTheme="majorHAnsi" w:hAnsiTheme="majorHAnsi" w:cstheme="majorHAnsi"/>
                <w:sz w:val="20"/>
                <w:szCs w:val="20"/>
                <w:lang w:val="ro-MD"/>
              </w:rPr>
              <w:t xml:space="preserve">14 </w:t>
            </w:r>
            <w:r>
              <w:rPr>
                <w:rFonts w:asciiTheme="majorHAnsi" w:hAnsiTheme="majorHAnsi" w:cstheme="majorHAnsi"/>
                <w:sz w:val="20"/>
                <w:szCs w:val="20"/>
                <w:lang w:val="ru-RU"/>
              </w:rPr>
              <w:t>от</w:t>
            </w:r>
            <w:r w:rsidR="00B37661" w:rsidRPr="00B13B9A">
              <w:rPr>
                <w:rFonts w:asciiTheme="majorHAnsi" w:hAnsiTheme="majorHAnsi" w:cstheme="majorHAnsi"/>
                <w:sz w:val="20"/>
                <w:szCs w:val="20"/>
                <w:lang w:val="ro-MD"/>
              </w:rPr>
              <w:t xml:space="preserve"> 30.06.2021</w:t>
            </w:r>
          </w:p>
        </w:tc>
        <w:tc>
          <w:tcPr>
            <w:tcW w:w="3827" w:type="dxa"/>
            <w:vMerge w:val="restart"/>
            <w:vAlign w:val="center"/>
          </w:tcPr>
          <w:p w14:paraId="45D92313" w14:textId="4D418D71" w:rsidR="00B37661" w:rsidRPr="00B13B9A" w:rsidRDefault="00EC5C4D" w:rsidP="00EC5C4D">
            <w:pPr>
              <w:tabs>
                <w:tab w:val="left" w:pos="851"/>
              </w:tabs>
              <w:jc w:val="both"/>
              <w:rPr>
                <w:rFonts w:asciiTheme="majorHAnsi" w:hAnsiTheme="majorHAnsi" w:cstheme="majorHAnsi"/>
                <w:sz w:val="20"/>
                <w:szCs w:val="20"/>
                <w:lang w:val="ro-MD"/>
              </w:rPr>
            </w:pPr>
            <w:r w:rsidRPr="00EC5C4D">
              <w:rPr>
                <w:rFonts w:asciiTheme="majorHAnsi" w:hAnsiTheme="majorHAnsi" w:cstheme="majorHAnsi"/>
                <w:sz w:val="20"/>
                <w:szCs w:val="20"/>
                <w:lang w:val="ro-MD"/>
              </w:rPr>
              <w:t>Работы по капитальному ремонту кабинета</w:t>
            </w:r>
            <w:r w:rsidR="00B37661" w:rsidRPr="00B13B9A">
              <w:rPr>
                <w:rFonts w:asciiTheme="majorHAnsi" w:hAnsiTheme="majorHAnsi" w:cstheme="majorHAnsi"/>
                <w:sz w:val="20"/>
                <w:szCs w:val="20"/>
                <w:lang w:val="ro-MD"/>
              </w:rPr>
              <w:t xml:space="preserve"> 512 (</w:t>
            </w:r>
            <w:r>
              <w:rPr>
                <w:rFonts w:asciiTheme="majorHAnsi" w:hAnsiTheme="majorHAnsi" w:cstheme="majorHAnsi"/>
                <w:sz w:val="20"/>
                <w:szCs w:val="20"/>
                <w:lang w:val="ru-RU"/>
              </w:rPr>
              <w:t xml:space="preserve">Кабинет </w:t>
            </w:r>
            <w:r w:rsidR="00B37661" w:rsidRPr="00B13B9A">
              <w:rPr>
                <w:rFonts w:asciiTheme="majorHAnsi" w:hAnsiTheme="majorHAnsi" w:cstheme="majorHAnsi"/>
                <w:sz w:val="20"/>
                <w:szCs w:val="20"/>
                <w:lang w:val="ro-MD"/>
              </w:rPr>
              <w:t xml:space="preserve"> </w:t>
            </w:r>
            <w:r>
              <w:rPr>
                <w:rFonts w:asciiTheme="majorHAnsi" w:hAnsiTheme="majorHAnsi" w:cstheme="majorHAnsi"/>
                <w:sz w:val="20"/>
                <w:szCs w:val="20"/>
                <w:lang w:val="ru-RU"/>
              </w:rPr>
              <w:t>ЛОР</w:t>
            </w:r>
            <w:r w:rsidR="00B37661" w:rsidRPr="00B13B9A">
              <w:rPr>
                <w:rFonts w:asciiTheme="majorHAnsi" w:hAnsiTheme="majorHAnsi" w:cstheme="majorHAnsi"/>
                <w:sz w:val="20"/>
                <w:szCs w:val="20"/>
                <w:lang w:val="ro-MD"/>
              </w:rPr>
              <w:t>)</w:t>
            </w:r>
          </w:p>
        </w:tc>
        <w:tc>
          <w:tcPr>
            <w:tcW w:w="1276" w:type="dxa"/>
            <w:vMerge w:val="restart"/>
            <w:vAlign w:val="center"/>
          </w:tcPr>
          <w:p w14:paraId="36237056" w14:textId="77777777" w:rsidR="00B37661" w:rsidRPr="00B13B9A" w:rsidRDefault="00B37661" w:rsidP="00553C24">
            <w:pPr>
              <w:tabs>
                <w:tab w:val="left" w:pos="851"/>
              </w:tabs>
              <w:spacing w:line="276" w:lineRule="auto"/>
              <w:jc w:val="center"/>
              <w:rPr>
                <w:rFonts w:asciiTheme="majorHAnsi" w:hAnsiTheme="majorHAnsi" w:cstheme="majorHAnsi"/>
                <w:b/>
                <w:sz w:val="20"/>
                <w:szCs w:val="20"/>
                <w:lang w:val="ro-MD"/>
              </w:rPr>
            </w:pPr>
            <w:r w:rsidRPr="00B13B9A">
              <w:rPr>
                <w:rFonts w:asciiTheme="majorHAnsi" w:hAnsiTheme="majorHAnsi" w:cstheme="majorHAnsi"/>
                <w:sz w:val="20"/>
                <w:szCs w:val="20"/>
                <w:lang w:val="ro-MD"/>
              </w:rPr>
              <w:t>298,6</w:t>
            </w:r>
          </w:p>
        </w:tc>
        <w:tc>
          <w:tcPr>
            <w:tcW w:w="1316" w:type="dxa"/>
            <w:vMerge w:val="restart"/>
            <w:vAlign w:val="center"/>
          </w:tcPr>
          <w:p w14:paraId="08996451"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b/>
                <w:sz w:val="20"/>
                <w:szCs w:val="20"/>
                <w:lang w:val="ro-MD"/>
              </w:rPr>
              <w:t>01.09.2021</w:t>
            </w:r>
          </w:p>
        </w:tc>
        <w:tc>
          <w:tcPr>
            <w:tcW w:w="1206" w:type="dxa"/>
            <w:vAlign w:val="center"/>
          </w:tcPr>
          <w:p w14:paraId="7FAA3F6E"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19.07.2021</w:t>
            </w:r>
          </w:p>
        </w:tc>
        <w:tc>
          <w:tcPr>
            <w:tcW w:w="851" w:type="dxa"/>
            <w:vAlign w:val="center"/>
          </w:tcPr>
          <w:p w14:paraId="41504E28"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159,4</w:t>
            </w:r>
          </w:p>
        </w:tc>
      </w:tr>
      <w:tr w:rsidR="00B37661" w:rsidRPr="00B13B9A" w14:paraId="69BD2C99" w14:textId="77777777" w:rsidTr="004B30CE">
        <w:tc>
          <w:tcPr>
            <w:tcW w:w="1271" w:type="dxa"/>
            <w:vMerge/>
            <w:vAlign w:val="center"/>
          </w:tcPr>
          <w:p w14:paraId="7E1761AB"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p>
        </w:tc>
        <w:tc>
          <w:tcPr>
            <w:tcW w:w="3827" w:type="dxa"/>
            <w:vMerge/>
            <w:vAlign w:val="center"/>
          </w:tcPr>
          <w:p w14:paraId="620AC964" w14:textId="77777777" w:rsidR="00B37661" w:rsidRPr="00B13B9A" w:rsidRDefault="00B37661" w:rsidP="00553C24">
            <w:pPr>
              <w:tabs>
                <w:tab w:val="left" w:pos="851"/>
              </w:tabs>
              <w:jc w:val="both"/>
              <w:rPr>
                <w:rFonts w:asciiTheme="majorHAnsi" w:hAnsiTheme="majorHAnsi" w:cstheme="majorHAnsi"/>
                <w:sz w:val="20"/>
                <w:szCs w:val="20"/>
                <w:lang w:val="ro-MD"/>
              </w:rPr>
            </w:pPr>
          </w:p>
        </w:tc>
        <w:tc>
          <w:tcPr>
            <w:tcW w:w="1276" w:type="dxa"/>
            <w:vMerge/>
            <w:vAlign w:val="center"/>
          </w:tcPr>
          <w:p w14:paraId="52DCED4D" w14:textId="77777777" w:rsidR="00B37661" w:rsidRPr="00B13B9A" w:rsidRDefault="00B37661" w:rsidP="00553C24">
            <w:pPr>
              <w:tabs>
                <w:tab w:val="left" w:pos="851"/>
              </w:tabs>
              <w:spacing w:line="276" w:lineRule="auto"/>
              <w:jc w:val="center"/>
              <w:rPr>
                <w:rFonts w:asciiTheme="majorHAnsi" w:hAnsiTheme="majorHAnsi" w:cstheme="majorHAnsi"/>
                <w:b/>
                <w:sz w:val="20"/>
                <w:szCs w:val="20"/>
                <w:lang w:val="ro-MD"/>
              </w:rPr>
            </w:pPr>
          </w:p>
        </w:tc>
        <w:tc>
          <w:tcPr>
            <w:tcW w:w="1316" w:type="dxa"/>
            <w:vMerge/>
            <w:vAlign w:val="center"/>
          </w:tcPr>
          <w:p w14:paraId="00887300"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p>
        </w:tc>
        <w:tc>
          <w:tcPr>
            <w:tcW w:w="1206" w:type="dxa"/>
            <w:vAlign w:val="center"/>
          </w:tcPr>
          <w:p w14:paraId="0DB07A2E"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12.08.2021</w:t>
            </w:r>
          </w:p>
        </w:tc>
        <w:tc>
          <w:tcPr>
            <w:tcW w:w="851" w:type="dxa"/>
            <w:vAlign w:val="center"/>
          </w:tcPr>
          <w:p w14:paraId="464BEC83"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80,7</w:t>
            </w:r>
          </w:p>
        </w:tc>
      </w:tr>
      <w:tr w:rsidR="00B37661" w:rsidRPr="00B13B9A" w14:paraId="5EC1F031" w14:textId="77777777" w:rsidTr="004B30CE">
        <w:tc>
          <w:tcPr>
            <w:tcW w:w="1271" w:type="dxa"/>
            <w:vMerge/>
            <w:vAlign w:val="center"/>
          </w:tcPr>
          <w:p w14:paraId="1964EB5C"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p>
        </w:tc>
        <w:tc>
          <w:tcPr>
            <w:tcW w:w="3827" w:type="dxa"/>
            <w:vMerge/>
            <w:vAlign w:val="center"/>
          </w:tcPr>
          <w:p w14:paraId="4FA5F2FA" w14:textId="77777777" w:rsidR="00B37661" w:rsidRPr="00B13B9A" w:rsidRDefault="00B37661" w:rsidP="00553C24">
            <w:pPr>
              <w:tabs>
                <w:tab w:val="left" w:pos="851"/>
              </w:tabs>
              <w:jc w:val="both"/>
              <w:rPr>
                <w:rFonts w:asciiTheme="majorHAnsi" w:hAnsiTheme="majorHAnsi" w:cstheme="majorHAnsi"/>
                <w:sz w:val="20"/>
                <w:szCs w:val="20"/>
                <w:lang w:val="ro-MD"/>
              </w:rPr>
            </w:pPr>
          </w:p>
        </w:tc>
        <w:tc>
          <w:tcPr>
            <w:tcW w:w="1276" w:type="dxa"/>
            <w:vMerge/>
            <w:vAlign w:val="center"/>
          </w:tcPr>
          <w:p w14:paraId="2C673065" w14:textId="77777777" w:rsidR="00B37661" w:rsidRPr="00B13B9A" w:rsidRDefault="00B37661" w:rsidP="00553C24">
            <w:pPr>
              <w:tabs>
                <w:tab w:val="left" w:pos="851"/>
              </w:tabs>
              <w:spacing w:line="276" w:lineRule="auto"/>
              <w:jc w:val="center"/>
              <w:rPr>
                <w:rFonts w:asciiTheme="majorHAnsi" w:hAnsiTheme="majorHAnsi" w:cstheme="majorHAnsi"/>
                <w:b/>
                <w:sz w:val="20"/>
                <w:szCs w:val="20"/>
                <w:lang w:val="ro-MD"/>
              </w:rPr>
            </w:pPr>
          </w:p>
        </w:tc>
        <w:tc>
          <w:tcPr>
            <w:tcW w:w="1316" w:type="dxa"/>
            <w:vMerge/>
            <w:vAlign w:val="center"/>
          </w:tcPr>
          <w:p w14:paraId="0DB868CA"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p>
        </w:tc>
        <w:tc>
          <w:tcPr>
            <w:tcW w:w="1206" w:type="dxa"/>
            <w:vAlign w:val="center"/>
          </w:tcPr>
          <w:p w14:paraId="7698B58B" w14:textId="77777777" w:rsidR="00B37661" w:rsidRPr="00B13B9A" w:rsidRDefault="00B37661" w:rsidP="00553C24">
            <w:pPr>
              <w:tabs>
                <w:tab w:val="left" w:pos="851"/>
              </w:tabs>
              <w:spacing w:line="276" w:lineRule="auto"/>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12.09.2021</w:t>
            </w:r>
          </w:p>
        </w:tc>
        <w:tc>
          <w:tcPr>
            <w:tcW w:w="851" w:type="dxa"/>
            <w:vAlign w:val="center"/>
          </w:tcPr>
          <w:p w14:paraId="5B797D1F"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58,5</w:t>
            </w:r>
          </w:p>
        </w:tc>
      </w:tr>
      <w:tr w:rsidR="00B37661" w:rsidRPr="00B13B9A" w14:paraId="400E9EF1" w14:textId="77777777" w:rsidTr="004B30CE">
        <w:tc>
          <w:tcPr>
            <w:tcW w:w="1271" w:type="dxa"/>
            <w:vMerge w:val="restart"/>
            <w:vAlign w:val="center"/>
          </w:tcPr>
          <w:p w14:paraId="51287126"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p>
          <w:p w14:paraId="1789A77B" w14:textId="3DF5E968" w:rsidR="00B37661" w:rsidRPr="00B13B9A" w:rsidRDefault="00EC5C4D" w:rsidP="00EC5C4D">
            <w:pPr>
              <w:tabs>
                <w:tab w:val="left" w:pos="851"/>
              </w:tabs>
              <w:spacing w:line="276" w:lineRule="auto"/>
              <w:jc w:val="center"/>
              <w:rPr>
                <w:rFonts w:asciiTheme="majorHAnsi" w:hAnsiTheme="majorHAnsi" w:cstheme="majorHAnsi"/>
                <w:sz w:val="20"/>
                <w:szCs w:val="20"/>
                <w:lang w:val="ro-MD"/>
              </w:rPr>
            </w:pPr>
            <w:r>
              <w:rPr>
                <w:rFonts w:asciiTheme="majorHAnsi" w:hAnsiTheme="majorHAnsi" w:cstheme="majorHAnsi"/>
                <w:sz w:val="20"/>
                <w:szCs w:val="20"/>
                <w:lang w:val="ro-MD"/>
              </w:rPr>
              <w:t>№</w:t>
            </w:r>
            <w:r w:rsidR="00B37661" w:rsidRPr="00B13B9A">
              <w:rPr>
                <w:rFonts w:asciiTheme="majorHAnsi" w:hAnsiTheme="majorHAnsi" w:cstheme="majorHAnsi"/>
                <w:sz w:val="20"/>
                <w:szCs w:val="20"/>
                <w:lang w:val="ro-MD"/>
              </w:rPr>
              <w:t xml:space="preserve">31 </w:t>
            </w:r>
            <w:r>
              <w:rPr>
                <w:rFonts w:asciiTheme="majorHAnsi" w:hAnsiTheme="majorHAnsi" w:cstheme="majorHAnsi"/>
                <w:sz w:val="20"/>
                <w:szCs w:val="20"/>
                <w:lang w:val="ru-RU"/>
              </w:rPr>
              <w:t>от</w:t>
            </w:r>
            <w:r w:rsidR="00B37661" w:rsidRPr="00B13B9A">
              <w:rPr>
                <w:rFonts w:asciiTheme="majorHAnsi" w:hAnsiTheme="majorHAnsi" w:cstheme="majorHAnsi"/>
                <w:sz w:val="20"/>
                <w:szCs w:val="20"/>
                <w:lang w:val="ro-MD"/>
              </w:rPr>
              <w:t xml:space="preserve"> 04.10.2021</w:t>
            </w:r>
          </w:p>
        </w:tc>
        <w:tc>
          <w:tcPr>
            <w:tcW w:w="3827" w:type="dxa"/>
            <w:vMerge w:val="restart"/>
            <w:vAlign w:val="center"/>
          </w:tcPr>
          <w:p w14:paraId="16EAEA02" w14:textId="07A9C37D" w:rsidR="00B37661" w:rsidRPr="00EC5C4D" w:rsidRDefault="00EC5C4D" w:rsidP="00EC5C4D">
            <w:pPr>
              <w:tabs>
                <w:tab w:val="left" w:pos="851"/>
              </w:tabs>
              <w:jc w:val="both"/>
              <w:rPr>
                <w:rFonts w:asciiTheme="majorHAnsi" w:hAnsiTheme="majorHAnsi" w:cstheme="majorHAnsi"/>
                <w:sz w:val="20"/>
                <w:szCs w:val="20"/>
                <w:lang w:val="ru-RU"/>
              </w:rPr>
            </w:pPr>
            <w:r w:rsidRPr="00EC5C4D">
              <w:rPr>
                <w:rFonts w:asciiTheme="majorHAnsi" w:hAnsiTheme="majorHAnsi" w:cstheme="majorHAnsi"/>
                <w:sz w:val="20"/>
                <w:szCs w:val="20"/>
                <w:lang w:val="ro-MD"/>
              </w:rPr>
              <w:t>Работы по ремонту кабинета</w:t>
            </w:r>
            <w:r w:rsidRPr="00B13B9A">
              <w:rPr>
                <w:rFonts w:asciiTheme="majorHAnsi" w:hAnsiTheme="majorHAnsi" w:cstheme="majorHAnsi"/>
                <w:sz w:val="20"/>
                <w:szCs w:val="20"/>
                <w:lang w:val="ro-MD"/>
              </w:rPr>
              <w:t xml:space="preserve"> </w:t>
            </w:r>
            <w:r>
              <w:rPr>
                <w:rFonts w:asciiTheme="majorHAnsi" w:hAnsiTheme="majorHAnsi" w:cstheme="majorHAnsi"/>
                <w:sz w:val="20"/>
                <w:szCs w:val="20"/>
                <w:lang w:val="ro-MD"/>
              </w:rPr>
              <w:t>№</w:t>
            </w:r>
            <w:r w:rsidR="00B37661" w:rsidRPr="00B13B9A">
              <w:rPr>
                <w:rFonts w:asciiTheme="majorHAnsi" w:hAnsiTheme="majorHAnsi" w:cstheme="majorHAnsi"/>
                <w:sz w:val="20"/>
                <w:szCs w:val="20"/>
                <w:lang w:val="ro-MD"/>
              </w:rPr>
              <w:t xml:space="preserve">511 </w:t>
            </w:r>
            <w:r>
              <w:rPr>
                <w:rFonts w:asciiTheme="majorHAnsi" w:hAnsiTheme="majorHAnsi" w:cstheme="majorHAnsi"/>
                <w:sz w:val="20"/>
                <w:szCs w:val="20"/>
                <w:lang w:val="ru-RU"/>
              </w:rPr>
              <w:t>и</w:t>
            </w:r>
            <w:r w:rsidR="00B37661" w:rsidRPr="00B13B9A">
              <w:rPr>
                <w:rFonts w:asciiTheme="majorHAnsi" w:hAnsiTheme="majorHAnsi" w:cstheme="majorHAnsi"/>
                <w:sz w:val="20"/>
                <w:szCs w:val="20"/>
                <w:lang w:val="ro-MD"/>
              </w:rPr>
              <w:t xml:space="preserve"> </w:t>
            </w:r>
            <w:r>
              <w:rPr>
                <w:rFonts w:asciiTheme="majorHAnsi" w:hAnsiTheme="majorHAnsi" w:cstheme="majorHAnsi"/>
                <w:sz w:val="20"/>
                <w:szCs w:val="20"/>
                <w:lang w:val="ro-MD"/>
              </w:rPr>
              <w:t>№</w:t>
            </w:r>
            <w:r w:rsidR="00B37661" w:rsidRPr="00B13B9A">
              <w:rPr>
                <w:rFonts w:asciiTheme="majorHAnsi" w:hAnsiTheme="majorHAnsi" w:cstheme="majorHAnsi"/>
                <w:sz w:val="20"/>
                <w:szCs w:val="20"/>
                <w:lang w:val="ro-MD"/>
              </w:rPr>
              <w:t xml:space="preserve">508 </w:t>
            </w:r>
            <w:r>
              <w:rPr>
                <w:rFonts w:asciiTheme="majorHAnsi" w:hAnsiTheme="majorHAnsi" w:cstheme="majorHAnsi"/>
                <w:sz w:val="20"/>
                <w:szCs w:val="20"/>
                <w:lang w:val="ru-RU"/>
              </w:rPr>
              <w:t>(эндоскопия)</w:t>
            </w:r>
          </w:p>
        </w:tc>
        <w:tc>
          <w:tcPr>
            <w:tcW w:w="1276" w:type="dxa"/>
            <w:vMerge w:val="restart"/>
            <w:vAlign w:val="center"/>
          </w:tcPr>
          <w:p w14:paraId="4D201DC7"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299,9</w:t>
            </w:r>
          </w:p>
        </w:tc>
        <w:tc>
          <w:tcPr>
            <w:tcW w:w="1316" w:type="dxa"/>
            <w:vMerge w:val="restart"/>
            <w:vAlign w:val="center"/>
          </w:tcPr>
          <w:p w14:paraId="642326F8" w14:textId="77777777" w:rsidR="00B37661" w:rsidRPr="00B13B9A" w:rsidRDefault="00B37661" w:rsidP="00553C24">
            <w:pPr>
              <w:tabs>
                <w:tab w:val="left" w:pos="851"/>
              </w:tabs>
              <w:spacing w:line="276" w:lineRule="auto"/>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31.12.2021</w:t>
            </w:r>
          </w:p>
        </w:tc>
        <w:tc>
          <w:tcPr>
            <w:tcW w:w="1206" w:type="dxa"/>
            <w:vAlign w:val="center"/>
          </w:tcPr>
          <w:p w14:paraId="339AE378"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01.12.2021</w:t>
            </w:r>
          </w:p>
        </w:tc>
        <w:tc>
          <w:tcPr>
            <w:tcW w:w="851" w:type="dxa"/>
            <w:vAlign w:val="center"/>
          </w:tcPr>
          <w:p w14:paraId="5815313C"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62,4</w:t>
            </w:r>
          </w:p>
        </w:tc>
      </w:tr>
      <w:tr w:rsidR="00B37661" w:rsidRPr="00B13B9A" w14:paraId="43CAA59F" w14:textId="77777777" w:rsidTr="004B30CE">
        <w:tc>
          <w:tcPr>
            <w:tcW w:w="1271" w:type="dxa"/>
            <w:vMerge/>
            <w:vAlign w:val="center"/>
          </w:tcPr>
          <w:p w14:paraId="0BF45CB8"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p>
        </w:tc>
        <w:tc>
          <w:tcPr>
            <w:tcW w:w="3827" w:type="dxa"/>
            <w:vMerge/>
            <w:vAlign w:val="center"/>
          </w:tcPr>
          <w:p w14:paraId="3895B82A" w14:textId="77777777" w:rsidR="00B37661" w:rsidRPr="00B13B9A" w:rsidRDefault="00B37661" w:rsidP="00553C24">
            <w:pPr>
              <w:tabs>
                <w:tab w:val="left" w:pos="851"/>
              </w:tabs>
              <w:jc w:val="both"/>
              <w:rPr>
                <w:rFonts w:asciiTheme="majorHAnsi" w:hAnsiTheme="majorHAnsi" w:cstheme="majorHAnsi"/>
                <w:sz w:val="20"/>
                <w:szCs w:val="20"/>
                <w:lang w:val="ro-MD"/>
              </w:rPr>
            </w:pPr>
          </w:p>
        </w:tc>
        <w:tc>
          <w:tcPr>
            <w:tcW w:w="1276" w:type="dxa"/>
            <w:vMerge/>
            <w:vAlign w:val="center"/>
          </w:tcPr>
          <w:p w14:paraId="62C6FB5F" w14:textId="77777777" w:rsidR="00B37661" w:rsidRPr="00B13B9A" w:rsidRDefault="00B37661" w:rsidP="00553C24">
            <w:pPr>
              <w:tabs>
                <w:tab w:val="left" w:pos="851"/>
              </w:tabs>
              <w:spacing w:line="276" w:lineRule="auto"/>
              <w:jc w:val="center"/>
              <w:rPr>
                <w:rFonts w:asciiTheme="majorHAnsi" w:hAnsiTheme="majorHAnsi" w:cstheme="majorHAnsi"/>
                <w:b/>
                <w:sz w:val="20"/>
                <w:szCs w:val="20"/>
                <w:lang w:val="ro-MD"/>
              </w:rPr>
            </w:pPr>
          </w:p>
        </w:tc>
        <w:tc>
          <w:tcPr>
            <w:tcW w:w="1316" w:type="dxa"/>
            <w:vMerge/>
            <w:vAlign w:val="center"/>
          </w:tcPr>
          <w:p w14:paraId="06A65CBB"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p>
        </w:tc>
        <w:tc>
          <w:tcPr>
            <w:tcW w:w="1206" w:type="dxa"/>
            <w:vAlign w:val="center"/>
          </w:tcPr>
          <w:p w14:paraId="37403705" w14:textId="77777777" w:rsidR="00B37661" w:rsidRPr="00B13B9A" w:rsidRDefault="00B37661" w:rsidP="00553C24">
            <w:pPr>
              <w:tabs>
                <w:tab w:val="left" w:pos="851"/>
              </w:tabs>
              <w:spacing w:line="276" w:lineRule="auto"/>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05.01.2022</w:t>
            </w:r>
          </w:p>
        </w:tc>
        <w:tc>
          <w:tcPr>
            <w:tcW w:w="851" w:type="dxa"/>
            <w:vAlign w:val="center"/>
          </w:tcPr>
          <w:p w14:paraId="358B806D"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63,1</w:t>
            </w:r>
          </w:p>
        </w:tc>
      </w:tr>
      <w:tr w:rsidR="00B37661" w:rsidRPr="00B13B9A" w14:paraId="34AEA4AB" w14:textId="77777777" w:rsidTr="004B30CE">
        <w:tc>
          <w:tcPr>
            <w:tcW w:w="1271" w:type="dxa"/>
            <w:vMerge/>
          </w:tcPr>
          <w:p w14:paraId="50409E4D" w14:textId="77777777" w:rsidR="00B37661" w:rsidRPr="00B13B9A" w:rsidRDefault="00B37661" w:rsidP="00553C24">
            <w:pPr>
              <w:tabs>
                <w:tab w:val="left" w:pos="851"/>
              </w:tabs>
              <w:spacing w:line="276" w:lineRule="auto"/>
              <w:rPr>
                <w:rFonts w:asciiTheme="majorHAnsi" w:hAnsiTheme="majorHAnsi" w:cstheme="majorHAnsi"/>
                <w:sz w:val="20"/>
                <w:szCs w:val="20"/>
                <w:lang w:val="ro-MD"/>
              </w:rPr>
            </w:pPr>
          </w:p>
        </w:tc>
        <w:tc>
          <w:tcPr>
            <w:tcW w:w="3827" w:type="dxa"/>
            <w:vMerge/>
            <w:vAlign w:val="center"/>
          </w:tcPr>
          <w:p w14:paraId="5A05CC22"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p>
        </w:tc>
        <w:tc>
          <w:tcPr>
            <w:tcW w:w="1276" w:type="dxa"/>
            <w:vMerge/>
            <w:vAlign w:val="center"/>
          </w:tcPr>
          <w:p w14:paraId="2B751E3A"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p>
        </w:tc>
        <w:tc>
          <w:tcPr>
            <w:tcW w:w="1316" w:type="dxa"/>
            <w:vMerge/>
            <w:vAlign w:val="center"/>
          </w:tcPr>
          <w:p w14:paraId="471563CC"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p>
        </w:tc>
        <w:tc>
          <w:tcPr>
            <w:tcW w:w="1206" w:type="dxa"/>
            <w:vAlign w:val="center"/>
          </w:tcPr>
          <w:p w14:paraId="1AA262F3" w14:textId="77777777" w:rsidR="00B37661" w:rsidRPr="00B13B9A" w:rsidRDefault="00B37661" w:rsidP="00553C24">
            <w:pPr>
              <w:tabs>
                <w:tab w:val="left" w:pos="851"/>
              </w:tabs>
              <w:spacing w:line="276" w:lineRule="auto"/>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01.02.2022</w:t>
            </w:r>
          </w:p>
        </w:tc>
        <w:tc>
          <w:tcPr>
            <w:tcW w:w="851" w:type="dxa"/>
            <w:vAlign w:val="center"/>
          </w:tcPr>
          <w:p w14:paraId="62BAD5F3"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69,9</w:t>
            </w:r>
          </w:p>
        </w:tc>
      </w:tr>
      <w:tr w:rsidR="00B37661" w:rsidRPr="00B13B9A" w14:paraId="2BD9ED54" w14:textId="77777777" w:rsidTr="004B30CE">
        <w:tc>
          <w:tcPr>
            <w:tcW w:w="1271" w:type="dxa"/>
            <w:vMerge/>
          </w:tcPr>
          <w:p w14:paraId="2AF00259" w14:textId="77777777" w:rsidR="00B37661" w:rsidRPr="00B13B9A" w:rsidRDefault="00B37661" w:rsidP="00553C24">
            <w:pPr>
              <w:tabs>
                <w:tab w:val="left" w:pos="851"/>
              </w:tabs>
              <w:spacing w:line="276" w:lineRule="auto"/>
              <w:rPr>
                <w:rFonts w:asciiTheme="majorHAnsi" w:hAnsiTheme="majorHAnsi" w:cstheme="majorHAnsi"/>
                <w:sz w:val="20"/>
                <w:szCs w:val="20"/>
                <w:lang w:val="ro-MD"/>
              </w:rPr>
            </w:pPr>
          </w:p>
        </w:tc>
        <w:tc>
          <w:tcPr>
            <w:tcW w:w="3827" w:type="dxa"/>
            <w:vMerge/>
            <w:vAlign w:val="center"/>
          </w:tcPr>
          <w:p w14:paraId="5496DC15"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p>
        </w:tc>
        <w:tc>
          <w:tcPr>
            <w:tcW w:w="1276" w:type="dxa"/>
            <w:vMerge/>
            <w:vAlign w:val="center"/>
          </w:tcPr>
          <w:p w14:paraId="3A8603F8"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p>
        </w:tc>
        <w:tc>
          <w:tcPr>
            <w:tcW w:w="1316" w:type="dxa"/>
            <w:vMerge/>
            <w:vAlign w:val="center"/>
          </w:tcPr>
          <w:p w14:paraId="425321FA"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p>
        </w:tc>
        <w:tc>
          <w:tcPr>
            <w:tcW w:w="1206" w:type="dxa"/>
            <w:vAlign w:val="center"/>
          </w:tcPr>
          <w:p w14:paraId="0A4B4858" w14:textId="77777777" w:rsidR="00B37661" w:rsidRPr="00B13B9A" w:rsidRDefault="00B37661" w:rsidP="00553C24">
            <w:pPr>
              <w:tabs>
                <w:tab w:val="left" w:pos="851"/>
              </w:tabs>
              <w:spacing w:line="276" w:lineRule="auto"/>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07.03.2022</w:t>
            </w:r>
          </w:p>
        </w:tc>
        <w:tc>
          <w:tcPr>
            <w:tcW w:w="851" w:type="dxa"/>
            <w:vAlign w:val="center"/>
          </w:tcPr>
          <w:p w14:paraId="05230741"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53,9</w:t>
            </w:r>
          </w:p>
        </w:tc>
      </w:tr>
      <w:tr w:rsidR="00B37661" w:rsidRPr="00B13B9A" w14:paraId="2F0CE272" w14:textId="77777777" w:rsidTr="004B30CE">
        <w:tc>
          <w:tcPr>
            <w:tcW w:w="1271" w:type="dxa"/>
            <w:vMerge/>
          </w:tcPr>
          <w:p w14:paraId="62728981" w14:textId="77777777" w:rsidR="00B37661" w:rsidRPr="00B13B9A" w:rsidRDefault="00B37661" w:rsidP="00553C24">
            <w:pPr>
              <w:tabs>
                <w:tab w:val="left" w:pos="851"/>
              </w:tabs>
              <w:spacing w:line="276" w:lineRule="auto"/>
              <w:rPr>
                <w:rFonts w:asciiTheme="majorHAnsi" w:hAnsiTheme="majorHAnsi" w:cstheme="majorHAnsi"/>
                <w:sz w:val="20"/>
                <w:szCs w:val="20"/>
                <w:lang w:val="ro-MD"/>
              </w:rPr>
            </w:pPr>
          </w:p>
        </w:tc>
        <w:tc>
          <w:tcPr>
            <w:tcW w:w="3827" w:type="dxa"/>
            <w:vMerge/>
          </w:tcPr>
          <w:p w14:paraId="5F11F978" w14:textId="77777777" w:rsidR="00B37661" w:rsidRPr="00B13B9A" w:rsidRDefault="00B37661" w:rsidP="00553C24">
            <w:pPr>
              <w:tabs>
                <w:tab w:val="left" w:pos="851"/>
              </w:tabs>
              <w:spacing w:line="276" w:lineRule="auto"/>
              <w:rPr>
                <w:rFonts w:asciiTheme="majorHAnsi" w:hAnsiTheme="majorHAnsi" w:cstheme="majorHAnsi"/>
                <w:sz w:val="20"/>
                <w:szCs w:val="20"/>
                <w:lang w:val="ro-MD"/>
              </w:rPr>
            </w:pPr>
          </w:p>
        </w:tc>
        <w:tc>
          <w:tcPr>
            <w:tcW w:w="1276" w:type="dxa"/>
            <w:vMerge/>
          </w:tcPr>
          <w:p w14:paraId="4F9C681B" w14:textId="77777777" w:rsidR="00B37661" w:rsidRPr="00B13B9A" w:rsidRDefault="00B37661" w:rsidP="00553C24">
            <w:pPr>
              <w:tabs>
                <w:tab w:val="left" w:pos="851"/>
              </w:tabs>
              <w:spacing w:line="276" w:lineRule="auto"/>
              <w:rPr>
                <w:rFonts w:asciiTheme="majorHAnsi" w:hAnsiTheme="majorHAnsi" w:cstheme="majorHAnsi"/>
                <w:sz w:val="20"/>
                <w:szCs w:val="20"/>
                <w:lang w:val="ro-MD"/>
              </w:rPr>
            </w:pPr>
          </w:p>
        </w:tc>
        <w:tc>
          <w:tcPr>
            <w:tcW w:w="1316" w:type="dxa"/>
            <w:vMerge/>
          </w:tcPr>
          <w:p w14:paraId="3E52A2C9" w14:textId="77777777" w:rsidR="00B37661" w:rsidRPr="00B13B9A" w:rsidRDefault="00B37661" w:rsidP="00553C24">
            <w:pPr>
              <w:tabs>
                <w:tab w:val="left" w:pos="851"/>
              </w:tabs>
              <w:spacing w:line="276" w:lineRule="auto"/>
              <w:rPr>
                <w:rFonts w:asciiTheme="majorHAnsi" w:hAnsiTheme="majorHAnsi" w:cstheme="majorHAnsi"/>
                <w:sz w:val="20"/>
                <w:szCs w:val="20"/>
                <w:lang w:val="ro-MD"/>
              </w:rPr>
            </w:pPr>
          </w:p>
        </w:tc>
        <w:tc>
          <w:tcPr>
            <w:tcW w:w="1206" w:type="dxa"/>
          </w:tcPr>
          <w:p w14:paraId="033BBDBC" w14:textId="77777777" w:rsidR="00B37661" w:rsidRPr="00B13B9A" w:rsidRDefault="00B37661" w:rsidP="00553C24">
            <w:pPr>
              <w:tabs>
                <w:tab w:val="left" w:pos="851"/>
              </w:tabs>
              <w:spacing w:line="276" w:lineRule="auto"/>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01.04.2022</w:t>
            </w:r>
          </w:p>
        </w:tc>
        <w:tc>
          <w:tcPr>
            <w:tcW w:w="851" w:type="dxa"/>
          </w:tcPr>
          <w:p w14:paraId="25EA7811"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50,6</w:t>
            </w:r>
          </w:p>
        </w:tc>
      </w:tr>
      <w:tr w:rsidR="00B37661" w:rsidRPr="00B13B9A" w14:paraId="4DA663D6" w14:textId="77777777" w:rsidTr="004B30CE">
        <w:tc>
          <w:tcPr>
            <w:tcW w:w="5098" w:type="dxa"/>
            <w:gridSpan w:val="2"/>
          </w:tcPr>
          <w:p w14:paraId="1C57F7B9" w14:textId="0036295B" w:rsidR="00B37661" w:rsidRPr="00EC5C4D" w:rsidRDefault="00EC5C4D" w:rsidP="00553C24">
            <w:pPr>
              <w:tabs>
                <w:tab w:val="left" w:pos="851"/>
              </w:tabs>
              <w:spacing w:line="276" w:lineRule="auto"/>
              <w:rPr>
                <w:rFonts w:asciiTheme="majorHAnsi" w:hAnsiTheme="majorHAnsi" w:cstheme="majorHAnsi"/>
                <w:sz w:val="20"/>
                <w:szCs w:val="20"/>
                <w:lang w:val="ru-RU"/>
              </w:rPr>
            </w:pPr>
            <w:r>
              <w:rPr>
                <w:rFonts w:asciiTheme="majorHAnsi" w:hAnsiTheme="majorHAnsi" w:cstheme="majorHAnsi"/>
                <w:sz w:val="20"/>
                <w:szCs w:val="20"/>
                <w:lang w:val="ru-RU"/>
              </w:rPr>
              <w:t>Всего</w:t>
            </w:r>
          </w:p>
        </w:tc>
        <w:tc>
          <w:tcPr>
            <w:tcW w:w="1276" w:type="dxa"/>
          </w:tcPr>
          <w:p w14:paraId="75C7328B"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777,8</w:t>
            </w:r>
          </w:p>
        </w:tc>
        <w:tc>
          <w:tcPr>
            <w:tcW w:w="1316" w:type="dxa"/>
          </w:tcPr>
          <w:p w14:paraId="75EB037E" w14:textId="77777777" w:rsidR="00B37661" w:rsidRPr="00B13B9A" w:rsidRDefault="00B37661" w:rsidP="00553C24">
            <w:pPr>
              <w:tabs>
                <w:tab w:val="left" w:pos="851"/>
              </w:tabs>
              <w:spacing w:line="276" w:lineRule="auto"/>
              <w:rPr>
                <w:rFonts w:asciiTheme="majorHAnsi" w:hAnsiTheme="majorHAnsi" w:cstheme="majorHAnsi"/>
                <w:sz w:val="20"/>
                <w:szCs w:val="20"/>
                <w:lang w:val="ro-MD"/>
              </w:rPr>
            </w:pPr>
          </w:p>
        </w:tc>
        <w:tc>
          <w:tcPr>
            <w:tcW w:w="1206" w:type="dxa"/>
          </w:tcPr>
          <w:p w14:paraId="53F1E27F" w14:textId="77777777" w:rsidR="00B37661" w:rsidRPr="00B13B9A" w:rsidRDefault="00B37661" w:rsidP="00553C24">
            <w:pPr>
              <w:tabs>
                <w:tab w:val="left" w:pos="851"/>
              </w:tabs>
              <w:spacing w:line="276" w:lineRule="auto"/>
              <w:jc w:val="center"/>
              <w:rPr>
                <w:rFonts w:asciiTheme="majorHAnsi" w:hAnsiTheme="majorHAnsi" w:cstheme="majorHAnsi"/>
                <w:b/>
                <w:sz w:val="20"/>
                <w:szCs w:val="20"/>
                <w:lang w:val="ro-MD"/>
              </w:rPr>
            </w:pPr>
          </w:p>
        </w:tc>
        <w:tc>
          <w:tcPr>
            <w:tcW w:w="851" w:type="dxa"/>
          </w:tcPr>
          <w:p w14:paraId="018B075E"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777,8</w:t>
            </w:r>
          </w:p>
        </w:tc>
      </w:tr>
    </w:tbl>
    <w:p w14:paraId="0350D58D" w14:textId="17C76530" w:rsidR="00B37661" w:rsidRPr="00B13B9A" w:rsidRDefault="00FE6601" w:rsidP="00B37661">
      <w:pPr>
        <w:tabs>
          <w:tab w:val="left" w:pos="851"/>
        </w:tabs>
        <w:spacing w:after="0" w:line="276" w:lineRule="auto"/>
        <w:jc w:val="both"/>
        <w:rPr>
          <w:rFonts w:asciiTheme="majorHAnsi" w:hAnsiTheme="majorHAnsi" w:cstheme="majorHAnsi"/>
          <w:i/>
          <w:sz w:val="20"/>
          <w:szCs w:val="20"/>
          <w:lang w:val="ro-MD"/>
        </w:rPr>
      </w:pPr>
      <w:r>
        <w:rPr>
          <w:rFonts w:asciiTheme="majorHAnsi" w:hAnsiTheme="majorHAnsi" w:cstheme="majorHAnsi"/>
          <w:b/>
          <w:i/>
          <w:sz w:val="20"/>
          <w:szCs w:val="20"/>
          <w:lang w:val="ro-MD"/>
        </w:rPr>
        <w:t>Источник</w:t>
      </w:r>
      <w:r w:rsidR="00B37661" w:rsidRPr="00B13B9A">
        <w:rPr>
          <w:rFonts w:asciiTheme="majorHAnsi" w:hAnsiTheme="majorHAnsi" w:cstheme="majorHAnsi"/>
          <w:i/>
          <w:sz w:val="20"/>
          <w:szCs w:val="20"/>
          <w:lang w:val="ro-MD"/>
        </w:rPr>
        <w:t xml:space="preserve">: </w:t>
      </w:r>
      <w:r w:rsidR="00EC5C4D" w:rsidRPr="00EC5C4D">
        <w:rPr>
          <w:rFonts w:asciiTheme="majorHAnsi" w:hAnsiTheme="majorHAnsi" w:cstheme="majorHAnsi"/>
          <w:i/>
          <w:sz w:val="20"/>
          <w:szCs w:val="20"/>
          <w:lang w:val="ro-MD"/>
        </w:rPr>
        <w:t>Составлено аудитом на основе информации из договоров закупок и налоговых счетов</w:t>
      </w:r>
      <w:r w:rsidR="00C839D9" w:rsidRPr="00B13B9A">
        <w:rPr>
          <w:rFonts w:asciiTheme="majorHAnsi" w:hAnsiTheme="majorHAnsi" w:cstheme="majorHAnsi"/>
          <w:i/>
          <w:sz w:val="20"/>
          <w:szCs w:val="20"/>
          <w:lang w:val="ro-MD"/>
        </w:rPr>
        <w:t>.</w:t>
      </w:r>
    </w:p>
    <w:p w14:paraId="6BEF8AC4" w14:textId="77777777" w:rsidR="00A65275" w:rsidRPr="00B13B9A" w:rsidRDefault="00A65275" w:rsidP="00B37661">
      <w:pPr>
        <w:tabs>
          <w:tab w:val="left" w:pos="851"/>
        </w:tabs>
        <w:spacing w:after="0" w:line="276" w:lineRule="auto"/>
        <w:jc w:val="both"/>
        <w:rPr>
          <w:rFonts w:asciiTheme="majorHAnsi" w:hAnsiTheme="majorHAnsi" w:cstheme="majorHAnsi"/>
          <w:i/>
          <w:sz w:val="20"/>
          <w:szCs w:val="20"/>
          <w:lang w:val="ro-MD"/>
        </w:rPr>
      </w:pPr>
    </w:p>
    <w:p w14:paraId="20B616A6" w14:textId="63D46486" w:rsidR="00EC5C4D" w:rsidRPr="00EC5C4D" w:rsidRDefault="00EC5C4D" w:rsidP="00EC5C4D">
      <w:pPr>
        <w:tabs>
          <w:tab w:val="left" w:pos="851"/>
        </w:tabs>
        <w:spacing w:after="0" w:line="276" w:lineRule="auto"/>
        <w:jc w:val="both"/>
        <w:rPr>
          <w:rFonts w:asciiTheme="majorHAnsi" w:hAnsiTheme="majorHAnsi" w:cstheme="majorHAnsi"/>
          <w:sz w:val="24"/>
          <w:szCs w:val="24"/>
          <w:lang w:val="ro-MD"/>
        </w:rPr>
      </w:pPr>
      <w:r w:rsidRPr="00EC5C4D">
        <w:rPr>
          <w:rFonts w:asciiTheme="majorHAnsi" w:hAnsiTheme="majorHAnsi" w:cstheme="majorHAnsi"/>
          <w:sz w:val="24"/>
          <w:szCs w:val="24"/>
          <w:lang w:val="ro-MD"/>
        </w:rPr>
        <w:t>В итоге</w:t>
      </w:r>
      <w:r w:rsidR="00AF039E">
        <w:rPr>
          <w:rFonts w:asciiTheme="majorHAnsi" w:hAnsiTheme="majorHAnsi" w:cstheme="majorHAnsi"/>
          <w:sz w:val="24"/>
          <w:szCs w:val="24"/>
          <w:lang w:val="ru-RU"/>
        </w:rPr>
        <w:t>,</w:t>
      </w:r>
      <w:r w:rsidRPr="00EC5C4D">
        <w:rPr>
          <w:rFonts w:asciiTheme="majorHAnsi" w:hAnsiTheme="majorHAnsi" w:cstheme="majorHAnsi"/>
          <w:sz w:val="24"/>
          <w:szCs w:val="24"/>
          <w:lang w:val="ro-MD"/>
        </w:rPr>
        <w:t xml:space="preserve"> субъект допустил дробление закупки ремонтных работ путем заключения и исполнения договоров небольшой стоимости с одним и тем же экономическим операторо</w:t>
      </w:r>
      <w:r w:rsidR="00AF039E">
        <w:rPr>
          <w:rFonts w:asciiTheme="majorHAnsi" w:hAnsiTheme="majorHAnsi" w:cstheme="majorHAnsi"/>
          <w:sz w:val="24"/>
          <w:szCs w:val="24"/>
          <w:lang w:val="ru-RU"/>
        </w:rPr>
        <w:t>м</w:t>
      </w:r>
      <w:r w:rsidRPr="00EC5C4D">
        <w:rPr>
          <w:rFonts w:asciiTheme="majorHAnsi" w:hAnsiTheme="majorHAnsi" w:cstheme="majorHAnsi"/>
          <w:sz w:val="24"/>
          <w:szCs w:val="24"/>
          <w:lang w:val="ro-MD"/>
        </w:rPr>
        <w:t>.</w:t>
      </w:r>
    </w:p>
    <w:p w14:paraId="7ECBED80" w14:textId="2D896B60" w:rsidR="00B37661" w:rsidRPr="00AF039E" w:rsidRDefault="00AF039E" w:rsidP="00AF039E">
      <w:pPr>
        <w:tabs>
          <w:tab w:val="left" w:pos="851"/>
        </w:tabs>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u-RU"/>
        </w:rPr>
        <w:t>Кроме того</w:t>
      </w:r>
      <w:r w:rsidR="00EC5C4D" w:rsidRPr="00EC5C4D">
        <w:rPr>
          <w:rFonts w:asciiTheme="majorHAnsi" w:hAnsiTheme="majorHAnsi" w:cstheme="majorHAnsi"/>
          <w:sz w:val="24"/>
          <w:szCs w:val="24"/>
          <w:lang w:val="ro-MD"/>
        </w:rPr>
        <w:t xml:space="preserve">, после проверки налоговых счетов, аудит выявил проведение закупок дополнительных капитальных ремонтных работ, не предусмотренных в базовом договоре, </w:t>
      </w:r>
      <w:r>
        <w:rPr>
          <w:rFonts w:asciiTheme="majorHAnsi" w:hAnsiTheme="majorHAnsi" w:cstheme="majorHAnsi"/>
          <w:sz w:val="24"/>
          <w:szCs w:val="24"/>
          <w:lang w:val="ru-RU"/>
        </w:rPr>
        <w:t>вне</w:t>
      </w:r>
      <w:r w:rsidR="00EC5C4D" w:rsidRPr="00EC5C4D">
        <w:rPr>
          <w:rFonts w:asciiTheme="majorHAnsi" w:hAnsiTheme="majorHAnsi" w:cstheme="majorHAnsi"/>
          <w:sz w:val="24"/>
          <w:szCs w:val="24"/>
          <w:lang w:val="ro-MD"/>
        </w:rPr>
        <w:t xml:space="preserve"> договорных отношений, на сумму 44,9 тыс. леев</w:t>
      </w:r>
      <w:r>
        <w:rPr>
          <w:rFonts w:asciiTheme="majorHAnsi" w:hAnsiTheme="majorHAnsi" w:cstheme="majorHAnsi"/>
          <w:sz w:val="24"/>
          <w:szCs w:val="24"/>
          <w:lang w:val="ru-RU"/>
        </w:rPr>
        <w:t>,</w:t>
      </w:r>
      <w:r w:rsidR="00EC5C4D" w:rsidRPr="00EC5C4D">
        <w:rPr>
          <w:rFonts w:asciiTheme="majorHAnsi" w:hAnsiTheme="majorHAnsi" w:cstheme="majorHAnsi"/>
          <w:sz w:val="24"/>
          <w:szCs w:val="24"/>
          <w:lang w:val="ro-MD"/>
        </w:rPr>
        <w:t xml:space="preserve"> с тем же экономическим оператором</w:t>
      </w:r>
      <w:r w:rsidR="0093205F" w:rsidRPr="00B13B9A">
        <w:rPr>
          <w:rStyle w:val="a9"/>
          <w:rFonts w:asciiTheme="majorHAnsi" w:hAnsiTheme="majorHAnsi" w:cstheme="majorHAnsi"/>
          <w:bCs/>
          <w:color w:val="000000"/>
          <w:sz w:val="24"/>
          <w:szCs w:val="24"/>
          <w:lang w:val="ro-MD"/>
        </w:rPr>
        <w:footnoteReference w:id="61"/>
      </w:r>
      <w:r w:rsidR="0093205F" w:rsidRPr="00B13B9A">
        <w:rPr>
          <w:rFonts w:asciiTheme="majorHAnsi" w:hAnsiTheme="majorHAnsi" w:cstheme="majorHAnsi"/>
          <w:bCs/>
          <w:color w:val="000000"/>
          <w:sz w:val="24"/>
          <w:szCs w:val="24"/>
          <w:lang w:val="ro-MD"/>
        </w:rPr>
        <w:t>.</w:t>
      </w:r>
    </w:p>
    <w:p w14:paraId="71882CD5" w14:textId="72459A1F" w:rsidR="00EC5C4D" w:rsidRPr="00EC5C4D" w:rsidRDefault="00E00173" w:rsidP="00EC5C4D">
      <w:pPr>
        <w:tabs>
          <w:tab w:val="left" w:pos="851"/>
        </w:tabs>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u-RU"/>
        </w:rPr>
        <w:t>Объяснения</w:t>
      </w:r>
      <w:r w:rsidR="00EC5C4D" w:rsidRPr="00EC5C4D">
        <w:rPr>
          <w:rFonts w:asciiTheme="majorHAnsi" w:hAnsiTheme="majorHAnsi" w:cstheme="majorHAnsi"/>
          <w:sz w:val="24"/>
          <w:szCs w:val="24"/>
          <w:lang w:val="ro-MD"/>
        </w:rPr>
        <w:t xml:space="preserve"> </w:t>
      </w:r>
      <w:r>
        <w:rPr>
          <w:rFonts w:asciiTheme="majorHAnsi" w:hAnsiTheme="majorHAnsi" w:cstheme="majorHAnsi"/>
          <w:sz w:val="24"/>
          <w:szCs w:val="24"/>
          <w:lang w:val="ru-RU"/>
        </w:rPr>
        <w:t>субъекта</w:t>
      </w:r>
      <w:r w:rsidR="00EC5C4D" w:rsidRPr="00EC5C4D">
        <w:rPr>
          <w:rFonts w:asciiTheme="majorHAnsi" w:hAnsiTheme="majorHAnsi" w:cstheme="majorHAnsi"/>
          <w:sz w:val="24"/>
          <w:szCs w:val="24"/>
          <w:lang w:val="ro-MD"/>
        </w:rPr>
        <w:t xml:space="preserve"> </w:t>
      </w:r>
      <w:r>
        <w:rPr>
          <w:rFonts w:asciiTheme="majorHAnsi" w:hAnsiTheme="majorHAnsi" w:cstheme="majorHAnsi"/>
          <w:sz w:val="24"/>
          <w:szCs w:val="24"/>
          <w:lang w:val="ru-RU"/>
        </w:rPr>
        <w:t>относительно</w:t>
      </w:r>
      <w:r w:rsidR="00EC5C4D" w:rsidRPr="00EC5C4D">
        <w:rPr>
          <w:rFonts w:asciiTheme="majorHAnsi" w:hAnsiTheme="majorHAnsi" w:cstheme="majorHAnsi"/>
          <w:sz w:val="24"/>
          <w:szCs w:val="24"/>
          <w:lang w:val="ro-MD"/>
        </w:rPr>
        <w:t xml:space="preserve"> </w:t>
      </w:r>
      <w:r>
        <w:rPr>
          <w:rFonts w:asciiTheme="majorHAnsi" w:hAnsiTheme="majorHAnsi" w:cstheme="majorHAnsi"/>
          <w:sz w:val="24"/>
          <w:szCs w:val="24"/>
          <w:lang w:val="ru-RU"/>
        </w:rPr>
        <w:t>дроб</w:t>
      </w:r>
      <w:r w:rsidR="00EC5C4D" w:rsidRPr="00EC5C4D">
        <w:rPr>
          <w:rFonts w:asciiTheme="majorHAnsi" w:hAnsiTheme="majorHAnsi" w:cstheme="majorHAnsi"/>
          <w:sz w:val="24"/>
          <w:szCs w:val="24"/>
          <w:lang w:val="ro-MD"/>
        </w:rPr>
        <w:t>лени</w:t>
      </w:r>
      <w:r>
        <w:rPr>
          <w:rFonts w:asciiTheme="majorHAnsi" w:hAnsiTheme="majorHAnsi" w:cstheme="majorHAnsi"/>
          <w:sz w:val="24"/>
          <w:szCs w:val="24"/>
          <w:lang w:val="ru-RU"/>
        </w:rPr>
        <w:t>я</w:t>
      </w:r>
      <w:r w:rsidR="00EC5C4D" w:rsidRPr="00EC5C4D">
        <w:rPr>
          <w:rFonts w:asciiTheme="majorHAnsi" w:hAnsiTheme="majorHAnsi" w:cstheme="majorHAnsi"/>
          <w:sz w:val="24"/>
          <w:szCs w:val="24"/>
          <w:lang w:val="ro-MD"/>
        </w:rPr>
        <w:t xml:space="preserve"> договора </w:t>
      </w:r>
      <w:r>
        <w:rPr>
          <w:rFonts w:asciiTheme="majorHAnsi" w:hAnsiTheme="majorHAnsi" w:cstheme="majorHAnsi"/>
          <w:sz w:val="24"/>
          <w:szCs w:val="24"/>
          <w:lang w:val="ru-RU"/>
        </w:rPr>
        <w:t>ссылаю</w:t>
      </w:r>
      <w:r w:rsidR="00EC5C4D" w:rsidRPr="00EC5C4D">
        <w:rPr>
          <w:rFonts w:asciiTheme="majorHAnsi" w:hAnsiTheme="majorHAnsi" w:cstheme="majorHAnsi"/>
          <w:sz w:val="24"/>
          <w:szCs w:val="24"/>
          <w:lang w:val="ro-MD"/>
        </w:rPr>
        <w:t xml:space="preserve">тся </w:t>
      </w:r>
      <w:r>
        <w:rPr>
          <w:rFonts w:asciiTheme="majorHAnsi" w:hAnsiTheme="majorHAnsi" w:cstheme="majorHAnsi"/>
          <w:sz w:val="24"/>
          <w:szCs w:val="24"/>
          <w:lang w:val="ru-RU"/>
        </w:rPr>
        <w:t>на</w:t>
      </w:r>
      <w:r w:rsidR="00EC5C4D" w:rsidRPr="00EC5C4D">
        <w:rPr>
          <w:rFonts w:asciiTheme="majorHAnsi" w:hAnsiTheme="majorHAnsi" w:cstheme="majorHAnsi"/>
          <w:sz w:val="24"/>
          <w:szCs w:val="24"/>
          <w:lang w:val="ro-MD"/>
        </w:rPr>
        <w:t xml:space="preserve"> предыдуще</w:t>
      </w:r>
      <w:r>
        <w:rPr>
          <w:rFonts w:asciiTheme="majorHAnsi" w:hAnsiTheme="majorHAnsi" w:cstheme="majorHAnsi"/>
          <w:sz w:val="24"/>
          <w:szCs w:val="24"/>
          <w:lang w:val="ru-RU"/>
        </w:rPr>
        <w:t>е</w:t>
      </w:r>
      <w:r w:rsidR="00EC5C4D" w:rsidRPr="00EC5C4D">
        <w:rPr>
          <w:rFonts w:asciiTheme="majorHAnsi" w:hAnsiTheme="majorHAnsi" w:cstheme="majorHAnsi"/>
          <w:sz w:val="24"/>
          <w:szCs w:val="24"/>
          <w:lang w:val="ro-MD"/>
        </w:rPr>
        <w:t xml:space="preserve"> сотрудничеств</w:t>
      </w:r>
      <w:r>
        <w:rPr>
          <w:rFonts w:asciiTheme="majorHAnsi" w:hAnsiTheme="majorHAnsi" w:cstheme="majorHAnsi"/>
          <w:sz w:val="24"/>
          <w:szCs w:val="24"/>
          <w:lang w:val="ru-RU"/>
        </w:rPr>
        <w:t>о</w:t>
      </w:r>
      <w:r w:rsidR="00EC5C4D" w:rsidRPr="00EC5C4D">
        <w:rPr>
          <w:rFonts w:asciiTheme="majorHAnsi" w:hAnsiTheme="majorHAnsi" w:cstheme="majorHAnsi"/>
          <w:sz w:val="24"/>
          <w:szCs w:val="24"/>
          <w:lang w:val="ro-MD"/>
        </w:rPr>
        <w:t xml:space="preserve"> с этим экономическим оператором</w:t>
      </w:r>
      <w:r>
        <w:rPr>
          <w:rFonts w:asciiTheme="majorHAnsi" w:hAnsiTheme="majorHAnsi" w:cstheme="majorHAnsi"/>
          <w:sz w:val="24"/>
          <w:szCs w:val="24"/>
          <w:lang w:val="ru-RU"/>
        </w:rPr>
        <w:t>,</w:t>
      </w:r>
      <w:r w:rsidR="00EC5C4D" w:rsidRPr="00EC5C4D">
        <w:rPr>
          <w:rFonts w:asciiTheme="majorHAnsi" w:hAnsiTheme="majorHAnsi" w:cstheme="majorHAnsi"/>
          <w:sz w:val="24"/>
          <w:szCs w:val="24"/>
          <w:lang w:val="ro-MD"/>
        </w:rPr>
        <w:t xml:space="preserve"> качественно</w:t>
      </w:r>
      <w:r>
        <w:rPr>
          <w:rFonts w:asciiTheme="majorHAnsi" w:hAnsiTheme="majorHAnsi" w:cstheme="majorHAnsi"/>
          <w:sz w:val="24"/>
          <w:szCs w:val="24"/>
          <w:lang w:val="ru-RU"/>
        </w:rPr>
        <w:t>е</w:t>
      </w:r>
      <w:r w:rsidR="00EC5C4D" w:rsidRPr="00EC5C4D">
        <w:rPr>
          <w:rFonts w:asciiTheme="majorHAnsi" w:hAnsiTheme="majorHAnsi" w:cstheme="majorHAnsi"/>
          <w:sz w:val="24"/>
          <w:szCs w:val="24"/>
          <w:lang w:val="ro-MD"/>
        </w:rPr>
        <w:t xml:space="preserve"> исполнени</w:t>
      </w:r>
      <w:r>
        <w:rPr>
          <w:rFonts w:asciiTheme="majorHAnsi" w:hAnsiTheme="majorHAnsi" w:cstheme="majorHAnsi"/>
          <w:sz w:val="24"/>
          <w:szCs w:val="24"/>
          <w:lang w:val="ru-RU"/>
        </w:rPr>
        <w:t>е</w:t>
      </w:r>
      <w:r w:rsidR="00EC5C4D" w:rsidRPr="00EC5C4D">
        <w:rPr>
          <w:rFonts w:asciiTheme="majorHAnsi" w:hAnsiTheme="majorHAnsi" w:cstheme="majorHAnsi"/>
          <w:sz w:val="24"/>
          <w:szCs w:val="24"/>
          <w:lang w:val="ro-MD"/>
        </w:rPr>
        <w:t xml:space="preserve"> и </w:t>
      </w:r>
      <w:r>
        <w:rPr>
          <w:rFonts w:asciiTheme="majorHAnsi" w:hAnsiTheme="majorHAnsi" w:cstheme="majorHAnsi"/>
          <w:sz w:val="24"/>
          <w:szCs w:val="24"/>
          <w:lang w:val="ru-RU"/>
        </w:rPr>
        <w:t xml:space="preserve">своевременное </w:t>
      </w:r>
      <w:r w:rsidR="00EC5C4D" w:rsidRPr="00EC5C4D">
        <w:rPr>
          <w:rFonts w:asciiTheme="majorHAnsi" w:hAnsiTheme="majorHAnsi" w:cstheme="majorHAnsi"/>
          <w:sz w:val="24"/>
          <w:szCs w:val="24"/>
          <w:lang w:val="ro-MD"/>
        </w:rPr>
        <w:t>выполнени</w:t>
      </w:r>
      <w:r>
        <w:rPr>
          <w:rFonts w:asciiTheme="majorHAnsi" w:hAnsiTheme="majorHAnsi" w:cstheme="majorHAnsi"/>
          <w:sz w:val="24"/>
          <w:szCs w:val="24"/>
          <w:lang w:val="ru-RU"/>
        </w:rPr>
        <w:t>е</w:t>
      </w:r>
      <w:r w:rsidR="00EC5C4D" w:rsidRPr="00EC5C4D">
        <w:rPr>
          <w:rFonts w:asciiTheme="majorHAnsi" w:hAnsiTheme="majorHAnsi" w:cstheme="majorHAnsi"/>
          <w:sz w:val="24"/>
          <w:szCs w:val="24"/>
          <w:lang w:val="ro-MD"/>
        </w:rPr>
        <w:t xml:space="preserve"> работ. </w:t>
      </w:r>
    </w:p>
    <w:p w14:paraId="2AF95F31" w14:textId="626F4C0F" w:rsidR="00B37661" w:rsidRPr="00E00173" w:rsidRDefault="00EC5C4D" w:rsidP="00B37661">
      <w:pPr>
        <w:tabs>
          <w:tab w:val="left" w:pos="851"/>
        </w:tabs>
        <w:spacing w:after="0" w:line="276" w:lineRule="auto"/>
        <w:jc w:val="both"/>
        <w:rPr>
          <w:rFonts w:asciiTheme="majorHAnsi" w:hAnsiTheme="majorHAnsi" w:cstheme="majorHAnsi"/>
          <w:sz w:val="24"/>
          <w:szCs w:val="24"/>
          <w:lang w:val="ro-MD"/>
        </w:rPr>
      </w:pPr>
      <w:r w:rsidRPr="00EC5C4D">
        <w:rPr>
          <w:rFonts w:asciiTheme="majorHAnsi" w:hAnsiTheme="majorHAnsi" w:cstheme="majorHAnsi"/>
          <w:sz w:val="24"/>
          <w:szCs w:val="24"/>
          <w:lang w:val="ro-MD"/>
        </w:rPr>
        <w:t xml:space="preserve">В этом контексте аудит отмечает, что в случае 2 </w:t>
      </w:r>
      <w:r w:rsidR="00F93C47">
        <w:rPr>
          <w:rFonts w:asciiTheme="majorHAnsi" w:hAnsiTheme="majorHAnsi" w:cstheme="majorHAnsi"/>
          <w:sz w:val="24"/>
          <w:szCs w:val="24"/>
          <w:lang w:val="ro-MD"/>
        </w:rPr>
        <w:t>договор</w:t>
      </w:r>
      <w:r w:rsidRPr="00EC5C4D">
        <w:rPr>
          <w:rFonts w:asciiTheme="majorHAnsi" w:hAnsiTheme="majorHAnsi" w:cstheme="majorHAnsi"/>
          <w:sz w:val="24"/>
          <w:szCs w:val="24"/>
          <w:lang w:val="ro-MD"/>
        </w:rPr>
        <w:t xml:space="preserve">ов из 3 заключенных </w:t>
      </w:r>
      <w:r w:rsidR="00F93C47">
        <w:rPr>
          <w:rFonts w:asciiTheme="majorHAnsi" w:hAnsiTheme="majorHAnsi" w:cstheme="majorHAnsi"/>
          <w:sz w:val="24"/>
          <w:szCs w:val="24"/>
          <w:lang w:val="ro-MD"/>
        </w:rPr>
        <w:t>договор</w:t>
      </w:r>
      <w:r w:rsidRPr="00EC5C4D">
        <w:rPr>
          <w:rFonts w:asciiTheme="majorHAnsi" w:hAnsiTheme="majorHAnsi" w:cstheme="majorHAnsi"/>
          <w:sz w:val="24"/>
          <w:szCs w:val="24"/>
          <w:lang w:val="ro-MD"/>
        </w:rPr>
        <w:t>ов</w:t>
      </w:r>
      <w:r w:rsidR="00E00173">
        <w:rPr>
          <w:rFonts w:asciiTheme="majorHAnsi" w:hAnsiTheme="majorHAnsi" w:cstheme="majorHAnsi"/>
          <w:sz w:val="24"/>
          <w:szCs w:val="24"/>
          <w:lang w:val="ru-RU"/>
        </w:rPr>
        <w:t>,</w:t>
      </w:r>
      <w:r w:rsidRPr="00EC5C4D">
        <w:rPr>
          <w:rFonts w:asciiTheme="majorHAnsi" w:hAnsiTheme="majorHAnsi" w:cstheme="majorHAnsi"/>
          <w:sz w:val="24"/>
          <w:szCs w:val="24"/>
          <w:lang w:val="ro-MD"/>
        </w:rPr>
        <w:t xml:space="preserve"> </w:t>
      </w:r>
      <w:r w:rsidR="00E00173">
        <w:rPr>
          <w:rFonts w:asciiTheme="majorHAnsi" w:hAnsiTheme="majorHAnsi" w:cstheme="majorHAnsi"/>
          <w:sz w:val="24"/>
          <w:szCs w:val="24"/>
          <w:lang w:val="ru-RU"/>
        </w:rPr>
        <w:t>сроки</w:t>
      </w:r>
      <w:r w:rsidRPr="00EC5C4D">
        <w:rPr>
          <w:rFonts w:asciiTheme="majorHAnsi" w:hAnsiTheme="majorHAnsi" w:cstheme="majorHAnsi"/>
          <w:sz w:val="24"/>
          <w:szCs w:val="24"/>
          <w:lang w:val="ro-MD"/>
        </w:rPr>
        <w:t xml:space="preserve"> выполнения работ были превышены</w:t>
      </w:r>
      <w:r w:rsidR="00596726" w:rsidRPr="00B13B9A">
        <w:rPr>
          <w:rFonts w:asciiTheme="majorHAnsi" w:hAnsiTheme="majorHAnsi" w:cstheme="majorHAnsi"/>
          <w:sz w:val="24"/>
          <w:szCs w:val="24"/>
          <w:lang w:val="ro-MD"/>
        </w:rPr>
        <w:t>.</w:t>
      </w:r>
      <w:r w:rsidR="00B37661" w:rsidRPr="00B13B9A">
        <w:rPr>
          <w:rFonts w:asciiTheme="majorHAnsi" w:hAnsiTheme="majorHAnsi" w:cstheme="majorHAnsi"/>
          <w:sz w:val="24"/>
          <w:szCs w:val="24"/>
          <w:lang w:val="ro-MD"/>
        </w:rPr>
        <w:t xml:space="preserve"> </w:t>
      </w:r>
    </w:p>
    <w:p w14:paraId="3BC5A8CD" w14:textId="3D7C75E0" w:rsidR="00B37661" w:rsidRPr="00B13B9A" w:rsidRDefault="00E00173" w:rsidP="00B37661">
      <w:pPr>
        <w:tabs>
          <w:tab w:val="left" w:pos="851"/>
        </w:tabs>
        <w:spacing w:after="0" w:line="276" w:lineRule="auto"/>
        <w:jc w:val="both"/>
        <w:rPr>
          <w:rFonts w:asciiTheme="majorHAnsi" w:hAnsiTheme="majorHAnsi" w:cs="Times New Roman"/>
          <w:sz w:val="24"/>
          <w:szCs w:val="24"/>
          <w:lang w:val="ro-MD"/>
        </w:rPr>
      </w:pPr>
      <w:r>
        <w:rPr>
          <w:rFonts w:asciiTheme="majorHAnsi" w:hAnsiTheme="majorHAnsi" w:cstheme="majorHAnsi"/>
          <w:sz w:val="24"/>
          <w:szCs w:val="24"/>
          <w:lang w:val="ru-RU"/>
        </w:rPr>
        <w:t>Дополнитель</w:t>
      </w:r>
      <w:r w:rsidR="00EC5C4D" w:rsidRPr="00EC5C4D">
        <w:rPr>
          <w:rFonts w:asciiTheme="majorHAnsi" w:hAnsiTheme="majorHAnsi" w:cstheme="majorHAnsi"/>
          <w:sz w:val="24"/>
          <w:szCs w:val="24"/>
          <w:lang w:val="ro-MD"/>
        </w:rPr>
        <w:t>но отме</w:t>
      </w:r>
      <w:r>
        <w:rPr>
          <w:rFonts w:asciiTheme="majorHAnsi" w:hAnsiTheme="majorHAnsi" w:cstheme="majorHAnsi"/>
          <w:sz w:val="24"/>
          <w:szCs w:val="24"/>
          <w:lang w:val="ru-RU"/>
        </w:rPr>
        <w:t>чае</w:t>
      </w:r>
      <w:r w:rsidR="00EC5C4D" w:rsidRPr="00EC5C4D">
        <w:rPr>
          <w:rFonts w:asciiTheme="majorHAnsi" w:hAnsiTheme="majorHAnsi" w:cstheme="majorHAnsi"/>
          <w:sz w:val="24"/>
          <w:szCs w:val="24"/>
          <w:lang w:val="ro-MD"/>
        </w:rPr>
        <w:t xml:space="preserve">м, что анализ экономической деятельности и отчетов экономического оператора, представленных в </w:t>
      </w:r>
      <w:r>
        <w:rPr>
          <w:rFonts w:asciiTheme="majorHAnsi" w:hAnsiTheme="majorHAnsi" w:cstheme="majorHAnsi"/>
          <w:sz w:val="24"/>
          <w:szCs w:val="24"/>
          <w:lang w:val="ru-RU"/>
        </w:rPr>
        <w:t>ГНС</w:t>
      </w:r>
      <w:r w:rsidR="00EC5C4D" w:rsidRPr="00EC5C4D">
        <w:rPr>
          <w:rFonts w:asciiTheme="majorHAnsi" w:hAnsiTheme="majorHAnsi" w:cstheme="majorHAnsi"/>
          <w:sz w:val="24"/>
          <w:szCs w:val="24"/>
          <w:lang w:val="ro-MD"/>
        </w:rPr>
        <w:t xml:space="preserve"> (IPC, IALS, VEN), </w:t>
      </w:r>
      <w:r>
        <w:rPr>
          <w:rFonts w:asciiTheme="majorHAnsi" w:hAnsiTheme="majorHAnsi" w:cstheme="majorHAnsi"/>
          <w:sz w:val="24"/>
          <w:szCs w:val="24"/>
          <w:lang w:val="ru-RU"/>
        </w:rPr>
        <w:t>показал</w:t>
      </w:r>
      <w:r w:rsidR="00EC5C4D" w:rsidRPr="00EC5C4D">
        <w:rPr>
          <w:rFonts w:asciiTheme="majorHAnsi" w:hAnsiTheme="majorHAnsi" w:cstheme="majorHAnsi"/>
          <w:sz w:val="24"/>
          <w:szCs w:val="24"/>
          <w:lang w:val="ro-MD"/>
        </w:rPr>
        <w:t xml:space="preserve">, что он </w:t>
      </w:r>
      <w:r w:rsidRPr="00E00173">
        <w:rPr>
          <w:rFonts w:asciiTheme="majorHAnsi" w:hAnsiTheme="majorHAnsi" w:cstheme="majorHAnsi"/>
          <w:sz w:val="24"/>
          <w:szCs w:val="24"/>
          <w:lang w:val="ro-MD"/>
        </w:rPr>
        <w:t>не ведет никакой деятельности, не имеет сотрудников и представляет частичную отчетность за период, в котором были выполнены работы</w:t>
      </w:r>
      <w:r w:rsidR="00EC5C4D" w:rsidRPr="00EC5C4D">
        <w:rPr>
          <w:rFonts w:asciiTheme="majorHAnsi" w:hAnsiTheme="majorHAnsi" w:cstheme="majorHAnsi"/>
          <w:sz w:val="24"/>
          <w:szCs w:val="24"/>
          <w:lang w:val="ro-MD"/>
        </w:rPr>
        <w:t xml:space="preserve">. Таким образом, </w:t>
      </w:r>
      <w:r w:rsidRPr="00E00173">
        <w:rPr>
          <w:rFonts w:asciiTheme="majorHAnsi" w:hAnsiTheme="majorHAnsi" w:cstheme="majorHAnsi"/>
          <w:sz w:val="24"/>
          <w:szCs w:val="24"/>
          <w:lang w:val="ro-MD"/>
        </w:rPr>
        <w:t>устано</w:t>
      </w:r>
      <w:r w:rsidR="00EC5C4D" w:rsidRPr="00EC5C4D">
        <w:rPr>
          <w:rFonts w:asciiTheme="majorHAnsi" w:hAnsiTheme="majorHAnsi" w:cstheme="majorHAnsi"/>
          <w:sz w:val="24"/>
          <w:szCs w:val="24"/>
          <w:lang w:val="ro-MD"/>
        </w:rPr>
        <w:t xml:space="preserve">влено несоблюдение </w:t>
      </w:r>
      <w:r w:rsidRPr="00E00173">
        <w:rPr>
          <w:rFonts w:asciiTheme="majorHAnsi" w:hAnsiTheme="majorHAnsi" w:cstheme="majorHAnsi"/>
          <w:sz w:val="24"/>
          <w:szCs w:val="24"/>
          <w:lang w:val="ro-MD"/>
        </w:rPr>
        <w:t>ПМСУ</w:t>
      </w:r>
      <w:r w:rsidR="00EC5C4D" w:rsidRPr="00EC5C4D">
        <w:rPr>
          <w:rFonts w:asciiTheme="majorHAnsi" w:hAnsiTheme="majorHAnsi" w:cstheme="majorHAnsi"/>
          <w:sz w:val="24"/>
          <w:szCs w:val="24"/>
          <w:lang w:val="ro-MD"/>
        </w:rPr>
        <w:t xml:space="preserve"> принципов регулирования </w:t>
      </w:r>
      <w:r w:rsidRPr="00E00173">
        <w:rPr>
          <w:rFonts w:asciiTheme="majorHAnsi" w:hAnsiTheme="majorHAnsi" w:cstheme="majorHAnsi"/>
          <w:sz w:val="24"/>
          <w:szCs w:val="24"/>
          <w:lang w:val="ro-MD"/>
        </w:rPr>
        <w:t>отношени</w:t>
      </w:r>
      <w:r w:rsidR="00EC5C4D" w:rsidRPr="00EC5C4D">
        <w:rPr>
          <w:rFonts w:asciiTheme="majorHAnsi" w:hAnsiTheme="majorHAnsi" w:cstheme="majorHAnsi"/>
          <w:sz w:val="24"/>
          <w:szCs w:val="24"/>
          <w:lang w:val="ro-MD"/>
        </w:rPr>
        <w:t xml:space="preserve">й </w:t>
      </w:r>
      <w:r w:rsidRPr="00E00173">
        <w:rPr>
          <w:rFonts w:asciiTheme="majorHAnsi" w:hAnsiTheme="majorHAnsi" w:cstheme="majorHAnsi"/>
          <w:sz w:val="24"/>
          <w:szCs w:val="24"/>
          <w:lang w:val="ro-MD"/>
        </w:rPr>
        <w:t>в рамках</w:t>
      </w:r>
      <w:r w:rsidR="00EC5C4D" w:rsidRPr="00EC5C4D">
        <w:rPr>
          <w:rFonts w:asciiTheme="majorHAnsi" w:hAnsiTheme="majorHAnsi" w:cstheme="majorHAnsi"/>
          <w:sz w:val="24"/>
          <w:szCs w:val="24"/>
          <w:lang w:val="ro-MD"/>
        </w:rPr>
        <w:t xml:space="preserve"> государственны</w:t>
      </w:r>
      <w:r w:rsidRPr="00E00173">
        <w:rPr>
          <w:rFonts w:asciiTheme="majorHAnsi" w:hAnsiTheme="majorHAnsi" w:cstheme="majorHAnsi"/>
          <w:sz w:val="24"/>
          <w:szCs w:val="24"/>
          <w:lang w:val="ro-MD"/>
        </w:rPr>
        <w:t>х</w:t>
      </w:r>
      <w:r w:rsidR="00EC5C4D" w:rsidRPr="00EC5C4D">
        <w:rPr>
          <w:rFonts w:asciiTheme="majorHAnsi" w:hAnsiTheme="majorHAnsi" w:cstheme="majorHAnsi"/>
          <w:sz w:val="24"/>
          <w:szCs w:val="24"/>
          <w:lang w:val="ro-MD"/>
        </w:rPr>
        <w:t xml:space="preserve"> закуп</w:t>
      </w:r>
      <w:r w:rsidRPr="00E00173">
        <w:rPr>
          <w:rFonts w:asciiTheme="majorHAnsi" w:hAnsiTheme="majorHAnsi" w:cstheme="majorHAnsi"/>
          <w:sz w:val="24"/>
          <w:szCs w:val="24"/>
          <w:lang w:val="ro-MD"/>
        </w:rPr>
        <w:t>ок</w:t>
      </w:r>
      <w:r w:rsidRPr="00B13B9A">
        <w:rPr>
          <w:rFonts w:asciiTheme="majorHAnsi" w:hAnsiTheme="majorHAnsi" w:cstheme="majorHAnsi"/>
          <w:sz w:val="24"/>
          <w:szCs w:val="24"/>
          <w:vertAlign w:val="superscript"/>
          <w:lang w:val="ro-MD"/>
        </w:rPr>
        <w:footnoteReference w:id="62"/>
      </w:r>
      <w:r w:rsidR="00EC5C4D" w:rsidRPr="00EC5C4D">
        <w:rPr>
          <w:rFonts w:asciiTheme="majorHAnsi" w:hAnsiTheme="majorHAnsi" w:cstheme="majorHAnsi"/>
          <w:sz w:val="24"/>
          <w:szCs w:val="24"/>
          <w:lang w:val="ro-MD"/>
        </w:rPr>
        <w:t xml:space="preserve">, в частности прозрачности и равного обращения со всеми </w:t>
      </w:r>
      <w:r w:rsidRPr="00E00173">
        <w:rPr>
          <w:rFonts w:asciiTheme="majorHAnsi" w:hAnsiTheme="majorHAnsi" w:cstheme="majorHAnsi"/>
          <w:sz w:val="24"/>
          <w:szCs w:val="24"/>
          <w:lang w:val="ro-MD"/>
        </w:rPr>
        <w:t>оферентами</w:t>
      </w:r>
      <w:r w:rsidR="00EC5C4D" w:rsidRPr="00EC5C4D">
        <w:rPr>
          <w:rFonts w:asciiTheme="majorHAnsi" w:hAnsiTheme="majorHAnsi" w:cstheme="majorHAnsi"/>
          <w:sz w:val="24"/>
          <w:szCs w:val="24"/>
          <w:lang w:val="ro-MD"/>
        </w:rPr>
        <w:t xml:space="preserve"> и экономическими операторами</w:t>
      </w:r>
      <w:r w:rsidR="00DE0811" w:rsidRPr="00B13B9A">
        <w:rPr>
          <w:rFonts w:asciiTheme="majorHAnsi" w:hAnsiTheme="majorHAnsi" w:cstheme="majorHAnsi"/>
          <w:sz w:val="24"/>
          <w:szCs w:val="24"/>
          <w:lang w:val="ro-MD"/>
        </w:rPr>
        <w:t xml:space="preserve">. </w:t>
      </w:r>
    </w:p>
    <w:p w14:paraId="28E99DAF" w14:textId="77777777" w:rsidR="00B37661" w:rsidRPr="00B13B9A" w:rsidRDefault="00B37661" w:rsidP="00B37661">
      <w:pPr>
        <w:pStyle w:val="a7"/>
        <w:ind w:left="0"/>
        <w:jc w:val="both"/>
        <w:rPr>
          <w:rFonts w:asciiTheme="majorHAnsi" w:hAnsiTheme="majorHAnsi" w:cstheme="majorHAnsi"/>
          <w:b/>
          <w:color w:val="000000" w:themeColor="text1"/>
          <w:sz w:val="24"/>
          <w:lang w:val="ro-MD"/>
        </w:rPr>
      </w:pPr>
    </w:p>
    <w:p w14:paraId="25531AEB" w14:textId="3CACB252" w:rsidR="00B37661" w:rsidRPr="00B13B9A" w:rsidRDefault="00EC5C4D" w:rsidP="00EC5C4D">
      <w:pPr>
        <w:pStyle w:val="a7"/>
        <w:numPr>
          <w:ilvl w:val="2"/>
          <w:numId w:val="10"/>
        </w:numPr>
        <w:tabs>
          <w:tab w:val="left" w:pos="1080"/>
        </w:tabs>
        <w:ind w:left="0" w:firstLine="284"/>
        <w:jc w:val="both"/>
        <w:outlineLvl w:val="2"/>
        <w:rPr>
          <w:rFonts w:asciiTheme="majorHAnsi" w:hAnsiTheme="majorHAnsi" w:cstheme="majorHAnsi"/>
          <w:b/>
          <w:color w:val="000000" w:themeColor="text1"/>
          <w:sz w:val="24"/>
          <w:lang w:val="ro-MD"/>
        </w:rPr>
      </w:pPr>
      <w:bookmarkStart w:id="41" w:name="_Toc158317244"/>
      <w:r w:rsidRPr="00EC5C4D">
        <w:rPr>
          <w:rFonts w:asciiTheme="majorHAnsi" w:hAnsiTheme="majorHAnsi" w:cstheme="majorHAnsi"/>
          <w:b/>
          <w:color w:val="000000" w:themeColor="text1"/>
          <w:sz w:val="24"/>
          <w:lang w:val="ro-MD"/>
        </w:rPr>
        <w:t>П</w:t>
      </w:r>
      <w:r w:rsidR="00E00173" w:rsidRPr="00E00173">
        <w:rPr>
          <w:rFonts w:asciiTheme="majorHAnsi" w:hAnsiTheme="majorHAnsi" w:cstheme="majorHAnsi"/>
          <w:b/>
          <w:color w:val="000000" w:themeColor="text1"/>
          <w:sz w:val="24"/>
          <w:lang w:val="ro-MD"/>
        </w:rPr>
        <w:t>роцедура</w:t>
      </w:r>
      <w:r w:rsidRPr="00EC5C4D">
        <w:rPr>
          <w:rFonts w:asciiTheme="majorHAnsi" w:hAnsiTheme="majorHAnsi" w:cstheme="majorHAnsi"/>
          <w:b/>
          <w:color w:val="000000" w:themeColor="text1"/>
          <w:sz w:val="24"/>
          <w:lang w:val="ro-MD"/>
        </w:rPr>
        <w:t xml:space="preserve"> </w:t>
      </w:r>
      <w:r w:rsidR="00E00173" w:rsidRPr="00E00173">
        <w:rPr>
          <w:rFonts w:asciiTheme="majorHAnsi" w:hAnsiTheme="majorHAnsi" w:cstheme="majorHAnsi"/>
          <w:b/>
          <w:color w:val="000000" w:themeColor="text1"/>
          <w:sz w:val="24"/>
          <w:lang w:val="ro-MD"/>
        </w:rPr>
        <w:t xml:space="preserve">проведения </w:t>
      </w:r>
      <w:r w:rsidRPr="00EC5C4D">
        <w:rPr>
          <w:rFonts w:asciiTheme="majorHAnsi" w:hAnsiTheme="majorHAnsi" w:cstheme="majorHAnsi"/>
          <w:b/>
          <w:color w:val="000000" w:themeColor="text1"/>
          <w:sz w:val="24"/>
          <w:lang w:val="ro-MD"/>
        </w:rPr>
        <w:t xml:space="preserve">закупок путем заключения договора о закупке небольшой стоимости </w:t>
      </w:r>
      <w:r w:rsidR="00E00173" w:rsidRPr="00E00173">
        <w:rPr>
          <w:rFonts w:asciiTheme="majorHAnsi" w:hAnsiTheme="majorHAnsi" w:cstheme="majorHAnsi"/>
          <w:b/>
          <w:color w:val="000000" w:themeColor="text1"/>
          <w:sz w:val="24"/>
          <w:lang w:val="ro-MD"/>
        </w:rPr>
        <w:t>на сумму</w:t>
      </w:r>
      <w:r w:rsidR="00E00173">
        <w:rPr>
          <w:rFonts w:asciiTheme="majorHAnsi" w:hAnsiTheme="majorHAnsi" w:cstheme="majorHAnsi"/>
          <w:b/>
          <w:color w:val="000000" w:themeColor="text1"/>
          <w:sz w:val="24"/>
          <w:lang w:val="ro-MD"/>
        </w:rPr>
        <w:t xml:space="preserve"> 960,0 тыс. леев</w:t>
      </w:r>
      <w:r w:rsidRPr="00EC5C4D">
        <w:rPr>
          <w:rFonts w:asciiTheme="majorHAnsi" w:hAnsiTheme="majorHAnsi" w:cstheme="majorHAnsi"/>
          <w:b/>
          <w:color w:val="000000" w:themeColor="text1"/>
          <w:sz w:val="24"/>
          <w:lang w:val="ro-MD"/>
        </w:rPr>
        <w:t xml:space="preserve"> был</w:t>
      </w:r>
      <w:r w:rsidR="00E00173" w:rsidRPr="00E00173">
        <w:rPr>
          <w:rFonts w:asciiTheme="majorHAnsi" w:hAnsiTheme="majorHAnsi" w:cstheme="majorHAnsi"/>
          <w:b/>
          <w:color w:val="000000" w:themeColor="text1"/>
          <w:sz w:val="24"/>
          <w:lang w:val="ro-MD"/>
        </w:rPr>
        <w:t>а</w:t>
      </w:r>
      <w:r w:rsidRPr="00EC5C4D">
        <w:rPr>
          <w:rFonts w:asciiTheme="majorHAnsi" w:hAnsiTheme="majorHAnsi" w:cstheme="majorHAnsi"/>
          <w:b/>
          <w:color w:val="000000" w:themeColor="text1"/>
          <w:sz w:val="24"/>
          <w:lang w:val="ro-MD"/>
        </w:rPr>
        <w:t xml:space="preserve"> </w:t>
      </w:r>
      <w:r w:rsidR="00E00173" w:rsidRPr="00E00173">
        <w:rPr>
          <w:rFonts w:asciiTheme="majorHAnsi" w:hAnsiTheme="majorHAnsi" w:cstheme="majorHAnsi"/>
          <w:b/>
          <w:color w:val="000000" w:themeColor="text1"/>
          <w:sz w:val="24"/>
          <w:lang w:val="ro-MD"/>
        </w:rPr>
        <w:t>присуждена</w:t>
      </w:r>
      <w:r w:rsidRPr="00EC5C4D">
        <w:rPr>
          <w:rFonts w:asciiTheme="majorHAnsi" w:hAnsiTheme="majorHAnsi" w:cstheme="majorHAnsi"/>
          <w:b/>
          <w:color w:val="000000" w:themeColor="text1"/>
          <w:sz w:val="24"/>
          <w:lang w:val="ro-MD"/>
        </w:rPr>
        <w:t xml:space="preserve"> неправильно, </w:t>
      </w:r>
      <w:r w:rsidR="00896667" w:rsidRPr="00896667">
        <w:rPr>
          <w:rFonts w:asciiTheme="majorHAnsi" w:hAnsiTheme="majorHAnsi" w:cstheme="majorHAnsi"/>
          <w:b/>
          <w:color w:val="000000" w:themeColor="text1"/>
          <w:sz w:val="24"/>
          <w:lang w:val="ro-MD"/>
        </w:rPr>
        <w:t>с</w:t>
      </w:r>
      <w:r w:rsidRPr="00EC5C4D">
        <w:rPr>
          <w:rFonts w:asciiTheme="majorHAnsi" w:hAnsiTheme="majorHAnsi" w:cstheme="majorHAnsi"/>
          <w:b/>
          <w:color w:val="000000" w:themeColor="text1"/>
          <w:sz w:val="24"/>
          <w:lang w:val="ro-MD"/>
        </w:rPr>
        <w:t xml:space="preserve"> </w:t>
      </w:r>
      <w:r w:rsidR="00896667" w:rsidRPr="00896667">
        <w:rPr>
          <w:rFonts w:asciiTheme="majorHAnsi" w:hAnsiTheme="majorHAnsi" w:cstheme="majorHAnsi"/>
          <w:b/>
          <w:color w:val="000000" w:themeColor="text1"/>
          <w:sz w:val="24"/>
          <w:lang w:val="ro-MD"/>
        </w:rPr>
        <w:t>не</w:t>
      </w:r>
      <w:r w:rsidRPr="00EC5C4D">
        <w:rPr>
          <w:rFonts w:asciiTheme="majorHAnsi" w:hAnsiTheme="majorHAnsi" w:cstheme="majorHAnsi"/>
          <w:b/>
          <w:color w:val="000000" w:themeColor="text1"/>
          <w:sz w:val="24"/>
          <w:lang w:val="ro-MD"/>
        </w:rPr>
        <w:t>соблюдени</w:t>
      </w:r>
      <w:r w:rsidR="00896667" w:rsidRPr="00896667">
        <w:rPr>
          <w:rFonts w:asciiTheme="majorHAnsi" w:hAnsiTheme="majorHAnsi" w:cstheme="majorHAnsi"/>
          <w:b/>
          <w:color w:val="000000" w:themeColor="text1"/>
          <w:sz w:val="24"/>
          <w:lang w:val="ro-MD"/>
        </w:rPr>
        <w:t>ем</w:t>
      </w:r>
      <w:r w:rsidRPr="00EC5C4D">
        <w:rPr>
          <w:rFonts w:asciiTheme="majorHAnsi" w:hAnsiTheme="majorHAnsi" w:cstheme="majorHAnsi"/>
          <w:b/>
          <w:color w:val="000000" w:themeColor="text1"/>
          <w:sz w:val="24"/>
          <w:lang w:val="ro-MD"/>
        </w:rPr>
        <w:t xml:space="preserve"> установленных законодательством пороговых значений</w:t>
      </w:r>
      <w:r w:rsidR="00B37661" w:rsidRPr="00B13B9A">
        <w:rPr>
          <w:rFonts w:asciiTheme="majorHAnsi" w:hAnsiTheme="majorHAnsi" w:cstheme="majorHAnsi"/>
          <w:b/>
          <w:color w:val="000000" w:themeColor="text1"/>
          <w:sz w:val="24"/>
          <w:lang w:val="ro-MD"/>
        </w:rPr>
        <w:t>.</w:t>
      </w:r>
      <w:bookmarkEnd w:id="41"/>
    </w:p>
    <w:p w14:paraId="003C62C5" w14:textId="4161401B" w:rsidR="00DE0811" w:rsidRPr="00B13B9A" w:rsidRDefault="001A16A0" w:rsidP="00DE0811">
      <w:pPr>
        <w:spacing w:line="276" w:lineRule="auto"/>
        <w:jc w:val="both"/>
        <w:rPr>
          <w:rFonts w:asciiTheme="majorHAnsi" w:hAnsiTheme="majorHAnsi" w:cstheme="majorHAnsi"/>
          <w:color w:val="000000" w:themeColor="text1"/>
          <w:sz w:val="24"/>
          <w:szCs w:val="24"/>
          <w:lang w:val="ro-MD"/>
        </w:rPr>
      </w:pPr>
      <w:r w:rsidRPr="001A16A0">
        <w:rPr>
          <w:rFonts w:asciiTheme="majorHAnsi" w:hAnsiTheme="majorHAnsi" w:cstheme="majorHAnsi"/>
          <w:color w:val="000000" w:themeColor="text1"/>
          <w:sz w:val="24"/>
          <w:lang w:val="ro-MD"/>
        </w:rPr>
        <w:t>Согласно законодательной базе, договоры о государственных закупках, предполагаемая стоимость которых</w:t>
      </w:r>
      <w:r w:rsidR="00896667">
        <w:rPr>
          <w:rFonts w:asciiTheme="majorHAnsi" w:hAnsiTheme="majorHAnsi" w:cstheme="majorHAnsi"/>
          <w:color w:val="000000" w:themeColor="text1"/>
          <w:sz w:val="24"/>
          <w:lang w:val="ru-RU"/>
        </w:rPr>
        <w:t>,</w:t>
      </w:r>
      <w:r w:rsidRPr="001A16A0">
        <w:rPr>
          <w:rFonts w:asciiTheme="majorHAnsi" w:hAnsiTheme="majorHAnsi" w:cstheme="majorHAnsi"/>
          <w:color w:val="000000" w:themeColor="text1"/>
          <w:sz w:val="24"/>
          <w:lang w:val="ro-MD"/>
        </w:rPr>
        <w:t xml:space="preserve"> без налога на добавленную стоимость, не превышающая утвержденных</w:t>
      </w:r>
      <w:r w:rsidR="00896667" w:rsidRPr="00B13B9A">
        <w:rPr>
          <w:rStyle w:val="a9"/>
          <w:rFonts w:asciiTheme="majorHAnsi" w:hAnsiTheme="majorHAnsi" w:cstheme="majorHAnsi"/>
          <w:color w:val="000000" w:themeColor="text1"/>
          <w:sz w:val="24"/>
          <w:szCs w:val="24"/>
          <w:lang w:val="ro-MD"/>
        </w:rPr>
        <w:footnoteReference w:id="63"/>
      </w:r>
      <w:r w:rsidRPr="001A16A0">
        <w:rPr>
          <w:rFonts w:asciiTheme="majorHAnsi" w:hAnsiTheme="majorHAnsi" w:cstheme="majorHAnsi"/>
          <w:color w:val="000000" w:themeColor="text1"/>
          <w:sz w:val="24"/>
          <w:lang w:val="ro-MD"/>
        </w:rPr>
        <w:t xml:space="preserve"> пороговых значений, регулируются Положением </w:t>
      </w:r>
      <w:r w:rsidR="00896667">
        <w:rPr>
          <w:rFonts w:asciiTheme="majorHAnsi" w:hAnsiTheme="majorHAnsi" w:cstheme="majorHAnsi"/>
          <w:color w:val="000000" w:themeColor="text1"/>
          <w:sz w:val="24"/>
          <w:lang w:val="ru-RU"/>
        </w:rPr>
        <w:t>о</w:t>
      </w:r>
      <w:r w:rsidRPr="001A16A0">
        <w:rPr>
          <w:rFonts w:asciiTheme="majorHAnsi" w:hAnsiTheme="majorHAnsi" w:cstheme="majorHAnsi"/>
          <w:color w:val="000000" w:themeColor="text1"/>
          <w:sz w:val="24"/>
          <w:lang w:val="ro-MD"/>
        </w:rPr>
        <w:t xml:space="preserve"> государственных закупках </w:t>
      </w:r>
      <w:r w:rsidR="00896667">
        <w:rPr>
          <w:rFonts w:asciiTheme="majorHAnsi" w:hAnsiTheme="majorHAnsi" w:cstheme="majorHAnsi"/>
          <w:color w:val="000000" w:themeColor="text1"/>
          <w:sz w:val="24"/>
          <w:lang w:val="ru-RU"/>
        </w:rPr>
        <w:t>небольш</w:t>
      </w:r>
      <w:r w:rsidRPr="001A16A0">
        <w:rPr>
          <w:rFonts w:asciiTheme="majorHAnsi" w:hAnsiTheme="majorHAnsi" w:cstheme="majorHAnsi"/>
          <w:color w:val="000000" w:themeColor="text1"/>
          <w:sz w:val="24"/>
          <w:lang w:val="ro-MD"/>
        </w:rPr>
        <w:t>ой стоимости</w:t>
      </w:r>
      <w:r w:rsidR="00896667" w:rsidRPr="00B13B9A">
        <w:rPr>
          <w:rStyle w:val="a9"/>
          <w:rFonts w:asciiTheme="majorHAnsi" w:hAnsiTheme="majorHAnsi" w:cstheme="majorHAnsi"/>
          <w:color w:val="000000" w:themeColor="text1"/>
          <w:sz w:val="24"/>
          <w:szCs w:val="24"/>
          <w:lang w:val="ro-MD"/>
        </w:rPr>
        <w:footnoteReference w:id="64"/>
      </w:r>
      <w:r w:rsidRPr="001A16A0">
        <w:rPr>
          <w:rFonts w:asciiTheme="majorHAnsi" w:hAnsiTheme="majorHAnsi" w:cstheme="majorHAnsi"/>
          <w:color w:val="000000" w:themeColor="text1"/>
          <w:sz w:val="24"/>
          <w:lang w:val="ro-MD"/>
        </w:rPr>
        <w:t xml:space="preserve">, а в случае </w:t>
      </w:r>
      <w:r w:rsidR="00F93C47">
        <w:rPr>
          <w:rFonts w:asciiTheme="majorHAnsi" w:hAnsiTheme="majorHAnsi" w:cstheme="majorHAnsi"/>
          <w:color w:val="000000" w:themeColor="text1"/>
          <w:sz w:val="24"/>
          <w:lang w:val="ro-MD"/>
        </w:rPr>
        <w:t>договор</w:t>
      </w:r>
      <w:r w:rsidRPr="001A16A0">
        <w:rPr>
          <w:rFonts w:asciiTheme="majorHAnsi" w:hAnsiTheme="majorHAnsi" w:cstheme="majorHAnsi"/>
          <w:color w:val="000000" w:themeColor="text1"/>
          <w:sz w:val="24"/>
          <w:lang w:val="ro-MD"/>
        </w:rPr>
        <w:t xml:space="preserve">ов, оценочная стоимость которых превышает указанные пороговые значения, применяемая процедура должна быть выбрана в соответствии с положениями Закона </w:t>
      </w:r>
      <w:r w:rsidR="00896667">
        <w:rPr>
          <w:rFonts w:asciiTheme="majorHAnsi" w:hAnsiTheme="majorHAnsi" w:cstheme="majorHAnsi"/>
          <w:color w:val="000000" w:themeColor="text1"/>
          <w:sz w:val="24"/>
          <w:lang w:val="ru-RU"/>
        </w:rPr>
        <w:t>о</w:t>
      </w:r>
      <w:r w:rsidRPr="001A16A0">
        <w:rPr>
          <w:rFonts w:asciiTheme="majorHAnsi" w:hAnsiTheme="majorHAnsi" w:cstheme="majorHAnsi"/>
          <w:color w:val="000000" w:themeColor="text1"/>
          <w:sz w:val="24"/>
          <w:lang w:val="ro-MD"/>
        </w:rPr>
        <w:t xml:space="preserve"> государственных закупках</w:t>
      </w:r>
      <w:r w:rsidR="00896667" w:rsidRPr="00B13B9A">
        <w:rPr>
          <w:rStyle w:val="a9"/>
          <w:rFonts w:asciiTheme="majorHAnsi" w:hAnsiTheme="majorHAnsi" w:cstheme="majorHAnsi"/>
          <w:color w:val="000000" w:themeColor="text1"/>
          <w:sz w:val="24"/>
          <w:szCs w:val="24"/>
          <w:lang w:val="ro-MD"/>
        </w:rPr>
        <w:footnoteReference w:id="65"/>
      </w:r>
      <w:r w:rsidRPr="001A16A0">
        <w:rPr>
          <w:rFonts w:asciiTheme="majorHAnsi" w:hAnsiTheme="majorHAnsi" w:cstheme="majorHAnsi"/>
          <w:color w:val="000000" w:themeColor="text1"/>
          <w:sz w:val="24"/>
          <w:lang w:val="ro-MD"/>
        </w:rPr>
        <w:t xml:space="preserve">. В рамках </w:t>
      </w:r>
      <w:r w:rsidR="00E77520">
        <w:rPr>
          <w:rFonts w:asciiTheme="majorHAnsi" w:hAnsiTheme="majorHAnsi" w:cstheme="majorHAnsi"/>
          <w:color w:val="000000" w:themeColor="text1"/>
          <w:sz w:val="24"/>
          <w:lang w:val="ro-MD"/>
        </w:rPr>
        <w:t>ПМСУ</w:t>
      </w:r>
      <w:r w:rsidRPr="001A16A0">
        <w:rPr>
          <w:rFonts w:asciiTheme="majorHAnsi" w:hAnsiTheme="majorHAnsi" w:cstheme="majorHAnsi"/>
          <w:color w:val="000000" w:themeColor="text1"/>
          <w:sz w:val="24"/>
          <w:lang w:val="ro-MD"/>
        </w:rPr>
        <w:t xml:space="preserve"> </w:t>
      </w:r>
      <w:r w:rsidR="00070ACE">
        <w:rPr>
          <w:rFonts w:asciiTheme="majorHAnsi" w:hAnsiTheme="majorHAnsi" w:cstheme="majorHAnsi"/>
          <w:color w:val="000000" w:themeColor="text1"/>
          <w:sz w:val="24"/>
          <w:lang w:val="ro-MD"/>
        </w:rPr>
        <w:t>ИФП</w:t>
      </w:r>
      <w:r w:rsidRPr="001A16A0">
        <w:rPr>
          <w:rFonts w:asciiTheme="majorHAnsi" w:hAnsiTheme="majorHAnsi" w:cstheme="majorHAnsi"/>
          <w:color w:val="000000" w:themeColor="text1"/>
          <w:sz w:val="24"/>
          <w:lang w:val="ro-MD"/>
        </w:rPr>
        <w:t xml:space="preserve"> „Кирилл Драганюк” аудит </w:t>
      </w:r>
      <w:r w:rsidR="00896667">
        <w:rPr>
          <w:rFonts w:asciiTheme="majorHAnsi" w:hAnsiTheme="majorHAnsi" w:cstheme="majorHAnsi"/>
          <w:color w:val="000000" w:themeColor="text1"/>
          <w:sz w:val="24"/>
          <w:lang w:val="ru-RU"/>
        </w:rPr>
        <w:t>констатиру</w:t>
      </w:r>
      <w:r w:rsidRPr="001A16A0">
        <w:rPr>
          <w:rFonts w:asciiTheme="majorHAnsi" w:hAnsiTheme="majorHAnsi" w:cstheme="majorHAnsi"/>
          <w:color w:val="000000" w:themeColor="text1"/>
          <w:sz w:val="24"/>
          <w:lang w:val="ro-MD"/>
        </w:rPr>
        <w:t xml:space="preserve">ет, что </w:t>
      </w:r>
      <w:r w:rsidR="00E77520">
        <w:rPr>
          <w:rFonts w:asciiTheme="majorHAnsi" w:hAnsiTheme="majorHAnsi" w:cstheme="majorHAnsi"/>
          <w:color w:val="000000" w:themeColor="text1"/>
          <w:sz w:val="24"/>
          <w:lang w:val="ro-MD"/>
        </w:rPr>
        <w:t>учреждени</w:t>
      </w:r>
      <w:r w:rsidRPr="001A16A0">
        <w:rPr>
          <w:rFonts w:asciiTheme="majorHAnsi" w:hAnsiTheme="majorHAnsi" w:cstheme="majorHAnsi"/>
          <w:color w:val="000000" w:themeColor="text1"/>
          <w:sz w:val="24"/>
          <w:lang w:val="ro-MD"/>
        </w:rPr>
        <w:t xml:space="preserve">е заключило </w:t>
      </w:r>
      <w:r w:rsidR="00896667">
        <w:rPr>
          <w:rFonts w:asciiTheme="majorHAnsi" w:hAnsiTheme="majorHAnsi" w:cstheme="majorHAnsi"/>
          <w:color w:val="000000" w:themeColor="text1"/>
          <w:sz w:val="24"/>
          <w:lang w:val="ru-RU"/>
        </w:rPr>
        <w:t xml:space="preserve">один </w:t>
      </w:r>
      <w:r w:rsidR="00F93C47">
        <w:rPr>
          <w:rFonts w:asciiTheme="majorHAnsi" w:hAnsiTheme="majorHAnsi" w:cstheme="majorHAnsi"/>
          <w:color w:val="000000" w:themeColor="text1"/>
          <w:sz w:val="24"/>
          <w:lang w:val="ro-MD"/>
        </w:rPr>
        <w:t>договор</w:t>
      </w:r>
      <w:r w:rsidRPr="001A16A0">
        <w:rPr>
          <w:rFonts w:asciiTheme="majorHAnsi" w:hAnsiTheme="majorHAnsi" w:cstheme="majorHAnsi"/>
          <w:color w:val="000000" w:themeColor="text1"/>
          <w:sz w:val="24"/>
          <w:lang w:val="ro-MD"/>
        </w:rPr>
        <w:t xml:space="preserve"> </w:t>
      </w:r>
      <w:r w:rsidR="00896667">
        <w:rPr>
          <w:rFonts w:asciiTheme="majorHAnsi" w:hAnsiTheme="majorHAnsi" w:cstheme="majorHAnsi"/>
          <w:color w:val="000000" w:themeColor="text1"/>
          <w:sz w:val="24"/>
          <w:lang w:val="ru-RU"/>
        </w:rPr>
        <w:t>небольш</w:t>
      </w:r>
      <w:r w:rsidR="00896667" w:rsidRPr="001A16A0">
        <w:rPr>
          <w:rFonts w:asciiTheme="majorHAnsi" w:hAnsiTheme="majorHAnsi" w:cstheme="majorHAnsi"/>
          <w:color w:val="000000" w:themeColor="text1"/>
          <w:sz w:val="24"/>
          <w:lang w:val="ro-MD"/>
        </w:rPr>
        <w:t>ой стоимости</w:t>
      </w:r>
      <w:r w:rsidRPr="001A16A0">
        <w:rPr>
          <w:rFonts w:asciiTheme="majorHAnsi" w:hAnsiTheme="majorHAnsi" w:cstheme="majorHAnsi"/>
          <w:color w:val="000000" w:themeColor="text1"/>
          <w:sz w:val="24"/>
          <w:lang w:val="ro-MD"/>
        </w:rPr>
        <w:t xml:space="preserve"> </w:t>
      </w:r>
      <w:r w:rsidR="00896667">
        <w:rPr>
          <w:rFonts w:asciiTheme="majorHAnsi" w:hAnsiTheme="majorHAnsi" w:cstheme="majorHAnsi"/>
          <w:color w:val="000000" w:themeColor="text1"/>
          <w:sz w:val="24"/>
          <w:lang w:val="ru-RU"/>
        </w:rPr>
        <w:t xml:space="preserve">на </w:t>
      </w:r>
      <w:r w:rsidRPr="001A16A0">
        <w:rPr>
          <w:rFonts w:asciiTheme="majorHAnsi" w:hAnsiTheme="majorHAnsi" w:cstheme="majorHAnsi"/>
          <w:color w:val="000000" w:themeColor="text1"/>
          <w:sz w:val="24"/>
          <w:lang w:val="ro-MD"/>
        </w:rPr>
        <w:t>приобретени</w:t>
      </w:r>
      <w:r w:rsidR="00896667">
        <w:rPr>
          <w:rFonts w:asciiTheme="majorHAnsi" w:hAnsiTheme="majorHAnsi" w:cstheme="majorHAnsi"/>
          <w:color w:val="000000" w:themeColor="text1"/>
          <w:sz w:val="24"/>
          <w:lang w:val="ru-RU"/>
        </w:rPr>
        <w:t>е</w:t>
      </w:r>
      <w:r w:rsidRPr="001A16A0">
        <w:rPr>
          <w:rFonts w:asciiTheme="majorHAnsi" w:hAnsiTheme="majorHAnsi" w:cstheme="majorHAnsi"/>
          <w:color w:val="000000" w:themeColor="text1"/>
          <w:sz w:val="24"/>
          <w:lang w:val="ro-MD"/>
        </w:rPr>
        <w:t xml:space="preserve"> медицинского кислорода, 6400 баллонов, на сумму 960,0 тыс. леев (включая НДС). </w:t>
      </w:r>
      <w:r w:rsidR="00896667" w:rsidRPr="00896667">
        <w:rPr>
          <w:rFonts w:asciiTheme="majorHAnsi" w:hAnsiTheme="majorHAnsi" w:cstheme="majorHAnsi"/>
          <w:color w:val="000000" w:themeColor="text1"/>
          <w:sz w:val="24"/>
          <w:lang w:val="ro-MD"/>
        </w:rPr>
        <w:t>Необходимо</w:t>
      </w:r>
      <w:r w:rsidRPr="001A16A0">
        <w:rPr>
          <w:rFonts w:asciiTheme="majorHAnsi" w:hAnsiTheme="majorHAnsi" w:cstheme="majorHAnsi"/>
          <w:color w:val="000000" w:themeColor="text1"/>
          <w:sz w:val="24"/>
          <w:lang w:val="ro-MD"/>
        </w:rPr>
        <w:t xml:space="preserve"> отметить, что был</w:t>
      </w:r>
      <w:r w:rsidR="00896667" w:rsidRPr="00896667">
        <w:rPr>
          <w:rFonts w:asciiTheme="majorHAnsi" w:hAnsiTheme="majorHAnsi" w:cstheme="majorHAnsi"/>
          <w:color w:val="000000" w:themeColor="text1"/>
          <w:sz w:val="24"/>
          <w:lang w:val="ro-MD"/>
        </w:rPr>
        <w:t>о</w:t>
      </w:r>
      <w:r w:rsidRPr="001A16A0">
        <w:rPr>
          <w:rFonts w:asciiTheme="majorHAnsi" w:hAnsiTheme="majorHAnsi" w:cstheme="majorHAnsi"/>
          <w:color w:val="000000" w:themeColor="text1"/>
          <w:sz w:val="24"/>
          <w:lang w:val="ro-MD"/>
        </w:rPr>
        <w:t xml:space="preserve"> приобретен</w:t>
      </w:r>
      <w:r w:rsidR="00896667" w:rsidRPr="00896667">
        <w:rPr>
          <w:rFonts w:asciiTheme="majorHAnsi" w:hAnsiTheme="majorHAnsi" w:cstheme="majorHAnsi"/>
          <w:color w:val="000000" w:themeColor="text1"/>
          <w:sz w:val="24"/>
          <w:lang w:val="ro-MD"/>
        </w:rPr>
        <w:t>о</w:t>
      </w:r>
      <w:r w:rsidRPr="001A16A0">
        <w:rPr>
          <w:rFonts w:asciiTheme="majorHAnsi" w:hAnsiTheme="majorHAnsi" w:cstheme="majorHAnsi"/>
          <w:color w:val="000000" w:themeColor="text1"/>
          <w:sz w:val="24"/>
          <w:lang w:val="ro-MD"/>
        </w:rPr>
        <w:t xml:space="preserve"> на 4 675 </w:t>
      </w:r>
      <w:r w:rsidR="00896667" w:rsidRPr="00896667">
        <w:rPr>
          <w:rFonts w:asciiTheme="majorHAnsi" w:hAnsiTheme="majorHAnsi" w:cstheme="majorHAnsi"/>
          <w:color w:val="000000" w:themeColor="text1"/>
          <w:sz w:val="24"/>
          <w:lang w:val="ro-MD"/>
        </w:rPr>
        <w:t>баллон</w:t>
      </w:r>
      <w:r w:rsidRPr="001A16A0">
        <w:rPr>
          <w:rFonts w:asciiTheme="majorHAnsi" w:hAnsiTheme="majorHAnsi" w:cstheme="majorHAnsi"/>
          <w:color w:val="000000" w:themeColor="text1"/>
          <w:sz w:val="24"/>
          <w:lang w:val="ro-MD"/>
        </w:rPr>
        <w:t>ов больше запланирован</w:t>
      </w:r>
      <w:r w:rsidR="00896667" w:rsidRPr="00896667">
        <w:rPr>
          <w:rFonts w:asciiTheme="majorHAnsi" w:hAnsiTheme="majorHAnsi" w:cstheme="majorHAnsi"/>
          <w:color w:val="000000" w:themeColor="text1"/>
          <w:sz w:val="24"/>
          <w:lang w:val="ro-MD"/>
        </w:rPr>
        <w:t>ных потребностей</w:t>
      </w:r>
      <w:r w:rsidRPr="001A16A0">
        <w:rPr>
          <w:rFonts w:asciiTheme="majorHAnsi" w:hAnsiTheme="majorHAnsi" w:cstheme="majorHAnsi"/>
          <w:color w:val="000000" w:themeColor="text1"/>
          <w:sz w:val="24"/>
          <w:lang w:val="ro-MD"/>
        </w:rPr>
        <w:t xml:space="preserve"> на 2021 год, или в 3 раза больше, без документирования потребности в кислороде</w:t>
      </w:r>
      <w:r w:rsidR="00896667" w:rsidRPr="00896667">
        <w:rPr>
          <w:rFonts w:asciiTheme="majorHAnsi" w:hAnsiTheme="majorHAnsi" w:cstheme="majorHAnsi"/>
          <w:color w:val="000000" w:themeColor="text1"/>
          <w:sz w:val="24"/>
          <w:lang w:val="ro-MD"/>
        </w:rPr>
        <w:t xml:space="preserve">. </w:t>
      </w:r>
    </w:p>
    <w:p w14:paraId="27A5D84A" w14:textId="1BC55925" w:rsidR="00F20B3D" w:rsidRPr="00B13B9A" w:rsidRDefault="001A16A0" w:rsidP="00B37661">
      <w:pPr>
        <w:jc w:val="both"/>
        <w:rPr>
          <w:rFonts w:asciiTheme="majorHAnsi" w:hAnsiTheme="majorHAnsi" w:cstheme="majorHAnsi"/>
          <w:color w:val="000000" w:themeColor="text1"/>
          <w:sz w:val="24"/>
          <w:szCs w:val="24"/>
          <w:lang w:val="ro-MD"/>
        </w:rPr>
      </w:pPr>
      <w:r w:rsidRPr="001A16A0">
        <w:rPr>
          <w:rFonts w:asciiTheme="majorHAnsi" w:hAnsiTheme="majorHAnsi" w:cstheme="majorHAnsi"/>
          <w:color w:val="000000" w:themeColor="text1"/>
          <w:sz w:val="24"/>
          <w:szCs w:val="24"/>
          <w:lang w:val="ro-MD"/>
        </w:rPr>
        <w:t>Хотя в 2021 году</w:t>
      </w:r>
      <w:r w:rsidR="00896667">
        <w:rPr>
          <w:rFonts w:asciiTheme="majorHAnsi" w:hAnsiTheme="majorHAnsi" w:cstheme="majorHAnsi"/>
          <w:color w:val="000000" w:themeColor="text1"/>
          <w:sz w:val="24"/>
          <w:szCs w:val="24"/>
          <w:lang w:val="ru-RU"/>
        </w:rPr>
        <w:t>,</w:t>
      </w:r>
      <w:r w:rsidRPr="001A16A0">
        <w:rPr>
          <w:rFonts w:asciiTheme="majorHAnsi" w:hAnsiTheme="majorHAnsi" w:cstheme="majorHAnsi"/>
          <w:color w:val="000000" w:themeColor="text1"/>
          <w:sz w:val="24"/>
          <w:szCs w:val="24"/>
          <w:lang w:val="ro-MD"/>
        </w:rPr>
        <w:t xml:space="preserve"> в контексте пандемии COVID-19</w:t>
      </w:r>
      <w:r w:rsidR="00896667">
        <w:rPr>
          <w:rFonts w:asciiTheme="majorHAnsi" w:hAnsiTheme="majorHAnsi" w:cstheme="majorHAnsi"/>
          <w:color w:val="000000" w:themeColor="text1"/>
          <w:sz w:val="24"/>
          <w:szCs w:val="24"/>
          <w:lang w:val="ru-RU"/>
        </w:rPr>
        <w:t>,</w:t>
      </w:r>
      <w:r w:rsidRPr="001A16A0">
        <w:rPr>
          <w:rFonts w:asciiTheme="majorHAnsi" w:hAnsiTheme="majorHAnsi" w:cstheme="majorHAnsi"/>
          <w:color w:val="000000" w:themeColor="text1"/>
          <w:sz w:val="24"/>
          <w:szCs w:val="24"/>
          <w:lang w:val="ro-MD"/>
        </w:rPr>
        <w:t xml:space="preserve"> </w:t>
      </w:r>
      <w:r w:rsidR="00896667">
        <w:rPr>
          <w:rFonts w:asciiTheme="majorHAnsi" w:hAnsiTheme="majorHAnsi" w:cstheme="majorHAnsi"/>
          <w:color w:val="000000" w:themeColor="text1"/>
          <w:sz w:val="24"/>
          <w:szCs w:val="24"/>
          <w:lang w:val="ru-RU"/>
        </w:rPr>
        <w:t>П</w:t>
      </w:r>
      <w:r w:rsidRPr="001A16A0">
        <w:rPr>
          <w:rFonts w:asciiTheme="majorHAnsi" w:hAnsiTheme="majorHAnsi" w:cstheme="majorHAnsi"/>
          <w:color w:val="000000" w:themeColor="text1"/>
          <w:sz w:val="24"/>
          <w:szCs w:val="24"/>
          <w:lang w:val="ro-MD"/>
        </w:rPr>
        <w:t>равительство одобрило некоторые механизмы гибкости</w:t>
      </w:r>
      <w:r w:rsidR="00896667" w:rsidRPr="00B13B9A">
        <w:rPr>
          <w:rStyle w:val="a9"/>
          <w:rFonts w:asciiTheme="majorHAnsi" w:hAnsiTheme="majorHAnsi" w:cstheme="majorHAnsi"/>
          <w:color w:val="000000" w:themeColor="text1"/>
          <w:sz w:val="24"/>
          <w:szCs w:val="24"/>
          <w:lang w:val="ro-MD"/>
        </w:rPr>
        <w:footnoteReference w:id="66"/>
      </w:r>
      <w:r w:rsidRPr="001A16A0">
        <w:rPr>
          <w:rFonts w:asciiTheme="majorHAnsi" w:hAnsiTheme="majorHAnsi" w:cstheme="majorHAnsi"/>
          <w:color w:val="000000" w:themeColor="text1"/>
          <w:sz w:val="24"/>
          <w:szCs w:val="24"/>
          <w:lang w:val="ro-MD"/>
        </w:rPr>
        <w:t xml:space="preserve"> при совершении </w:t>
      </w:r>
      <w:r w:rsidR="00896667">
        <w:rPr>
          <w:rFonts w:asciiTheme="majorHAnsi" w:hAnsiTheme="majorHAnsi" w:cstheme="majorHAnsi"/>
          <w:color w:val="000000" w:themeColor="text1"/>
          <w:sz w:val="24"/>
          <w:szCs w:val="24"/>
          <w:lang w:val="ru-RU"/>
        </w:rPr>
        <w:t>за</w:t>
      </w:r>
      <w:r w:rsidRPr="001A16A0">
        <w:rPr>
          <w:rFonts w:asciiTheme="majorHAnsi" w:hAnsiTheme="majorHAnsi" w:cstheme="majorHAnsi"/>
          <w:color w:val="000000" w:themeColor="text1"/>
          <w:sz w:val="24"/>
          <w:szCs w:val="24"/>
          <w:lang w:val="ro-MD"/>
        </w:rPr>
        <w:t xml:space="preserve">купок, тем не менее, </w:t>
      </w:r>
      <w:r w:rsidR="00896667" w:rsidRPr="001A16A0">
        <w:rPr>
          <w:rFonts w:asciiTheme="majorHAnsi" w:hAnsiTheme="majorHAnsi" w:cstheme="majorHAnsi"/>
          <w:color w:val="000000" w:themeColor="text1"/>
          <w:sz w:val="24"/>
          <w:szCs w:val="24"/>
          <w:lang w:val="ro-MD"/>
        </w:rPr>
        <w:t>они</w:t>
      </w:r>
      <w:r w:rsidR="00896667">
        <w:rPr>
          <w:rFonts w:asciiTheme="majorHAnsi" w:hAnsiTheme="majorHAnsi" w:cstheme="majorHAnsi"/>
          <w:color w:val="000000" w:themeColor="text1"/>
          <w:sz w:val="24"/>
          <w:szCs w:val="24"/>
          <w:lang w:val="ru-RU"/>
        </w:rPr>
        <w:t xml:space="preserve"> </w:t>
      </w:r>
      <w:r w:rsidRPr="001A16A0">
        <w:rPr>
          <w:rFonts w:asciiTheme="majorHAnsi" w:hAnsiTheme="majorHAnsi" w:cstheme="majorHAnsi"/>
          <w:color w:val="000000" w:themeColor="text1"/>
          <w:sz w:val="24"/>
          <w:szCs w:val="24"/>
          <w:lang w:val="ro-MD"/>
        </w:rPr>
        <w:t xml:space="preserve">не давали </w:t>
      </w:r>
      <w:r w:rsidR="00896667">
        <w:rPr>
          <w:rFonts w:asciiTheme="majorHAnsi" w:hAnsiTheme="majorHAnsi" w:cstheme="majorHAnsi"/>
          <w:color w:val="000000" w:themeColor="text1"/>
          <w:sz w:val="24"/>
          <w:szCs w:val="24"/>
          <w:lang w:val="ru-RU"/>
        </w:rPr>
        <w:t>субъекту</w:t>
      </w:r>
      <w:r w:rsidRPr="001A16A0">
        <w:rPr>
          <w:rFonts w:asciiTheme="majorHAnsi" w:hAnsiTheme="majorHAnsi" w:cstheme="majorHAnsi"/>
          <w:color w:val="000000" w:themeColor="text1"/>
          <w:sz w:val="24"/>
          <w:szCs w:val="24"/>
          <w:lang w:val="ro-MD"/>
        </w:rPr>
        <w:t xml:space="preserve"> права на заключение </w:t>
      </w:r>
      <w:r w:rsidR="00F93C47">
        <w:rPr>
          <w:rFonts w:asciiTheme="majorHAnsi" w:hAnsiTheme="majorHAnsi" w:cstheme="majorHAnsi"/>
          <w:color w:val="000000" w:themeColor="text1"/>
          <w:sz w:val="24"/>
          <w:szCs w:val="24"/>
          <w:lang w:val="ro-MD"/>
        </w:rPr>
        <w:t>договор</w:t>
      </w:r>
      <w:r w:rsidRPr="001A16A0">
        <w:rPr>
          <w:rFonts w:asciiTheme="majorHAnsi" w:hAnsiTheme="majorHAnsi" w:cstheme="majorHAnsi"/>
          <w:color w:val="000000" w:themeColor="text1"/>
          <w:sz w:val="24"/>
          <w:szCs w:val="24"/>
          <w:lang w:val="ro-MD"/>
        </w:rPr>
        <w:t>а небольш</w:t>
      </w:r>
      <w:r w:rsidR="00896667">
        <w:rPr>
          <w:rFonts w:asciiTheme="majorHAnsi" w:hAnsiTheme="majorHAnsi" w:cstheme="majorHAnsi"/>
          <w:color w:val="000000" w:themeColor="text1"/>
          <w:sz w:val="24"/>
          <w:szCs w:val="24"/>
          <w:lang w:val="ru-RU"/>
        </w:rPr>
        <w:t>ой стоимости</w:t>
      </w:r>
      <w:r w:rsidRPr="001A16A0">
        <w:rPr>
          <w:rFonts w:asciiTheme="majorHAnsi" w:hAnsiTheme="majorHAnsi" w:cstheme="majorHAnsi"/>
          <w:color w:val="000000" w:themeColor="text1"/>
          <w:sz w:val="24"/>
          <w:szCs w:val="24"/>
          <w:lang w:val="ro-MD"/>
        </w:rPr>
        <w:t xml:space="preserve">, </w:t>
      </w:r>
      <w:r w:rsidR="00896667">
        <w:rPr>
          <w:rFonts w:asciiTheme="majorHAnsi" w:hAnsiTheme="majorHAnsi" w:cstheme="majorHAnsi"/>
          <w:color w:val="000000" w:themeColor="text1"/>
          <w:sz w:val="24"/>
          <w:szCs w:val="24"/>
          <w:lang w:val="ru-RU"/>
        </w:rPr>
        <w:t>а</w:t>
      </w:r>
      <w:r w:rsidRPr="001A16A0">
        <w:rPr>
          <w:rFonts w:asciiTheme="majorHAnsi" w:hAnsiTheme="majorHAnsi" w:cstheme="majorHAnsi"/>
          <w:color w:val="000000" w:themeColor="text1"/>
          <w:sz w:val="24"/>
          <w:szCs w:val="24"/>
          <w:lang w:val="ro-MD"/>
        </w:rPr>
        <w:t xml:space="preserve"> должны были применяться другие процедуры, такие как прямые переговоры. Таким образом, </w:t>
      </w:r>
      <w:r w:rsidR="00C10BD2">
        <w:rPr>
          <w:rFonts w:asciiTheme="majorHAnsi" w:hAnsiTheme="majorHAnsi" w:cstheme="majorHAnsi"/>
          <w:color w:val="000000" w:themeColor="text1"/>
          <w:sz w:val="24"/>
          <w:szCs w:val="24"/>
          <w:lang w:val="ro-MD"/>
        </w:rPr>
        <w:t>субъект</w:t>
      </w:r>
      <w:r w:rsidRPr="001A16A0">
        <w:rPr>
          <w:rFonts w:asciiTheme="majorHAnsi" w:hAnsiTheme="majorHAnsi" w:cstheme="majorHAnsi"/>
          <w:color w:val="000000" w:themeColor="text1"/>
          <w:sz w:val="24"/>
          <w:szCs w:val="24"/>
          <w:lang w:val="ro-MD"/>
        </w:rPr>
        <w:t xml:space="preserve"> допустил </w:t>
      </w:r>
      <w:r w:rsidR="00E35FA3">
        <w:rPr>
          <w:rFonts w:asciiTheme="majorHAnsi" w:hAnsiTheme="majorHAnsi" w:cstheme="majorHAnsi"/>
          <w:color w:val="000000" w:themeColor="text1"/>
          <w:sz w:val="24"/>
          <w:szCs w:val="24"/>
          <w:lang w:val="ru-RU"/>
        </w:rPr>
        <w:t>контрактацию</w:t>
      </w:r>
      <w:r w:rsidRPr="001A16A0">
        <w:rPr>
          <w:rFonts w:asciiTheme="majorHAnsi" w:hAnsiTheme="majorHAnsi" w:cstheme="majorHAnsi"/>
          <w:color w:val="000000" w:themeColor="text1"/>
          <w:sz w:val="24"/>
          <w:szCs w:val="24"/>
          <w:lang w:val="ro-MD"/>
        </w:rPr>
        <w:t xml:space="preserve"> медицинск</w:t>
      </w:r>
      <w:r w:rsidR="00E35FA3">
        <w:rPr>
          <w:rFonts w:asciiTheme="majorHAnsi" w:hAnsiTheme="majorHAnsi" w:cstheme="majorHAnsi"/>
          <w:color w:val="000000" w:themeColor="text1"/>
          <w:sz w:val="24"/>
          <w:szCs w:val="24"/>
          <w:lang w:val="ru-RU"/>
        </w:rPr>
        <w:t>ого</w:t>
      </w:r>
      <w:r w:rsidRPr="001A16A0">
        <w:rPr>
          <w:rFonts w:asciiTheme="majorHAnsi" w:hAnsiTheme="majorHAnsi" w:cstheme="majorHAnsi"/>
          <w:color w:val="000000" w:themeColor="text1"/>
          <w:sz w:val="24"/>
          <w:szCs w:val="24"/>
          <w:lang w:val="ro-MD"/>
        </w:rPr>
        <w:t xml:space="preserve"> кислород</w:t>
      </w:r>
      <w:r w:rsidR="00E35FA3">
        <w:rPr>
          <w:rFonts w:asciiTheme="majorHAnsi" w:hAnsiTheme="majorHAnsi" w:cstheme="majorHAnsi"/>
          <w:color w:val="000000" w:themeColor="text1"/>
          <w:sz w:val="24"/>
          <w:szCs w:val="24"/>
          <w:lang w:val="ru-RU"/>
        </w:rPr>
        <w:t>а</w:t>
      </w:r>
      <w:r w:rsidRPr="001A16A0">
        <w:rPr>
          <w:rFonts w:asciiTheme="majorHAnsi" w:hAnsiTheme="majorHAnsi" w:cstheme="majorHAnsi"/>
          <w:color w:val="000000" w:themeColor="text1"/>
          <w:sz w:val="24"/>
          <w:szCs w:val="24"/>
          <w:lang w:val="ro-MD"/>
        </w:rPr>
        <w:t xml:space="preserve"> без документирования процесса и/или без аргументации потребностей посредством протоколов заседани</w:t>
      </w:r>
      <w:r w:rsidR="00E35FA3">
        <w:rPr>
          <w:rFonts w:asciiTheme="majorHAnsi" w:hAnsiTheme="majorHAnsi" w:cstheme="majorHAnsi"/>
          <w:color w:val="000000" w:themeColor="text1"/>
          <w:sz w:val="24"/>
          <w:szCs w:val="24"/>
          <w:lang w:val="ru-RU"/>
        </w:rPr>
        <w:t>й</w:t>
      </w:r>
      <w:r w:rsidRPr="001A16A0">
        <w:rPr>
          <w:rFonts w:asciiTheme="majorHAnsi" w:hAnsiTheme="majorHAnsi" w:cstheme="majorHAnsi"/>
          <w:color w:val="000000" w:themeColor="text1"/>
          <w:sz w:val="24"/>
          <w:szCs w:val="24"/>
          <w:lang w:val="ro-MD"/>
        </w:rPr>
        <w:t xml:space="preserve"> рабочей группы. Договор был заключен </w:t>
      </w:r>
      <w:r w:rsidR="00E35FA3">
        <w:rPr>
          <w:rFonts w:asciiTheme="majorHAnsi" w:hAnsiTheme="majorHAnsi" w:cstheme="majorHAnsi"/>
          <w:color w:val="000000" w:themeColor="text1"/>
          <w:sz w:val="24"/>
          <w:szCs w:val="24"/>
          <w:lang w:val="ru-RU"/>
        </w:rPr>
        <w:t>с</w:t>
      </w:r>
      <w:r w:rsidRPr="001A16A0">
        <w:rPr>
          <w:rFonts w:asciiTheme="majorHAnsi" w:hAnsiTheme="majorHAnsi" w:cstheme="majorHAnsi"/>
          <w:color w:val="000000" w:themeColor="text1"/>
          <w:sz w:val="24"/>
          <w:szCs w:val="24"/>
          <w:lang w:val="ro-MD"/>
        </w:rPr>
        <w:t xml:space="preserve"> </w:t>
      </w:r>
      <w:r w:rsidR="00E35FA3">
        <w:rPr>
          <w:rFonts w:asciiTheme="majorHAnsi" w:hAnsiTheme="majorHAnsi" w:cstheme="majorHAnsi"/>
          <w:color w:val="000000" w:themeColor="text1"/>
          <w:sz w:val="24"/>
          <w:szCs w:val="24"/>
          <w:lang w:val="ru-RU"/>
        </w:rPr>
        <w:t>не</w:t>
      </w:r>
      <w:r w:rsidRPr="001A16A0">
        <w:rPr>
          <w:rFonts w:asciiTheme="majorHAnsi" w:hAnsiTheme="majorHAnsi" w:cstheme="majorHAnsi"/>
          <w:color w:val="000000" w:themeColor="text1"/>
          <w:sz w:val="24"/>
          <w:szCs w:val="24"/>
          <w:lang w:val="ro-MD"/>
        </w:rPr>
        <w:t>соблюдени</w:t>
      </w:r>
      <w:r w:rsidR="00E35FA3">
        <w:rPr>
          <w:rFonts w:asciiTheme="majorHAnsi" w:hAnsiTheme="majorHAnsi" w:cstheme="majorHAnsi"/>
          <w:color w:val="000000" w:themeColor="text1"/>
          <w:sz w:val="24"/>
          <w:szCs w:val="24"/>
          <w:lang w:val="ru-RU"/>
        </w:rPr>
        <w:t>ем</w:t>
      </w:r>
      <w:r w:rsidRPr="001A16A0">
        <w:rPr>
          <w:rFonts w:asciiTheme="majorHAnsi" w:hAnsiTheme="majorHAnsi" w:cstheme="majorHAnsi"/>
          <w:color w:val="000000" w:themeColor="text1"/>
          <w:sz w:val="24"/>
          <w:szCs w:val="24"/>
          <w:lang w:val="ro-MD"/>
        </w:rPr>
        <w:t xml:space="preserve"> </w:t>
      </w:r>
      <w:r w:rsidR="00E35FA3">
        <w:rPr>
          <w:rFonts w:asciiTheme="majorHAnsi" w:hAnsiTheme="majorHAnsi" w:cstheme="majorHAnsi"/>
          <w:color w:val="000000" w:themeColor="text1"/>
          <w:sz w:val="24"/>
          <w:szCs w:val="24"/>
          <w:lang w:val="ru-RU"/>
        </w:rPr>
        <w:t>надлежаще</w:t>
      </w:r>
      <w:r w:rsidRPr="001A16A0">
        <w:rPr>
          <w:rFonts w:asciiTheme="majorHAnsi" w:hAnsiTheme="majorHAnsi" w:cstheme="majorHAnsi"/>
          <w:color w:val="000000" w:themeColor="text1"/>
          <w:sz w:val="24"/>
          <w:szCs w:val="24"/>
          <w:lang w:val="ro-MD"/>
        </w:rPr>
        <w:t xml:space="preserve">го выбора процедуры </w:t>
      </w:r>
      <w:r w:rsidR="00E35FA3">
        <w:rPr>
          <w:rFonts w:asciiTheme="majorHAnsi" w:hAnsiTheme="majorHAnsi" w:cstheme="majorHAnsi"/>
          <w:color w:val="000000" w:themeColor="text1"/>
          <w:sz w:val="24"/>
          <w:szCs w:val="24"/>
          <w:lang w:val="ru-RU"/>
        </w:rPr>
        <w:t>присужд</w:t>
      </w:r>
      <w:r w:rsidRPr="001A16A0">
        <w:rPr>
          <w:rFonts w:asciiTheme="majorHAnsi" w:hAnsiTheme="majorHAnsi" w:cstheme="majorHAnsi"/>
          <w:color w:val="000000" w:themeColor="text1"/>
          <w:sz w:val="24"/>
          <w:szCs w:val="24"/>
          <w:lang w:val="ro-MD"/>
        </w:rPr>
        <w:t xml:space="preserve">ения, </w:t>
      </w:r>
      <w:r w:rsidR="00E35FA3">
        <w:rPr>
          <w:rFonts w:asciiTheme="majorHAnsi" w:hAnsiTheme="majorHAnsi" w:cstheme="majorHAnsi"/>
          <w:color w:val="000000" w:themeColor="text1"/>
          <w:sz w:val="24"/>
          <w:szCs w:val="24"/>
          <w:lang w:val="ru-RU"/>
        </w:rPr>
        <w:t>без представления потребностей в</w:t>
      </w:r>
      <w:r w:rsidRPr="001A16A0">
        <w:rPr>
          <w:rFonts w:asciiTheme="majorHAnsi" w:hAnsiTheme="majorHAnsi" w:cstheme="majorHAnsi"/>
          <w:color w:val="000000" w:themeColor="text1"/>
          <w:sz w:val="24"/>
          <w:szCs w:val="24"/>
          <w:lang w:val="ro-MD"/>
        </w:rPr>
        <w:t xml:space="preserve"> тако</w:t>
      </w:r>
      <w:r w:rsidR="00E35FA3">
        <w:rPr>
          <w:rFonts w:asciiTheme="majorHAnsi" w:hAnsiTheme="majorHAnsi" w:cstheme="majorHAnsi"/>
          <w:color w:val="000000" w:themeColor="text1"/>
          <w:sz w:val="24"/>
          <w:szCs w:val="24"/>
          <w:lang w:val="ru-RU"/>
        </w:rPr>
        <w:t>м</w:t>
      </w:r>
      <w:r w:rsidRPr="001A16A0">
        <w:rPr>
          <w:rFonts w:asciiTheme="majorHAnsi" w:hAnsiTheme="majorHAnsi" w:cstheme="majorHAnsi"/>
          <w:color w:val="000000" w:themeColor="text1"/>
          <w:sz w:val="24"/>
          <w:szCs w:val="24"/>
          <w:lang w:val="ro-MD"/>
        </w:rPr>
        <w:t xml:space="preserve"> количеств</w:t>
      </w:r>
      <w:r w:rsidR="00E35FA3">
        <w:rPr>
          <w:rFonts w:asciiTheme="majorHAnsi" w:hAnsiTheme="majorHAnsi" w:cstheme="majorHAnsi"/>
          <w:color w:val="000000" w:themeColor="text1"/>
          <w:sz w:val="24"/>
          <w:szCs w:val="24"/>
          <w:lang w:val="ru-RU"/>
        </w:rPr>
        <w:t>е</w:t>
      </w:r>
      <w:r w:rsidRPr="001A16A0">
        <w:rPr>
          <w:rFonts w:asciiTheme="majorHAnsi" w:hAnsiTheme="majorHAnsi" w:cstheme="majorHAnsi"/>
          <w:color w:val="000000" w:themeColor="text1"/>
          <w:sz w:val="24"/>
          <w:szCs w:val="24"/>
          <w:lang w:val="ro-MD"/>
        </w:rPr>
        <w:t xml:space="preserve"> кислорода, а также </w:t>
      </w:r>
      <w:r w:rsidR="00E35FA3">
        <w:rPr>
          <w:rFonts w:asciiTheme="majorHAnsi" w:hAnsiTheme="majorHAnsi" w:cstheme="majorHAnsi"/>
          <w:color w:val="000000" w:themeColor="text1"/>
          <w:sz w:val="24"/>
          <w:szCs w:val="24"/>
          <w:lang w:val="ru-RU"/>
        </w:rPr>
        <w:t>в</w:t>
      </w:r>
      <w:r w:rsidRPr="001A16A0">
        <w:rPr>
          <w:rFonts w:asciiTheme="majorHAnsi" w:hAnsiTheme="majorHAnsi" w:cstheme="majorHAnsi"/>
          <w:color w:val="000000" w:themeColor="text1"/>
          <w:sz w:val="24"/>
          <w:szCs w:val="24"/>
          <w:lang w:val="ro-MD"/>
        </w:rPr>
        <w:t xml:space="preserve"> отсутстви</w:t>
      </w:r>
      <w:r w:rsidR="00E35FA3">
        <w:rPr>
          <w:rFonts w:asciiTheme="majorHAnsi" w:hAnsiTheme="majorHAnsi" w:cstheme="majorHAnsi"/>
          <w:color w:val="000000" w:themeColor="text1"/>
          <w:sz w:val="24"/>
          <w:szCs w:val="24"/>
          <w:lang w:val="ru-RU"/>
        </w:rPr>
        <w:t>е</w:t>
      </w:r>
      <w:r w:rsidRPr="001A16A0">
        <w:rPr>
          <w:rFonts w:asciiTheme="majorHAnsi" w:hAnsiTheme="majorHAnsi" w:cstheme="majorHAnsi"/>
          <w:color w:val="000000" w:themeColor="text1"/>
          <w:sz w:val="24"/>
          <w:szCs w:val="24"/>
          <w:lang w:val="ro-MD"/>
        </w:rPr>
        <w:t xml:space="preserve"> документирования </w:t>
      </w:r>
      <w:r w:rsidR="00E35FA3">
        <w:rPr>
          <w:rFonts w:asciiTheme="majorHAnsi" w:hAnsiTheme="majorHAnsi" w:cstheme="majorHAnsi"/>
          <w:color w:val="000000" w:themeColor="text1"/>
          <w:sz w:val="24"/>
          <w:szCs w:val="24"/>
          <w:lang w:val="ru-RU"/>
        </w:rPr>
        <w:t>в рамках</w:t>
      </w:r>
      <w:r w:rsidRPr="001A16A0">
        <w:rPr>
          <w:rFonts w:asciiTheme="majorHAnsi" w:hAnsiTheme="majorHAnsi" w:cstheme="majorHAnsi"/>
          <w:color w:val="000000" w:themeColor="text1"/>
          <w:sz w:val="24"/>
          <w:szCs w:val="24"/>
          <w:lang w:val="ro-MD"/>
        </w:rPr>
        <w:t xml:space="preserve"> заседании рабочей группы</w:t>
      </w:r>
      <w:r w:rsidR="00B37661" w:rsidRPr="00B13B9A">
        <w:rPr>
          <w:rFonts w:asciiTheme="majorHAnsi" w:hAnsiTheme="majorHAnsi" w:cstheme="majorHAnsi"/>
          <w:color w:val="000000" w:themeColor="text1"/>
          <w:sz w:val="24"/>
          <w:szCs w:val="24"/>
          <w:lang w:val="ro-MD"/>
        </w:rPr>
        <w:t xml:space="preserve">. </w:t>
      </w:r>
    </w:p>
    <w:p w14:paraId="514021E3" w14:textId="18137E11" w:rsidR="001A16A0" w:rsidRPr="001A16A0" w:rsidRDefault="00E35FA3" w:rsidP="001A16A0">
      <w:pPr>
        <w:jc w:val="both"/>
        <w:rPr>
          <w:rFonts w:asciiTheme="majorHAnsi" w:hAnsiTheme="majorHAnsi" w:cstheme="majorHAnsi"/>
          <w:color w:val="000000" w:themeColor="text1"/>
          <w:sz w:val="24"/>
          <w:szCs w:val="24"/>
          <w:lang w:val="ro-MD"/>
        </w:rPr>
      </w:pPr>
      <w:r>
        <w:rPr>
          <w:rFonts w:asciiTheme="majorHAnsi" w:hAnsiTheme="majorHAnsi" w:cstheme="majorHAnsi"/>
          <w:color w:val="000000" w:themeColor="text1"/>
          <w:sz w:val="24"/>
          <w:szCs w:val="24"/>
          <w:lang w:val="ru-RU"/>
        </w:rPr>
        <w:t>Следовательно</w:t>
      </w:r>
      <w:r w:rsidR="001A16A0" w:rsidRPr="001A16A0">
        <w:rPr>
          <w:rFonts w:asciiTheme="majorHAnsi" w:hAnsiTheme="majorHAnsi" w:cstheme="majorHAnsi"/>
          <w:color w:val="000000" w:themeColor="text1"/>
          <w:sz w:val="24"/>
          <w:szCs w:val="24"/>
          <w:lang w:val="ro-MD"/>
        </w:rPr>
        <w:t xml:space="preserve">, аудит отмечает, что </w:t>
      </w:r>
      <w:r w:rsidR="00C10BD2">
        <w:rPr>
          <w:rFonts w:asciiTheme="majorHAnsi" w:hAnsiTheme="majorHAnsi" w:cstheme="majorHAnsi"/>
          <w:color w:val="000000" w:themeColor="text1"/>
          <w:sz w:val="24"/>
          <w:szCs w:val="24"/>
          <w:lang w:val="ro-MD"/>
        </w:rPr>
        <w:t>субъект</w:t>
      </w:r>
      <w:r w:rsidR="001A16A0" w:rsidRPr="001A16A0">
        <w:rPr>
          <w:rFonts w:asciiTheme="majorHAnsi" w:hAnsiTheme="majorHAnsi" w:cstheme="majorHAnsi"/>
          <w:color w:val="000000" w:themeColor="text1"/>
          <w:sz w:val="24"/>
          <w:szCs w:val="24"/>
          <w:lang w:val="ro-MD"/>
        </w:rPr>
        <w:t xml:space="preserve"> не ведет количественный учет медицинского кислорода, после закупки он </w:t>
      </w:r>
      <w:r>
        <w:rPr>
          <w:rFonts w:asciiTheme="majorHAnsi" w:hAnsiTheme="majorHAnsi" w:cstheme="majorHAnsi"/>
          <w:color w:val="000000" w:themeColor="text1"/>
          <w:sz w:val="24"/>
          <w:szCs w:val="24"/>
          <w:lang w:val="ru-RU"/>
        </w:rPr>
        <w:t>сразу же относится</w:t>
      </w:r>
      <w:r w:rsidR="001A16A0" w:rsidRPr="001A16A0">
        <w:rPr>
          <w:rFonts w:asciiTheme="majorHAnsi" w:hAnsiTheme="majorHAnsi" w:cstheme="majorHAnsi"/>
          <w:color w:val="000000" w:themeColor="text1"/>
          <w:sz w:val="24"/>
          <w:szCs w:val="24"/>
          <w:lang w:val="ro-MD"/>
        </w:rPr>
        <w:t xml:space="preserve"> на расходы. В этом контексте</w:t>
      </w:r>
      <w:r>
        <w:rPr>
          <w:rFonts w:asciiTheme="majorHAnsi" w:hAnsiTheme="majorHAnsi" w:cstheme="majorHAnsi"/>
          <w:color w:val="000000" w:themeColor="text1"/>
          <w:sz w:val="24"/>
          <w:szCs w:val="24"/>
          <w:lang w:val="ru-RU"/>
        </w:rPr>
        <w:t>,</w:t>
      </w:r>
      <w:r w:rsidR="001A16A0" w:rsidRPr="001A16A0">
        <w:rPr>
          <w:rFonts w:asciiTheme="majorHAnsi" w:hAnsiTheme="majorHAnsi" w:cstheme="majorHAnsi"/>
          <w:color w:val="000000" w:themeColor="text1"/>
          <w:sz w:val="24"/>
          <w:szCs w:val="24"/>
          <w:lang w:val="ro-MD"/>
        </w:rPr>
        <w:t xml:space="preserve"> аудит был ограничен в определении соответствия использования кислорода, а также в оценке потребности в кислороде за </w:t>
      </w:r>
      <w:r>
        <w:rPr>
          <w:rFonts w:asciiTheme="majorHAnsi" w:hAnsiTheme="majorHAnsi" w:cstheme="majorHAnsi"/>
          <w:color w:val="000000" w:themeColor="text1"/>
          <w:sz w:val="24"/>
          <w:szCs w:val="24"/>
          <w:lang w:val="ru-RU"/>
        </w:rPr>
        <w:t>указанный</w:t>
      </w:r>
      <w:r w:rsidR="001A16A0" w:rsidRPr="001A16A0">
        <w:rPr>
          <w:rFonts w:asciiTheme="majorHAnsi" w:hAnsiTheme="majorHAnsi" w:cstheme="majorHAnsi"/>
          <w:color w:val="000000" w:themeColor="text1"/>
          <w:sz w:val="24"/>
          <w:szCs w:val="24"/>
          <w:lang w:val="ro-MD"/>
        </w:rPr>
        <w:t xml:space="preserve"> период. </w:t>
      </w:r>
    </w:p>
    <w:p w14:paraId="374C623E" w14:textId="50C50D73" w:rsidR="00B37661" w:rsidRPr="00B13B9A" w:rsidRDefault="001A16A0" w:rsidP="00E35FA3">
      <w:pPr>
        <w:jc w:val="both"/>
        <w:rPr>
          <w:rFonts w:asciiTheme="majorHAnsi" w:hAnsiTheme="majorHAnsi" w:cstheme="majorHAnsi"/>
          <w:color w:val="000000" w:themeColor="text1"/>
          <w:sz w:val="24"/>
          <w:szCs w:val="24"/>
          <w:lang w:val="ro-MD"/>
        </w:rPr>
      </w:pPr>
      <w:r w:rsidRPr="001A16A0">
        <w:rPr>
          <w:rFonts w:asciiTheme="majorHAnsi" w:hAnsiTheme="majorHAnsi" w:cstheme="majorHAnsi"/>
          <w:color w:val="000000" w:themeColor="text1"/>
          <w:sz w:val="24"/>
          <w:szCs w:val="24"/>
          <w:lang w:val="ro-MD"/>
        </w:rPr>
        <w:t xml:space="preserve">Вместе с тем, </w:t>
      </w:r>
      <w:r w:rsidR="00C10BD2">
        <w:rPr>
          <w:rFonts w:asciiTheme="majorHAnsi" w:hAnsiTheme="majorHAnsi" w:cstheme="majorHAnsi"/>
          <w:color w:val="000000" w:themeColor="text1"/>
          <w:sz w:val="24"/>
          <w:szCs w:val="24"/>
          <w:lang w:val="ro-MD"/>
        </w:rPr>
        <w:t>субъект</w:t>
      </w:r>
      <w:r w:rsidRPr="001A16A0">
        <w:rPr>
          <w:rFonts w:asciiTheme="majorHAnsi" w:hAnsiTheme="majorHAnsi" w:cstheme="majorHAnsi"/>
          <w:color w:val="000000" w:themeColor="text1"/>
          <w:sz w:val="24"/>
          <w:szCs w:val="24"/>
          <w:lang w:val="ro-MD"/>
        </w:rPr>
        <w:t xml:space="preserve"> </w:t>
      </w:r>
      <w:r w:rsidR="00E35FA3">
        <w:rPr>
          <w:rFonts w:asciiTheme="majorHAnsi" w:hAnsiTheme="majorHAnsi" w:cstheme="majorHAnsi"/>
          <w:color w:val="000000" w:themeColor="text1"/>
          <w:sz w:val="24"/>
          <w:szCs w:val="24"/>
          <w:lang w:val="ru-RU"/>
        </w:rPr>
        <w:t>информиру</w:t>
      </w:r>
      <w:r w:rsidRPr="001A16A0">
        <w:rPr>
          <w:rFonts w:asciiTheme="majorHAnsi" w:hAnsiTheme="majorHAnsi" w:cstheme="majorHAnsi"/>
          <w:color w:val="000000" w:themeColor="text1"/>
          <w:sz w:val="24"/>
          <w:szCs w:val="24"/>
          <w:lang w:val="ro-MD"/>
        </w:rPr>
        <w:t xml:space="preserve">ет, что в конце 2023 года </w:t>
      </w:r>
      <w:r w:rsidR="00E35FA3">
        <w:rPr>
          <w:rFonts w:asciiTheme="majorHAnsi" w:hAnsiTheme="majorHAnsi" w:cstheme="majorHAnsi"/>
          <w:color w:val="000000" w:themeColor="text1"/>
          <w:sz w:val="24"/>
          <w:szCs w:val="24"/>
          <w:lang w:val="ru-RU"/>
        </w:rPr>
        <w:t>будет</w:t>
      </w:r>
      <w:r w:rsidRPr="001A16A0">
        <w:rPr>
          <w:rFonts w:asciiTheme="majorHAnsi" w:hAnsiTheme="majorHAnsi" w:cstheme="majorHAnsi"/>
          <w:color w:val="000000" w:themeColor="text1"/>
          <w:sz w:val="24"/>
          <w:szCs w:val="24"/>
          <w:lang w:val="ro-MD"/>
        </w:rPr>
        <w:t xml:space="preserve"> вве</w:t>
      </w:r>
      <w:r w:rsidR="00E35FA3">
        <w:rPr>
          <w:rFonts w:asciiTheme="majorHAnsi" w:hAnsiTheme="majorHAnsi" w:cstheme="majorHAnsi"/>
          <w:color w:val="000000" w:themeColor="text1"/>
          <w:sz w:val="24"/>
          <w:szCs w:val="24"/>
          <w:lang w:val="ru-RU"/>
        </w:rPr>
        <w:t>дена</w:t>
      </w:r>
      <w:r w:rsidRPr="001A16A0">
        <w:rPr>
          <w:rFonts w:asciiTheme="majorHAnsi" w:hAnsiTheme="majorHAnsi" w:cstheme="majorHAnsi"/>
          <w:color w:val="000000" w:themeColor="text1"/>
          <w:sz w:val="24"/>
          <w:szCs w:val="24"/>
          <w:lang w:val="ro-MD"/>
        </w:rPr>
        <w:t xml:space="preserve"> в эксплуатацию станци</w:t>
      </w:r>
      <w:r w:rsidR="00E35FA3">
        <w:rPr>
          <w:rFonts w:asciiTheme="majorHAnsi" w:hAnsiTheme="majorHAnsi" w:cstheme="majorHAnsi"/>
          <w:color w:val="000000" w:themeColor="text1"/>
          <w:sz w:val="24"/>
          <w:szCs w:val="24"/>
          <w:lang w:val="ru-RU"/>
        </w:rPr>
        <w:t>я</w:t>
      </w:r>
      <w:r w:rsidRPr="001A16A0">
        <w:rPr>
          <w:rFonts w:asciiTheme="majorHAnsi" w:hAnsiTheme="majorHAnsi" w:cstheme="majorHAnsi"/>
          <w:color w:val="000000" w:themeColor="text1"/>
          <w:sz w:val="24"/>
          <w:szCs w:val="24"/>
          <w:lang w:val="ro-MD"/>
        </w:rPr>
        <w:t xml:space="preserve"> </w:t>
      </w:r>
      <w:r w:rsidR="00E35FA3">
        <w:rPr>
          <w:rFonts w:asciiTheme="majorHAnsi" w:hAnsiTheme="majorHAnsi" w:cstheme="majorHAnsi"/>
          <w:color w:val="000000" w:themeColor="text1"/>
          <w:sz w:val="24"/>
          <w:szCs w:val="24"/>
          <w:lang w:val="ru-RU"/>
        </w:rPr>
        <w:t xml:space="preserve">по </w:t>
      </w:r>
      <w:r w:rsidRPr="001A16A0">
        <w:rPr>
          <w:rFonts w:asciiTheme="majorHAnsi" w:hAnsiTheme="majorHAnsi" w:cstheme="majorHAnsi"/>
          <w:color w:val="000000" w:themeColor="text1"/>
          <w:sz w:val="24"/>
          <w:szCs w:val="24"/>
          <w:lang w:val="ro-MD"/>
        </w:rPr>
        <w:t>производств</w:t>
      </w:r>
      <w:r w:rsidR="00E35FA3">
        <w:rPr>
          <w:rFonts w:asciiTheme="majorHAnsi" w:hAnsiTheme="majorHAnsi" w:cstheme="majorHAnsi"/>
          <w:color w:val="000000" w:themeColor="text1"/>
          <w:sz w:val="24"/>
          <w:szCs w:val="24"/>
          <w:lang w:val="ru-RU"/>
        </w:rPr>
        <w:t>у</w:t>
      </w:r>
      <w:r w:rsidRPr="001A16A0">
        <w:rPr>
          <w:rFonts w:asciiTheme="majorHAnsi" w:hAnsiTheme="majorHAnsi" w:cstheme="majorHAnsi"/>
          <w:color w:val="000000" w:themeColor="text1"/>
          <w:sz w:val="24"/>
          <w:szCs w:val="24"/>
          <w:lang w:val="ro-MD"/>
        </w:rPr>
        <w:t xml:space="preserve"> кислорода, которая станет </w:t>
      </w:r>
      <w:r w:rsidR="00E35FA3">
        <w:rPr>
          <w:rFonts w:asciiTheme="majorHAnsi" w:hAnsiTheme="majorHAnsi" w:cstheme="majorHAnsi"/>
          <w:color w:val="000000" w:themeColor="text1"/>
          <w:sz w:val="24"/>
          <w:szCs w:val="24"/>
          <w:lang w:val="ru-RU"/>
        </w:rPr>
        <w:t>первич</w:t>
      </w:r>
      <w:r w:rsidRPr="001A16A0">
        <w:rPr>
          <w:rFonts w:asciiTheme="majorHAnsi" w:hAnsiTheme="majorHAnsi" w:cstheme="majorHAnsi"/>
          <w:color w:val="000000" w:themeColor="text1"/>
          <w:sz w:val="24"/>
          <w:szCs w:val="24"/>
          <w:lang w:val="ro-MD"/>
        </w:rPr>
        <w:t xml:space="preserve">ным источником </w:t>
      </w:r>
      <w:r w:rsidR="00E35FA3" w:rsidRPr="001A16A0">
        <w:rPr>
          <w:rFonts w:asciiTheme="majorHAnsi" w:hAnsiTheme="majorHAnsi" w:cstheme="majorHAnsi"/>
          <w:color w:val="000000" w:themeColor="text1"/>
          <w:sz w:val="24"/>
          <w:szCs w:val="24"/>
          <w:lang w:val="ro-MD"/>
        </w:rPr>
        <w:t xml:space="preserve">снабжения </w:t>
      </w:r>
      <w:r w:rsidRPr="001A16A0">
        <w:rPr>
          <w:rFonts w:asciiTheme="majorHAnsi" w:hAnsiTheme="majorHAnsi" w:cstheme="majorHAnsi"/>
          <w:color w:val="000000" w:themeColor="text1"/>
          <w:sz w:val="24"/>
          <w:szCs w:val="24"/>
          <w:lang w:val="ro-MD"/>
        </w:rPr>
        <w:t>медицинск</w:t>
      </w:r>
      <w:r w:rsidR="00E35FA3">
        <w:rPr>
          <w:rFonts w:asciiTheme="majorHAnsi" w:hAnsiTheme="majorHAnsi" w:cstheme="majorHAnsi"/>
          <w:color w:val="000000" w:themeColor="text1"/>
          <w:sz w:val="24"/>
          <w:szCs w:val="24"/>
          <w:lang w:val="ru-RU"/>
        </w:rPr>
        <w:t>им</w:t>
      </w:r>
      <w:r w:rsidRPr="001A16A0">
        <w:rPr>
          <w:rFonts w:asciiTheme="majorHAnsi" w:hAnsiTheme="majorHAnsi" w:cstheme="majorHAnsi"/>
          <w:color w:val="000000" w:themeColor="text1"/>
          <w:sz w:val="24"/>
          <w:szCs w:val="24"/>
          <w:lang w:val="ro-MD"/>
        </w:rPr>
        <w:t xml:space="preserve"> кислородом. Позже будет пересмотрена процедура учета кислорода, которая позволит </w:t>
      </w:r>
      <w:r w:rsidR="00E35FA3">
        <w:rPr>
          <w:rFonts w:asciiTheme="majorHAnsi" w:hAnsiTheme="majorHAnsi" w:cstheme="majorHAnsi"/>
          <w:color w:val="000000" w:themeColor="text1"/>
          <w:sz w:val="24"/>
          <w:szCs w:val="24"/>
          <w:lang w:val="ru-RU"/>
        </w:rPr>
        <w:t>относить</w:t>
      </w:r>
      <w:r w:rsidRPr="001A16A0">
        <w:rPr>
          <w:rFonts w:asciiTheme="majorHAnsi" w:hAnsiTheme="majorHAnsi" w:cstheme="majorHAnsi"/>
          <w:color w:val="000000" w:themeColor="text1"/>
          <w:sz w:val="24"/>
          <w:szCs w:val="24"/>
          <w:lang w:val="ro-MD"/>
        </w:rPr>
        <w:t xml:space="preserve"> его </w:t>
      </w:r>
      <w:r w:rsidR="00E35FA3">
        <w:rPr>
          <w:rFonts w:asciiTheme="majorHAnsi" w:hAnsiTheme="majorHAnsi" w:cstheme="majorHAnsi"/>
          <w:color w:val="000000" w:themeColor="text1"/>
          <w:sz w:val="24"/>
          <w:szCs w:val="24"/>
          <w:lang w:val="ru-RU"/>
        </w:rPr>
        <w:t xml:space="preserve">на </w:t>
      </w:r>
      <w:r w:rsidRPr="001A16A0">
        <w:rPr>
          <w:rFonts w:asciiTheme="majorHAnsi" w:hAnsiTheme="majorHAnsi" w:cstheme="majorHAnsi"/>
          <w:color w:val="000000" w:themeColor="text1"/>
          <w:sz w:val="24"/>
          <w:szCs w:val="24"/>
          <w:lang w:val="ro-MD"/>
        </w:rPr>
        <w:t>расход</w:t>
      </w:r>
      <w:r w:rsidR="00E35FA3">
        <w:rPr>
          <w:rFonts w:asciiTheme="majorHAnsi" w:hAnsiTheme="majorHAnsi" w:cstheme="majorHAnsi"/>
          <w:color w:val="000000" w:themeColor="text1"/>
          <w:sz w:val="24"/>
          <w:szCs w:val="24"/>
          <w:lang w:val="ru-RU"/>
        </w:rPr>
        <w:t>ы,</w:t>
      </w:r>
      <w:r w:rsidRPr="001A16A0">
        <w:rPr>
          <w:rFonts w:asciiTheme="majorHAnsi" w:hAnsiTheme="majorHAnsi" w:cstheme="majorHAnsi"/>
          <w:color w:val="000000" w:themeColor="text1"/>
          <w:sz w:val="24"/>
          <w:szCs w:val="24"/>
          <w:lang w:val="ro-MD"/>
        </w:rPr>
        <w:t xml:space="preserve"> по мере его потребления в </w:t>
      </w:r>
      <w:r w:rsidR="00E35FA3">
        <w:rPr>
          <w:rFonts w:asciiTheme="majorHAnsi" w:hAnsiTheme="majorHAnsi" w:cstheme="majorHAnsi"/>
          <w:color w:val="000000" w:themeColor="text1"/>
          <w:sz w:val="24"/>
          <w:szCs w:val="24"/>
          <w:lang w:val="ru-RU"/>
        </w:rPr>
        <w:t>отделения</w:t>
      </w:r>
      <w:r w:rsidRPr="001A16A0">
        <w:rPr>
          <w:rFonts w:asciiTheme="majorHAnsi" w:hAnsiTheme="majorHAnsi" w:cstheme="majorHAnsi"/>
          <w:color w:val="000000" w:themeColor="text1"/>
          <w:sz w:val="24"/>
          <w:szCs w:val="24"/>
          <w:lang w:val="ro-MD"/>
        </w:rPr>
        <w:t>х</w:t>
      </w:r>
      <w:r w:rsidR="00B37661" w:rsidRPr="00B13B9A">
        <w:rPr>
          <w:rFonts w:asciiTheme="majorHAnsi" w:hAnsiTheme="majorHAnsi" w:cstheme="majorHAnsi"/>
          <w:color w:val="000000" w:themeColor="text1"/>
          <w:sz w:val="24"/>
          <w:szCs w:val="24"/>
          <w:lang w:val="ro-MD"/>
        </w:rPr>
        <w:t xml:space="preserve">. </w:t>
      </w:r>
    </w:p>
    <w:p w14:paraId="0861C82F" w14:textId="77777777" w:rsidR="00B37661" w:rsidRPr="00B13B9A" w:rsidRDefault="00B37661" w:rsidP="00F20B3D">
      <w:pPr>
        <w:pStyle w:val="ae"/>
        <w:shd w:val="clear" w:color="auto" w:fill="FFFFFF"/>
        <w:spacing w:before="0" w:beforeAutospacing="0" w:after="0" w:afterAutospacing="0" w:line="276" w:lineRule="auto"/>
        <w:jc w:val="both"/>
        <w:rPr>
          <w:rFonts w:asciiTheme="majorHAnsi" w:eastAsiaTheme="minorHAnsi" w:hAnsiTheme="majorHAnsi" w:cstheme="majorHAnsi"/>
          <w:color w:val="000000" w:themeColor="text1"/>
          <w:lang w:val="ro-MD"/>
        </w:rPr>
      </w:pPr>
    </w:p>
    <w:p w14:paraId="2A495684" w14:textId="69302F38" w:rsidR="00B37661" w:rsidRPr="00B13B9A" w:rsidRDefault="001A16A0" w:rsidP="005D757B">
      <w:pPr>
        <w:pStyle w:val="a7"/>
        <w:numPr>
          <w:ilvl w:val="2"/>
          <w:numId w:val="10"/>
        </w:numPr>
        <w:tabs>
          <w:tab w:val="left" w:pos="1080"/>
        </w:tabs>
        <w:ind w:left="0" w:firstLine="284"/>
        <w:jc w:val="both"/>
        <w:outlineLvl w:val="2"/>
        <w:rPr>
          <w:rFonts w:asciiTheme="majorHAnsi" w:hAnsiTheme="majorHAnsi" w:cstheme="majorHAnsi"/>
          <w:b/>
          <w:color w:val="000000" w:themeColor="text1"/>
          <w:sz w:val="24"/>
          <w:szCs w:val="24"/>
          <w:lang w:val="ro-MD"/>
        </w:rPr>
      </w:pPr>
      <w:bookmarkStart w:id="42" w:name="_Toc158317245"/>
      <w:r w:rsidRPr="001A16A0">
        <w:rPr>
          <w:rFonts w:asciiTheme="majorHAnsi" w:hAnsiTheme="majorHAnsi" w:cstheme="majorHAnsi"/>
          <w:b/>
          <w:color w:val="000000" w:themeColor="text1"/>
          <w:sz w:val="24"/>
          <w:szCs w:val="24"/>
          <w:lang w:val="ro-MD"/>
        </w:rPr>
        <w:t xml:space="preserve">Процесс обеспечения питания пациентов не организован надлежащим образом, </w:t>
      </w:r>
      <w:r w:rsidR="00E35FA3" w:rsidRPr="00E35FA3">
        <w:rPr>
          <w:rFonts w:asciiTheme="majorHAnsi" w:hAnsiTheme="majorHAnsi" w:cstheme="majorHAnsi"/>
          <w:b/>
          <w:color w:val="000000" w:themeColor="text1"/>
          <w:sz w:val="24"/>
          <w:szCs w:val="24"/>
          <w:lang w:val="ro-MD"/>
        </w:rPr>
        <w:t>путем корреляции</w:t>
      </w:r>
      <w:r w:rsidRPr="001A16A0">
        <w:rPr>
          <w:rFonts w:asciiTheme="majorHAnsi" w:hAnsiTheme="majorHAnsi" w:cstheme="majorHAnsi"/>
          <w:b/>
          <w:color w:val="000000" w:themeColor="text1"/>
          <w:sz w:val="24"/>
          <w:szCs w:val="24"/>
          <w:lang w:val="ro-MD"/>
        </w:rPr>
        <w:t xml:space="preserve"> фактическ</w:t>
      </w:r>
      <w:r w:rsidR="00E35FA3" w:rsidRPr="00E35FA3">
        <w:rPr>
          <w:rFonts w:asciiTheme="majorHAnsi" w:hAnsiTheme="majorHAnsi" w:cstheme="majorHAnsi"/>
          <w:b/>
          <w:color w:val="000000" w:themeColor="text1"/>
          <w:sz w:val="24"/>
          <w:szCs w:val="24"/>
          <w:lang w:val="ro-MD"/>
        </w:rPr>
        <w:t>ого</w:t>
      </w:r>
      <w:r w:rsidRPr="001A16A0">
        <w:rPr>
          <w:rFonts w:asciiTheme="majorHAnsi" w:hAnsiTheme="majorHAnsi" w:cstheme="majorHAnsi"/>
          <w:b/>
          <w:color w:val="000000" w:themeColor="text1"/>
          <w:sz w:val="24"/>
          <w:szCs w:val="24"/>
          <w:lang w:val="ro-MD"/>
        </w:rPr>
        <w:t xml:space="preserve"> количеств</w:t>
      </w:r>
      <w:r w:rsidR="00E35FA3" w:rsidRPr="00E35FA3">
        <w:rPr>
          <w:rFonts w:asciiTheme="majorHAnsi" w:hAnsiTheme="majorHAnsi" w:cstheme="majorHAnsi"/>
          <w:b/>
          <w:color w:val="000000" w:themeColor="text1"/>
          <w:sz w:val="24"/>
          <w:szCs w:val="24"/>
          <w:lang w:val="ro-MD"/>
        </w:rPr>
        <w:t>а</w:t>
      </w:r>
      <w:r w:rsidRPr="001A16A0">
        <w:rPr>
          <w:rFonts w:asciiTheme="majorHAnsi" w:hAnsiTheme="majorHAnsi" w:cstheme="majorHAnsi"/>
          <w:b/>
          <w:color w:val="000000" w:themeColor="text1"/>
          <w:sz w:val="24"/>
          <w:szCs w:val="24"/>
          <w:lang w:val="ro-MD"/>
        </w:rPr>
        <w:t xml:space="preserve"> пациентов с потребностями в пищевых продуктах, что создает риск несоблюдения действующих норм</w:t>
      </w:r>
      <w:r w:rsidR="00B37661" w:rsidRPr="00B13B9A">
        <w:rPr>
          <w:rFonts w:asciiTheme="majorHAnsi" w:hAnsiTheme="majorHAnsi" w:cstheme="majorHAnsi"/>
          <w:b/>
          <w:color w:val="000000" w:themeColor="text1"/>
          <w:sz w:val="24"/>
          <w:szCs w:val="24"/>
          <w:lang w:val="ro-MD"/>
        </w:rPr>
        <w:t>.</w:t>
      </w:r>
      <w:bookmarkEnd w:id="42"/>
    </w:p>
    <w:p w14:paraId="5A88DC92" w14:textId="1B5C3DF5" w:rsidR="006C1D45" w:rsidRPr="00B13B9A" w:rsidRDefault="001A16A0" w:rsidP="006C1D45">
      <w:pPr>
        <w:shd w:val="clear" w:color="auto" w:fill="FFFFFF" w:themeFill="background1"/>
        <w:spacing w:line="276" w:lineRule="auto"/>
        <w:jc w:val="both"/>
        <w:rPr>
          <w:rFonts w:asciiTheme="majorHAnsi" w:hAnsiTheme="majorHAnsi" w:cstheme="majorHAnsi"/>
          <w:sz w:val="24"/>
          <w:szCs w:val="24"/>
          <w:lang w:val="ro-MD"/>
        </w:rPr>
      </w:pPr>
      <w:r w:rsidRPr="00C31D78">
        <w:rPr>
          <w:rFonts w:asciiTheme="majorHAnsi" w:hAnsiTheme="majorHAnsi" w:cstheme="majorHAnsi"/>
          <w:sz w:val="24"/>
          <w:szCs w:val="24"/>
          <w:lang w:val="ro-MD"/>
        </w:rPr>
        <w:t xml:space="preserve">Фактические расходы на питание больных в 2021 году составили 3 485,9 тыс. леев, а в 2022 году они увеличились до 4 661,7 тыс. леев, что на 1 175,8 тыс. леев больше, что составляет 2,9% от общего объема расходов. В первом полугодии 2023 года расходы на </w:t>
      </w:r>
      <w:r w:rsidR="00C31D78">
        <w:rPr>
          <w:rFonts w:asciiTheme="majorHAnsi" w:hAnsiTheme="majorHAnsi" w:cstheme="majorHAnsi"/>
          <w:sz w:val="24"/>
          <w:szCs w:val="24"/>
          <w:lang w:val="ru-RU"/>
        </w:rPr>
        <w:t xml:space="preserve">продукты </w:t>
      </w:r>
      <w:r w:rsidRPr="00C31D78">
        <w:rPr>
          <w:rFonts w:asciiTheme="majorHAnsi" w:hAnsiTheme="majorHAnsi" w:cstheme="majorHAnsi"/>
          <w:sz w:val="24"/>
          <w:szCs w:val="24"/>
          <w:lang w:val="ro-MD"/>
        </w:rPr>
        <w:t>питани</w:t>
      </w:r>
      <w:r w:rsidR="00C31D78">
        <w:rPr>
          <w:rFonts w:asciiTheme="majorHAnsi" w:hAnsiTheme="majorHAnsi" w:cstheme="majorHAnsi"/>
          <w:sz w:val="24"/>
          <w:szCs w:val="24"/>
          <w:lang w:val="ru-RU"/>
        </w:rPr>
        <w:t>я</w:t>
      </w:r>
      <w:r w:rsidRPr="00C31D78">
        <w:rPr>
          <w:rFonts w:asciiTheme="majorHAnsi" w:hAnsiTheme="majorHAnsi" w:cstheme="majorHAnsi"/>
          <w:sz w:val="24"/>
          <w:szCs w:val="24"/>
          <w:lang w:val="ro-MD"/>
        </w:rPr>
        <w:t xml:space="preserve"> составили 2 888,7 тыс. леев. Хотя число пациентов </w:t>
      </w:r>
      <w:r w:rsidR="00C31D78">
        <w:rPr>
          <w:rFonts w:asciiTheme="majorHAnsi" w:hAnsiTheme="majorHAnsi" w:cstheme="majorHAnsi"/>
          <w:sz w:val="24"/>
          <w:szCs w:val="24"/>
          <w:lang w:val="ru-RU"/>
        </w:rPr>
        <w:t>за</w:t>
      </w:r>
      <w:r w:rsidRPr="00C31D78">
        <w:rPr>
          <w:rFonts w:asciiTheme="majorHAnsi" w:hAnsiTheme="majorHAnsi" w:cstheme="majorHAnsi"/>
          <w:sz w:val="24"/>
          <w:szCs w:val="24"/>
          <w:lang w:val="ro-MD"/>
        </w:rPr>
        <w:t xml:space="preserve"> эти годы не росло, увеличение расходов на питание было</w:t>
      </w:r>
      <w:r w:rsidRPr="001A16A0">
        <w:rPr>
          <w:rFonts w:asciiTheme="majorHAnsi" w:hAnsiTheme="majorHAnsi" w:cstheme="majorHAnsi"/>
          <w:sz w:val="24"/>
          <w:szCs w:val="24"/>
          <w:lang w:val="ro-MD"/>
        </w:rPr>
        <w:t xml:space="preserve"> вызвано ростом цен на продукты питания. Стоимость одного дня питания для госпитализированного пациента составила 40,42 </w:t>
      </w:r>
      <w:r w:rsidR="00C31D78" w:rsidRPr="00C31D78">
        <w:rPr>
          <w:rFonts w:asciiTheme="majorHAnsi" w:hAnsiTheme="majorHAnsi" w:cstheme="majorHAnsi"/>
          <w:sz w:val="24"/>
          <w:szCs w:val="24"/>
          <w:lang w:val="ro-MD"/>
        </w:rPr>
        <w:t>леев</w:t>
      </w:r>
      <w:r w:rsidRPr="001A16A0">
        <w:rPr>
          <w:rFonts w:asciiTheme="majorHAnsi" w:hAnsiTheme="majorHAnsi" w:cstheme="majorHAnsi"/>
          <w:sz w:val="24"/>
          <w:szCs w:val="24"/>
          <w:lang w:val="ro-MD"/>
        </w:rPr>
        <w:t>, в 2021 году</w:t>
      </w:r>
      <w:r w:rsidR="00C31D78" w:rsidRPr="00C31D78">
        <w:rPr>
          <w:rFonts w:asciiTheme="majorHAnsi" w:hAnsiTheme="majorHAnsi" w:cstheme="majorHAnsi"/>
          <w:sz w:val="24"/>
          <w:szCs w:val="24"/>
          <w:lang w:val="ro-MD"/>
        </w:rPr>
        <w:t xml:space="preserve">,  а </w:t>
      </w:r>
      <w:r w:rsidRPr="001A16A0">
        <w:rPr>
          <w:rFonts w:asciiTheme="majorHAnsi" w:hAnsiTheme="majorHAnsi" w:cstheme="majorHAnsi"/>
          <w:sz w:val="24"/>
          <w:szCs w:val="24"/>
          <w:lang w:val="ro-MD"/>
        </w:rPr>
        <w:t xml:space="preserve">в 2023 году </w:t>
      </w:r>
      <w:r w:rsidR="00C31D78" w:rsidRPr="00C31D78">
        <w:rPr>
          <w:rFonts w:asciiTheme="majorHAnsi" w:hAnsiTheme="majorHAnsi" w:cstheme="majorHAnsi"/>
          <w:sz w:val="24"/>
          <w:szCs w:val="24"/>
          <w:lang w:val="ro-MD"/>
        </w:rPr>
        <w:t xml:space="preserve">достигло </w:t>
      </w:r>
      <w:r w:rsidR="00C31D78" w:rsidRPr="001A16A0">
        <w:rPr>
          <w:rFonts w:asciiTheme="majorHAnsi" w:hAnsiTheme="majorHAnsi" w:cstheme="majorHAnsi"/>
          <w:sz w:val="24"/>
          <w:szCs w:val="24"/>
          <w:lang w:val="ro-MD"/>
        </w:rPr>
        <w:t xml:space="preserve">58,80 </w:t>
      </w:r>
      <w:r w:rsidR="00C31D78" w:rsidRPr="00C31D78">
        <w:rPr>
          <w:rFonts w:asciiTheme="majorHAnsi" w:hAnsiTheme="majorHAnsi" w:cstheme="majorHAnsi"/>
          <w:sz w:val="24"/>
          <w:szCs w:val="24"/>
          <w:lang w:val="ro-MD"/>
        </w:rPr>
        <w:t>л</w:t>
      </w:r>
      <w:r w:rsidR="00C31D78" w:rsidRPr="001A16A0">
        <w:rPr>
          <w:rFonts w:asciiTheme="majorHAnsi" w:hAnsiTheme="majorHAnsi" w:cstheme="majorHAnsi"/>
          <w:sz w:val="24"/>
          <w:szCs w:val="24"/>
          <w:lang w:val="ro-MD"/>
        </w:rPr>
        <w:t>е</w:t>
      </w:r>
      <w:r w:rsidR="00C31D78" w:rsidRPr="00C31D78">
        <w:rPr>
          <w:rFonts w:asciiTheme="majorHAnsi" w:hAnsiTheme="majorHAnsi" w:cstheme="majorHAnsi"/>
          <w:sz w:val="24"/>
          <w:szCs w:val="24"/>
          <w:lang w:val="ro-MD"/>
        </w:rPr>
        <w:t>ев</w:t>
      </w:r>
      <w:r w:rsidR="006C1D45" w:rsidRPr="00B13B9A">
        <w:rPr>
          <w:rFonts w:asciiTheme="majorHAnsi" w:hAnsiTheme="majorHAnsi" w:cstheme="majorHAnsi"/>
          <w:sz w:val="24"/>
          <w:szCs w:val="24"/>
          <w:lang w:val="ro-MD"/>
        </w:rPr>
        <w:t xml:space="preserve">. </w:t>
      </w:r>
    </w:p>
    <w:p w14:paraId="4F82A5FA" w14:textId="081E8D8C" w:rsidR="00B37661" w:rsidRPr="00B13B9A" w:rsidRDefault="001A16A0" w:rsidP="00B37661">
      <w:pPr>
        <w:pStyle w:val="a7"/>
        <w:ind w:left="0"/>
        <w:jc w:val="both"/>
        <w:rPr>
          <w:rFonts w:asciiTheme="majorHAnsi" w:hAnsiTheme="majorHAnsi" w:cstheme="majorHAnsi"/>
          <w:color w:val="333333"/>
          <w:sz w:val="24"/>
          <w:szCs w:val="24"/>
          <w:shd w:val="clear" w:color="auto" w:fill="FFFFFF"/>
          <w:lang w:val="ro-MD"/>
        </w:rPr>
      </w:pPr>
      <w:r w:rsidRPr="001A16A0">
        <w:rPr>
          <w:rFonts w:asciiTheme="majorHAnsi" w:hAnsiTheme="majorHAnsi" w:cstheme="majorHAnsi"/>
          <w:color w:val="000000" w:themeColor="text1"/>
          <w:sz w:val="24"/>
          <w:szCs w:val="24"/>
          <w:lang w:val="ro-MD"/>
        </w:rPr>
        <w:t>Для проведения комплексного лечения пациентов</w:t>
      </w:r>
      <w:r w:rsidR="00C31D78">
        <w:rPr>
          <w:rFonts w:asciiTheme="majorHAnsi" w:hAnsiTheme="majorHAnsi" w:cstheme="majorHAnsi"/>
          <w:color w:val="000000" w:themeColor="text1"/>
          <w:sz w:val="24"/>
          <w:szCs w:val="24"/>
          <w:lang w:val="ru-RU"/>
        </w:rPr>
        <w:t>,</w:t>
      </w:r>
      <w:r w:rsidRPr="001A16A0">
        <w:rPr>
          <w:rFonts w:asciiTheme="majorHAnsi" w:hAnsiTheme="majorHAnsi" w:cstheme="majorHAnsi"/>
          <w:color w:val="000000" w:themeColor="text1"/>
          <w:sz w:val="24"/>
          <w:szCs w:val="24"/>
          <w:lang w:val="ro-MD"/>
        </w:rPr>
        <w:t xml:space="preserve"> используется </w:t>
      </w:r>
      <w:r w:rsidR="001423B2" w:rsidRPr="001A16A0">
        <w:rPr>
          <w:rFonts w:asciiTheme="majorHAnsi" w:hAnsiTheme="majorHAnsi" w:cstheme="majorHAnsi"/>
          <w:color w:val="000000" w:themeColor="text1"/>
          <w:sz w:val="24"/>
          <w:szCs w:val="24"/>
          <w:lang w:val="ro-MD"/>
        </w:rPr>
        <w:t>числов</w:t>
      </w:r>
      <w:r w:rsidR="001423B2">
        <w:rPr>
          <w:rFonts w:asciiTheme="majorHAnsi" w:hAnsiTheme="majorHAnsi" w:cstheme="majorHAnsi"/>
          <w:color w:val="000000" w:themeColor="text1"/>
          <w:sz w:val="24"/>
          <w:szCs w:val="24"/>
          <w:lang w:val="ru-RU"/>
        </w:rPr>
        <w:t>ая</w:t>
      </w:r>
      <w:r w:rsidR="001423B2" w:rsidRPr="001A16A0">
        <w:rPr>
          <w:rFonts w:asciiTheme="majorHAnsi" w:hAnsiTheme="majorHAnsi" w:cstheme="majorHAnsi"/>
          <w:color w:val="000000" w:themeColor="text1"/>
          <w:sz w:val="24"/>
          <w:szCs w:val="24"/>
          <w:lang w:val="ro-MD"/>
        </w:rPr>
        <w:t xml:space="preserve"> </w:t>
      </w:r>
      <w:r w:rsidRPr="001A16A0">
        <w:rPr>
          <w:rFonts w:asciiTheme="majorHAnsi" w:hAnsiTheme="majorHAnsi" w:cstheme="majorHAnsi"/>
          <w:color w:val="000000" w:themeColor="text1"/>
          <w:sz w:val="24"/>
          <w:szCs w:val="24"/>
          <w:lang w:val="ro-MD"/>
        </w:rPr>
        <w:t xml:space="preserve">система диет, </w:t>
      </w:r>
      <w:r w:rsidR="001423B2" w:rsidRPr="00B13B9A">
        <w:rPr>
          <w:rFonts w:asciiTheme="majorHAnsi" w:hAnsiTheme="majorHAnsi" w:cstheme="majorHAnsi"/>
          <w:color w:val="000000" w:themeColor="text1"/>
          <w:sz w:val="24"/>
          <w:szCs w:val="24"/>
          <w:lang w:val="ro-MD"/>
        </w:rPr>
        <w:t>„</w:t>
      </w:r>
      <w:r w:rsidR="001423B2">
        <w:rPr>
          <w:rFonts w:asciiTheme="majorHAnsi" w:hAnsiTheme="majorHAnsi" w:cstheme="majorHAnsi"/>
          <w:color w:val="000000" w:themeColor="text1"/>
          <w:sz w:val="24"/>
          <w:szCs w:val="24"/>
          <w:lang w:val="ru-RU"/>
        </w:rPr>
        <w:t>С</w:t>
      </w:r>
      <w:r w:rsidRPr="001A16A0">
        <w:rPr>
          <w:rFonts w:asciiTheme="majorHAnsi" w:hAnsiTheme="majorHAnsi" w:cstheme="majorHAnsi"/>
          <w:color w:val="000000" w:themeColor="text1"/>
          <w:sz w:val="24"/>
          <w:szCs w:val="24"/>
          <w:lang w:val="ro-MD"/>
        </w:rPr>
        <w:t>истема стандартных диет</w:t>
      </w:r>
      <w:r w:rsidR="001423B2" w:rsidRPr="00B13B9A">
        <w:rPr>
          <w:rFonts w:asciiTheme="majorHAnsi" w:hAnsiTheme="majorHAnsi" w:cstheme="majorHAnsi"/>
          <w:color w:val="000000" w:themeColor="text1"/>
          <w:sz w:val="24"/>
          <w:szCs w:val="24"/>
          <w:lang w:val="ro-MD"/>
        </w:rPr>
        <w:t>”</w:t>
      </w:r>
      <w:r w:rsidRPr="001A16A0">
        <w:rPr>
          <w:rFonts w:asciiTheme="majorHAnsi" w:hAnsiTheme="majorHAnsi" w:cstheme="majorHAnsi"/>
          <w:color w:val="000000" w:themeColor="text1"/>
          <w:sz w:val="24"/>
          <w:szCs w:val="24"/>
          <w:lang w:val="ro-MD"/>
        </w:rPr>
        <w:t xml:space="preserve">, </w:t>
      </w:r>
      <w:r w:rsidR="001423B2">
        <w:rPr>
          <w:rFonts w:asciiTheme="majorHAnsi" w:hAnsiTheme="majorHAnsi" w:cstheme="majorHAnsi"/>
          <w:color w:val="000000" w:themeColor="text1"/>
          <w:sz w:val="24"/>
          <w:szCs w:val="24"/>
          <w:lang w:val="ru-RU"/>
        </w:rPr>
        <w:t>при</w:t>
      </w:r>
      <w:r w:rsidRPr="001A16A0">
        <w:rPr>
          <w:rFonts w:asciiTheme="majorHAnsi" w:hAnsiTheme="majorHAnsi" w:cstheme="majorHAnsi"/>
          <w:color w:val="000000" w:themeColor="text1"/>
          <w:sz w:val="24"/>
          <w:szCs w:val="24"/>
          <w:lang w:val="ro-MD"/>
        </w:rPr>
        <w:t xml:space="preserve"> которой питание отличается друг от друга питательной и энергетической ценностью. Таким образом, для больных туберкулезом рекомендуются диеты с повышенным количеством белка (гиперпротеин</w:t>
      </w:r>
      <w:r w:rsidR="001423B2" w:rsidRPr="001423B2">
        <w:rPr>
          <w:rFonts w:asciiTheme="majorHAnsi" w:hAnsiTheme="majorHAnsi" w:cstheme="majorHAnsi"/>
          <w:color w:val="000000" w:themeColor="text1"/>
          <w:sz w:val="24"/>
          <w:szCs w:val="24"/>
          <w:lang w:val="ro-MD"/>
        </w:rPr>
        <w:t>овые</w:t>
      </w:r>
      <w:r w:rsidRPr="001A16A0">
        <w:rPr>
          <w:rFonts w:asciiTheme="majorHAnsi" w:hAnsiTheme="majorHAnsi" w:cstheme="majorHAnsi"/>
          <w:color w:val="000000" w:themeColor="text1"/>
          <w:sz w:val="24"/>
          <w:szCs w:val="24"/>
          <w:lang w:val="ro-MD"/>
        </w:rPr>
        <w:t>)</w:t>
      </w:r>
      <w:r w:rsidR="00B37661" w:rsidRPr="00B13B9A">
        <w:rPr>
          <w:rStyle w:val="a9"/>
          <w:rFonts w:asciiTheme="majorHAnsi" w:hAnsiTheme="majorHAnsi" w:cstheme="majorHAnsi"/>
          <w:color w:val="333333"/>
          <w:sz w:val="24"/>
          <w:szCs w:val="24"/>
          <w:shd w:val="clear" w:color="auto" w:fill="FFFFFF"/>
          <w:lang w:val="ro-MD"/>
        </w:rPr>
        <w:footnoteReference w:id="67"/>
      </w:r>
      <w:r w:rsidR="00B37661" w:rsidRPr="00B13B9A">
        <w:rPr>
          <w:rFonts w:asciiTheme="majorHAnsi" w:hAnsiTheme="majorHAnsi" w:cstheme="majorHAnsi"/>
          <w:color w:val="333333"/>
          <w:sz w:val="24"/>
          <w:szCs w:val="24"/>
          <w:shd w:val="clear" w:color="auto" w:fill="FFFFFF"/>
          <w:lang w:val="ro-MD"/>
        </w:rPr>
        <w:t>.</w:t>
      </w:r>
    </w:p>
    <w:p w14:paraId="622658F6" w14:textId="79C39E57" w:rsidR="00B37661" w:rsidRPr="00B13B9A" w:rsidRDefault="001A16A0" w:rsidP="00B37661">
      <w:pPr>
        <w:spacing w:line="276" w:lineRule="auto"/>
        <w:jc w:val="both"/>
        <w:rPr>
          <w:rFonts w:asciiTheme="majorHAnsi" w:hAnsiTheme="majorHAnsi" w:cstheme="majorHAnsi"/>
          <w:sz w:val="24"/>
          <w:szCs w:val="24"/>
          <w:lang w:val="ro-MD"/>
        </w:rPr>
      </w:pPr>
      <w:r w:rsidRPr="001A16A0">
        <w:rPr>
          <w:rFonts w:asciiTheme="majorHAnsi" w:hAnsiTheme="majorHAnsi" w:cstheme="majorHAnsi"/>
          <w:sz w:val="24"/>
          <w:szCs w:val="24"/>
          <w:lang w:val="ro-MD"/>
        </w:rPr>
        <w:t xml:space="preserve">Проверки на местах установили, что представление и сбор потребностей </w:t>
      </w:r>
      <w:r w:rsidR="001423B2">
        <w:rPr>
          <w:rFonts w:asciiTheme="majorHAnsi" w:hAnsiTheme="majorHAnsi" w:cstheme="majorHAnsi"/>
          <w:sz w:val="24"/>
          <w:szCs w:val="24"/>
          <w:lang w:val="ru-RU"/>
        </w:rPr>
        <w:t>из</w:t>
      </w:r>
      <w:r w:rsidRPr="001A16A0">
        <w:rPr>
          <w:rFonts w:asciiTheme="majorHAnsi" w:hAnsiTheme="majorHAnsi" w:cstheme="majorHAnsi"/>
          <w:sz w:val="24"/>
          <w:szCs w:val="24"/>
          <w:lang w:val="ro-MD"/>
        </w:rPr>
        <w:t xml:space="preserve"> отделени</w:t>
      </w:r>
      <w:r w:rsidR="001423B2">
        <w:rPr>
          <w:rFonts w:asciiTheme="majorHAnsi" w:hAnsiTheme="majorHAnsi" w:cstheme="majorHAnsi"/>
          <w:sz w:val="24"/>
          <w:szCs w:val="24"/>
          <w:lang w:val="ru-RU"/>
        </w:rPr>
        <w:t>й</w:t>
      </w:r>
      <w:r w:rsidRPr="001A16A0">
        <w:rPr>
          <w:rFonts w:asciiTheme="majorHAnsi" w:hAnsiTheme="majorHAnsi" w:cstheme="majorHAnsi"/>
          <w:sz w:val="24"/>
          <w:szCs w:val="24"/>
          <w:lang w:val="ro-MD"/>
        </w:rPr>
        <w:t xml:space="preserve"> на текущий день не осуществляется в соответствии с утвержденными нормами, которые предусматривают, что информация, накопленная из всех отделений, с</w:t>
      </w:r>
      <w:r w:rsidR="001423B2">
        <w:rPr>
          <w:rFonts w:asciiTheme="majorHAnsi" w:hAnsiTheme="majorHAnsi" w:cstheme="majorHAnsi"/>
          <w:sz w:val="24"/>
          <w:szCs w:val="24"/>
          <w:lang w:val="ru-RU"/>
        </w:rPr>
        <w:t>опоставля</w:t>
      </w:r>
      <w:r w:rsidRPr="001A16A0">
        <w:rPr>
          <w:rFonts w:asciiTheme="majorHAnsi" w:hAnsiTheme="majorHAnsi" w:cstheme="majorHAnsi"/>
          <w:sz w:val="24"/>
          <w:szCs w:val="24"/>
          <w:lang w:val="ro-MD"/>
        </w:rPr>
        <w:t xml:space="preserve">ется с информацией из </w:t>
      </w:r>
      <w:r w:rsidR="001423B2">
        <w:rPr>
          <w:rFonts w:asciiTheme="majorHAnsi" w:hAnsiTheme="majorHAnsi" w:cstheme="majorHAnsi"/>
          <w:sz w:val="24"/>
          <w:szCs w:val="24"/>
          <w:lang w:val="ru-RU"/>
        </w:rPr>
        <w:t>приемных отделений</w:t>
      </w:r>
      <w:r w:rsidRPr="001A16A0">
        <w:rPr>
          <w:rFonts w:asciiTheme="majorHAnsi" w:hAnsiTheme="majorHAnsi" w:cstheme="majorHAnsi"/>
          <w:sz w:val="24"/>
          <w:szCs w:val="24"/>
          <w:lang w:val="ro-MD"/>
        </w:rPr>
        <w:t xml:space="preserve"> и медицинских статисти</w:t>
      </w:r>
      <w:r w:rsidR="001423B2">
        <w:rPr>
          <w:rFonts w:asciiTheme="majorHAnsi" w:hAnsiTheme="majorHAnsi" w:cstheme="majorHAnsi"/>
          <w:sz w:val="24"/>
          <w:szCs w:val="24"/>
          <w:lang w:val="ru-RU"/>
        </w:rPr>
        <w:t>к</w:t>
      </w:r>
      <w:r w:rsidRPr="001A16A0">
        <w:rPr>
          <w:rFonts w:asciiTheme="majorHAnsi" w:hAnsiTheme="majorHAnsi" w:cstheme="majorHAnsi"/>
          <w:sz w:val="24"/>
          <w:szCs w:val="24"/>
          <w:lang w:val="ro-MD"/>
        </w:rPr>
        <w:t xml:space="preserve">, и составляется форма </w:t>
      </w:r>
      <w:r w:rsidRPr="001423B2">
        <w:rPr>
          <w:rFonts w:asciiTheme="majorHAnsi" w:hAnsiTheme="majorHAnsi" w:cstheme="majorHAnsi"/>
          <w:i/>
          <w:sz w:val="24"/>
          <w:szCs w:val="24"/>
          <w:lang w:val="ro-MD"/>
        </w:rPr>
        <w:t>„</w:t>
      </w:r>
      <w:r w:rsidR="001423B2">
        <w:rPr>
          <w:rFonts w:asciiTheme="majorHAnsi" w:hAnsiTheme="majorHAnsi" w:cstheme="majorHAnsi"/>
          <w:i/>
          <w:sz w:val="24"/>
          <w:szCs w:val="24"/>
          <w:lang w:val="ru-RU"/>
        </w:rPr>
        <w:t>И</w:t>
      </w:r>
      <w:r w:rsidRPr="001423B2">
        <w:rPr>
          <w:rFonts w:asciiTheme="majorHAnsi" w:hAnsiTheme="majorHAnsi" w:cstheme="majorHAnsi"/>
          <w:i/>
          <w:sz w:val="24"/>
          <w:szCs w:val="24"/>
          <w:lang w:val="ro-MD"/>
        </w:rPr>
        <w:t xml:space="preserve">нформация о количестве пациентов на </w:t>
      </w:r>
      <w:r w:rsidR="001423B2">
        <w:rPr>
          <w:rFonts w:asciiTheme="majorHAnsi" w:hAnsiTheme="majorHAnsi" w:cstheme="majorHAnsi"/>
          <w:i/>
          <w:sz w:val="24"/>
          <w:szCs w:val="24"/>
          <w:lang w:val="ru-RU"/>
        </w:rPr>
        <w:t>питании</w:t>
      </w:r>
      <w:r w:rsidRPr="001423B2">
        <w:rPr>
          <w:rFonts w:asciiTheme="majorHAnsi" w:hAnsiTheme="majorHAnsi" w:cstheme="majorHAnsi"/>
          <w:i/>
          <w:sz w:val="24"/>
          <w:szCs w:val="24"/>
          <w:lang w:val="ro-MD"/>
        </w:rPr>
        <w:t xml:space="preserve"> </w:t>
      </w:r>
      <w:r w:rsidR="001423B2">
        <w:rPr>
          <w:rFonts w:asciiTheme="majorHAnsi" w:hAnsiTheme="majorHAnsi" w:cstheme="majorHAnsi"/>
          <w:i/>
          <w:sz w:val="24"/>
          <w:szCs w:val="24"/>
          <w:lang w:val="ru-RU"/>
        </w:rPr>
        <w:t>на</w:t>
      </w:r>
      <w:r w:rsidRPr="001423B2">
        <w:rPr>
          <w:rFonts w:asciiTheme="majorHAnsi" w:hAnsiTheme="majorHAnsi" w:cstheme="majorHAnsi"/>
          <w:i/>
          <w:sz w:val="24"/>
          <w:szCs w:val="24"/>
          <w:lang w:val="ro-MD"/>
        </w:rPr>
        <w:t xml:space="preserve"> 9 часов текущего дня </w:t>
      </w:r>
      <w:r w:rsidR="001423B2">
        <w:rPr>
          <w:rFonts w:asciiTheme="majorHAnsi" w:hAnsiTheme="majorHAnsi" w:cstheme="majorHAnsi"/>
          <w:i/>
          <w:sz w:val="24"/>
          <w:szCs w:val="24"/>
          <w:lang w:val="ru-RU"/>
        </w:rPr>
        <w:t>по</w:t>
      </w:r>
      <w:r w:rsidRPr="001423B2">
        <w:rPr>
          <w:rFonts w:asciiTheme="majorHAnsi" w:hAnsiTheme="majorHAnsi" w:cstheme="majorHAnsi"/>
          <w:i/>
          <w:sz w:val="24"/>
          <w:szCs w:val="24"/>
          <w:lang w:val="ro-MD"/>
        </w:rPr>
        <w:t xml:space="preserve"> учреждени</w:t>
      </w:r>
      <w:r w:rsidR="001423B2">
        <w:rPr>
          <w:rFonts w:asciiTheme="majorHAnsi" w:hAnsiTheme="majorHAnsi" w:cstheme="majorHAnsi"/>
          <w:i/>
          <w:sz w:val="24"/>
          <w:szCs w:val="24"/>
          <w:lang w:val="ru-RU"/>
        </w:rPr>
        <w:t>ю</w:t>
      </w:r>
      <w:r w:rsidRPr="001423B2">
        <w:rPr>
          <w:rFonts w:asciiTheme="majorHAnsi" w:hAnsiTheme="majorHAnsi" w:cstheme="majorHAnsi"/>
          <w:i/>
          <w:sz w:val="24"/>
          <w:szCs w:val="24"/>
          <w:lang w:val="ro-MD"/>
        </w:rPr>
        <w:t>”</w:t>
      </w:r>
      <w:r w:rsidR="001423B2" w:rsidRPr="00B13B9A">
        <w:rPr>
          <w:rStyle w:val="a9"/>
          <w:rFonts w:asciiTheme="majorHAnsi" w:hAnsiTheme="majorHAnsi" w:cstheme="majorHAnsi"/>
          <w:i/>
          <w:sz w:val="24"/>
          <w:szCs w:val="24"/>
          <w:lang w:val="ro-MD"/>
        </w:rPr>
        <w:footnoteReference w:id="68"/>
      </w:r>
      <w:r w:rsidR="001423B2" w:rsidRPr="00B13B9A">
        <w:rPr>
          <w:rFonts w:asciiTheme="majorHAnsi" w:hAnsiTheme="majorHAnsi" w:cstheme="majorHAnsi"/>
          <w:i/>
          <w:sz w:val="24"/>
          <w:szCs w:val="24"/>
          <w:lang w:val="ro-MD"/>
        </w:rPr>
        <w:t xml:space="preserve">. </w:t>
      </w:r>
      <w:r w:rsidRPr="001A16A0">
        <w:rPr>
          <w:rFonts w:asciiTheme="majorHAnsi" w:hAnsiTheme="majorHAnsi" w:cstheme="majorHAnsi"/>
          <w:sz w:val="24"/>
          <w:szCs w:val="24"/>
          <w:lang w:val="ro-MD"/>
        </w:rPr>
        <w:t xml:space="preserve">Аудит показал, что в </w:t>
      </w:r>
      <w:r w:rsidR="001423B2">
        <w:rPr>
          <w:rFonts w:asciiTheme="majorHAnsi" w:hAnsiTheme="majorHAnsi" w:cstheme="majorHAnsi"/>
          <w:sz w:val="24"/>
          <w:szCs w:val="24"/>
          <w:lang w:val="ru-RU"/>
        </w:rPr>
        <w:t>К</w:t>
      </w:r>
      <w:r w:rsidRPr="001A16A0">
        <w:rPr>
          <w:rFonts w:asciiTheme="majorHAnsi" w:hAnsiTheme="majorHAnsi" w:cstheme="majorHAnsi"/>
          <w:sz w:val="24"/>
          <w:szCs w:val="24"/>
          <w:lang w:val="ro-MD"/>
        </w:rPr>
        <w:t xml:space="preserve">ишиневской клинике </w:t>
      </w:r>
      <w:r w:rsidR="001423B2">
        <w:rPr>
          <w:rFonts w:asciiTheme="majorHAnsi" w:hAnsiTheme="majorHAnsi" w:cstheme="majorHAnsi"/>
          <w:sz w:val="24"/>
          <w:szCs w:val="24"/>
          <w:lang w:val="ru-RU"/>
        </w:rPr>
        <w:t>сбор</w:t>
      </w:r>
      <w:r w:rsidRPr="001A16A0">
        <w:rPr>
          <w:rFonts w:asciiTheme="majorHAnsi" w:hAnsiTheme="majorHAnsi" w:cstheme="majorHAnsi"/>
          <w:sz w:val="24"/>
          <w:szCs w:val="24"/>
          <w:lang w:val="ro-MD"/>
        </w:rPr>
        <w:t xml:space="preserve"> потребностей осуществляется до 11.00</w:t>
      </w:r>
      <w:r w:rsidR="001423B2">
        <w:rPr>
          <w:rFonts w:asciiTheme="majorHAnsi" w:hAnsiTheme="majorHAnsi" w:cstheme="majorHAnsi"/>
          <w:sz w:val="24"/>
          <w:szCs w:val="24"/>
          <w:lang w:val="ru-RU"/>
        </w:rPr>
        <w:t xml:space="preserve"> часов</w:t>
      </w:r>
      <w:r w:rsidRPr="001A16A0">
        <w:rPr>
          <w:rFonts w:asciiTheme="majorHAnsi" w:hAnsiTheme="majorHAnsi" w:cstheme="majorHAnsi"/>
          <w:sz w:val="24"/>
          <w:szCs w:val="24"/>
          <w:lang w:val="ro-MD"/>
        </w:rPr>
        <w:t xml:space="preserve"> дня, исходя из количества пациентов, поступивших накануне. Следовательно, фактическое количество пациентов не коррелирует</w:t>
      </w:r>
      <w:r w:rsidR="001423B2">
        <w:rPr>
          <w:rFonts w:asciiTheme="majorHAnsi" w:hAnsiTheme="majorHAnsi" w:cstheme="majorHAnsi"/>
          <w:sz w:val="24"/>
          <w:szCs w:val="24"/>
          <w:lang w:val="ru-RU"/>
        </w:rPr>
        <w:t>ся</w:t>
      </w:r>
      <w:r w:rsidRPr="001A16A0">
        <w:rPr>
          <w:rFonts w:asciiTheme="majorHAnsi" w:hAnsiTheme="majorHAnsi" w:cstheme="majorHAnsi"/>
          <w:sz w:val="24"/>
          <w:szCs w:val="24"/>
          <w:lang w:val="ro-MD"/>
        </w:rPr>
        <w:t xml:space="preserve"> с количеством пациентов, поступивших/ выписанных/переведенных в/из </w:t>
      </w:r>
      <w:r w:rsidR="001423B2">
        <w:rPr>
          <w:rFonts w:asciiTheme="majorHAnsi" w:hAnsiTheme="majorHAnsi" w:cstheme="majorHAnsi"/>
          <w:sz w:val="24"/>
          <w:szCs w:val="24"/>
          <w:lang w:val="ru-RU"/>
        </w:rPr>
        <w:t>отделений</w:t>
      </w:r>
      <w:r w:rsidRPr="001A16A0">
        <w:rPr>
          <w:rFonts w:asciiTheme="majorHAnsi" w:hAnsiTheme="majorHAnsi" w:cstheme="majorHAnsi"/>
          <w:sz w:val="24"/>
          <w:szCs w:val="24"/>
          <w:lang w:val="ro-MD"/>
        </w:rPr>
        <w:t xml:space="preserve">, а также с медицинской статистикой. Аудиторские расчеты показывают, что число пациентов ежедневно отклоняется от 1 до 6 пациентов на отделение, в основном </w:t>
      </w:r>
      <w:r w:rsidR="001423B2">
        <w:rPr>
          <w:rFonts w:asciiTheme="majorHAnsi" w:hAnsiTheme="majorHAnsi" w:cstheme="majorHAnsi"/>
          <w:sz w:val="24"/>
          <w:szCs w:val="24"/>
          <w:lang w:val="ru-RU"/>
        </w:rPr>
        <w:t xml:space="preserve">оно </w:t>
      </w:r>
      <w:r w:rsidRPr="001A16A0">
        <w:rPr>
          <w:rFonts w:asciiTheme="majorHAnsi" w:hAnsiTheme="majorHAnsi" w:cstheme="majorHAnsi"/>
          <w:sz w:val="24"/>
          <w:szCs w:val="24"/>
          <w:lang w:val="ro-MD"/>
        </w:rPr>
        <w:t xml:space="preserve">ниже, </w:t>
      </w:r>
      <w:r w:rsidR="001423B2">
        <w:rPr>
          <w:rFonts w:asciiTheme="majorHAnsi" w:hAnsiTheme="majorHAnsi" w:cstheme="majorHAnsi"/>
          <w:sz w:val="24"/>
          <w:szCs w:val="24"/>
          <w:lang w:val="ru-RU"/>
        </w:rPr>
        <w:t>учитывая, что</w:t>
      </w:r>
      <w:r w:rsidRPr="001A16A0">
        <w:rPr>
          <w:rFonts w:asciiTheme="majorHAnsi" w:hAnsiTheme="majorHAnsi" w:cstheme="majorHAnsi"/>
          <w:sz w:val="24"/>
          <w:szCs w:val="24"/>
          <w:lang w:val="ro-MD"/>
        </w:rPr>
        <w:t xml:space="preserve"> </w:t>
      </w:r>
      <w:r w:rsidR="001423B2">
        <w:rPr>
          <w:rFonts w:asciiTheme="majorHAnsi" w:hAnsiTheme="majorHAnsi" w:cstheme="majorHAnsi"/>
          <w:sz w:val="24"/>
          <w:szCs w:val="24"/>
          <w:lang w:val="ru-RU"/>
        </w:rPr>
        <w:t>К</w:t>
      </w:r>
      <w:r w:rsidRPr="001A16A0">
        <w:rPr>
          <w:rFonts w:asciiTheme="majorHAnsi" w:hAnsiTheme="majorHAnsi" w:cstheme="majorHAnsi"/>
          <w:sz w:val="24"/>
          <w:szCs w:val="24"/>
          <w:lang w:val="ro-MD"/>
        </w:rPr>
        <w:t>ишиневск</w:t>
      </w:r>
      <w:r w:rsidR="001423B2">
        <w:rPr>
          <w:rFonts w:asciiTheme="majorHAnsi" w:hAnsiTheme="majorHAnsi" w:cstheme="majorHAnsi"/>
          <w:sz w:val="24"/>
          <w:szCs w:val="24"/>
          <w:lang w:val="ru-RU"/>
        </w:rPr>
        <w:t>ая</w:t>
      </w:r>
      <w:r w:rsidRPr="001A16A0">
        <w:rPr>
          <w:rFonts w:asciiTheme="majorHAnsi" w:hAnsiTheme="majorHAnsi" w:cstheme="majorHAnsi"/>
          <w:sz w:val="24"/>
          <w:szCs w:val="24"/>
          <w:lang w:val="ro-MD"/>
        </w:rPr>
        <w:t xml:space="preserve"> клиник</w:t>
      </w:r>
      <w:r w:rsidR="001423B2">
        <w:rPr>
          <w:rFonts w:asciiTheme="majorHAnsi" w:hAnsiTheme="majorHAnsi" w:cstheme="majorHAnsi"/>
          <w:sz w:val="24"/>
          <w:szCs w:val="24"/>
          <w:lang w:val="ru-RU"/>
        </w:rPr>
        <w:t>а</w:t>
      </w:r>
      <w:r w:rsidRPr="001A16A0">
        <w:rPr>
          <w:rFonts w:asciiTheme="majorHAnsi" w:hAnsiTheme="majorHAnsi" w:cstheme="majorHAnsi"/>
          <w:sz w:val="24"/>
          <w:szCs w:val="24"/>
          <w:lang w:val="ro-MD"/>
        </w:rPr>
        <w:t xml:space="preserve"> имеет 4 отделения. Уточн</w:t>
      </w:r>
      <w:r w:rsidR="001423B2" w:rsidRPr="001423B2">
        <w:rPr>
          <w:rFonts w:asciiTheme="majorHAnsi" w:hAnsiTheme="majorHAnsi" w:cstheme="majorHAnsi"/>
          <w:sz w:val="24"/>
          <w:szCs w:val="24"/>
          <w:lang w:val="ro-MD"/>
        </w:rPr>
        <w:t>яе</w:t>
      </w:r>
      <w:r w:rsidRPr="001A16A0">
        <w:rPr>
          <w:rFonts w:asciiTheme="majorHAnsi" w:hAnsiTheme="majorHAnsi" w:cstheme="majorHAnsi"/>
          <w:sz w:val="24"/>
          <w:szCs w:val="24"/>
          <w:lang w:val="ro-MD"/>
        </w:rPr>
        <w:t>м, что расчеты аудита соответствуют информации</w:t>
      </w:r>
      <w:r w:rsidR="001423B2" w:rsidRPr="001423B2">
        <w:rPr>
          <w:rFonts w:asciiTheme="majorHAnsi" w:hAnsiTheme="majorHAnsi" w:cstheme="majorHAnsi"/>
          <w:sz w:val="24"/>
          <w:szCs w:val="24"/>
          <w:lang w:val="ro-MD"/>
        </w:rPr>
        <w:t xml:space="preserve"> из</w:t>
      </w:r>
      <w:r w:rsidRPr="001A16A0">
        <w:rPr>
          <w:rFonts w:asciiTheme="majorHAnsi" w:hAnsiTheme="majorHAnsi" w:cstheme="majorHAnsi"/>
          <w:sz w:val="24"/>
          <w:szCs w:val="24"/>
          <w:lang w:val="ro-MD"/>
        </w:rPr>
        <w:t xml:space="preserve"> статистик</w:t>
      </w:r>
      <w:r w:rsidR="001423B2" w:rsidRPr="001423B2">
        <w:rPr>
          <w:rFonts w:asciiTheme="majorHAnsi" w:hAnsiTheme="majorHAnsi" w:cstheme="majorHAnsi"/>
          <w:sz w:val="24"/>
          <w:szCs w:val="24"/>
          <w:lang w:val="ro-MD"/>
        </w:rPr>
        <w:t>и</w:t>
      </w:r>
      <w:r w:rsidRPr="001A16A0">
        <w:rPr>
          <w:rFonts w:asciiTheme="majorHAnsi" w:hAnsiTheme="majorHAnsi" w:cstheme="majorHAnsi"/>
          <w:sz w:val="24"/>
          <w:szCs w:val="24"/>
          <w:lang w:val="ro-MD"/>
        </w:rPr>
        <w:t xml:space="preserve"> </w:t>
      </w:r>
      <w:r w:rsidR="001423B2" w:rsidRPr="001423B2">
        <w:rPr>
          <w:rFonts w:asciiTheme="majorHAnsi" w:hAnsiTheme="majorHAnsi" w:cstheme="majorHAnsi"/>
          <w:sz w:val="24"/>
          <w:szCs w:val="24"/>
          <w:lang w:val="ro-MD"/>
        </w:rPr>
        <w:t>учреждения</w:t>
      </w:r>
      <w:r w:rsidRPr="001A16A0">
        <w:rPr>
          <w:rFonts w:asciiTheme="majorHAnsi" w:hAnsiTheme="majorHAnsi" w:cstheme="majorHAnsi"/>
          <w:sz w:val="24"/>
          <w:szCs w:val="24"/>
          <w:lang w:val="ro-MD"/>
        </w:rPr>
        <w:t>, разрабатывающе</w:t>
      </w:r>
      <w:r w:rsidR="006C7DDE" w:rsidRPr="006C7DDE">
        <w:rPr>
          <w:rFonts w:asciiTheme="majorHAnsi" w:hAnsiTheme="majorHAnsi" w:cstheme="majorHAnsi"/>
          <w:sz w:val="24"/>
          <w:szCs w:val="24"/>
          <w:lang w:val="ro-MD"/>
        </w:rPr>
        <w:t>го</w:t>
      </w:r>
      <w:r w:rsidRPr="001A16A0">
        <w:rPr>
          <w:rFonts w:asciiTheme="majorHAnsi" w:hAnsiTheme="majorHAnsi" w:cstheme="majorHAnsi"/>
          <w:sz w:val="24"/>
          <w:szCs w:val="24"/>
          <w:lang w:val="ro-MD"/>
        </w:rPr>
        <w:t xml:space="preserve"> централизующие формы движения больных, но не количеству пациентов </w:t>
      </w:r>
      <w:r w:rsidR="006C7DDE" w:rsidRPr="006C7DDE">
        <w:rPr>
          <w:rFonts w:asciiTheme="majorHAnsi" w:hAnsiTheme="majorHAnsi" w:cstheme="majorHAnsi"/>
          <w:sz w:val="24"/>
          <w:szCs w:val="24"/>
          <w:lang w:val="ro-MD"/>
        </w:rPr>
        <w:t>из</w:t>
      </w:r>
      <w:r w:rsidRPr="001A16A0">
        <w:rPr>
          <w:rFonts w:asciiTheme="majorHAnsi" w:hAnsiTheme="majorHAnsi" w:cstheme="majorHAnsi"/>
          <w:sz w:val="24"/>
          <w:szCs w:val="24"/>
          <w:lang w:val="ro-MD"/>
        </w:rPr>
        <w:t xml:space="preserve"> списк</w:t>
      </w:r>
      <w:r w:rsidR="006C7DDE" w:rsidRPr="006C7DDE">
        <w:rPr>
          <w:rFonts w:asciiTheme="majorHAnsi" w:hAnsiTheme="majorHAnsi" w:cstheme="majorHAnsi"/>
          <w:sz w:val="24"/>
          <w:szCs w:val="24"/>
          <w:lang w:val="ro-MD"/>
        </w:rPr>
        <w:t>ов</w:t>
      </w:r>
      <w:r w:rsidRPr="001A16A0">
        <w:rPr>
          <w:rFonts w:asciiTheme="majorHAnsi" w:hAnsiTheme="majorHAnsi" w:cstheme="majorHAnsi"/>
          <w:sz w:val="24"/>
          <w:szCs w:val="24"/>
          <w:lang w:val="ro-MD"/>
        </w:rPr>
        <w:t xml:space="preserve"> </w:t>
      </w:r>
      <w:r w:rsidR="006C7DDE" w:rsidRPr="006C7DDE">
        <w:rPr>
          <w:rFonts w:asciiTheme="majorHAnsi" w:hAnsiTheme="majorHAnsi" w:cstheme="majorHAnsi"/>
          <w:sz w:val="24"/>
          <w:szCs w:val="24"/>
          <w:lang w:val="ro-MD"/>
        </w:rPr>
        <w:t>учета</w:t>
      </w:r>
      <w:r w:rsidRPr="001A16A0">
        <w:rPr>
          <w:rFonts w:asciiTheme="majorHAnsi" w:hAnsiTheme="majorHAnsi" w:cstheme="majorHAnsi"/>
          <w:sz w:val="24"/>
          <w:szCs w:val="24"/>
          <w:lang w:val="ro-MD"/>
        </w:rPr>
        <w:t xml:space="preserve"> в </w:t>
      </w:r>
      <w:r w:rsidR="006C7DDE" w:rsidRPr="006C7DDE">
        <w:rPr>
          <w:rFonts w:asciiTheme="majorHAnsi" w:hAnsiTheme="majorHAnsi" w:cstheme="majorHAnsi"/>
          <w:sz w:val="24"/>
          <w:szCs w:val="24"/>
          <w:lang w:val="ro-MD"/>
        </w:rPr>
        <w:t>отделения</w:t>
      </w:r>
      <w:r w:rsidRPr="001A16A0">
        <w:rPr>
          <w:rFonts w:asciiTheme="majorHAnsi" w:hAnsiTheme="majorHAnsi" w:cstheme="majorHAnsi"/>
          <w:sz w:val="24"/>
          <w:szCs w:val="24"/>
          <w:lang w:val="ro-MD"/>
        </w:rPr>
        <w:t>х, в соответствии с которыми пода</w:t>
      </w:r>
      <w:r w:rsidR="006C7DDE" w:rsidRPr="006C7DDE">
        <w:rPr>
          <w:rFonts w:asciiTheme="majorHAnsi" w:hAnsiTheme="majorHAnsi" w:cstheme="majorHAnsi"/>
          <w:sz w:val="24"/>
          <w:szCs w:val="24"/>
          <w:lang w:val="ro-MD"/>
        </w:rPr>
        <w:t>ю</w:t>
      </w:r>
      <w:r w:rsidRPr="001A16A0">
        <w:rPr>
          <w:rFonts w:asciiTheme="majorHAnsi" w:hAnsiTheme="majorHAnsi" w:cstheme="majorHAnsi"/>
          <w:sz w:val="24"/>
          <w:szCs w:val="24"/>
          <w:lang w:val="ro-MD"/>
        </w:rPr>
        <w:t>тся за</w:t>
      </w:r>
      <w:r w:rsidR="006C7DDE" w:rsidRPr="006C7DDE">
        <w:rPr>
          <w:rFonts w:asciiTheme="majorHAnsi" w:hAnsiTheme="majorHAnsi" w:cstheme="majorHAnsi"/>
          <w:sz w:val="24"/>
          <w:szCs w:val="24"/>
          <w:lang w:val="ro-MD"/>
        </w:rPr>
        <w:t>явки</w:t>
      </w:r>
      <w:r w:rsidRPr="001A16A0">
        <w:rPr>
          <w:rFonts w:asciiTheme="majorHAnsi" w:hAnsiTheme="majorHAnsi" w:cstheme="majorHAnsi"/>
          <w:sz w:val="24"/>
          <w:szCs w:val="24"/>
          <w:lang w:val="ro-MD"/>
        </w:rPr>
        <w:t xml:space="preserve"> на питание</w:t>
      </w:r>
      <w:r w:rsidR="00B37661" w:rsidRPr="00B13B9A">
        <w:rPr>
          <w:rFonts w:asciiTheme="majorHAnsi" w:hAnsiTheme="majorHAnsi" w:cstheme="majorHAnsi"/>
          <w:sz w:val="24"/>
          <w:szCs w:val="24"/>
          <w:lang w:val="ro-MD"/>
        </w:rPr>
        <w:t xml:space="preserve">. </w:t>
      </w:r>
    </w:p>
    <w:p w14:paraId="795090A6" w14:textId="30BC28E5" w:rsidR="001A16A0" w:rsidRPr="001A16A0" w:rsidRDefault="001A16A0" w:rsidP="001A16A0">
      <w:pPr>
        <w:pStyle w:val="ae"/>
        <w:shd w:val="clear" w:color="auto" w:fill="FFFFFF"/>
        <w:spacing w:after="0" w:line="276" w:lineRule="auto"/>
        <w:jc w:val="both"/>
        <w:rPr>
          <w:rFonts w:asciiTheme="majorHAnsi" w:eastAsiaTheme="minorHAnsi" w:hAnsiTheme="majorHAnsi" w:cstheme="majorHAnsi"/>
          <w:lang w:val="ro-MD"/>
        </w:rPr>
      </w:pPr>
      <w:r w:rsidRPr="001A16A0">
        <w:rPr>
          <w:rFonts w:asciiTheme="majorHAnsi" w:eastAsiaTheme="minorHAnsi" w:hAnsiTheme="majorHAnsi" w:cstheme="majorHAnsi"/>
          <w:lang w:val="ro-MD"/>
        </w:rPr>
        <w:t xml:space="preserve">Хотя нормативная база предусматривает, что при изменении количества пациентов, присутствующих для питания в 09.00 текущего дня, по сравнению с количеством пациентов предыдущего дня (госпитализированных или выписанных), </w:t>
      </w:r>
      <w:r w:rsidR="006C7DDE">
        <w:rPr>
          <w:rFonts w:asciiTheme="majorHAnsi" w:eastAsiaTheme="minorHAnsi" w:hAnsiTheme="majorHAnsi" w:cstheme="majorHAnsi"/>
          <w:lang w:val="ru-RU"/>
        </w:rPr>
        <w:t>медсестра-</w:t>
      </w:r>
      <w:r w:rsidRPr="001A16A0">
        <w:rPr>
          <w:rFonts w:asciiTheme="majorHAnsi" w:eastAsiaTheme="minorHAnsi" w:hAnsiTheme="majorHAnsi" w:cstheme="majorHAnsi"/>
          <w:lang w:val="ro-MD"/>
        </w:rPr>
        <w:t xml:space="preserve">диетолог составляет общую „коррекцию” и </w:t>
      </w:r>
      <w:r w:rsidR="006C7DDE">
        <w:rPr>
          <w:rFonts w:asciiTheme="majorHAnsi" w:eastAsiaTheme="minorHAnsi" w:hAnsiTheme="majorHAnsi" w:cstheme="majorHAnsi"/>
          <w:lang w:val="ru-RU"/>
        </w:rPr>
        <w:t>заполня</w:t>
      </w:r>
      <w:r w:rsidRPr="001A16A0">
        <w:rPr>
          <w:rFonts w:asciiTheme="majorHAnsi" w:eastAsiaTheme="minorHAnsi" w:hAnsiTheme="majorHAnsi" w:cstheme="majorHAnsi"/>
          <w:lang w:val="ro-MD"/>
        </w:rPr>
        <w:t>ет переч</w:t>
      </w:r>
      <w:r w:rsidR="006C7DDE">
        <w:rPr>
          <w:rFonts w:asciiTheme="majorHAnsi" w:eastAsiaTheme="minorHAnsi" w:hAnsiTheme="majorHAnsi" w:cstheme="majorHAnsi"/>
          <w:lang w:val="ru-RU"/>
        </w:rPr>
        <w:t>е</w:t>
      </w:r>
      <w:r w:rsidRPr="001A16A0">
        <w:rPr>
          <w:rFonts w:asciiTheme="majorHAnsi" w:eastAsiaTheme="minorHAnsi" w:hAnsiTheme="majorHAnsi" w:cstheme="majorHAnsi"/>
          <w:lang w:val="ro-MD"/>
        </w:rPr>
        <w:t>н</w:t>
      </w:r>
      <w:r w:rsidR="006C7DDE">
        <w:rPr>
          <w:rFonts w:asciiTheme="majorHAnsi" w:eastAsiaTheme="minorHAnsi" w:hAnsiTheme="majorHAnsi" w:cstheme="majorHAnsi"/>
          <w:lang w:val="ru-RU"/>
        </w:rPr>
        <w:t>ь</w:t>
      </w:r>
      <w:r w:rsidRPr="001A16A0">
        <w:rPr>
          <w:rFonts w:asciiTheme="majorHAnsi" w:eastAsiaTheme="minorHAnsi" w:hAnsiTheme="majorHAnsi" w:cstheme="majorHAnsi"/>
          <w:lang w:val="ro-MD"/>
        </w:rPr>
        <w:t xml:space="preserve"> продуктов питания, необходимых дополнительно для некоторых из наиболее востребованных диет</w:t>
      </w:r>
      <w:r w:rsidR="006C7DDE" w:rsidRPr="00B13B9A">
        <w:rPr>
          <w:rStyle w:val="a9"/>
          <w:rFonts w:asciiTheme="majorHAnsi" w:eastAsiaTheme="minorHAnsi" w:hAnsiTheme="majorHAnsi" w:cstheme="majorHAnsi"/>
          <w:sz w:val="24"/>
          <w:lang w:val="ro-MD"/>
        </w:rPr>
        <w:footnoteReference w:id="69"/>
      </w:r>
      <w:r w:rsidRPr="001A16A0">
        <w:rPr>
          <w:rFonts w:asciiTheme="majorHAnsi" w:eastAsiaTheme="minorHAnsi" w:hAnsiTheme="majorHAnsi" w:cstheme="majorHAnsi"/>
          <w:lang w:val="ro-MD"/>
        </w:rPr>
        <w:t xml:space="preserve">, однако </w:t>
      </w:r>
      <w:r w:rsidR="00C10BD2">
        <w:rPr>
          <w:rFonts w:asciiTheme="majorHAnsi" w:eastAsiaTheme="minorHAnsi" w:hAnsiTheme="majorHAnsi" w:cstheme="majorHAnsi"/>
          <w:lang w:val="ro-MD"/>
        </w:rPr>
        <w:t>субъект</w:t>
      </w:r>
      <w:r w:rsidRPr="001A16A0">
        <w:rPr>
          <w:rFonts w:asciiTheme="majorHAnsi" w:eastAsiaTheme="minorHAnsi" w:hAnsiTheme="majorHAnsi" w:cstheme="majorHAnsi"/>
          <w:lang w:val="ro-MD"/>
        </w:rPr>
        <w:t xml:space="preserve"> не обеспечи</w:t>
      </w:r>
      <w:r w:rsidR="006C7DDE">
        <w:rPr>
          <w:rFonts w:asciiTheme="majorHAnsi" w:eastAsiaTheme="minorHAnsi" w:hAnsiTheme="majorHAnsi" w:cstheme="majorHAnsi"/>
          <w:lang w:val="ru-RU"/>
        </w:rPr>
        <w:t>ва</w:t>
      </w:r>
      <w:r w:rsidRPr="001A16A0">
        <w:rPr>
          <w:rFonts w:asciiTheme="majorHAnsi" w:eastAsiaTheme="minorHAnsi" w:hAnsiTheme="majorHAnsi" w:cstheme="majorHAnsi"/>
          <w:lang w:val="ro-MD"/>
        </w:rPr>
        <w:t>л этот процесс.</w:t>
      </w:r>
    </w:p>
    <w:p w14:paraId="65F9838F" w14:textId="2A623E6F" w:rsidR="00B37661" w:rsidRPr="006C7DDE" w:rsidRDefault="001A16A0" w:rsidP="006C7DDE">
      <w:pPr>
        <w:pStyle w:val="ae"/>
        <w:shd w:val="clear" w:color="auto" w:fill="FFFFFF"/>
        <w:spacing w:before="0" w:beforeAutospacing="0" w:after="0" w:afterAutospacing="0" w:line="276" w:lineRule="auto"/>
        <w:jc w:val="both"/>
        <w:rPr>
          <w:rFonts w:asciiTheme="majorHAnsi" w:eastAsiaTheme="minorHAnsi" w:hAnsiTheme="majorHAnsi" w:cstheme="majorHAnsi"/>
          <w:lang w:val="ro-MD"/>
        </w:rPr>
      </w:pPr>
      <w:r w:rsidRPr="001A16A0">
        <w:rPr>
          <w:rFonts w:asciiTheme="majorHAnsi" w:eastAsiaTheme="minorHAnsi" w:hAnsiTheme="majorHAnsi" w:cstheme="majorHAnsi"/>
          <w:lang w:val="ro-MD"/>
        </w:rPr>
        <w:t xml:space="preserve">Следовательно, аудит </w:t>
      </w:r>
      <w:r w:rsidR="006C7DDE">
        <w:rPr>
          <w:rFonts w:asciiTheme="majorHAnsi" w:eastAsiaTheme="minorHAnsi" w:hAnsiTheme="majorHAnsi" w:cstheme="majorHAnsi"/>
          <w:lang w:val="ru-RU"/>
        </w:rPr>
        <w:t>отмеч</w:t>
      </w:r>
      <w:r w:rsidRPr="001A16A0">
        <w:rPr>
          <w:rFonts w:asciiTheme="majorHAnsi" w:eastAsiaTheme="minorHAnsi" w:hAnsiTheme="majorHAnsi" w:cstheme="majorHAnsi"/>
          <w:lang w:val="ro-MD"/>
        </w:rPr>
        <w:t>ает, что отсутствие корреляции фактического числа пациентов с потребностями в пище</w:t>
      </w:r>
      <w:r w:rsidR="006C7DDE">
        <w:rPr>
          <w:rFonts w:asciiTheme="majorHAnsi" w:eastAsiaTheme="minorHAnsi" w:hAnsiTheme="majorHAnsi" w:cstheme="majorHAnsi"/>
          <w:lang w:val="ru-RU"/>
        </w:rPr>
        <w:t>вых продуктах</w:t>
      </w:r>
      <w:r w:rsidRPr="001A16A0">
        <w:rPr>
          <w:rFonts w:asciiTheme="majorHAnsi" w:eastAsiaTheme="minorHAnsi" w:hAnsiTheme="majorHAnsi" w:cstheme="majorHAnsi"/>
          <w:lang w:val="ro-MD"/>
        </w:rPr>
        <w:t xml:space="preserve"> </w:t>
      </w:r>
      <w:r w:rsidR="006C7DDE">
        <w:rPr>
          <w:rFonts w:asciiTheme="majorHAnsi" w:eastAsiaTheme="minorHAnsi" w:hAnsiTheme="majorHAnsi" w:cstheme="majorHAnsi"/>
          <w:lang w:val="ru-RU"/>
        </w:rPr>
        <w:t>генериру</w:t>
      </w:r>
      <w:r w:rsidRPr="001A16A0">
        <w:rPr>
          <w:rFonts w:asciiTheme="majorHAnsi" w:eastAsiaTheme="minorHAnsi" w:hAnsiTheme="majorHAnsi" w:cstheme="majorHAnsi"/>
          <w:lang w:val="ro-MD"/>
        </w:rPr>
        <w:t>ет риск несоблюдения нормативов распределенных порций для питания</w:t>
      </w:r>
      <w:r w:rsidR="00B37661" w:rsidRPr="00B13B9A">
        <w:rPr>
          <w:rFonts w:asciiTheme="majorHAnsi" w:hAnsiTheme="majorHAnsi" w:cstheme="majorHAnsi"/>
          <w:lang w:val="ro-MD"/>
        </w:rPr>
        <w:t xml:space="preserve">. </w:t>
      </w:r>
    </w:p>
    <w:p w14:paraId="3038FAF6" w14:textId="223AFA28" w:rsidR="00AC490F" w:rsidRPr="00B13B9A" w:rsidRDefault="001A16A0" w:rsidP="00AC490F">
      <w:pPr>
        <w:jc w:val="both"/>
        <w:rPr>
          <w:lang w:val="ro-MD"/>
        </w:rPr>
      </w:pPr>
      <w:r w:rsidRPr="001A16A0">
        <w:rPr>
          <w:rFonts w:asciiTheme="majorHAnsi" w:hAnsiTheme="majorHAnsi" w:cstheme="majorHAnsi"/>
          <w:sz w:val="24"/>
          <w:szCs w:val="24"/>
          <w:lang w:val="ro-MD"/>
        </w:rPr>
        <w:t xml:space="preserve">В этом контексте аудит приходит к выводу, что </w:t>
      </w:r>
      <w:r w:rsidR="006C7DDE" w:rsidRPr="007303D1">
        <w:rPr>
          <w:rFonts w:asciiTheme="majorHAnsi" w:hAnsiTheme="majorHAnsi" w:cstheme="majorHAnsi"/>
          <w:sz w:val="24"/>
          <w:szCs w:val="24"/>
          <w:lang w:val="ro-MD"/>
        </w:rPr>
        <w:t>в</w:t>
      </w:r>
      <w:r w:rsidRPr="001A16A0">
        <w:rPr>
          <w:rFonts w:asciiTheme="majorHAnsi" w:hAnsiTheme="majorHAnsi" w:cstheme="majorHAnsi"/>
          <w:sz w:val="24"/>
          <w:szCs w:val="24"/>
          <w:lang w:val="ro-MD"/>
        </w:rPr>
        <w:t xml:space="preserve"> отсутстви</w:t>
      </w:r>
      <w:r w:rsidR="006C7DDE" w:rsidRPr="007303D1">
        <w:rPr>
          <w:rFonts w:asciiTheme="majorHAnsi" w:hAnsiTheme="majorHAnsi" w:cstheme="majorHAnsi"/>
          <w:sz w:val="24"/>
          <w:szCs w:val="24"/>
          <w:lang w:val="ro-MD"/>
        </w:rPr>
        <w:t>е</w:t>
      </w:r>
      <w:r w:rsidRPr="001A16A0">
        <w:rPr>
          <w:rFonts w:asciiTheme="majorHAnsi" w:hAnsiTheme="majorHAnsi" w:cstheme="majorHAnsi"/>
          <w:sz w:val="24"/>
          <w:szCs w:val="24"/>
          <w:lang w:val="ro-MD"/>
        </w:rPr>
        <w:t xml:space="preserve"> корреляции порций пищи с фактическим количеством госпитализированных пациентов</w:t>
      </w:r>
      <w:r w:rsidR="006C7DDE" w:rsidRPr="007303D1">
        <w:rPr>
          <w:rFonts w:asciiTheme="majorHAnsi" w:hAnsiTheme="majorHAnsi" w:cstheme="majorHAnsi"/>
          <w:sz w:val="24"/>
          <w:szCs w:val="24"/>
          <w:lang w:val="ro-MD"/>
        </w:rPr>
        <w:t>,</w:t>
      </w:r>
      <w:r w:rsidRPr="001A16A0">
        <w:rPr>
          <w:rFonts w:asciiTheme="majorHAnsi" w:hAnsiTheme="majorHAnsi" w:cstheme="majorHAnsi"/>
          <w:sz w:val="24"/>
          <w:szCs w:val="24"/>
          <w:lang w:val="ro-MD"/>
        </w:rPr>
        <w:t xml:space="preserve"> не гарантируется </w:t>
      </w:r>
      <w:r w:rsidR="006C7DDE" w:rsidRPr="007303D1">
        <w:rPr>
          <w:rFonts w:asciiTheme="majorHAnsi" w:hAnsiTheme="majorHAnsi" w:cstheme="majorHAnsi"/>
          <w:sz w:val="24"/>
          <w:szCs w:val="24"/>
          <w:lang w:val="ro-MD"/>
        </w:rPr>
        <w:t>реальный</w:t>
      </w:r>
      <w:r w:rsidR="006C7DDE" w:rsidRPr="001A16A0">
        <w:rPr>
          <w:rFonts w:asciiTheme="majorHAnsi" w:hAnsiTheme="majorHAnsi" w:cstheme="majorHAnsi"/>
          <w:sz w:val="24"/>
          <w:szCs w:val="24"/>
          <w:lang w:val="ro-MD"/>
        </w:rPr>
        <w:t xml:space="preserve"> </w:t>
      </w:r>
      <w:r w:rsidR="006C7DDE" w:rsidRPr="007303D1">
        <w:rPr>
          <w:rFonts w:asciiTheme="majorHAnsi" w:hAnsiTheme="majorHAnsi" w:cstheme="majorHAnsi"/>
          <w:sz w:val="24"/>
          <w:szCs w:val="24"/>
          <w:lang w:val="ro-MD"/>
        </w:rPr>
        <w:t>размер</w:t>
      </w:r>
      <w:r w:rsidR="006C7DDE" w:rsidRPr="001A16A0">
        <w:rPr>
          <w:rFonts w:asciiTheme="majorHAnsi" w:hAnsiTheme="majorHAnsi" w:cstheme="majorHAnsi"/>
          <w:sz w:val="24"/>
          <w:szCs w:val="24"/>
          <w:lang w:val="ro-MD"/>
        </w:rPr>
        <w:t xml:space="preserve"> </w:t>
      </w:r>
      <w:r w:rsidR="006C7DDE" w:rsidRPr="007303D1">
        <w:rPr>
          <w:rFonts w:asciiTheme="majorHAnsi" w:hAnsiTheme="majorHAnsi" w:cstheme="majorHAnsi"/>
          <w:sz w:val="24"/>
          <w:szCs w:val="24"/>
          <w:lang w:val="ro-MD"/>
        </w:rPr>
        <w:t xml:space="preserve">одной </w:t>
      </w:r>
      <w:r w:rsidR="006C7DDE" w:rsidRPr="001A16A0">
        <w:rPr>
          <w:rFonts w:asciiTheme="majorHAnsi" w:hAnsiTheme="majorHAnsi" w:cstheme="majorHAnsi"/>
          <w:sz w:val="24"/>
          <w:szCs w:val="24"/>
          <w:lang w:val="ro-MD"/>
        </w:rPr>
        <w:t xml:space="preserve">порции </w:t>
      </w:r>
      <w:r w:rsidRPr="001A16A0">
        <w:rPr>
          <w:rFonts w:asciiTheme="majorHAnsi" w:hAnsiTheme="majorHAnsi" w:cstheme="majorHAnsi"/>
          <w:sz w:val="24"/>
          <w:szCs w:val="24"/>
          <w:lang w:val="ro-MD"/>
        </w:rPr>
        <w:t xml:space="preserve">приготовленных блюд </w:t>
      </w:r>
      <w:r w:rsidR="007303D1" w:rsidRPr="001A16A0">
        <w:rPr>
          <w:rFonts w:asciiTheme="majorHAnsi" w:hAnsiTheme="majorHAnsi" w:cstheme="majorHAnsi"/>
          <w:sz w:val="24"/>
          <w:szCs w:val="24"/>
          <w:lang w:val="ro-MD"/>
        </w:rPr>
        <w:t>„</w:t>
      </w:r>
      <w:r w:rsidR="007303D1" w:rsidRPr="007303D1">
        <w:rPr>
          <w:rFonts w:asciiTheme="majorHAnsi" w:hAnsiTheme="majorHAnsi" w:cstheme="majorHAnsi"/>
          <w:sz w:val="24"/>
          <w:szCs w:val="24"/>
          <w:lang w:val="ro-MD"/>
        </w:rPr>
        <w:t>навалом</w:t>
      </w:r>
      <w:r w:rsidR="007303D1" w:rsidRPr="001A16A0">
        <w:rPr>
          <w:rFonts w:asciiTheme="majorHAnsi" w:hAnsiTheme="majorHAnsi" w:cstheme="majorHAnsi"/>
          <w:sz w:val="24"/>
          <w:szCs w:val="24"/>
          <w:lang w:val="ro-MD"/>
        </w:rPr>
        <w:t xml:space="preserve">” </w:t>
      </w:r>
      <w:r w:rsidRPr="001A16A0">
        <w:rPr>
          <w:rFonts w:asciiTheme="majorHAnsi" w:hAnsiTheme="majorHAnsi" w:cstheme="majorHAnsi"/>
          <w:sz w:val="24"/>
          <w:szCs w:val="24"/>
          <w:lang w:val="ro-MD"/>
        </w:rPr>
        <w:t xml:space="preserve">(супы, каши, пудинги и т. д.), </w:t>
      </w:r>
      <w:r w:rsidR="007303D1" w:rsidRPr="007303D1">
        <w:rPr>
          <w:rFonts w:asciiTheme="majorHAnsi" w:hAnsiTheme="majorHAnsi" w:cstheme="majorHAnsi"/>
          <w:sz w:val="24"/>
          <w:szCs w:val="24"/>
          <w:lang w:val="ro-MD"/>
        </w:rPr>
        <w:t>а</w:t>
      </w:r>
      <w:r w:rsidRPr="001A16A0">
        <w:rPr>
          <w:rFonts w:asciiTheme="majorHAnsi" w:hAnsiTheme="majorHAnsi" w:cstheme="majorHAnsi"/>
          <w:sz w:val="24"/>
          <w:szCs w:val="24"/>
          <w:lang w:val="ro-MD"/>
        </w:rPr>
        <w:t xml:space="preserve"> для порционных блюд (</w:t>
      </w:r>
      <w:r w:rsidR="007303D1" w:rsidRPr="007303D1">
        <w:rPr>
          <w:rFonts w:asciiTheme="majorHAnsi" w:hAnsiTheme="majorHAnsi" w:cstheme="majorHAnsi"/>
          <w:sz w:val="24"/>
          <w:szCs w:val="24"/>
          <w:lang w:val="ro-MD"/>
        </w:rPr>
        <w:t>котлеты</w:t>
      </w:r>
      <w:r w:rsidRPr="001A16A0">
        <w:rPr>
          <w:rFonts w:asciiTheme="majorHAnsi" w:hAnsiTheme="majorHAnsi" w:cstheme="majorHAnsi"/>
          <w:sz w:val="24"/>
          <w:szCs w:val="24"/>
          <w:lang w:val="ro-MD"/>
        </w:rPr>
        <w:t>, шницели, сыр</w:t>
      </w:r>
      <w:r w:rsidR="007303D1" w:rsidRPr="007303D1">
        <w:rPr>
          <w:rFonts w:asciiTheme="majorHAnsi" w:hAnsiTheme="majorHAnsi" w:cstheme="majorHAnsi"/>
          <w:sz w:val="24"/>
          <w:szCs w:val="24"/>
          <w:lang w:val="ro-MD"/>
        </w:rPr>
        <w:t>ники</w:t>
      </w:r>
      <w:r w:rsidRPr="001A16A0">
        <w:rPr>
          <w:rFonts w:asciiTheme="majorHAnsi" w:hAnsiTheme="majorHAnsi" w:cstheme="majorHAnsi"/>
          <w:sz w:val="24"/>
          <w:szCs w:val="24"/>
          <w:lang w:val="ro-MD"/>
        </w:rPr>
        <w:t>, фрикадельки, рыба и т. д.)</w:t>
      </w:r>
      <w:r w:rsidR="007303D1" w:rsidRPr="007303D1">
        <w:rPr>
          <w:rFonts w:asciiTheme="majorHAnsi" w:hAnsiTheme="majorHAnsi" w:cstheme="majorHAnsi"/>
          <w:sz w:val="24"/>
          <w:szCs w:val="24"/>
          <w:lang w:val="ro-MD"/>
        </w:rPr>
        <w:t>,</w:t>
      </w:r>
      <w:r w:rsidRPr="001A16A0">
        <w:rPr>
          <w:rFonts w:asciiTheme="majorHAnsi" w:hAnsiTheme="majorHAnsi" w:cstheme="majorHAnsi"/>
          <w:sz w:val="24"/>
          <w:szCs w:val="24"/>
          <w:lang w:val="ro-MD"/>
        </w:rPr>
        <w:t xml:space="preserve"> </w:t>
      </w:r>
      <w:r w:rsidR="007303D1" w:rsidRPr="007303D1">
        <w:rPr>
          <w:rFonts w:asciiTheme="majorHAnsi" w:hAnsiTheme="majorHAnsi" w:cstheme="majorHAnsi"/>
          <w:sz w:val="24"/>
          <w:szCs w:val="24"/>
          <w:lang w:val="ro-MD"/>
        </w:rPr>
        <w:t>н</w:t>
      </w:r>
      <w:r w:rsidRPr="001A16A0">
        <w:rPr>
          <w:rFonts w:asciiTheme="majorHAnsi" w:hAnsiTheme="majorHAnsi" w:cstheme="majorHAnsi"/>
          <w:sz w:val="24"/>
          <w:szCs w:val="24"/>
          <w:lang w:val="ro-MD"/>
        </w:rPr>
        <w:t xml:space="preserve">екоторые пациенты фактически </w:t>
      </w:r>
      <w:r w:rsidR="007303D1" w:rsidRPr="001A16A0">
        <w:rPr>
          <w:rFonts w:asciiTheme="majorHAnsi" w:hAnsiTheme="majorHAnsi" w:cstheme="majorHAnsi"/>
          <w:sz w:val="24"/>
          <w:szCs w:val="24"/>
          <w:lang w:val="ro-MD"/>
        </w:rPr>
        <w:t xml:space="preserve">их </w:t>
      </w:r>
      <w:r w:rsidRPr="001A16A0">
        <w:rPr>
          <w:rFonts w:asciiTheme="majorHAnsi" w:hAnsiTheme="majorHAnsi" w:cstheme="majorHAnsi"/>
          <w:sz w:val="24"/>
          <w:szCs w:val="24"/>
          <w:lang w:val="ro-MD"/>
        </w:rPr>
        <w:t xml:space="preserve">не получают. </w:t>
      </w:r>
      <w:r w:rsidR="007303D1" w:rsidRPr="007303D1">
        <w:rPr>
          <w:rFonts w:asciiTheme="majorHAnsi" w:hAnsiTheme="majorHAnsi" w:cstheme="majorHAnsi"/>
          <w:sz w:val="24"/>
          <w:szCs w:val="24"/>
          <w:lang w:val="ro-MD"/>
        </w:rPr>
        <w:t>У</w:t>
      </w:r>
      <w:r w:rsidRPr="001A16A0">
        <w:rPr>
          <w:rFonts w:asciiTheme="majorHAnsi" w:hAnsiTheme="majorHAnsi" w:cstheme="majorHAnsi"/>
          <w:sz w:val="24"/>
          <w:szCs w:val="24"/>
          <w:lang w:val="ro-MD"/>
        </w:rPr>
        <w:t xml:space="preserve">точняем, что правильное питание для больных туберкулезом важно, и в случае </w:t>
      </w:r>
      <w:r w:rsidR="007303D1" w:rsidRPr="007303D1">
        <w:rPr>
          <w:rFonts w:asciiTheme="majorHAnsi" w:hAnsiTheme="majorHAnsi" w:cstheme="majorHAnsi"/>
          <w:sz w:val="24"/>
          <w:szCs w:val="24"/>
          <w:lang w:val="ro-MD"/>
        </w:rPr>
        <w:t>необеспечен</w:t>
      </w:r>
      <w:r w:rsidRPr="001A16A0">
        <w:rPr>
          <w:rFonts w:asciiTheme="majorHAnsi" w:hAnsiTheme="majorHAnsi" w:cstheme="majorHAnsi"/>
          <w:sz w:val="24"/>
          <w:szCs w:val="24"/>
          <w:lang w:val="ro-MD"/>
        </w:rPr>
        <w:t>ия продовольственного рациона</w:t>
      </w:r>
      <w:r w:rsidR="007303D1" w:rsidRPr="007303D1">
        <w:rPr>
          <w:rFonts w:asciiTheme="majorHAnsi" w:hAnsiTheme="majorHAnsi" w:cstheme="majorHAnsi"/>
          <w:sz w:val="24"/>
          <w:szCs w:val="24"/>
          <w:lang w:val="ro-MD"/>
        </w:rPr>
        <w:t>,</w:t>
      </w:r>
      <w:r w:rsidRPr="001A16A0">
        <w:rPr>
          <w:rFonts w:asciiTheme="majorHAnsi" w:hAnsiTheme="majorHAnsi" w:cstheme="majorHAnsi"/>
          <w:sz w:val="24"/>
          <w:szCs w:val="24"/>
          <w:lang w:val="ro-MD"/>
        </w:rPr>
        <w:t xml:space="preserve"> не обеспечивается </w:t>
      </w:r>
      <w:r w:rsidR="007303D1" w:rsidRPr="007303D1">
        <w:rPr>
          <w:rFonts w:asciiTheme="majorHAnsi" w:hAnsiTheme="majorHAnsi" w:cstheme="majorHAnsi"/>
          <w:sz w:val="24"/>
          <w:szCs w:val="24"/>
          <w:lang w:val="ro-MD"/>
        </w:rPr>
        <w:t xml:space="preserve">и </w:t>
      </w:r>
      <w:r w:rsidRPr="001A16A0">
        <w:rPr>
          <w:rFonts w:asciiTheme="majorHAnsi" w:hAnsiTheme="majorHAnsi" w:cstheme="majorHAnsi"/>
          <w:sz w:val="24"/>
          <w:szCs w:val="24"/>
          <w:lang w:val="ro-MD"/>
        </w:rPr>
        <w:t>рекомендуемое количество белка</w:t>
      </w:r>
      <w:r w:rsidR="00B37661" w:rsidRPr="00B13B9A">
        <w:rPr>
          <w:rFonts w:asciiTheme="majorHAnsi" w:hAnsiTheme="majorHAnsi" w:cstheme="majorHAnsi"/>
          <w:color w:val="333333"/>
          <w:sz w:val="24"/>
          <w:szCs w:val="24"/>
          <w:shd w:val="clear" w:color="auto" w:fill="FFFFFF"/>
          <w:lang w:val="ro-MD"/>
        </w:rPr>
        <w:t>.</w:t>
      </w:r>
      <w:r w:rsidR="00B37661" w:rsidRPr="00B13B9A">
        <w:rPr>
          <w:lang w:val="ro-MD"/>
        </w:rPr>
        <w:t xml:space="preserve"> </w:t>
      </w:r>
    </w:p>
    <w:p w14:paraId="15008C6E" w14:textId="7EFEB602" w:rsidR="00B37661" w:rsidRPr="00B13B9A" w:rsidRDefault="001A16A0" w:rsidP="00AC490F">
      <w:pPr>
        <w:jc w:val="both"/>
        <w:rPr>
          <w:rFonts w:asciiTheme="majorHAnsi" w:hAnsiTheme="majorHAnsi" w:cstheme="majorHAnsi"/>
          <w:sz w:val="24"/>
          <w:szCs w:val="24"/>
          <w:lang w:val="ro-MD"/>
        </w:rPr>
      </w:pPr>
      <w:r w:rsidRPr="001A16A0">
        <w:rPr>
          <w:rFonts w:asciiTheme="majorHAnsi" w:hAnsiTheme="majorHAnsi" w:cstheme="majorHAnsi"/>
          <w:color w:val="000000" w:themeColor="text1"/>
          <w:sz w:val="24"/>
          <w:lang w:val="ro-MD"/>
        </w:rPr>
        <w:t>Вместе с тем, учет продуктов питания ведется в соответствии с действующими нормами, оценки аудита путем проведения внезапных инвентаризаций выявили незначительные отклонения в количественном аспекте: дефицит (0,2 тыс. леев) и излишки продуктов питания (0,4 тыс. леев)</w:t>
      </w:r>
      <w:r w:rsidR="00AC490F" w:rsidRPr="00B13B9A">
        <w:rPr>
          <w:rFonts w:asciiTheme="majorHAnsi" w:hAnsiTheme="majorHAnsi" w:cstheme="majorHAnsi"/>
          <w:sz w:val="24"/>
          <w:szCs w:val="24"/>
          <w:lang w:val="ro-MD"/>
        </w:rPr>
        <w:t>.</w:t>
      </w:r>
    </w:p>
    <w:p w14:paraId="5118225D" w14:textId="77777777" w:rsidR="00B37661" w:rsidRPr="00B13B9A" w:rsidRDefault="00B37661" w:rsidP="00B37661">
      <w:pPr>
        <w:spacing w:after="0" w:line="276" w:lineRule="auto"/>
        <w:jc w:val="both"/>
        <w:rPr>
          <w:rFonts w:asciiTheme="majorHAnsi" w:hAnsiTheme="majorHAnsi" w:cstheme="majorHAnsi"/>
          <w:sz w:val="24"/>
          <w:szCs w:val="24"/>
          <w:lang w:val="ro-MD"/>
        </w:rPr>
      </w:pPr>
    </w:p>
    <w:p w14:paraId="25EB31CA" w14:textId="3C35471D" w:rsidR="00B37661" w:rsidRPr="00B13B9A" w:rsidRDefault="001A16A0" w:rsidP="007303D1">
      <w:pPr>
        <w:pStyle w:val="a7"/>
        <w:numPr>
          <w:ilvl w:val="2"/>
          <w:numId w:val="10"/>
        </w:numPr>
        <w:tabs>
          <w:tab w:val="left" w:pos="900"/>
        </w:tabs>
        <w:ind w:left="0" w:firstLine="284"/>
        <w:jc w:val="both"/>
        <w:outlineLvl w:val="2"/>
        <w:rPr>
          <w:rFonts w:asciiTheme="majorHAnsi" w:hAnsiTheme="majorHAnsi" w:cstheme="majorHAnsi"/>
          <w:b/>
          <w:color w:val="000000" w:themeColor="text1"/>
          <w:sz w:val="24"/>
          <w:lang w:val="ro-MD"/>
        </w:rPr>
      </w:pPr>
      <w:bookmarkStart w:id="43" w:name="_Toc158317246"/>
      <w:r w:rsidRPr="001A16A0">
        <w:rPr>
          <w:rFonts w:asciiTheme="majorHAnsi" w:hAnsiTheme="majorHAnsi" w:cstheme="majorHAnsi"/>
          <w:b/>
          <w:color w:val="000000" w:themeColor="text1"/>
          <w:sz w:val="24"/>
          <w:lang w:val="ro-MD"/>
        </w:rPr>
        <w:t xml:space="preserve">Планирование потребностей в продуктах питания не основано на реальных данных, что привело к </w:t>
      </w:r>
      <w:r w:rsidR="007303D1" w:rsidRPr="007303D1">
        <w:rPr>
          <w:rFonts w:asciiTheme="majorHAnsi" w:hAnsiTheme="majorHAnsi" w:cstheme="majorHAnsi"/>
          <w:b/>
          <w:color w:val="000000" w:themeColor="text1"/>
          <w:sz w:val="24"/>
          <w:lang w:val="ro-MD"/>
        </w:rPr>
        <w:t>за</w:t>
      </w:r>
      <w:r w:rsidRPr="001A16A0">
        <w:rPr>
          <w:rFonts w:asciiTheme="majorHAnsi" w:hAnsiTheme="majorHAnsi" w:cstheme="majorHAnsi"/>
          <w:b/>
          <w:color w:val="000000" w:themeColor="text1"/>
          <w:sz w:val="24"/>
          <w:lang w:val="ro-MD"/>
        </w:rPr>
        <w:t>купке продуктов питания в значительно меньшем</w:t>
      </w:r>
      <w:r w:rsidR="007303D1" w:rsidRPr="007303D1">
        <w:rPr>
          <w:rFonts w:asciiTheme="majorHAnsi" w:hAnsiTheme="majorHAnsi" w:cstheme="majorHAnsi"/>
          <w:b/>
          <w:color w:val="000000" w:themeColor="text1"/>
          <w:sz w:val="24"/>
          <w:lang w:val="ro-MD"/>
        </w:rPr>
        <w:t xml:space="preserve"> </w:t>
      </w:r>
      <w:r w:rsidR="007303D1">
        <w:rPr>
          <w:rFonts w:asciiTheme="majorHAnsi" w:hAnsiTheme="majorHAnsi" w:cstheme="majorHAnsi"/>
          <w:b/>
          <w:color w:val="000000" w:themeColor="text1"/>
          <w:sz w:val="24"/>
          <w:lang w:val="ru-RU"/>
        </w:rPr>
        <w:t>объем</w:t>
      </w:r>
      <w:r w:rsidR="007303D1" w:rsidRPr="001A16A0">
        <w:rPr>
          <w:rFonts w:asciiTheme="majorHAnsi" w:hAnsiTheme="majorHAnsi" w:cstheme="majorHAnsi"/>
          <w:b/>
          <w:color w:val="000000" w:themeColor="text1"/>
          <w:sz w:val="24"/>
          <w:lang w:val="ro-MD"/>
        </w:rPr>
        <w:t>е</w:t>
      </w:r>
      <w:r w:rsidRPr="001A16A0">
        <w:rPr>
          <w:rFonts w:asciiTheme="majorHAnsi" w:hAnsiTheme="majorHAnsi" w:cstheme="majorHAnsi"/>
          <w:b/>
          <w:color w:val="000000" w:themeColor="text1"/>
          <w:sz w:val="24"/>
          <w:lang w:val="ro-MD"/>
        </w:rPr>
        <w:t xml:space="preserve">, чем </w:t>
      </w:r>
      <w:r w:rsidR="007303D1">
        <w:rPr>
          <w:rFonts w:asciiTheme="majorHAnsi" w:hAnsiTheme="majorHAnsi" w:cstheme="majorHAnsi"/>
          <w:b/>
          <w:color w:val="000000" w:themeColor="text1"/>
          <w:sz w:val="24"/>
          <w:lang w:val="ru-RU"/>
        </w:rPr>
        <w:t>за</w:t>
      </w:r>
      <w:r w:rsidRPr="001A16A0">
        <w:rPr>
          <w:rFonts w:asciiTheme="majorHAnsi" w:hAnsiTheme="majorHAnsi" w:cstheme="majorHAnsi"/>
          <w:b/>
          <w:color w:val="000000" w:themeColor="text1"/>
          <w:sz w:val="24"/>
          <w:lang w:val="ro-MD"/>
        </w:rPr>
        <w:t>планирова</w:t>
      </w:r>
      <w:r w:rsidR="007303D1">
        <w:rPr>
          <w:rFonts w:asciiTheme="majorHAnsi" w:hAnsiTheme="majorHAnsi" w:cstheme="majorHAnsi"/>
          <w:b/>
          <w:color w:val="000000" w:themeColor="text1"/>
          <w:sz w:val="24"/>
          <w:lang w:val="ru-RU"/>
        </w:rPr>
        <w:t>нный</w:t>
      </w:r>
      <w:r w:rsidR="00B37661" w:rsidRPr="00B13B9A">
        <w:rPr>
          <w:rFonts w:asciiTheme="majorHAnsi" w:hAnsiTheme="majorHAnsi" w:cstheme="majorHAnsi"/>
          <w:b/>
          <w:color w:val="000000" w:themeColor="text1"/>
          <w:sz w:val="24"/>
          <w:lang w:val="ro-MD"/>
        </w:rPr>
        <w:t>.</w:t>
      </w:r>
      <w:bookmarkEnd w:id="43"/>
      <w:r w:rsidR="00B37661" w:rsidRPr="00B13B9A">
        <w:rPr>
          <w:rFonts w:asciiTheme="majorHAnsi" w:hAnsiTheme="majorHAnsi" w:cstheme="majorHAnsi"/>
          <w:b/>
          <w:color w:val="000000" w:themeColor="text1"/>
          <w:sz w:val="24"/>
          <w:lang w:val="ro-MD"/>
        </w:rPr>
        <w:t xml:space="preserve"> </w:t>
      </w:r>
    </w:p>
    <w:p w14:paraId="4AE1CA5B" w14:textId="17540252" w:rsidR="00B37661" w:rsidRPr="00B13B9A" w:rsidRDefault="001A16A0" w:rsidP="00B37661">
      <w:pPr>
        <w:spacing w:after="0" w:line="276" w:lineRule="auto"/>
        <w:jc w:val="both"/>
        <w:rPr>
          <w:rFonts w:asciiTheme="majorHAnsi" w:hAnsiTheme="majorHAnsi" w:cstheme="majorHAnsi"/>
          <w:color w:val="333333"/>
          <w:sz w:val="24"/>
          <w:szCs w:val="24"/>
          <w:shd w:val="clear" w:color="auto" w:fill="FFFFFF"/>
          <w:lang w:val="ro-MD"/>
        </w:rPr>
      </w:pPr>
      <w:r w:rsidRPr="001A16A0">
        <w:rPr>
          <w:rFonts w:asciiTheme="majorHAnsi" w:hAnsiTheme="majorHAnsi" w:cstheme="majorHAnsi"/>
          <w:color w:val="333333"/>
          <w:sz w:val="24"/>
          <w:szCs w:val="24"/>
          <w:shd w:val="clear" w:color="auto" w:fill="FFFFFF"/>
          <w:lang w:val="ro-MD"/>
        </w:rPr>
        <w:t>В рамках планирования расходов</w:t>
      </w:r>
      <w:r w:rsidR="007303D1" w:rsidRPr="007303D1">
        <w:rPr>
          <w:rFonts w:asciiTheme="majorHAnsi" w:hAnsiTheme="majorHAnsi" w:cstheme="majorHAnsi"/>
          <w:color w:val="333333"/>
          <w:sz w:val="24"/>
          <w:szCs w:val="24"/>
          <w:shd w:val="clear" w:color="auto" w:fill="FFFFFF"/>
          <w:lang w:val="ro-MD"/>
        </w:rPr>
        <w:t>,</w:t>
      </w:r>
      <w:r w:rsidRPr="001A16A0">
        <w:rPr>
          <w:rFonts w:asciiTheme="majorHAnsi" w:hAnsiTheme="majorHAnsi" w:cstheme="majorHAnsi"/>
          <w:color w:val="333333"/>
          <w:sz w:val="24"/>
          <w:szCs w:val="24"/>
          <w:shd w:val="clear" w:color="auto" w:fill="FFFFFF"/>
          <w:lang w:val="ro-MD"/>
        </w:rPr>
        <w:t xml:space="preserve"> для закупки продуктов питания были предусмотрены следующие финансовые средства, пр</w:t>
      </w:r>
      <w:r w:rsidR="007303D1" w:rsidRPr="007303D1">
        <w:rPr>
          <w:rFonts w:asciiTheme="majorHAnsi" w:hAnsiTheme="majorHAnsi" w:cstheme="majorHAnsi"/>
          <w:color w:val="333333"/>
          <w:sz w:val="24"/>
          <w:szCs w:val="24"/>
          <w:shd w:val="clear" w:color="auto" w:fill="FFFFFF"/>
          <w:lang w:val="ro-MD"/>
        </w:rPr>
        <w:t>едставл</w:t>
      </w:r>
      <w:r w:rsidRPr="001A16A0">
        <w:rPr>
          <w:rFonts w:asciiTheme="majorHAnsi" w:hAnsiTheme="majorHAnsi" w:cstheme="majorHAnsi"/>
          <w:color w:val="333333"/>
          <w:sz w:val="24"/>
          <w:szCs w:val="24"/>
          <w:shd w:val="clear" w:color="auto" w:fill="FFFFFF"/>
          <w:lang w:val="ro-MD"/>
        </w:rPr>
        <w:t>енные в таблице ниже</w:t>
      </w:r>
      <w:r w:rsidR="00573465" w:rsidRPr="00B13B9A">
        <w:rPr>
          <w:rFonts w:asciiTheme="majorHAnsi" w:hAnsiTheme="majorHAnsi" w:cstheme="majorHAnsi"/>
          <w:color w:val="333333"/>
          <w:sz w:val="24"/>
          <w:szCs w:val="24"/>
          <w:shd w:val="clear" w:color="auto" w:fill="FFFFFF"/>
          <w:lang w:val="ro-MD"/>
        </w:rPr>
        <w:t>.</w:t>
      </w:r>
      <w:r w:rsidR="00B37661" w:rsidRPr="00B13B9A">
        <w:rPr>
          <w:rFonts w:asciiTheme="majorHAnsi" w:hAnsiTheme="majorHAnsi" w:cstheme="majorHAnsi"/>
          <w:color w:val="333333"/>
          <w:sz w:val="24"/>
          <w:szCs w:val="24"/>
          <w:shd w:val="clear" w:color="auto" w:fill="FFFFFF"/>
          <w:lang w:val="ro-MD"/>
        </w:rPr>
        <w:t xml:space="preserve"> </w:t>
      </w:r>
    </w:p>
    <w:p w14:paraId="531CD2D5" w14:textId="0DAAC305" w:rsidR="00B37661" w:rsidRPr="00B13B9A" w:rsidRDefault="001A16A0" w:rsidP="00B37661">
      <w:pPr>
        <w:pStyle w:val="a7"/>
        <w:spacing w:after="0" w:line="276" w:lineRule="auto"/>
        <w:ind w:left="5940"/>
        <w:jc w:val="right"/>
        <w:rPr>
          <w:rFonts w:asciiTheme="majorHAnsi" w:hAnsiTheme="majorHAnsi" w:cstheme="majorHAnsi"/>
          <w:b/>
          <w:i/>
          <w:sz w:val="24"/>
          <w:szCs w:val="24"/>
          <w:lang w:val="ro-MD"/>
        </w:rPr>
      </w:pPr>
      <w:r>
        <w:rPr>
          <w:rFonts w:asciiTheme="majorHAnsi" w:hAnsiTheme="majorHAnsi" w:cstheme="majorHAnsi"/>
          <w:b/>
          <w:i/>
          <w:sz w:val="24"/>
          <w:szCs w:val="24"/>
          <w:lang w:val="ru-RU"/>
        </w:rPr>
        <w:t>Таблица №</w:t>
      </w:r>
      <w:r w:rsidR="00D37D8A" w:rsidRPr="00B13B9A">
        <w:rPr>
          <w:rFonts w:asciiTheme="majorHAnsi" w:hAnsiTheme="majorHAnsi" w:cstheme="majorHAnsi"/>
          <w:b/>
          <w:i/>
          <w:sz w:val="24"/>
          <w:szCs w:val="24"/>
          <w:lang w:val="ro-MD"/>
        </w:rPr>
        <w:t>3</w:t>
      </w:r>
    </w:p>
    <w:p w14:paraId="5960C510" w14:textId="7239A77D" w:rsidR="00B37661" w:rsidRPr="00B13B9A" w:rsidRDefault="001A16A0" w:rsidP="00B37661">
      <w:pPr>
        <w:spacing w:after="0" w:line="276" w:lineRule="auto"/>
        <w:jc w:val="center"/>
        <w:rPr>
          <w:rFonts w:asciiTheme="majorHAnsi" w:hAnsiTheme="majorHAnsi" w:cstheme="majorHAnsi"/>
          <w:b/>
          <w:i/>
          <w:sz w:val="24"/>
          <w:szCs w:val="24"/>
          <w:lang w:val="ro-MD"/>
        </w:rPr>
      </w:pPr>
      <w:r w:rsidRPr="001A16A0">
        <w:rPr>
          <w:rFonts w:asciiTheme="majorHAnsi" w:hAnsiTheme="majorHAnsi" w:cstheme="majorHAnsi"/>
          <w:b/>
          <w:i/>
          <w:sz w:val="24"/>
          <w:szCs w:val="24"/>
          <w:lang w:val="ro-MD"/>
        </w:rPr>
        <w:t>Информация о расходах на закупку продуктов питания, тыс. леев</w:t>
      </w:r>
    </w:p>
    <w:tbl>
      <w:tblPr>
        <w:tblStyle w:val="a3"/>
        <w:tblW w:w="0" w:type="auto"/>
        <w:tblInd w:w="-5" w:type="dxa"/>
        <w:tblLook w:val="04A0" w:firstRow="1" w:lastRow="0" w:firstColumn="1" w:lastColumn="0" w:noHBand="0" w:noVBand="1"/>
      </w:tblPr>
      <w:tblGrid>
        <w:gridCol w:w="1721"/>
        <w:gridCol w:w="2548"/>
        <w:gridCol w:w="1921"/>
        <w:gridCol w:w="1922"/>
        <w:gridCol w:w="1664"/>
      </w:tblGrid>
      <w:tr w:rsidR="00B37661" w:rsidRPr="00B13B9A" w14:paraId="1B671E1B" w14:textId="77777777" w:rsidTr="00553C24">
        <w:tc>
          <w:tcPr>
            <w:tcW w:w="1721" w:type="dxa"/>
            <w:shd w:val="clear" w:color="auto" w:fill="auto"/>
            <w:vAlign w:val="center"/>
          </w:tcPr>
          <w:p w14:paraId="7074D572" w14:textId="1AE40FC1" w:rsidR="00B37661" w:rsidRPr="001A16A0" w:rsidRDefault="001A16A0" w:rsidP="00553C24">
            <w:pPr>
              <w:pStyle w:val="a7"/>
              <w:spacing w:line="276" w:lineRule="auto"/>
              <w:ind w:left="0"/>
              <w:jc w:val="center"/>
              <w:rPr>
                <w:rFonts w:asciiTheme="majorHAnsi" w:hAnsiTheme="majorHAnsi" w:cstheme="majorHAnsi"/>
                <w:b/>
                <w:sz w:val="20"/>
                <w:szCs w:val="20"/>
                <w:lang w:val="ru-RU"/>
              </w:rPr>
            </w:pPr>
            <w:bookmarkStart w:id="44" w:name="_Hlk149299488"/>
            <w:r>
              <w:rPr>
                <w:rFonts w:asciiTheme="majorHAnsi" w:hAnsiTheme="majorHAnsi" w:cstheme="majorHAnsi"/>
                <w:b/>
                <w:sz w:val="20"/>
                <w:szCs w:val="20"/>
                <w:lang w:val="ru-RU"/>
              </w:rPr>
              <w:t>Год</w:t>
            </w:r>
          </w:p>
        </w:tc>
        <w:tc>
          <w:tcPr>
            <w:tcW w:w="2548" w:type="dxa"/>
            <w:shd w:val="clear" w:color="auto" w:fill="auto"/>
            <w:vAlign w:val="center"/>
          </w:tcPr>
          <w:p w14:paraId="4D2D6010" w14:textId="4CEA0327" w:rsidR="00B37661" w:rsidRPr="001A16A0" w:rsidRDefault="001A16A0" w:rsidP="00553C24">
            <w:pPr>
              <w:pStyle w:val="a7"/>
              <w:spacing w:line="276" w:lineRule="auto"/>
              <w:ind w:left="0"/>
              <w:jc w:val="center"/>
              <w:rPr>
                <w:rFonts w:asciiTheme="majorHAnsi" w:hAnsiTheme="majorHAnsi" w:cstheme="majorHAnsi"/>
                <w:b/>
                <w:sz w:val="20"/>
                <w:szCs w:val="20"/>
                <w:lang w:val="ru-RU"/>
              </w:rPr>
            </w:pPr>
            <w:r>
              <w:rPr>
                <w:rFonts w:asciiTheme="majorHAnsi" w:hAnsiTheme="majorHAnsi" w:cstheme="majorHAnsi"/>
                <w:b/>
                <w:sz w:val="20"/>
                <w:szCs w:val="20"/>
                <w:lang w:val="ru-RU"/>
              </w:rPr>
              <w:t>Запланированные расходы</w:t>
            </w:r>
          </w:p>
        </w:tc>
        <w:tc>
          <w:tcPr>
            <w:tcW w:w="1921" w:type="dxa"/>
            <w:shd w:val="clear" w:color="auto" w:fill="auto"/>
            <w:vAlign w:val="center"/>
          </w:tcPr>
          <w:p w14:paraId="60CB2425" w14:textId="73C8FF51" w:rsidR="00B37661" w:rsidRPr="001A16A0" w:rsidRDefault="001A16A0" w:rsidP="00553C24">
            <w:pPr>
              <w:pStyle w:val="a7"/>
              <w:spacing w:line="276" w:lineRule="auto"/>
              <w:ind w:left="0"/>
              <w:jc w:val="center"/>
              <w:rPr>
                <w:rFonts w:asciiTheme="majorHAnsi" w:hAnsiTheme="majorHAnsi" w:cstheme="majorHAnsi"/>
                <w:b/>
                <w:sz w:val="20"/>
                <w:szCs w:val="20"/>
                <w:lang w:val="ru-RU"/>
              </w:rPr>
            </w:pPr>
            <w:r>
              <w:rPr>
                <w:rFonts w:asciiTheme="majorHAnsi" w:hAnsiTheme="majorHAnsi" w:cstheme="majorHAnsi"/>
                <w:b/>
                <w:sz w:val="20"/>
                <w:szCs w:val="20"/>
                <w:lang w:val="ru-RU"/>
              </w:rPr>
              <w:t>Фактические расходы</w:t>
            </w:r>
          </w:p>
        </w:tc>
        <w:tc>
          <w:tcPr>
            <w:tcW w:w="1922" w:type="dxa"/>
            <w:shd w:val="clear" w:color="auto" w:fill="auto"/>
            <w:vAlign w:val="center"/>
          </w:tcPr>
          <w:p w14:paraId="6C369394" w14:textId="36FD8549" w:rsidR="00B37661" w:rsidRPr="001A16A0" w:rsidRDefault="001A16A0" w:rsidP="00553C24">
            <w:pPr>
              <w:pStyle w:val="a7"/>
              <w:spacing w:line="276" w:lineRule="auto"/>
              <w:ind w:left="0"/>
              <w:jc w:val="center"/>
              <w:rPr>
                <w:rFonts w:asciiTheme="majorHAnsi" w:hAnsiTheme="majorHAnsi" w:cstheme="majorHAnsi"/>
                <w:b/>
                <w:sz w:val="20"/>
                <w:szCs w:val="20"/>
                <w:lang w:val="ru-RU"/>
              </w:rPr>
            </w:pPr>
            <w:r>
              <w:rPr>
                <w:rFonts w:asciiTheme="majorHAnsi" w:hAnsiTheme="majorHAnsi" w:cstheme="majorHAnsi"/>
                <w:b/>
                <w:sz w:val="20"/>
                <w:szCs w:val="20"/>
                <w:lang w:val="ru-RU"/>
              </w:rPr>
              <w:t>Разница</w:t>
            </w:r>
          </w:p>
        </w:tc>
        <w:tc>
          <w:tcPr>
            <w:tcW w:w="1664" w:type="dxa"/>
            <w:shd w:val="clear" w:color="auto" w:fill="auto"/>
            <w:vAlign w:val="center"/>
          </w:tcPr>
          <w:p w14:paraId="04C88370" w14:textId="22131598" w:rsidR="00B37661" w:rsidRPr="001A16A0" w:rsidRDefault="00B37661" w:rsidP="001A16A0">
            <w:pPr>
              <w:pStyle w:val="a7"/>
              <w:spacing w:line="276" w:lineRule="auto"/>
              <w:ind w:left="0"/>
              <w:jc w:val="center"/>
              <w:rPr>
                <w:rFonts w:asciiTheme="majorHAnsi" w:hAnsiTheme="majorHAnsi" w:cstheme="majorHAnsi"/>
                <w:b/>
                <w:sz w:val="20"/>
                <w:szCs w:val="20"/>
                <w:lang w:val="ru-RU"/>
              </w:rPr>
            </w:pPr>
            <w:r w:rsidRPr="00B13B9A">
              <w:rPr>
                <w:rFonts w:asciiTheme="majorHAnsi" w:hAnsiTheme="majorHAnsi" w:cstheme="majorHAnsi"/>
                <w:b/>
                <w:sz w:val="20"/>
                <w:szCs w:val="20"/>
                <w:lang w:val="ro-MD"/>
              </w:rPr>
              <w:t xml:space="preserve">% </w:t>
            </w:r>
            <w:r w:rsidR="001A16A0">
              <w:rPr>
                <w:rFonts w:asciiTheme="majorHAnsi" w:hAnsiTheme="majorHAnsi" w:cstheme="majorHAnsi"/>
                <w:b/>
                <w:sz w:val="20"/>
                <w:szCs w:val="20"/>
                <w:lang w:val="ru-RU"/>
              </w:rPr>
              <w:t>выполнения плана</w:t>
            </w:r>
          </w:p>
        </w:tc>
      </w:tr>
      <w:tr w:rsidR="00B37661" w:rsidRPr="00B13B9A" w14:paraId="13AA71AF" w14:textId="77777777" w:rsidTr="00553C24">
        <w:tc>
          <w:tcPr>
            <w:tcW w:w="1721" w:type="dxa"/>
            <w:shd w:val="clear" w:color="auto" w:fill="auto"/>
          </w:tcPr>
          <w:p w14:paraId="5DFAB10C" w14:textId="77777777" w:rsidR="00B37661" w:rsidRPr="00B13B9A" w:rsidRDefault="00B37661" w:rsidP="00553C24">
            <w:pPr>
              <w:pStyle w:val="a7"/>
              <w:spacing w:line="276" w:lineRule="auto"/>
              <w:ind w:left="0"/>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2021</w:t>
            </w:r>
          </w:p>
        </w:tc>
        <w:tc>
          <w:tcPr>
            <w:tcW w:w="2548" w:type="dxa"/>
            <w:shd w:val="clear" w:color="auto" w:fill="auto"/>
          </w:tcPr>
          <w:p w14:paraId="7566FEE2" w14:textId="77777777" w:rsidR="00B37661" w:rsidRPr="00B13B9A" w:rsidRDefault="00B37661" w:rsidP="00553C24">
            <w:pPr>
              <w:pStyle w:val="a7"/>
              <w:spacing w:line="276" w:lineRule="auto"/>
              <w:ind w:left="0"/>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5 347,1</w:t>
            </w:r>
          </w:p>
        </w:tc>
        <w:tc>
          <w:tcPr>
            <w:tcW w:w="1921" w:type="dxa"/>
            <w:shd w:val="clear" w:color="auto" w:fill="auto"/>
          </w:tcPr>
          <w:p w14:paraId="0B4D2907" w14:textId="77777777" w:rsidR="00B37661" w:rsidRPr="00B13B9A" w:rsidRDefault="00B37661" w:rsidP="00553C24">
            <w:pPr>
              <w:pStyle w:val="a7"/>
              <w:spacing w:line="276" w:lineRule="auto"/>
              <w:ind w:left="0"/>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3 485,9</w:t>
            </w:r>
          </w:p>
        </w:tc>
        <w:tc>
          <w:tcPr>
            <w:tcW w:w="1922" w:type="dxa"/>
            <w:shd w:val="clear" w:color="auto" w:fill="auto"/>
          </w:tcPr>
          <w:p w14:paraId="2A2BAE03" w14:textId="77777777" w:rsidR="00B37661" w:rsidRPr="00B13B9A" w:rsidRDefault="00B37661" w:rsidP="00553C24">
            <w:pPr>
              <w:pStyle w:val="a7"/>
              <w:spacing w:line="276" w:lineRule="auto"/>
              <w:ind w:left="0"/>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1 861,2</w:t>
            </w:r>
          </w:p>
        </w:tc>
        <w:tc>
          <w:tcPr>
            <w:tcW w:w="1664" w:type="dxa"/>
            <w:shd w:val="clear" w:color="auto" w:fill="auto"/>
          </w:tcPr>
          <w:p w14:paraId="68BF72F8" w14:textId="77777777" w:rsidR="00B37661" w:rsidRPr="00B13B9A" w:rsidRDefault="00B37661" w:rsidP="00553C24">
            <w:pPr>
              <w:pStyle w:val="a7"/>
              <w:spacing w:line="276" w:lineRule="auto"/>
              <w:ind w:left="0"/>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65,2</w:t>
            </w:r>
          </w:p>
        </w:tc>
      </w:tr>
      <w:tr w:rsidR="00B37661" w:rsidRPr="00B13B9A" w14:paraId="2C027C4F" w14:textId="77777777" w:rsidTr="00553C24">
        <w:tc>
          <w:tcPr>
            <w:tcW w:w="1721" w:type="dxa"/>
          </w:tcPr>
          <w:p w14:paraId="0CD7F509" w14:textId="77777777" w:rsidR="00B37661" w:rsidRPr="00B13B9A" w:rsidRDefault="00B37661" w:rsidP="00553C24">
            <w:pPr>
              <w:pStyle w:val="a7"/>
              <w:spacing w:line="276" w:lineRule="auto"/>
              <w:ind w:left="0"/>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2022</w:t>
            </w:r>
          </w:p>
        </w:tc>
        <w:tc>
          <w:tcPr>
            <w:tcW w:w="2548" w:type="dxa"/>
          </w:tcPr>
          <w:p w14:paraId="53DFFF0F" w14:textId="77777777" w:rsidR="00B37661" w:rsidRPr="00B13B9A" w:rsidRDefault="00B37661" w:rsidP="00553C24">
            <w:pPr>
              <w:pStyle w:val="a7"/>
              <w:spacing w:line="276" w:lineRule="auto"/>
              <w:ind w:left="0"/>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5 622,5</w:t>
            </w:r>
          </w:p>
        </w:tc>
        <w:tc>
          <w:tcPr>
            <w:tcW w:w="1921" w:type="dxa"/>
          </w:tcPr>
          <w:p w14:paraId="5348C368" w14:textId="77777777" w:rsidR="00B37661" w:rsidRPr="00B13B9A" w:rsidRDefault="00B37661" w:rsidP="00553C24">
            <w:pPr>
              <w:pStyle w:val="a7"/>
              <w:spacing w:line="276" w:lineRule="auto"/>
              <w:ind w:left="0"/>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4 661,7</w:t>
            </w:r>
          </w:p>
        </w:tc>
        <w:tc>
          <w:tcPr>
            <w:tcW w:w="1922" w:type="dxa"/>
          </w:tcPr>
          <w:p w14:paraId="297D4845" w14:textId="77777777" w:rsidR="00B37661" w:rsidRPr="00B13B9A" w:rsidRDefault="00B37661" w:rsidP="00553C24">
            <w:pPr>
              <w:pStyle w:val="a7"/>
              <w:spacing w:line="276" w:lineRule="auto"/>
              <w:ind w:left="0"/>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960,8</w:t>
            </w:r>
          </w:p>
        </w:tc>
        <w:tc>
          <w:tcPr>
            <w:tcW w:w="1664" w:type="dxa"/>
          </w:tcPr>
          <w:p w14:paraId="464A5097" w14:textId="77777777" w:rsidR="00B37661" w:rsidRPr="00B13B9A" w:rsidRDefault="00B37661" w:rsidP="00553C24">
            <w:pPr>
              <w:pStyle w:val="a7"/>
              <w:spacing w:line="276" w:lineRule="auto"/>
              <w:ind w:left="0"/>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82,9</w:t>
            </w:r>
          </w:p>
        </w:tc>
      </w:tr>
      <w:tr w:rsidR="00B37661" w:rsidRPr="00B13B9A" w14:paraId="22F96641" w14:textId="77777777" w:rsidTr="00553C24">
        <w:tc>
          <w:tcPr>
            <w:tcW w:w="1721" w:type="dxa"/>
          </w:tcPr>
          <w:p w14:paraId="7667B92A" w14:textId="77777777" w:rsidR="00B37661" w:rsidRPr="00B13B9A" w:rsidRDefault="00B37661" w:rsidP="00553C24">
            <w:pPr>
              <w:pStyle w:val="a7"/>
              <w:spacing w:line="276" w:lineRule="auto"/>
              <w:ind w:left="0"/>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2023</w:t>
            </w:r>
          </w:p>
        </w:tc>
        <w:tc>
          <w:tcPr>
            <w:tcW w:w="2548" w:type="dxa"/>
          </w:tcPr>
          <w:p w14:paraId="043771A1" w14:textId="77777777" w:rsidR="00B37661" w:rsidRPr="00B13B9A" w:rsidRDefault="00B37661" w:rsidP="00553C24">
            <w:pPr>
              <w:pStyle w:val="a7"/>
              <w:spacing w:line="276" w:lineRule="auto"/>
              <w:ind w:left="0"/>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6 657,6</w:t>
            </w:r>
          </w:p>
        </w:tc>
        <w:tc>
          <w:tcPr>
            <w:tcW w:w="1921" w:type="dxa"/>
          </w:tcPr>
          <w:p w14:paraId="5E0EDA38" w14:textId="77777777" w:rsidR="00B37661" w:rsidRPr="00B13B9A" w:rsidRDefault="00F67D49" w:rsidP="00553C24">
            <w:pPr>
              <w:pStyle w:val="a7"/>
              <w:spacing w:line="276" w:lineRule="auto"/>
              <w:ind w:left="0"/>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2 888,7</w:t>
            </w:r>
            <w:r w:rsidRPr="00B13B9A">
              <w:rPr>
                <w:rStyle w:val="a9"/>
                <w:rFonts w:asciiTheme="majorHAnsi" w:hAnsiTheme="majorHAnsi" w:cstheme="majorHAnsi"/>
                <w:szCs w:val="20"/>
                <w:lang w:val="ro-MD"/>
              </w:rPr>
              <w:footnoteReference w:id="70"/>
            </w:r>
          </w:p>
        </w:tc>
        <w:tc>
          <w:tcPr>
            <w:tcW w:w="1922" w:type="dxa"/>
          </w:tcPr>
          <w:p w14:paraId="7AD6810A" w14:textId="77777777" w:rsidR="00B37661" w:rsidRPr="00B13B9A" w:rsidRDefault="00B37661" w:rsidP="00553C24">
            <w:pPr>
              <w:pStyle w:val="a7"/>
              <w:spacing w:line="276" w:lineRule="auto"/>
              <w:ind w:left="0"/>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x</w:t>
            </w:r>
          </w:p>
        </w:tc>
        <w:tc>
          <w:tcPr>
            <w:tcW w:w="1664" w:type="dxa"/>
          </w:tcPr>
          <w:p w14:paraId="12214FA7" w14:textId="77777777" w:rsidR="00B37661" w:rsidRPr="00B13B9A" w:rsidRDefault="00B37661" w:rsidP="00553C24">
            <w:pPr>
              <w:pStyle w:val="a7"/>
              <w:spacing w:line="276" w:lineRule="auto"/>
              <w:ind w:left="0"/>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x</w:t>
            </w:r>
          </w:p>
        </w:tc>
      </w:tr>
    </w:tbl>
    <w:bookmarkEnd w:id="44"/>
    <w:p w14:paraId="54D48203" w14:textId="1674D445" w:rsidR="00B37661" w:rsidRPr="00B13B9A" w:rsidRDefault="00FE6601" w:rsidP="00FA1633">
      <w:pPr>
        <w:pStyle w:val="a7"/>
        <w:spacing w:line="276" w:lineRule="auto"/>
        <w:ind w:left="0"/>
        <w:rPr>
          <w:rFonts w:asciiTheme="majorHAnsi" w:hAnsiTheme="majorHAnsi" w:cstheme="majorHAnsi"/>
          <w:i/>
          <w:sz w:val="20"/>
          <w:szCs w:val="20"/>
          <w:lang w:val="ro-MD"/>
        </w:rPr>
      </w:pPr>
      <w:r>
        <w:rPr>
          <w:rFonts w:asciiTheme="majorHAnsi" w:hAnsiTheme="majorHAnsi" w:cstheme="majorHAnsi"/>
          <w:b/>
          <w:i/>
          <w:sz w:val="20"/>
          <w:szCs w:val="20"/>
          <w:lang w:val="ro-MD"/>
        </w:rPr>
        <w:t>Источник</w:t>
      </w:r>
      <w:r w:rsidR="00B37661" w:rsidRPr="00B13B9A">
        <w:rPr>
          <w:rFonts w:asciiTheme="majorHAnsi" w:hAnsiTheme="majorHAnsi" w:cstheme="majorHAnsi"/>
          <w:i/>
          <w:sz w:val="20"/>
          <w:szCs w:val="20"/>
          <w:lang w:val="ro-MD"/>
        </w:rPr>
        <w:t xml:space="preserve">: </w:t>
      </w:r>
      <w:r w:rsidR="001A16A0" w:rsidRPr="001A16A0">
        <w:rPr>
          <w:rFonts w:asciiTheme="majorHAnsi" w:hAnsiTheme="majorHAnsi" w:cstheme="majorHAnsi"/>
          <w:i/>
          <w:sz w:val="20"/>
          <w:szCs w:val="20"/>
          <w:lang w:val="ro-MD"/>
        </w:rPr>
        <w:t>Данные бухгалтерского учета в рамках ПМСУ ИФП</w:t>
      </w:r>
      <w:r w:rsidR="00F431A2" w:rsidRPr="00B13B9A">
        <w:rPr>
          <w:rFonts w:asciiTheme="majorHAnsi" w:hAnsiTheme="majorHAnsi" w:cstheme="majorHAnsi"/>
          <w:i/>
          <w:color w:val="000000" w:themeColor="text1"/>
          <w:sz w:val="20"/>
          <w:szCs w:val="20"/>
          <w:lang w:val="ro-MD"/>
        </w:rPr>
        <w:t xml:space="preserve"> </w:t>
      </w:r>
      <w:r w:rsidR="001924A7">
        <w:rPr>
          <w:rFonts w:asciiTheme="majorHAnsi" w:hAnsiTheme="majorHAnsi" w:cstheme="majorHAnsi"/>
          <w:i/>
          <w:sz w:val="20"/>
          <w:szCs w:val="20"/>
          <w:lang w:val="ro-MD"/>
        </w:rPr>
        <w:t>«Кирилл Драганюк”</w:t>
      </w:r>
      <w:r w:rsidR="004C53A1" w:rsidRPr="00B13B9A">
        <w:rPr>
          <w:rFonts w:asciiTheme="majorHAnsi" w:hAnsiTheme="majorHAnsi" w:cstheme="majorHAnsi"/>
          <w:i/>
          <w:sz w:val="20"/>
          <w:szCs w:val="20"/>
          <w:lang w:val="ro-MD"/>
        </w:rPr>
        <w:t>.</w:t>
      </w:r>
    </w:p>
    <w:p w14:paraId="3E6CDCF6" w14:textId="73DDFEA2" w:rsidR="005225D5" w:rsidRPr="00B13B9A" w:rsidRDefault="00FA1633" w:rsidP="00FA1633">
      <w:pPr>
        <w:jc w:val="both"/>
        <w:rPr>
          <w:rFonts w:asciiTheme="majorHAnsi" w:hAnsiTheme="majorHAnsi" w:cstheme="majorHAnsi"/>
          <w:color w:val="000000" w:themeColor="text1"/>
          <w:sz w:val="24"/>
          <w:lang w:val="ro-MD"/>
        </w:rPr>
      </w:pPr>
      <w:r w:rsidRPr="00FA1633">
        <w:rPr>
          <w:rFonts w:asciiTheme="majorHAnsi" w:hAnsiTheme="majorHAnsi" w:cstheme="majorHAnsi"/>
          <w:color w:val="000000" w:themeColor="text1"/>
          <w:sz w:val="24"/>
          <w:lang w:val="ro-MD"/>
        </w:rPr>
        <w:t>В</w:t>
      </w:r>
      <w:r w:rsidRPr="001A16A0">
        <w:rPr>
          <w:rFonts w:asciiTheme="majorHAnsi" w:hAnsiTheme="majorHAnsi" w:cstheme="majorHAnsi"/>
          <w:color w:val="000000" w:themeColor="text1"/>
          <w:sz w:val="24"/>
          <w:lang w:val="ro-MD"/>
        </w:rPr>
        <w:t xml:space="preserve">ыявленные </w:t>
      </w:r>
      <w:r w:rsidRPr="00FA1633">
        <w:rPr>
          <w:rFonts w:asciiTheme="majorHAnsi" w:hAnsiTheme="majorHAnsi" w:cstheme="majorHAnsi"/>
          <w:color w:val="000000" w:themeColor="text1"/>
          <w:sz w:val="24"/>
          <w:lang w:val="ro-MD"/>
        </w:rPr>
        <w:t>р</w:t>
      </w:r>
      <w:r w:rsidR="001A16A0" w:rsidRPr="001A16A0">
        <w:rPr>
          <w:rFonts w:asciiTheme="majorHAnsi" w:hAnsiTheme="majorHAnsi" w:cstheme="majorHAnsi"/>
          <w:color w:val="000000" w:themeColor="text1"/>
          <w:sz w:val="24"/>
          <w:lang w:val="ro-MD"/>
        </w:rPr>
        <w:t xml:space="preserve">асхождения </w:t>
      </w:r>
      <w:r w:rsidRPr="00FA1633">
        <w:rPr>
          <w:rFonts w:asciiTheme="majorHAnsi" w:hAnsiTheme="majorHAnsi" w:cstheme="majorHAnsi"/>
          <w:color w:val="000000" w:themeColor="text1"/>
          <w:sz w:val="24"/>
          <w:lang w:val="ro-MD"/>
        </w:rPr>
        <w:t>з</w:t>
      </w:r>
      <w:r w:rsidR="001A16A0" w:rsidRPr="001A16A0">
        <w:rPr>
          <w:rFonts w:asciiTheme="majorHAnsi" w:hAnsiTheme="majorHAnsi" w:cstheme="majorHAnsi"/>
          <w:color w:val="000000" w:themeColor="text1"/>
          <w:sz w:val="24"/>
          <w:lang w:val="ro-MD"/>
        </w:rPr>
        <w:t>а 2021 год в размере 1 861,2 тыс. леев</w:t>
      </w:r>
      <w:r w:rsidRPr="00FA1633">
        <w:rPr>
          <w:rFonts w:asciiTheme="majorHAnsi" w:hAnsiTheme="majorHAnsi" w:cstheme="majorHAnsi"/>
          <w:color w:val="000000" w:themeColor="text1"/>
          <w:sz w:val="24"/>
          <w:lang w:val="ro-MD"/>
        </w:rPr>
        <w:t>,</w:t>
      </w:r>
      <w:r w:rsidR="001A16A0" w:rsidRPr="001A16A0">
        <w:rPr>
          <w:rFonts w:asciiTheme="majorHAnsi" w:hAnsiTheme="majorHAnsi" w:cstheme="majorHAnsi"/>
          <w:color w:val="000000" w:themeColor="text1"/>
          <w:sz w:val="24"/>
          <w:lang w:val="ro-MD"/>
        </w:rPr>
        <w:t xml:space="preserve"> и</w:t>
      </w:r>
      <w:r w:rsidRPr="00FA1633">
        <w:rPr>
          <w:rFonts w:asciiTheme="majorHAnsi" w:hAnsiTheme="majorHAnsi" w:cstheme="majorHAnsi"/>
          <w:color w:val="000000" w:themeColor="text1"/>
          <w:sz w:val="24"/>
          <w:lang w:val="ro-MD"/>
        </w:rPr>
        <w:t>,</w:t>
      </w:r>
      <w:r w:rsidR="001A16A0" w:rsidRPr="001A16A0">
        <w:rPr>
          <w:rFonts w:asciiTheme="majorHAnsi" w:hAnsiTheme="majorHAnsi" w:cstheme="majorHAnsi"/>
          <w:color w:val="000000" w:themeColor="text1"/>
          <w:sz w:val="24"/>
          <w:lang w:val="ro-MD"/>
        </w:rPr>
        <w:t xml:space="preserve"> </w:t>
      </w:r>
      <w:r w:rsidRPr="001A16A0">
        <w:rPr>
          <w:rFonts w:asciiTheme="majorHAnsi" w:hAnsiTheme="majorHAnsi" w:cstheme="majorHAnsi"/>
          <w:color w:val="000000" w:themeColor="text1"/>
          <w:sz w:val="24"/>
          <w:lang w:val="ro-MD"/>
        </w:rPr>
        <w:t>соответственно</w:t>
      </w:r>
      <w:r w:rsidRPr="00FA1633">
        <w:rPr>
          <w:rFonts w:asciiTheme="majorHAnsi" w:hAnsiTheme="majorHAnsi" w:cstheme="majorHAnsi"/>
          <w:color w:val="000000" w:themeColor="text1"/>
          <w:sz w:val="24"/>
          <w:lang w:val="ro-MD"/>
        </w:rPr>
        <w:t>, з</w:t>
      </w:r>
      <w:r w:rsidR="001A16A0" w:rsidRPr="001A16A0">
        <w:rPr>
          <w:rFonts w:asciiTheme="majorHAnsi" w:hAnsiTheme="majorHAnsi" w:cstheme="majorHAnsi"/>
          <w:color w:val="000000" w:themeColor="text1"/>
          <w:sz w:val="24"/>
          <w:lang w:val="ro-MD"/>
        </w:rPr>
        <w:t xml:space="preserve">а 2022 год в размере 960,8 тыс. леев, между </w:t>
      </w:r>
      <w:r w:rsidRPr="001A16A0">
        <w:rPr>
          <w:rFonts w:asciiTheme="majorHAnsi" w:hAnsiTheme="majorHAnsi" w:cstheme="majorHAnsi"/>
          <w:color w:val="000000" w:themeColor="text1"/>
          <w:sz w:val="24"/>
          <w:lang w:val="ro-MD"/>
        </w:rPr>
        <w:t xml:space="preserve">запланированными </w:t>
      </w:r>
      <w:r w:rsidR="001A16A0" w:rsidRPr="001A16A0">
        <w:rPr>
          <w:rFonts w:asciiTheme="majorHAnsi" w:hAnsiTheme="majorHAnsi" w:cstheme="majorHAnsi"/>
          <w:color w:val="000000" w:themeColor="text1"/>
          <w:sz w:val="24"/>
          <w:lang w:val="ro-MD"/>
        </w:rPr>
        <w:t xml:space="preserve">суммами на </w:t>
      </w:r>
      <w:r w:rsidR="008E0341" w:rsidRPr="008E0341">
        <w:rPr>
          <w:rFonts w:asciiTheme="majorHAnsi" w:hAnsiTheme="majorHAnsi" w:cstheme="majorHAnsi"/>
          <w:color w:val="000000" w:themeColor="text1"/>
          <w:sz w:val="24"/>
          <w:lang w:val="ro-MD"/>
        </w:rPr>
        <w:t>за</w:t>
      </w:r>
      <w:r w:rsidR="001A16A0" w:rsidRPr="001A16A0">
        <w:rPr>
          <w:rFonts w:asciiTheme="majorHAnsi" w:hAnsiTheme="majorHAnsi" w:cstheme="majorHAnsi"/>
          <w:color w:val="000000" w:themeColor="text1"/>
          <w:sz w:val="24"/>
          <w:lang w:val="ro-MD"/>
        </w:rPr>
        <w:t xml:space="preserve">купку продуктов питания, и фактическими расходами на их закупку, </w:t>
      </w:r>
      <w:r w:rsidR="008E0341" w:rsidRPr="008E0341">
        <w:rPr>
          <w:rFonts w:asciiTheme="majorHAnsi" w:hAnsiTheme="majorHAnsi" w:cstheme="majorHAnsi"/>
          <w:color w:val="000000" w:themeColor="text1"/>
          <w:sz w:val="24"/>
          <w:lang w:val="ro-MD"/>
        </w:rPr>
        <w:t>указыва</w:t>
      </w:r>
      <w:r w:rsidR="001A16A0" w:rsidRPr="001A16A0">
        <w:rPr>
          <w:rFonts w:asciiTheme="majorHAnsi" w:hAnsiTheme="majorHAnsi" w:cstheme="majorHAnsi"/>
          <w:color w:val="000000" w:themeColor="text1"/>
          <w:sz w:val="24"/>
          <w:lang w:val="ro-MD"/>
        </w:rPr>
        <w:t xml:space="preserve">ют </w:t>
      </w:r>
      <w:r w:rsidR="008E0341" w:rsidRPr="008E0341">
        <w:rPr>
          <w:rFonts w:asciiTheme="majorHAnsi" w:hAnsiTheme="majorHAnsi" w:cstheme="majorHAnsi"/>
          <w:color w:val="000000" w:themeColor="text1"/>
          <w:sz w:val="24"/>
          <w:lang w:val="ro-MD"/>
        </w:rPr>
        <w:t xml:space="preserve">на </w:t>
      </w:r>
      <w:r w:rsidR="001A16A0" w:rsidRPr="001A16A0">
        <w:rPr>
          <w:rFonts w:asciiTheme="majorHAnsi" w:hAnsiTheme="majorHAnsi" w:cstheme="majorHAnsi"/>
          <w:color w:val="000000" w:themeColor="text1"/>
          <w:sz w:val="24"/>
          <w:lang w:val="ro-MD"/>
        </w:rPr>
        <w:t>неэффективное планирование потребност</w:t>
      </w:r>
      <w:r w:rsidR="008E0341" w:rsidRPr="008E0341">
        <w:rPr>
          <w:rFonts w:asciiTheme="majorHAnsi" w:hAnsiTheme="majorHAnsi" w:cstheme="majorHAnsi"/>
          <w:color w:val="000000" w:themeColor="text1"/>
          <w:sz w:val="24"/>
          <w:lang w:val="ro-MD"/>
        </w:rPr>
        <w:t>ей</w:t>
      </w:r>
      <w:r w:rsidR="001A16A0" w:rsidRPr="001A16A0">
        <w:rPr>
          <w:rFonts w:asciiTheme="majorHAnsi" w:hAnsiTheme="majorHAnsi" w:cstheme="majorHAnsi"/>
          <w:color w:val="000000" w:themeColor="text1"/>
          <w:sz w:val="24"/>
          <w:lang w:val="ro-MD"/>
        </w:rPr>
        <w:t xml:space="preserve"> в продуктах питания </w:t>
      </w:r>
      <w:r w:rsidR="008E0341">
        <w:rPr>
          <w:rFonts w:asciiTheme="majorHAnsi" w:hAnsiTheme="majorHAnsi" w:cstheme="majorHAnsi"/>
          <w:color w:val="000000" w:themeColor="text1"/>
          <w:sz w:val="24"/>
          <w:lang w:val="ru-RU"/>
        </w:rPr>
        <w:t xml:space="preserve">для </w:t>
      </w:r>
      <w:r w:rsidR="001A16A0" w:rsidRPr="001A16A0">
        <w:rPr>
          <w:rFonts w:asciiTheme="majorHAnsi" w:hAnsiTheme="majorHAnsi" w:cstheme="majorHAnsi"/>
          <w:color w:val="000000" w:themeColor="text1"/>
          <w:sz w:val="24"/>
          <w:lang w:val="ro-MD"/>
        </w:rPr>
        <w:t>пациентов</w:t>
      </w:r>
      <w:r w:rsidR="00B37661" w:rsidRPr="00B13B9A">
        <w:rPr>
          <w:rFonts w:asciiTheme="majorHAnsi" w:hAnsiTheme="majorHAnsi" w:cstheme="majorHAnsi"/>
          <w:color w:val="000000" w:themeColor="text1"/>
          <w:sz w:val="24"/>
          <w:lang w:val="ro-MD"/>
        </w:rPr>
        <w:t xml:space="preserve">. </w:t>
      </w:r>
    </w:p>
    <w:p w14:paraId="778C81FB" w14:textId="70F3A9C5" w:rsidR="00B37661" w:rsidRPr="00B13B9A" w:rsidRDefault="001A16A0" w:rsidP="00B37661">
      <w:pPr>
        <w:jc w:val="both"/>
        <w:rPr>
          <w:rFonts w:asciiTheme="majorHAnsi" w:hAnsiTheme="majorHAnsi" w:cstheme="majorHAnsi"/>
          <w:sz w:val="24"/>
          <w:szCs w:val="24"/>
          <w:lang w:val="ro-MD"/>
        </w:rPr>
      </w:pPr>
      <w:r w:rsidRPr="001A16A0">
        <w:rPr>
          <w:rFonts w:asciiTheme="majorHAnsi" w:hAnsiTheme="majorHAnsi" w:cstheme="majorHAnsi"/>
          <w:color w:val="000000" w:themeColor="text1"/>
          <w:sz w:val="24"/>
          <w:lang w:val="ro-MD"/>
        </w:rPr>
        <w:t xml:space="preserve">Так, </w:t>
      </w:r>
      <w:r w:rsidR="008E0341">
        <w:rPr>
          <w:rFonts w:asciiTheme="majorHAnsi" w:hAnsiTheme="majorHAnsi" w:cstheme="majorHAnsi"/>
          <w:color w:val="000000" w:themeColor="text1"/>
          <w:sz w:val="24"/>
          <w:lang w:val="ru-RU"/>
        </w:rPr>
        <w:t>согласно объяснения</w:t>
      </w:r>
      <w:r w:rsidRPr="001A16A0">
        <w:rPr>
          <w:rFonts w:asciiTheme="majorHAnsi" w:hAnsiTheme="majorHAnsi" w:cstheme="majorHAnsi"/>
          <w:color w:val="000000" w:themeColor="text1"/>
          <w:sz w:val="24"/>
          <w:lang w:val="ro-MD"/>
        </w:rPr>
        <w:t xml:space="preserve">м </w:t>
      </w:r>
      <w:r w:rsidR="008E0341">
        <w:rPr>
          <w:rFonts w:asciiTheme="majorHAnsi" w:hAnsiTheme="majorHAnsi" w:cstheme="majorHAnsi"/>
          <w:color w:val="000000" w:themeColor="text1"/>
          <w:sz w:val="24"/>
          <w:lang w:val="ru-RU"/>
        </w:rPr>
        <w:t>субъекта</w:t>
      </w:r>
      <w:r w:rsidRPr="001A16A0">
        <w:rPr>
          <w:rFonts w:asciiTheme="majorHAnsi" w:hAnsiTheme="majorHAnsi" w:cstheme="majorHAnsi"/>
          <w:color w:val="000000" w:themeColor="text1"/>
          <w:sz w:val="24"/>
          <w:lang w:val="ro-MD"/>
        </w:rPr>
        <w:t xml:space="preserve">, потребности разрабатываются в соответствии с максимальным количеством существующих коек – 310, в том числе для клиники Ворничень – 60 коек, </w:t>
      </w:r>
      <w:r w:rsidR="008E0341">
        <w:rPr>
          <w:rFonts w:asciiTheme="majorHAnsi" w:hAnsiTheme="majorHAnsi" w:cstheme="majorHAnsi"/>
          <w:color w:val="000000" w:themeColor="text1"/>
          <w:sz w:val="24"/>
          <w:lang w:val="ru-RU"/>
        </w:rPr>
        <w:t>и</w:t>
      </w:r>
      <w:r w:rsidRPr="001A16A0">
        <w:rPr>
          <w:rFonts w:asciiTheme="majorHAnsi" w:hAnsiTheme="majorHAnsi" w:cstheme="majorHAnsi"/>
          <w:color w:val="000000" w:themeColor="text1"/>
          <w:sz w:val="24"/>
          <w:lang w:val="ro-MD"/>
        </w:rPr>
        <w:t xml:space="preserve"> Кишиневской клиники – 250 коек. </w:t>
      </w:r>
      <w:r w:rsidR="008E0341">
        <w:rPr>
          <w:rFonts w:asciiTheme="majorHAnsi" w:hAnsiTheme="majorHAnsi" w:cstheme="majorHAnsi"/>
          <w:color w:val="000000" w:themeColor="text1"/>
          <w:sz w:val="24"/>
          <w:lang w:val="ru-RU"/>
        </w:rPr>
        <w:t>У</w:t>
      </w:r>
      <w:r w:rsidRPr="001A16A0">
        <w:rPr>
          <w:rFonts w:asciiTheme="majorHAnsi" w:hAnsiTheme="majorHAnsi" w:cstheme="majorHAnsi"/>
          <w:color w:val="000000" w:themeColor="text1"/>
          <w:sz w:val="24"/>
          <w:lang w:val="ro-MD"/>
        </w:rPr>
        <w:t xml:space="preserve">точняем, что среднее число </w:t>
      </w:r>
      <w:r w:rsidR="008E0341">
        <w:rPr>
          <w:rFonts w:asciiTheme="majorHAnsi" w:hAnsiTheme="majorHAnsi" w:cstheme="majorHAnsi"/>
          <w:color w:val="000000" w:themeColor="text1"/>
          <w:sz w:val="24"/>
          <w:lang w:val="ru-RU"/>
        </w:rPr>
        <w:t xml:space="preserve">госпитализированных </w:t>
      </w:r>
      <w:r w:rsidRPr="001A16A0">
        <w:rPr>
          <w:rFonts w:asciiTheme="majorHAnsi" w:hAnsiTheme="majorHAnsi" w:cstheme="majorHAnsi"/>
          <w:color w:val="000000" w:themeColor="text1"/>
          <w:sz w:val="24"/>
          <w:lang w:val="ro-MD"/>
        </w:rPr>
        <w:t xml:space="preserve">пациентов </w:t>
      </w:r>
      <w:r w:rsidR="008E0341">
        <w:rPr>
          <w:rFonts w:asciiTheme="majorHAnsi" w:hAnsiTheme="majorHAnsi" w:cstheme="majorHAnsi"/>
          <w:color w:val="000000" w:themeColor="text1"/>
          <w:sz w:val="24"/>
          <w:lang w:val="ru-RU"/>
        </w:rPr>
        <w:t>на протяжении</w:t>
      </w:r>
      <w:r w:rsidRPr="001A16A0">
        <w:rPr>
          <w:rFonts w:asciiTheme="majorHAnsi" w:hAnsiTheme="majorHAnsi" w:cstheme="majorHAnsi"/>
          <w:color w:val="000000" w:themeColor="text1"/>
          <w:sz w:val="24"/>
          <w:lang w:val="ro-MD"/>
        </w:rPr>
        <w:t xml:space="preserve"> 2021-2022 годов составило 232 пациента</w:t>
      </w:r>
      <w:r w:rsidR="008E0341">
        <w:rPr>
          <w:rFonts w:asciiTheme="majorHAnsi" w:hAnsiTheme="majorHAnsi" w:cstheme="majorHAnsi"/>
          <w:color w:val="000000" w:themeColor="text1"/>
          <w:sz w:val="24"/>
          <w:lang w:val="ru-RU"/>
        </w:rPr>
        <w:t>,</w:t>
      </w:r>
      <w:r w:rsidRPr="001A16A0">
        <w:rPr>
          <w:rFonts w:asciiTheme="majorHAnsi" w:hAnsiTheme="majorHAnsi" w:cstheme="majorHAnsi"/>
          <w:color w:val="000000" w:themeColor="text1"/>
          <w:sz w:val="24"/>
          <w:lang w:val="ro-MD"/>
        </w:rPr>
        <w:t xml:space="preserve"> для обеих клиник, а фактическое количество </w:t>
      </w:r>
      <w:r w:rsidR="008E0341">
        <w:rPr>
          <w:rFonts w:asciiTheme="majorHAnsi" w:hAnsiTheme="majorHAnsi" w:cstheme="majorHAnsi"/>
          <w:color w:val="000000" w:themeColor="text1"/>
          <w:sz w:val="24"/>
          <w:lang w:val="ru-RU"/>
        </w:rPr>
        <w:t>койко/</w:t>
      </w:r>
      <w:r w:rsidRPr="001A16A0">
        <w:rPr>
          <w:rFonts w:asciiTheme="majorHAnsi" w:hAnsiTheme="majorHAnsi" w:cstheme="majorHAnsi"/>
          <w:color w:val="000000" w:themeColor="text1"/>
          <w:sz w:val="24"/>
          <w:lang w:val="ro-MD"/>
        </w:rPr>
        <w:t xml:space="preserve">дней сократилось с 91 975 в 2021 году до 89 843 в 2022 году. В то же время, хотя количество </w:t>
      </w:r>
      <w:r w:rsidR="008E0341">
        <w:rPr>
          <w:rFonts w:asciiTheme="majorHAnsi" w:hAnsiTheme="majorHAnsi" w:cstheme="majorHAnsi"/>
          <w:color w:val="000000" w:themeColor="text1"/>
          <w:sz w:val="24"/>
          <w:lang w:val="ru-RU"/>
        </w:rPr>
        <w:t>койко/</w:t>
      </w:r>
      <w:r w:rsidR="008E0341" w:rsidRPr="001A16A0">
        <w:rPr>
          <w:rFonts w:asciiTheme="majorHAnsi" w:hAnsiTheme="majorHAnsi" w:cstheme="majorHAnsi"/>
          <w:color w:val="000000" w:themeColor="text1"/>
          <w:sz w:val="24"/>
          <w:lang w:val="ro-MD"/>
        </w:rPr>
        <w:t>дней</w:t>
      </w:r>
      <w:r w:rsidRPr="001A16A0">
        <w:rPr>
          <w:rFonts w:asciiTheme="majorHAnsi" w:hAnsiTheme="majorHAnsi" w:cstheme="majorHAnsi"/>
          <w:color w:val="000000" w:themeColor="text1"/>
          <w:sz w:val="24"/>
          <w:lang w:val="ro-MD"/>
        </w:rPr>
        <w:t xml:space="preserve"> сократилось в 2022 году, коэффициент выполнения плана закупок продуктов питания </w:t>
      </w:r>
      <w:r w:rsidR="008E0341">
        <w:rPr>
          <w:rFonts w:asciiTheme="majorHAnsi" w:hAnsiTheme="majorHAnsi" w:cstheme="majorHAnsi"/>
          <w:color w:val="000000" w:themeColor="text1"/>
          <w:sz w:val="24"/>
          <w:lang w:val="ru-RU"/>
        </w:rPr>
        <w:t>за</w:t>
      </w:r>
      <w:r w:rsidRPr="001A16A0">
        <w:rPr>
          <w:rFonts w:asciiTheme="majorHAnsi" w:hAnsiTheme="majorHAnsi" w:cstheme="majorHAnsi"/>
          <w:color w:val="000000" w:themeColor="text1"/>
          <w:sz w:val="24"/>
          <w:lang w:val="ro-MD"/>
        </w:rPr>
        <w:t xml:space="preserve"> 2021 год ниже, что указывает на в</w:t>
      </w:r>
      <w:r w:rsidR="008E0341">
        <w:rPr>
          <w:rFonts w:asciiTheme="majorHAnsi" w:hAnsiTheme="majorHAnsi" w:cstheme="majorHAnsi"/>
          <w:color w:val="000000" w:themeColor="text1"/>
          <w:sz w:val="24"/>
          <w:lang w:val="ru-RU"/>
        </w:rPr>
        <w:t>ероят</w:t>
      </w:r>
      <w:r w:rsidRPr="001A16A0">
        <w:rPr>
          <w:rFonts w:asciiTheme="majorHAnsi" w:hAnsiTheme="majorHAnsi" w:cstheme="majorHAnsi"/>
          <w:color w:val="000000" w:themeColor="text1"/>
          <w:sz w:val="24"/>
          <w:lang w:val="ro-MD"/>
        </w:rPr>
        <w:t xml:space="preserve">ное </w:t>
      </w:r>
      <w:r w:rsidR="008E0341">
        <w:rPr>
          <w:rFonts w:asciiTheme="majorHAnsi" w:hAnsiTheme="majorHAnsi" w:cstheme="majorHAnsi"/>
          <w:color w:val="000000" w:themeColor="text1"/>
          <w:sz w:val="24"/>
          <w:lang w:val="ru-RU"/>
        </w:rPr>
        <w:t>завыш</w:t>
      </w:r>
      <w:r w:rsidRPr="001A16A0">
        <w:rPr>
          <w:rFonts w:asciiTheme="majorHAnsi" w:hAnsiTheme="majorHAnsi" w:cstheme="majorHAnsi"/>
          <w:color w:val="000000" w:themeColor="text1"/>
          <w:sz w:val="24"/>
          <w:lang w:val="ro-MD"/>
        </w:rPr>
        <w:t xml:space="preserve">ение планирования. Таким образом, формируя </w:t>
      </w:r>
      <w:r w:rsidR="008E0341">
        <w:rPr>
          <w:rFonts w:asciiTheme="majorHAnsi" w:hAnsiTheme="majorHAnsi" w:cstheme="majorHAnsi"/>
          <w:color w:val="000000" w:themeColor="text1"/>
          <w:sz w:val="24"/>
          <w:lang w:val="ru-RU"/>
        </w:rPr>
        <w:t xml:space="preserve">экономии на </w:t>
      </w:r>
      <w:r w:rsidRPr="001A16A0">
        <w:rPr>
          <w:rFonts w:asciiTheme="majorHAnsi" w:hAnsiTheme="majorHAnsi" w:cstheme="majorHAnsi"/>
          <w:color w:val="000000" w:themeColor="text1"/>
          <w:sz w:val="24"/>
          <w:lang w:val="ro-MD"/>
        </w:rPr>
        <w:t>прод</w:t>
      </w:r>
      <w:r w:rsidR="008E0341">
        <w:rPr>
          <w:rFonts w:asciiTheme="majorHAnsi" w:hAnsiTheme="majorHAnsi" w:cstheme="majorHAnsi"/>
          <w:color w:val="000000" w:themeColor="text1"/>
          <w:sz w:val="24"/>
          <w:lang w:val="ru-RU"/>
        </w:rPr>
        <w:t>укты питания</w:t>
      </w:r>
      <w:r w:rsidRPr="001A16A0">
        <w:rPr>
          <w:rFonts w:asciiTheme="majorHAnsi" w:hAnsiTheme="majorHAnsi" w:cstheme="majorHAnsi"/>
          <w:color w:val="000000" w:themeColor="text1"/>
          <w:sz w:val="24"/>
          <w:lang w:val="ro-MD"/>
        </w:rPr>
        <w:t>, зарегистрированные раз</w:t>
      </w:r>
      <w:r w:rsidR="008E0341">
        <w:rPr>
          <w:rFonts w:asciiTheme="majorHAnsi" w:hAnsiTheme="majorHAnsi" w:cstheme="majorHAnsi"/>
          <w:color w:val="000000" w:themeColor="text1"/>
          <w:sz w:val="24"/>
          <w:lang w:val="ru-RU"/>
        </w:rPr>
        <w:t>ницы</w:t>
      </w:r>
      <w:r w:rsidRPr="001A16A0">
        <w:rPr>
          <w:rFonts w:asciiTheme="majorHAnsi" w:hAnsiTheme="majorHAnsi" w:cstheme="majorHAnsi"/>
          <w:color w:val="000000" w:themeColor="text1"/>
          <w:sz w:val="24"/>
          <w:lang w:val="ro-MD"/>
        </w:rPr>
        <w:t xml:space="preserve"> направл</w:t>
      </w:r>
      <w:r w:rsidR="008E0341">
        <w:rPr>
          <w:rFonts w:asciiTheme="majorHAnsi" w:hAnsiTheme="majorHAnsi" w:cstheme="majorHAnsi"/>
          <w:color w:val="000000" w:themeColor="text1"/>
          <w:sz w:val="24"/>
          <w:lang w:val="ru-RU"/>
        </w:rPr>
        <w:t>яются</w:t>
      </w:r>
      <w:r w:rsidRPr="001A16A0">
        <w:rPr>
          <w:rFonts w:asciiTheme="majorHAnsi" w:hAnsiTheme="majorHAnsi" w:cstheme="majorHAnsi"/>
          <w:color w:val="000000" w:themeColor="text1"/>
          <w:sz w:val="24"/>
          <w:lang w:val="ro-MD"/>
        </w:rPr>
        <w:t xml:space="preserve"> на покрытие других потребностей в деятельности учреждения, </w:t>
      </w:r>
      <w:r w:rsidR="008E0341">
        <w:rPr>
          <w:rFonts w:asciiTheme="majorHAnsi" w:hAnsiTheme="majorHAnsi" w:cstheme="majorHAnsi"/>
          <w:color w:val="000000" w:themeColor="text1"/>
          <w:sz w:val="24"/>
          <w:lang w:val="ru-RU"/>
        </w:rPr>
        <w:t>согласно объяснениям субъекта</w:t>
      </w:r>
      <w:r w:rsidR="00B37661" w:rsidRPr="00B13B9A">
        <w:rPr>
          <w:rFonts w:asciiTheme="majorHAnsi" w:hAnsiTheme="majorHAnsi" w:cstheme="majorHAnsi"/>
          <w:sz w:val="24"/>
          <w:szCs w:val="24"/>
          <w:lang w:val="ro-MD"/>
        </w:rPr>
        <w:t>.</w:t>
      </w:r>
    </w:p>
    <w:p w14:paraId="646372AB" w14:textId="49734D9E" w:rsidR="00E713CB" w:rsidRPr="00B13B9A" w:rsidRDefault="008A44B8" w:rsidP="008A44B8">
      <w:pPr>
        <w:pStyle w:val="cn"/>
        <w:numPr>
          <w:ilvl w:val="2"/>
          <w:numId w:val="10"/>
        </w:numPr>
        <w:tabs>
          <w:tab w:val="left" w:pos="1080"/>
          <w:tab w:val="left" w:pos="1260"/>
        </w:tabs>
        <w:spacing w:line="276" w:lineRule="auto"/>
        <w:ind w:left="0" w:right="71" w:firstLine="284"/>
        <w:jc w:val="both"/>
        <w:outlineLvl w:val="2"/>
        <w:rPr>
          <w:rFonts w:asciiTheme="majorHAnsi" w:eastAsiaTheme="minorHAnsi" w:hAnsiTheme="majorHAnsi" w:cstheme="minorHAnsi"/>
          <w:b/>
          <w:lang w:val="ro-MD" w:eastAsia="en-US"/>
        </w:rPr>
      </w:pPr>
      <w:bookmarkStart w:id="45" w:name="_Toc158317247"/>
      <w:r w:rsidRPr="008A44B8">
        <w:rPr>
          <w:rFonts w:asciiTheme="majorHAnsi" w:eastAsiaTheme="minorHAnsi" w:hAnsiTheme="majorHAnsi" w:cstheme="minorHAnsi"/>
          <w:b/>
          <w:lang w:val="ro-MD" w:eastAsia="en-US"/>
        </w:rPr>
        <w:t>Стоимость материальных ценностей, полученных на безвозмездной основе, ниже чем сумма ожидаемого дохода</w:t>
      </w:r>
      <w:r w:rsidR="008E0341" w:rsidRPr="008E0341">
        <w:rPr>
          <w:rFonts w:asciiTheme="majorHAnsi" w:eastAsiaTheme="minorHAnsi" w:hAnsiTheme="majorHAnsi" w:cstheme="minorHAnsi"/>
          <w:b/>
          <w:lang w:val="ro-MD" w:eastAsia="en-US"/>
        </w:rPr>
        <w:t xml:space="preserve"> от</w:t>
      </w:r>
      <w:r w:rsidRPr="008A44B8">
        <w:rPr>
          <w:rFonts w:asciiTheme="majorHAnsi" w:eastAsiaTheme="minorHAnsi" w:hAnsiTheme="majorHAnsi" w:cstheme="minorHAnsi"/>
          <w:b/>
          <w:lang w:val="ro-MD" w:eastAsia="en-US"/>
        </w:rPr>
        <w:t xml:space="preserve"> ни</w:t>
      </w:r>
      <w:r w:rsidR="008E0341" w:rsidRPr="008E0341">
        <w:rPr>
          <w:rFonts w:asciiTheme="majorHAnsi" w:eastAsiaTheme="minorHAnsi" w:hAnsiTheme="majorHAnsi" w:cstheme="minorHAnsi"/>
          <w:b/>
          <w:lang w:val="ro-MD" w:eastAsia="en-US"/>
        </w:rPr>
        <w:t>х</w:t>
      </w:r>
      <w:r w:rsidRPr="008A44B8">
        <w:rPr>
          <w:rFonts w:asciiTheme="majorHAnsi" w:eastAsiaTheme="minorHAnsi" w:hAnsiTheme="majorHAnsi" w:cstheme="minorHAnsi"/>
          <w:b/>
          <w:lang w:val="ro-MD" w:eastAsia="en-US"/>
        </w:rPr>
        <w:t>, что указывает на занижение текущих доходов от пожертвований за периоды, предшествующие 2023 году</w:t>
      </w:r>
      <w:r w:rsidR="005225D5" w:rsidRPr="00B13B9A">
        <w:rPr>
          <w:rFonts w:asciiTheme="majorHAnsi" w:eastAsiaTheme="minorHAnsi" w:hAnsiTheme="majorHAnsi" w:cstheme="minorHAnsi"/>
          <w:b/>
          <w:lang w:val="ro-MD" w:eastAsia="en-US"/>
        </w:rPr>
        <w:t>.</w:t>
      </w:r>
      <w:bookmarkEnd w:id="45"/>
    </w:p>
    <w:p w14:paraId="5017403B" w14:textId="28E47310" w:rsidR="008A44B8" w:rsidRPr="008A44B8" w:rsidRDefault="00B030D1" w:rsidP="008A44B8">
      <w:pPr>
        <w:pStyle w:val="cn"/>
        <w:spacing w:line="276" w:lineRule="auto"/>
        <w:ind w:right="71"/>
        <w:jc w:val="both"/>
        <w:rPr>
          <w:rFonts w:asciiTheme="majorHAnsi" w:hAnsiTheme="majorHAnsi" w:cstheme="majorHAnsi"/>
          <w:color w:val="000000" w:themeColor="text1"/>
          <w:lang w:val="ro-MD"/>
        </w:rPr>
      </w:pPr>
      <w:r>
        <w:rPr>
          <w:rFonts w:asciiTheme="majorHAnsi" w:hAnsiTheme="majorHAnsi" w:cstheme="majorHAnsi"/>
          <w:color w:val="000000" w:themeColor="text1"/>
          <w:lang w:val="ro-MD"/>
        </w:rPr>
        <w:t>ПМСУ ИФП</w:t>
      </w:r>
      <w:r w:rsidR="008A44B8" w:rsidRPr="008A44B8">
        <w:rPr>
          <w:rFonts w:asciiTheme="majorHAnsi" w:hAnsiTheme="majorHAnsi" w:cstheme="majorHAnsi"/>
          <w:color w:val="000000" w:themeColor="text1"/>
          <w:lang w:val="ro-MD"/>
        </w:rPr>
        <w:t xml:space="preserve"> </w:t>
      </w:r>
      <w:r w:rsidR="00AC00D0">
        <w:rPr>
          <w:rFonts w:asciiTheme="majorHAnsi" w:hAnsiTheme="majorHAnsi" w:cstheme="majorHAnsi"/>
          <w:color w:val="000000" w:themeColor="text1"/>
          <w:lang w:val="ro-MD"/>
        </w:rPr>
        <w:t>„</w:t>
      </w:r>
      <w:r w:rsidR="00AC00D0">
        <w:rPr>
          <w:rFonts w:asciiTheme="majorHAnsi" w:hAnsiTheme="majorHAnsi" w:cs="Calibri Light"/>
          <w:lang w:val="ru-MD"/>
        </w:rPr>
        <w:t>Кирилл Драганюк</w:t>
      </w:r>
      <w:r w:rsidR="00F56EC1">
        <w:rPr>
          <w:rFonts w:asciiTheme="majorHAnsi" w:hAnsiTheme="majorHAnsi" w:cstheme="majorHAnsi"/>
          <w:color w:val="000000" w:themeColor="text1"/>
          <w:lang w:val="ro-MD"/>
        </w:rPr>
        <w:t>”</w:t>
      </w:r>
      <w:r w:rsidR="008A44B8" w:rsidRPr="008A44B8">
        <w:rPr>
          <w:rFonts w:asciiTheme="majorHAnsi" w:hAnsiTheme="majorHAnsi" w:cstheme="majorHAnsi"/>
          <w:color w:val="000000" w:themeColor="text1"/>
          <w:lang w:val="ro-MD"/>
        </w:rPr>
        <w:t xml:space="preserve"> получает </w:t>
      </w:r>
      <w:r w:rsidR="009B2271">
        <w:rPr>
          <w:rFonts w:asciiTheme="majorHAnsi" w:hAnsiTheme="majorHAnsi" w:cstheme="majorHAnsi"/>
          <w:color w:val="000000" w:themeColor="text1"/>
        </w:rPr>
        <w:t>на безвозмездной основе</w:t>
      </w:r>
      <w:r w:rsidR="008A44B8" w:rsidRPr="008A44B8">
        <w:rPr>
          <w:rFonts w:asciiTheme="majorHAnsi" w:hAnsiTheme="majorHAnsi" w:cstheme="majorHAnsi"/>
          <w:color w:val="000000" w:themeColor="text1"/>
          <w:lang w:val="ro-MD"/>
        </w:rPr>
        <w:t xml:space="preserve"> финансов</w:t>
      </w:r>
      <w:r w:rsidR="009B2271">
        <w:rPr>
          <w:rFonts w:asciiTheme="majorHAnsi" w:hAnsiTheme="majorHAnsi" w:cstheme="majorHAnsi"/>
          <w:color w:val="000000" w:themeColor="text1"/>
        </w:rPr>
        <w:t>ую</w:t>
      </w:r>
      <w:r w:rsidR="008A44B8" w:rsidRPr="008A44B8">
        <w:rPr>
          <w:rFonts w:asciiTheme="majorHAnsi" w:hAnsiTheme="majorHAnsi" w:cstheme="majorHAnsi"/>
          <w:color w:val="000000" w:themeColor="text1"/>
          <w:lang w:val="ro-MD"/>
        </w:rPr>
        <w:t xml:space="preserve"> помощ</w:t>
      </w:r>
      <w:r w:rsidR="009B2271">
        <w:rPr>
          <w:rFonts w:asciiTheme="majorHAnsi" w:hAnsiTheme="majorHAnsi" w:cstheme="majorHAnsi"/>
          <w:color w:val="000000" w:themeColor="text1"/>
        </w:rPr>
        <w:t>ь</w:t>
      </w:r>
      <w:r w:rsidR="008A44B8" w:rsidRPr="008A44B8">
        <w:rPr>
          <w:rFonts w:asciiTheme="majorHAnsi" w:hAnsiTheme="majorHAnsi" w:cstheme="majorHAnsi"/>
          <w:color w:val="000000" w:themeColor="text1"/>
          <w:lang w:val="ro-MD"/>
        </w:rPr>
        <w:t xml:space="preserve"> и техническ</w:t>
      </w:r>
      <w:r w:rsidR="009B2271">
        <w:rPr>
          <w:rFonts w:asciiTheme="majorHAnsi" w:hAnsiTheme="majorHAnsi" w:cstheme="majorHAnsi"/>
          <w:color w:val="000000" w:themeColor="text1"/>
        </w:rPr>
        <w:t>ую</w:t>
      </w:r>
      <w:r w:rsidR="008A44B8" w:rsidRPr="008A44B8">
        <w:rPr>
          <w:rFonts w:asciiTheme="majorHAnsi" w:hAnsiTheme="majorHAnsi" w:cstheme="majorHAnsi"/>
          <w:color w:val="000000" w:themeColor="text1"/>
          <w:lang w:val="ro-MD"/>
        </w:rPr>
        <w:t xml:space="preserve"> помощ</w:t>
      </w:r>
      <w:r w:rsidR="009B2271">
        <w:rPr>
          <w:rFonts w:asciiTheme="majorHAnsi" w:hAnsiTheme="majorHAnsi" w:cstheme="majorHAnsi"/>
          <w:color w:val="000000" w:themeColor="text1"/>
        </w:rPr>
        <w:t>ь</w:t>
      </w:r>
      <w:r w:rsidR="008A44B8" w:rsidRPr="008A44B8">
        <w:rPr>
          <w:rFonts w:asciiTheme="majorHAnsi" w:hAnsiTheme="majorHAnsi" w:cstheme="majorHAnsi"/>
          <w:color w:val="000000" w:themeColor="text1"/>
          <w:lang w:val="ro-MD"/>
        </w:rPr>
        <w:t xml:space="preserve"> от Министерства здравоохранения</w:t>
      </w:r>
      <w:r w:rsidR="009B2271">
        <w:rPr>
          <w:rFonts w:asciiTheme="majorHAnsi" w:hAnsiTheme="majorHAnsi" w:cstheme="majorHAnsi"/>
          <w:color w:val="000000" w:themeColor="text1"/>
        </w:rPr>
        <w:t>,</w:t>
      </w:r>
      <w:r w:rsidR="008A44B8" w:rsidRPr="008A44B8">
        <w:rPr>
          <w:rFonts w:asciiTheme="majorHAnsi" w:hAnsiTheme="majorHAnsi" w:cstheme="majorHAnsi"/>
          <w:color w:val="000000" w:themeColor="text1"/>
          <w:lang w:val="ro-MD"/>
        </w:rPr>
        <w:t xml:space="preserve"> </w:t>
      </w:r>
      <w:r w:rsidR="009B2271">
        <w:rPr>
          <w:rFonts w:asciiTheme="majorHAnsi" w:hAnsiTheme="majorHAnsi" w:cstheme="majorHAnsi"/>
          <w:color w:val="000000" w:themeColor="text1"/>
        </w:rPr>
        <w:t>ПКВМП</w:t>
      </w:r>
      <w:r w:rsidR="008A44B8" w:rsidRPr="008A44B8">
        <w:rPr>
          <w:rFonts w:asciiTheme="majorHAnsi" w:hAnsiTheme="majorHAnsi" w:cstheme="majorHAnsi"/>
          <w:color w:val="000000" w:themeColor="text1"/>
          <w:lang w:val="ro-MD"/>
        </w:rPr>
        <w:t>, CPAS.</w:t>
      </w:r>
    </w:p>
    <w:p w14:paraId="79D320DD" w14:textId="0B299B76" w:rsidR="00E713CB" w:rsidRPr="009A229C" w:rsidRDefault="008A44B8" w:rsidP="00E713CB">
      <w:pPr>
        <w:pStyle w:val="cn"/>
        <w:spacing w:line="276" w:lineRule="auto"/>
        <w:ind w:right="71"/>
        <w:jc w:val="both"/>
        <w:rPr>
          <w:rFonts w:asciiTheme="majorHAnsi" w:hAnsiTheme="majorHAnsi" w:cstheme="majorHAnsi"/>
          <w:color w:val="000000" w:themeColor="text1"/>
          <w:lang w:val="ro-MD"/>
        </w:rPr>
      </w:pPr>
      <w:r w:rsidRPr="008A44B8">
        <w:rPr>
          <w:rFonts w:asciiTheme="majorHAnsi" w:hAnsiTheme="majorHAnsi" w:cstheme="majorHAnsi"/>
          <w:color w:val="000000" w:themeColor="text1"/>
          <w:lang w:val="ro-MD"/>
        </w:rPr>
        <w:t xml:space="preserve">Пожертвования </w:t>
      </w:r>
      <w:r w:rsidR="009A229C">
        <w:rPr>
          <w:rFonts w:asciiTheme="majorHAnsi" w:hAnsiTheme="majorHAnsi" w:cstheme="majorHAnsi"/>
          <w:color w:val="000000" w:themeColor="text1"/>
        </w:rPr>
        <w:t>заключаются в</w:t>
      </w:r>
      <w:r w:rsidRPr="008A44B8">
        <w:rPr>
          <w:rFonts w:asciiTheme="majorHAnsi" w:hAnsiTheme="majorHAnsi" w:cstheme="majorHAnsi"/>
          <w:color w:val="000000" w:themeColor="text1"/>
          <w:lang w:val="ro-MD"/>
        </w:rPr>
        <w:t xml:space="preserve"> предоставлени</w:t>
      </w:r>
      <w:r w:rsidR="009A229C">
        <w:rPr>
          <w:rFonts w:asciiTheme="majorHAnsi" w:hAnsiTheme="majorHAnsi" w:cstheme="majorHAnsi"/>
          <w:color w:val="000000" w:themeColor="text1"/>
        </w:rPr>
        <w:t>и</w:t>
      </w:r>
      <w:r w:rsidRPr="008A44B8">
        <w:rPr>
          <w:rFonts w:asciiTheme="majorHAnsi" w:hAnsiTheme="majorHAnsi" w:cstheme="majorHAnsi"/>
          <w:color w:val="000000" w:themeColor="text1"/>
          <w:lang w:val="ro-MD"/>
        </w:rPr>
        <w:t xml:space="preserve"> медицинского оборудования и устройств, лекарств, </w:t>
      </w:r>
      <w:r w:rsidR="009A229C">
        <w:rPr>
          <w:rFonts w:asciiTheme="majorHAnsi" w:hAnsiTheme="majorHAnsi" w:cstheme="majorHAnsi"/>
          <w:color w:val="000000" w:themeColor="text1"/>
        </w:rPr>
        <w:t>МБП</w:t>
      </w:r>
      <w:r w:rsidRPr="008A44B8">
        <w:rPr>
          <w:rFonts w:asciiTheme="majorHAnsi" w:hAnsiTheme="majorHAnsi" w:cstheme="majorHAnsi"/>
          <w:color w:val="000000" w:themeColor="text1"/>
          <w:lang w:val="ro-MD"/>
        </w:rPr>
        <w:t xml:space="preserve">, </w:t>
      </w:r>
      <w:r w:rsidR="009A229C">
        <w:rPr>
          <w:rFonts w:asciiTheme="majorHAnsi" w:hAnsiTheme="majorHAnsi" w:cstheme="majorHAnsi"/>
          <w:color w:val="000000" w:themeColor="text1"/>
        </w:rPr>
        <w:t xml:space="preserve">средств </w:t>
      </w:r>
      <w:r w:rsidRPr="008A44B8">
        <w:rPr>
          <w:rFonts w:asciiTheme="majorHAnsi" w:hAnsiTheme="majorHAnsi" w:cstheme="majorHAnsi"/>
          <w:color w:val="000000" w:themeColor="text1"/>
          <w:lang w:val="ro-MD"/>
        </w:rPr>
        <w:t>защит</w:t>
      </w:r>
      <w:r w:rsidR="009A229C">
        <w:rPr>
          <w:rFonts w:asciiTheme="majorHAnsi" w:hAnsiTheme="majorHAnsi" w:cstheme="majorHAnsi"/>
          <w:color w:val="000000" w:themeColor="text1"/>
        </w:rPr>
        <w:t>ы</w:t>
      </w:r>
      <w:r w:rsidRPr="008A44B8">
        <w:rPr>
          <w:rFonts w:asciiTheme="majorHAnsi" w:hAnsiTheme="majorHAnsi" w:cstheme="majorHAnsi"/>
          <w:color w:val="000000" w:themeColor="text1"/>
          <w:lang w:val="ro-MD"/>
        </w:rPr>
        <w:t xml:space="preserve"> и других расходных материалов, необходимых для лечения и профилактики туберкулеза. Таким образом, </w:t>
      </w:r>
      <w:r w:rsidR="009A229C">
        <w:rPr>
          <w:rFonts w:asciiTheme="majorHAnsi" w:hAnsiTheme="majorHAnsi" w:cstheme="majorHAnsi"/>
          <w:color w:val="000000" w:themeColor="text1"/>
        </w:rPr>
        <w:t>за</w:t>
      </w:r>
      <w:r w:rsidRPr="008A44B8">
        <w:rPr>
          <w:rFonts w:asciiTheme="majorHAnsi" w:hAnsiTheme="majorHAnsi" w:cstheme="majorHAnsi"/>
          <w:color w:val="000000" w:themeColor="text1"/>
          <w:lang w:val="ro-MD"/>
        </w:rPr>
        <w:t xml:space="preserve"> 2021-2023 гг. (6 месяцев) они составили 117 886,4 тыс. леев, </w:t>
      </w:r>
      <w:r w:rsidR="009A229C">
        <w:rPr>
          <w:rFonts w:asciiTheme="majorHAnsi" w:hAnsiTheme="majorHAnsi" w:cstheme="majorHAnsi"/>
          <w:color w:val="000000" w:themeColor="text1"/>
        </w:rPr>
        <w:t>ситуация представлена</w:t>
      </w:r>
      <w:r w:rsidRPr="008A44B8">
        <w:rPr>
          <w:rFonts w:asciiTheme="majorHAnsi" w:hAnsiTheme="majorHAnsi" w:cstheme="majorHAnsi"/>
          <w:color w:val="000000" w:themeColor="text1"/>
          <w:lang w:val="ro-MD"/>
        </w:rPr>
        <w:t xml:space="preserve"> в таблице ниже</w:t>
      </w:r>
      <w:r w:rsidR="00E713CB" w:rsidRPr="00B13B9A">
        <w:rPr>
          <w:rFonts w:asciiTheme="majorHAnsi" w:eastAsiaTheme="minorHAnsi" w:hAnsiTheme="majorHAnsi" w:cstheme="minorHAnsi"/>
          <w:lang w:val="ro-MD" w:eastAsia="en-US"/>
        </w:rPr>
        <w:t>.</w:t>
      </w:r>
    </w:p>
    <w:p w14:paraId="4289A6E1" w14:textId="0F01CA8E" w:rsidR="00E713CB" w:rsidRPr="00B13B9A" w:rsidRDefault="008A44B8" w:rsidP="00E713CB">
      <w:pPr>
        <w:pStyle w:val="cn"/>
        <w:spacing w:line="276" w:lineRule="auto"/>
        <w:ind w:right="71"/>
        <w:jc w:val="right"/>
        <w:rPr>
          <w:rFonts w:asciiTheme="majorHAnsi" w:eastAsiaTheme="minorHAnsi" w:hAnsiTheme="majorHAnsi" w:cstheme="minorHAnsi"/>
          <w:lang w:val="ro-MD" w:eastAsia="en-US"/>
        </w:rPr>
      </w:pPr>
      <w:r>
        <w:rPr>
          <w:rFonts w:asciiTheme="majorHAnsi" w:eastAsiaTheme="minorHAnsi" w:hAnsiTheme="majorHAnsi" w:cstheme="minorHAnsi"/>
          <w:lang w:eastAsia="en-US"/>
        </w:rPr>
        <w:t>Таблица</w:t>
      </w:r>
      <w:r w:rsidR="00D37D8A" w:rsidRPr="00B13B9A">
        <w:rPr>
          <w:rFonts w:asciiTheme="majorHAnsi" w:eastAsiaTheme="minorHAnsi" w:hAnsiTheme="majorHAnsi" w:cstheme="minorHAnsi"/>
          <w:lang w:val="ro-MD" w:eastAsia="en-US"/>
        </w:rPr>
        <w:t xml:space="preserve"> </w:t>
      </w:r>
      <w:r w:rsidR="00EC5C4D">
        <w:rPr>
          <w:rFonts w:asciiTheme="majorHAnsi" w:eastAsiaTheme="minorHAnsi" w:hAnsiTheme="majorHAnsi" w:cstheme="minorHAnsi"/>
          <w:lang w:val="ro-MD" w:eastAsia="en-US"/>
        </w:rPr>
        <w:t>№</w:t>
      </w:r>
      <w:r w:rsidR="00D37D8A" w:rsidRPr="00B13B9A">
        <w:rPr>
          <w:rFonts w:asciiTheme="majorHAnsi" w:eastAsiaTheme="minorHAnsi" w:hAnsiTheme="majorHAnsi" w:cstheme="minorHAnsi"/>
          <w:lang w:val="ro-MD" w:eastAsia="en-US"/>
        </w:rPr>
        <w:t>4</w:t>
      </w:r>
    </w:p>
    <w:p w14:paraId="35D3DCF5" w14:textId="43C2BE73" w:rsidR="00E713CB" w:rsidRPr="00B13B9A" w:rsidRDefault="008A44B8" w:rsidP="00E713CB">
      <w:pPr>
        <w:pStyle w:val="cn"/>
        <w:spacing w:line="276" w:lineRule="auto"/>
        <w:ind w:right="71"/>
        <w:rPr>
          <w:rFonts w:asciiTheme="majorHAnsi" w:eastAsiaTheme="minorHAnsi" w:hAnsiTheme="majorHAnsi" w:cstheme="minorHAnsi"/>
          <w:b/>
          <w:lang w:val="ro-MD" w:eastAsia="en-US"/>
        </w:rPr>
      </w:pPr>
      <w:r w:rsidRPr="008A44B8">
        <w:rPr>
          <w:rFonts w:asciiTheme="majorHAnsi" w:eastAsiaTheme="minorHAnsi" w:hAnsiTheme="majorHAnsi" w:cstheme="minorHAnsi"/>
          <w:b/>
          <w:lang w:val="ro-MD" w:eastAsia="en-US"/>
        </w:rPr>
        <w:t>Информация о полученной гуманитарной помощи в рамках ПМСУ, тыс. леев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871"/>
        <w:gridCol w:w="1985"/>
        <w:gridCol w:w="1982"/>
        <w:gridCol w:w="1108"/>
        <w:gridCol w:w="1251"/>
      </w:tblGrid>
      <w:tr w:rsidR="00E713CB" w:rsidRPr="00B13B9A" w14:paraId="612B8C63" w14:textId="77777777" w:rsidTr="004C3370">
        <w:trPr>
          <w:trHeight w:val="288"/>
        </w:trPr>
        <w:tc>
          <w:tcPr>
            <w:tcW w:w="1271" w:type="dxa"/>
            <w:shd w:val="clear" w:color="auto" w:fill="auto"/>
            <w:noWrap/>
            <w:vAlign w:val="center"/>
            <w:hideMark/>
          </w:tcPr>
          <w:p w14:paraId="1BD066F7" w14:textId="0DFE852B" w:rsidR="00E713CB" w:rsidRPr="008A44B8" w:rsidRDefault="008A44B8" w:rsidP="00B00556">
            <w:pPr>
              <w:spacing w:after="0" w:line="240" w:lineRule="auto"/>
              <w:jc w:val="center"/>
              <w:rPr>
                <w:rFonts w:asciiTheme="majorHAnsi" w:eastAsia="Times New Roman" w:hAnsiTheme="majorHAnsi" w:cstheme="majorHAnsi"/>
                <w:b/>
                <w:color w:val="000000"/>
                <w:sz w:val="20"/>
                <w:szCs w:val="20"/>
                <w:lang w:val="ru-RU"/>
              </w:rPr>
            </w:pPr>
            <w:r>
              <w:rPr>
                <w:rFonts w:asciiTheme="majorHAnsi" w:eastAsia="Times New Roman" w:hAnsiTheme="majorHAnsi" w:cstheme="majorHAnsi"/>
                <w:b/>
                <w:color w:val="000000"/>
                <w:sz w:val="20"/>
                <w:szCs w:val="20"/>
                <w:lang w:val="ru-RU"/>
              </w:rPr>
              <w:t>Год</w:t>
            </w:r>
          </w:p>
        </w:tc>
        <w:tc>
          <w:tcPr>
            <w:tcW w:w="1871" w:type="dxa"/>
            <w:shd w:val="clear" w:color="auto" w:fill="auto"/>
            <w:noWrap/>
            <w:vAlign w:val="center"/>
            <w:hideMark/>
          </w:tcPr>
          <w:p w14:paraId="4BC0B532" w14:textId="77777777" w:rsidR="008A44B8" w:rsidRDefault="008A44B8" w:rsidP="00B00556">
            <w:pPr>
              <w:spacing w:after="0" w:line="240" w:lineRule="auto"/>
              <w:jc w:val="center"/>
              <w:rPr>
                <w:rFonts w:asciiTheme="majorHAnsi" w:eastAsia="Times New Roman" w:hAnsiTheme="majorHAnsi" w:cstheme="majorHAnsi"/>
                <w:b/>
                <w:color w:val="000000"/>
                <w:sz w:val="20"/>
                <w:szCs w:val="20"/>
                <w:lang w:val="ru-RU"/>
              </w:rPr>
            </w:pPr>
            <w:r>
              <w:rPr>
                <w:rFonts w:asciiTheme="majorHAnsi" w:eastAsia="Times New Roman" w:hAnsiTheme="majorHAnsi" w:cstheme="majorHAnsi"/>
                <w:b/>
                <w:color w:val="000000"/>
                <w:sz w:val="20"/>
                <w:szCs w:val="20"/>
                <w:lang w:val="ru-RU"/>
              </w:rPr>
              <w:t>Материалы</w:t>
            </w:r>
          </w:p>
          <w:p w14:paraId="250AE1E8" w14:textId="1D291EA5" w:rsidR="00E713CB" w:rsidRPr="00B13B9A" w:rsidRDefault="00E713CB" w:rsidP="00B00556">
            <w:pPr>
              <w:spacing w:after="0" w:line="240" w:lineRule="auto"/>
              <w:jc w:val="center"/>
              <w:rPr>
                <w:rFonts w:asciiTheme="majorHAnsi" w:eastAsia="Times New Roman" w:hAnsiTheme="majorHAnsi" w:cstheme="majorHAnsi"/>
                <w:b/>
                <w:color w:val="000000"/>
                <w:sz w:val="20"/>
                <w:szCs w:val="20"/>
                <w:lang w:val="ro-MD"/>
              </w:rPr>
            </w:pPr>
            <w:r w:rsidRPr="00B13B9A">
              <w:rPr>
                <w:rFonts w:asciiTheme="majorHAnsi" w:eastAsia="Times New Roman" w:hAnsiTheme="majorHAnsi" w:cstheme="majorHAnsi"/>
                <w:b/>
                <w:color w:val="000000"/>
                <w:sz w:val="20"/>
                <w:szCs w:val="20"/>
                <w:lang w:val="ro-MD"/>
              </w:rPr>
              <w:t>(</w:t>
            </w:r>
            <w:r w:rsidR="008A44B8" w:rsidRPr="008A44B8">
              <w:rPr>
                <w:rFonts w:asciiTheme="majorHAnsi" w:eastAsia="Times New Roman" w:hAnsiTheme="majorHAnsi" w:cstheme="majorHAnsi"/>
                <w:b/>
                <w:color w:val="000000"/>
                <w:sz w:val="20"/>
                <w:szCs w:val="20"/>
                <w:lang w:val="ro-MD"/>
              </w:rPr>
              <w:t>лекарства, расходные материалы</w:t>
            </w:r>
            <w:r w:rsidRPr="00B13B9A">
              <w:rPr>
                <w:rFonts w:asciiTheme="majorHAnsi" w:eastAsia="Times New Roman" w:hAnsiTheme="majorHAnsi" w:cstheme="majorHAnsi"/>
                <w:b/>
                <w:color w:val="000000"/>
                <w:sz w:val="20"/>
                <w:szCs w:val="20"/>
                <w:lang w:val="ro-MD"/>
              </w:rPr>
              <w:t>)</w:t>
            </w:r>
            <w:r w:rsidR="00B36240" w:rsidRPr="00B13B9A">
              <w:rPr>
                <w:rFonts w:asciiTheme="majorHAnsi" w:eastAsia="Times New Roman" w:hAnsiTheme="majorHAnsi" w:cstheme="majorHAnsi"/>
                <w:b/>
                <w:color w:val="000000"/>
                <w:sz w:val="20"/>
                <w:szCs w:val="20"/>
                <w:lang w:val="ro-MD"/>
              </w:rPr>
              <w:t>,</w:t>
            </w:r>
            <w:r w:rsidRPr="00B13B9A">
              <w:rPr>
                <w:rFonts w:asciiTheme="majorHAnsi" w:eastAsia="Times New Roman" w:hAnsiTheme="majorHAnsi" w:cstheme="majorHAnsi"/>
                <w:b/>
                <w:color w:val="000000"/>
                <w:sz w:val="20"/>
                <w:szCs w:val="20"/>
                <w:lang w:val="ro-MD"/>
              </w:rPr>
              <w:t xml:space="preserve"> 211</w:t>
            </w:r>
          </w:p>
        </w:tc>
        <w:tc>
          <w:tcPr>
            <w:tcW w:w="1985" w:type="dxa"/>
            <w:shd w:val="clear" w:color="auto" w:fill="auto"/>
            <w:noWrap/>
            <w:vAlign w:val="center"/>
            <w:hideMark/>
          </w:tcPr>
          <w:p w14:paraId="2D894265" w14:textId="1C341A54" w:rsidR="00E713CB" w:rsidRPr="00B13B9A" w:rsidRDefault="008A44B8" w:rsidP="00B00556">
            <w:pPr>
              <w:spacing w:after="0" w:line="240" w:lineRule="auto"/>
              <w:jc w:val="center"/>
              <w:rPr>
                <w:rFonts w:asciiTheme="majorHAnsi" w:eastAsia="Times New Roman" w:hAnsiTheme="majorHAnsi" w:cstheme="majorHAnsi"/>
                <w:b/>
                <w:color w:val="000000"/>
                <w:sz w:val="20"/>
                <w:szCs w:val="20"/>
                <w:lang w:val="ro-MD"/>
              </w:rPr>
            </w:pPr>
            <w:r w:rsidRPr="008A44B8">
              <w:rPr>
                <w:rFonts w:asciiTheme="majorHAnsi" w:eastAsia="Times New Roman" w:hAnsiTheme="majorHAnsi" w:cstheme="majorHAnsi"/>
                <w:b/>
                <w:color w:val="000000"/>
                <w:sz w:val="20"/>
                <w:szCs w:val="20"/>
                <w:lang w:val="ro-MD"/>
              </w:rPr>
              <w:t>Основные средства, оборудование, медицинский инвентарь</w:t>
            </w:r>
            <w:r w:rsidR="00B36240" w:rsidRPr="00B13B9A">
              <w:rPr>
                <w:rFonts w:asciiTheme="majorHAnsi" w:eastAsia="Times New Roman" w:hAnsiTheme="majorHAnsi" w:cstheme="majorHAnsi"/>
                <w:b/>
                <w:color w:val="000000"/>
                <w:sz w:val="20"/>
                <w:szCs w:val="20"/>
                <w:lang w:val="ro-MD"/>
              </w:rPr>
              <w:t>,</w:t>
            </w:r>
            <w:r w:rsidR="00E713CB" w:rsidRPr="00B13B9A">
              <w:rPr>
                <w:rFonts w:asciiTheme="majorHAnsi" w:eastAsia="Times New Roman" w:hAnsiTheme="majorHAnsi" w:cstheme="majorHAnsi"/>
                <w:b/>
                <w:color w:val="000000"/>
                <w:sz w:val="20"/>
                <w:szCs w:val="20"/>
                <w:lang w:val="ro-MD"/>
              </w:rPr>
              <w:t xml:space="preserve"> 121</w:t>
            </w:r>
          </w:p>
        </w:tc>
        <w:tc>
          <w:tcPr>
            <w:tcW w:w="1982" w:type="dxa"/>
            <w:shd w:val="clear" w:color="auto" w:fill="auto"/>
            <w:noWrap/>
            <w:vAlign w:val="center"/>
            <w:hideMark/>
          </w:tcPr>
          <w:p w14:paraId="05C4F09D" w14:textId="037633EC" w:rsidR="00E713CB" w:rsidRPr="00B13B9A" w:rsidRDefault="008A44B8" w:rsidP="00B00556">
            <w:pPr>
              <w:spacing w:after="0" w:line="240" w:lineRule="auto"/>
              <w:jc w:val="center"/>
              <w:rPr>
                <w:rFonts w:asciiTheme="majorHAnsi" w:eastAsia="Times New Roman" w:hAnsiTheme="majorHAnsi" w:cstheme="majorHAnsi"/>
                <w:b/>
                <w:color w:val="000000"/>
                <w:sz w:val="20"/>
                <w:szCs w:val="20"/>
                <w:lang w:val="ro-MD"/>
              </w:rPr>
            </w:pPr>
            <w:r w:rsidRPr="008A44B8">
              <w:rPr>
                <w:rFonts w:asciiTheme="majorHAnsi" w:eastAsia="Times New Roman" w:hAnsiTheme="majorHAnsi" w:cstheme="majorHAnsi"/>
                <w:b/>
                <w:color w:val="000000"/>
                <w:sz w:val="20"/>
                <w:szCs w:val="20"/>
                <w:lang w:val="ro-MD"/>
              </w:rPr>
              <w:t>Основные средства, оборудование, медицинский инвентарь</w:t>
            </w:r>
            <w:r w:rsidR="00B36240" w:rsidRPr="00B13B9A">
              <w:rPr>
                <w:rFonts w:asciiTheme="majorHAnsi" w:eastAsia="Times New Roman" w:hAnsiTheme="majorHAnsi" w:cstheme="majorHAnsi"/>
                <w:b/>
                <w:color w:val="000000"/>
                <w:sz w:val="20"/>
                <w:szCs w:val="20"/>
                <w:lang w:val="ro-MD"/>
              </w:rPr>
              <w:t>,</w:t>
            </w:r>
            <w:r w:rsidR="00E713CB" w:rsidRPr="00B13B9A">
              <w:rPr>
                <w:rFonts w:asciiTheme="majorHAnsi" w:eastAsia="Times New Roman" w:hAnsiTheme="majorHAnsi" w:cstheme="majorHAnsi"/>
                <w:b/>
                <w:color w:val="000000"/>
                <w:sz w:val="20"/>
                <w:szCs w:val="20"/>
                <w:lang w:val="ro-MD"/>
              </w:rPr>
              <w:t xml:space="preserve"> 123</w:t>
            </w:r>
          </w:p>
        </w:tc>
        <w:tc>
          <w:tcPr>
            <w:tcW w:w="1108" w:type="dxa"/>
            <w:shd w:val="clear" w:color="auto" w:fill="auto"/>
            <w:noWrap/>
            <w:vAlign w:val="center"/>
            <w:hideMark/>
          </w:tcPr>
          <w:p w14:paraId="6F4F7B4B" w14:textId="0BE759AC" w:rsidR="00E713CB" w:rsidRPr="00B13B9A" w:rsidRDefault="008A44B8" w:rsidP="00B00556">
            <w:pPr>
              <w:spacing w:after="0" w:line="240" w:lineRule="auto"/>
              <w:jc w:val="center"/>
              <w:rPr>
                <w:rFonts w:asciiTheme="majorHAnsi" w:eastAsia="Times New Roman" w:hAnsiTheme="majorHAnsi" w:cstheme="majorHAnsi"/>
                <w:b/>
                <w:color w:val="000000"/>
                <w:sz w:val="20"/>
                <w:szCs w:val="20"/>
                <w:lang w:val="ro-MD"/>
              </w:rPr>
            </w:pPr>
            <w:r>
              <w:rPr>
                <w:rFonts w:asciiTheme="majorHAnsi" w:eastAsia="Times New Roman" w:hAnsiTheme="majorHAnsi" w:cstheme="majorHAnsi"/>
                <w:b/>
                <w:color w:val="000000"/>
                <w:sz w:val="20"/>
                <w:szCs w:val="20"/>
                <w:lang w:val="ru-RU"/>
              </w:rPr>
              <w:t>МБП</w:t>
            </w:r>
            <w:r w:rsidR="00B36240" w:rsidRPr="00B13B9A">
              <w:rPr>
                <w:rFonts w:asciiTheme="majorHAnsi" w:eastAsia="Times New Roman" w:hAnsiTheme="majorHAnsi" w:cstheme="majorHAnsi"/>
                <w:b/>
                <w:color w:val="000000"/>
                <w:sz w:val="20"/>
                <w:szCs w:val="20"/>
                <w:lang w:val="ro-MD"/>
              </w:rPr>
              <w:t>,</w:t>
            </w:r>
            <w:r w:rsidR="00E713CB" w:rsidRPr="00B13B9A">
              <w:rPr>
                <w:rFonts w:asciiTheme="majorHAnsi" w:eastAsia="Times New Roman" w:hAnsiTheme="majorHAnsi" w:cstheme="majorHAnsi"/>
                <w:b/>
                <w:color w:val="000000"/>
                <w:sz w:val="20"/>
                <w:szCs w:val="20"/>
                <w:lang w:val="ro-MD"/>
              </w:rPr>
              <w:t xml:space="preserve"> 213</w:t>
            </w:r>
          </w:p>
        </w:tc>
        <w:tc>
          <w:tcPr>
            <w:tcW w:w="1251" w:type="dxa"/>
            <w:shd w:val="clear" w:color="auto" w:fill="auto"/>
            <w:noWrap/>
            <w:vAlign w:val="center"/>
            <w:hideMark/>
          </w:tcPr>
          <w:p w14:paraId="5739D84B" w14:textId="1B059464" w:rsidR="00E713CB" w:rsidRPr="008A44B8" w:rsidRDefault="008A44B8" w:rsidP="00B00556">
            <w:pPr>
              <w:spacing w:after="0" w:line="240" w:lineRule="auto"/>
              <w:jc w:val="center"/>
              <w:rPr>
                <w:rFonts w:asciiTheme="majorHAnsi" w:eastAsia="Times New Roman" w:hAnsiTheme="majorHAnsi" w:cstheme="majorHAnsi"/>
                <w:b/>
                <w:color w:val="000000"/>
                <w:sz w:val="20"/>
                <w:szCs w:val="20"/>
                <w:lang w:val="ru-RU"/>
              </w:rPr>
            </w:pPr>
            <w:r>
              <w:rPr>
                <w:rFonts w:asciiTheme="majorHAnsi" w:eastAsia="Times New Roman" w:hAnsiTheme="majorHAnsi" w:cstheme="majorHAnsi"/>
                <w:b/>
                <w:color w:val="000000"/>
                <w:sz w:val="20"/>
                <w:szCs w:val="20"/>
                <w:lang w:val="ru-RU"/>
              </w:rPr>
              <w:t>Всего</w:t>
            </w:r>
          </w:p>
        </w:tc>
      </w:tr>
      <w:tr w:rsidR="00E713CB" w:rsidRPr="00B13B9A" w14:paraId="4676630E" w14:textId="77777777" w:rsidTr="004C3370">
        <w:trPr>
          <w:trHeight w:val="288"/>
        </w:trPr>
        <w:tc>
          <w:tcPr>
            <w:tcW w:w="1271" w:type="dxa"/>
            <w:shd w:val="clear" w:color="auto" w:fill="auto"/>
            <w:noWrap/>
            <w:vAlign w:val="bottom"/>
            <w:hideMark/>
          </w:tcPr>
          <w:p w14:paraId="5EB59551" w14:textId="77777777" w:rsidR="00E713CB" w:rsidRPr="00B13B9A" w:rsidRDefault="00E713CB" w:rsidP="00B00556">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2021</w:t>
            </w:r>
          </w:p>
        </w:tc>
        <w:tc>
          <w:tcPr>
            <w:tcW w:w="1871" w:type="dxa"/>
            <w:shd w:val="clear" w:color="auto" w:fill="auto"/>
            <w:noWrap/>
            <w:vAlign w:val="bottom"/>
            <w:hideMark/>
          </w:tcPr>
          <w:p w14:paraId="772E3F15"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37 837,5</w:t>
            </w:r>
          </w:p>
        </w:tc>
        <w:tc>
          <w:tcPr>
            <w:tcW w:w="1985" w:type="dxa"/>
            <w:shd w:val="clear" w:color="auto" w:fill="auto"/>
            <w:noWrap/>
            <w:hideMark/>
          </w:tcPr>
          <w:p w14:paraId="4436EFBB" w14:textId="77777777" w:rsidR="00E713CB" w:rsidRPr="00B13B9A" w:rsidRDefault="00E713CB" w:rsidP="00B00556">
            <w:pPr>
              <w:spacing w:after="0" w:line="240" w:lineRule="auto"/>
              <w:jc w:val="right"/>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5 409,0</w:t>
            </w:r>
          </w:p>
        </w:tc>
        <w:tc>
          <w:tcPr>
            <w:tcW w:w="1982" w:type="dxa"/>
            <w:shd w:val="clear" w:color="auto" w:fill="auto"/>
            <w:noWrap/>
            <w:vAlign w:val="bottom"/>
            <w:hideMark/>
          </w:tcPr>
          <w:p w14:paraId="0A97B061"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139,5</w:t>
            </w:r>
          </w:p>
        </w:tc>
        <w:tc>
          <w:tcPr>
            <w:tcW w:w="1108" w:type="dxa"/>
            <w:shd w:val="clear" w:color="auto" w:fill="auto"/>
            <w:noWrap/>
            <w:vAlign w:val="bottom"/>
            <w:hideMark/>
          </w:tcPr>
          <w:p w14:paraId="78562BBD"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413,6</w:t>
            </w:r>
          </w:p>
        </w:tc>
        <w:tc>
          <w:tcPr>
            <w:tcW w:w="1251" w:type="dxa"/>
            <w:shd w:val="clear" w:color="auto" w:fill="auto"/>
            <w:noWrap/>
            <w:vAlign w:val="bottom"/>
            <w:hideMark/>
          </w:tcPr>
          <w:p w14:paraId="1CD8DBD6"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43 799,6</w:t>
            </w:r>
          </w:p>
        </w:tc>
      </w:tr>
      <w:tr w:rsidR="00E713CB" w:rsidRPr="00B13B9A" w14:paraId="47C21CD9" w14:textId="77777777" w:rsidTr="004C3370">
        <w:trPr>
          <w:trHeight w:val="288"/>
        </w:trPr>
        <w:tc>
          <w:tcPr>
            <w:tcW w:w="1271" w:type="dxa"/>
            <w:shd w:val="clear" w:color="auto" w:fill="auto"/>
            <w:noWrap/>
            <w:vAlign w:val="bottom"/>
            <w:hideMark/>
          </w:tcPr>
          <w:p w14:paraId="46C2E069" w14:textId="77777777" w:rsidR="00E713CB" w:rsidRPr="00B13B9A" w:rsidRDefault="00E713CB" w:rsidP="00B00556">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2022</w:t>
            </w:r>
          </w:p>
        </w:tc>
        <w:tc>
          <w:tcPr>
            <w:tcW w:w="1871" w:type="dxa"/>
            <w:shd w:val="clear" w:color="auto" w:fill="auto"/>
            <w:noWrap/>
            <w:vAlign w:val="bottom"/>
            <w:hideMark/>
          </w:tcPr>
          <w:p w14:paraId="3D27EB32"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41 324,6</w:t>
            </w:r>
          </w:p>
        </w:tc>
        <w:tc>
          <w:tcPr>
            <w:tcW w:w="1985" w:type="dxa"/>
            <w:shd w:val="clear" w:color="auto" w:fill="auto"/>
            <w:noWrap/>
            <w:hideMark/>
          </w:tcPr>
          <w:p w14:paraId="3F76A8D8" w14:textId="77777777" w:rsidR="00E713CB" w:rsidRPr="00B13B9A" w:rsidRDefault="00E713CB" w:rsidP="00B00556">
            <w:pPr>
              <w:spacing w:after="0" w:line="240" w:lineRule="auto"/>
              <w:jc w:val="right"/>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8 515,4</w:t>
            </w:r>
          </w:p>
        </w:tc>
        <w:tc>
          <w:tcPr>
            <w:tcW w:w="1982" w:type="dxa"/>
            <w:shd w:val="clear" w:color="auto" w:fill="auto"/>
            <w:noWrap/>
            <w:vAlign w:val="bottom"/>
            <w:hideMark/>
          </w:tcPr>
          <w:p w14:paraId="46382B7A" w14:textId="77777777" w:rsidR="00E713CB" w:rsidRPr="00B13B9A" w:rsidRDefault="00E713CB" w:rsidP="00B00556">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 </w:t>
            </w:r>
          </w:p>
        </w:tc>
        <w:tc>
          <w:tcPr>
            <w:tcW w:w="1108" w:type="dxa"/>
            <w:shd w:val="clear" w:color="auto" w:fill="auto"/>
            <w:noWrap/>
            <w:vAlign w:val="bottom"/>
            <w:hideMark/>
          </w:tcPr>
          <w:p w14:paraId="73E8CC52"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540,6</w:t>
            </w:r>
          </w:p>
        </w:tc>
        <w:tc>
          <w:tcPr>
            <w:tcW w:w="1251" w:type="dxa"/>
            <w:shd w:val="clear" w:color="auto" w:fill="auto"/>
            <w:noWrap/>
            <w:vAlign w:val="bottom"/>
            <w:hideMark/>
          </w:tcPr>
          <w:p w14:paraId="44F3604C"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50 380,6</w:t>
            </w:r>
          </w:p>
        </w:tc>
      </w:tr>
      <w:tr w:rsidR="00E713CB" w:rsidRPr="00B13B9A" w14:paraId="769684D2" w14:textId="77777777" w:rsidTr="004C3370">
        <w:trPr>
          <w:trHeight w:val="288"/>
        </w:trPr>
        <w:tc>
          <w:tcPr>
            <w:tcW w:w="1271" w:type="dxa"/>
            <w:shd w:val="clear" w:color="auto" w:fill="auto"/>
            <w:noWrap/>
            <w:vAlign w:val="bottom"/>
            <w:hideMark/>
          </w:tcPr>
          <w:p w14:paraId="7CD9977B" w14:textId="4EADCF8B" w:rsidR="00E713CB" w:rsidRPr="00B13B9A" w:rsidRDefault="00E713CB" w:rsidP="008A44B8">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2023</w:t>
            </w:r>
            <w:r w:rsidR="00753A58" w:rsidRPr="00B13B9A">
              <w:rPr>
                <w:rFonts w:asciiTheme="majorHAnsi" w:eastAsia="Times New Roman" w:hAnsiTheme="majorHAnsi" w:cstheme="majorHAnsi"/>
                <w:color w:val="000000"/>
                <w:sz w:val="20"/>
                <w:szCs w:val="20"/>
                <w:lang w:val="ro-MD"/>
              </w:rPr>
              <w:t xml:space="preserve"> (6 </w:t>
            </w:r>
            <w:r w:rsidR="008A44B8">
              <w:rPr>
                <w:rFonts w:asciiTheme="majorHAnsi" w:eastAsia="Times New Roman" w:hAnsiTheme="majorHAnsi" w:cstheme="majorHAnsi"/>
                <w:color w:val="000000"/>
                <w:sz w:val="20"/>
                <w:szCs w:val="20"/>
                <w:lang w:val="ru-RU"/>
              </w:rPr>
              <w:t>месяцев</w:t>
            </w:r>
            <w:r w:rsidR="00753A58" w:rsidRPr="00B13B9A">
              <w:rPr>
                <w:rFonts w:asciiTheme="majorHAnsi" w:eastAsia="Times New Roman" w:hAnsiTheme="majorHAnsi" w:cstheme="majorHAnsi"/>
                <w:color w:val="000000"/>
                <w:sz w:val="20"/>
                <w:szCs w:val="20"/>
                <w:lang w:val="ro-MD"/>
              </w:rPr>
              <w:t>)</w:t>
            </w:r>
          </w:p>
        </w:tc>
        <w:tc>
          <w:tcPr>
            <w:tcW w:w="1871" w:type="dxa"/>
            <w:shd w:val="clear" w:color="auto" w:fill="auto"/>
            <w:noWrap/>
            <w:vAlign w:val="bottom"/>
            <w:hideMark/>
          </w:tcPr>
          <w:p w14:paraId="4295440B"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20 292,0</w:t>
            </w:r>
          </w:p>
        </w:tc>
        <w:tc>
          <w:tcPr>
            <w:tcW w:w="1985" w:type="dxa"/>
            <w:shd w:val="clear" w:color="auto" w:fill="auto"/>
            <w:noWrap/>
            <w:vAlign w:val="bottom"/>
            <w:hideMark/>
          </w:tcPr>
          <w:p w14:paraId="7360254C"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3 353,7</w:t>
            </w:r>
          </w:p>
        </w:tc>
        <w:tc>
          <w:tcPr>
            <w:tcW w:w="1982" w:type="dxa"/>
            <w:shd w:val="clear" w:color="auto" w:fill="auto"/>
            <w:noWrap/>
            <w:vAlign w:val="bottom"/>
            <w:hideMark/>
          </w:tcPr>
          <w:p w14:paraId="4A83C381" w14:textId="77777777" w:rsidR="00E713CB" w:rsidRPr="00B13B9A" w:rsidRDefault="00E713CB" w:rsidP="00B00556">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 </w:t>
            </w:r>
          </w:p>
        </w:tc>
        <w:tc>
          <w:tcPr>
            <w:tcW w:w="1108" w:type="dxa"/>
            <w:shd w:val="clear" w:color="auto" w:fill="auto"/>
            <w:noWrap/>
            <w:vAlign w:val="bottom"/>
            <w:hideMark/>
          </w:tcPr>
          <w:p w14:paraId="3BEFFF1C"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60,5</w:t>
            </w:r>
          </w:p>
        </w:tc>
        <w:tc>
          <w:tcPr>
            <w:tcW w:w="1251" w:type="dxa"/>
            <w:shd w:val="clear" w:color="auto" w:fill="auto"/>
            <w:noWrap/>
            <w:vAlign w:val="bottom"/>
            <w:hideMark/>
          </w:tcPr>
          <w:p w14:paraId="011AA773"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23 706,1</w:t>
            </w:r>
          </w:p>
        </w:tc>
      </w:tr>
      <w:tr w:rsidR="00E713CB" w:rsidRPr="00B13B9A" w14:paraId="496BB310" w14:textId="77777777" w:rsidTr="004C3370">
        <w:trPr>
          <w:trHeight w:val="288"/>
        </w:trPr>
        <w:tc>
          <w:tcPr>
            <w:tcW w:w="1271" w:type="dxa"/>
            <w:shd w:val="clear" w:color="auto" w:fill="auto"/>
            <w:noWrap/>
            <w:vAlign w:val="bottom"/>
            <w:hideMark/>
          </w:tcPr>
          <w:p w14:paraId="07726647" w14:textId="7EF20B7C" w:rsidR="00E713CB" w:rsidRPr="008A44B8" w:rsidRDefault="008A44B8" w:rsidP="00B00556">
            <w:pPr>
              <w:spacing w:after="0" w:line="240" w:lineRule="auto"/>
              <w:jc w:val="center"/>
              <w:rPr>
                <w:rFonts w:asciiTheme="majorHAnsi" w:eastAsia="Times New Roman" w:hAnsiTheme="majorHAnsi" w:cstheme="majorHAnsi"/>
                <w:color w:val="000000"/>
                <w:sz w:val="20"/>
                <w:szCs w:val="20"/>
                <w:lang w:val="ru-RU"/>
              </w:rPr>
            </w:pPr>
            <w:r>
              <w:rPr>
                <w:rFonts w:asciiTheme="majorHAnsi" w:eastAsia="Times New Roman" w:hAnsiTheme="majorHAnsi" w:cstheme="majorHAnsi"/>
                <w:color w:val="000000"/>
                <w:sz w:val="20"/>
                <w:szCs w:val="20"/>
                <w:lang w:val="ru-RU"/>
              </w:rPr>
              <w:t>Всего</w:t>
            </w:r>
          </w:p>
        </w:tc>
        <w:tc>
          <w:tcPr>
            <w:tcW w:w="1871" w:type="dxa"/>
            <w:shd w:val="clear" w:color="auto" w:fill="auto"/>
            <w:noWrap/>
            <w:vAlign w:val="bottom"/>
            <w:hideMark/>
          </w:tcPr>
          <w:p w14:paraId="4ACA65B8"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99 454,1</w:t>
            </w:r>
          </w:p>
        </w:tc>
        <w:tc>
          <w:tcPr>
            <w:tcW w:w="1985" w:type="dxa"/>
            <w:shd w:val="clear" w:color="auto" w:fill="auto"/>
            <w:noWrap/>
            <w:vAlign w:val="bottom"/>
            <w:hideMark/>
          </w:tcPr>
          <w:p w14:paraId="51AD18F6"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17 278,1</w:t>
            </w:r>
          </w:p>
        </w:tc>
        <w:tc>
          <w:tcPr>
            <w:tcW w:w="1982" w:type="dxa"/>
            <w:shd w:val="clear" w:color="auto" w:fill="auto"/>
            <w:noWrap/>
            <w:vAlign w:val="bottom"/>
            <w:hideMark/>
          </w:tcPr>
          <w:p w14:paraId="78A37C64"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139,5</w:t>
            </w:r>
          </w:p>
        </w:tc>
        <w:tc>
          <w:tcPr>
            <w:tcW w:w="1108" w:type="dxa"/>
            <w:shd w:val="clear" w:color="auto" w:fill="auto"/>
            <w:noWrap/>
            <w:vAlign w:val="bottom"/>
            <w:hideMark/>
          </w:tcPr>
          <w:p w14:paraId="32E7FF2A"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1 014,7</w:t>
            </w:r>
          </w:p>
        </w:tc>
        <w:tc>
          <w:tcPr>
            <w:tcW w:w="1251" w:type="dxa"/>
            <w:shd w:val="clear" w:color="auto" w:fill="auto"/>
            <w:noWrap/>
            <w:vAlign w:val="bottom"/>
            <w:hideMark/>
          </w:tcPr>
          <w:p w14:paraId="0934CB66"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117 886,4</w:t>
            </w:r>
          </w:p>
        </w:tc>
      </w:tr>
    </w:tbl>
    <w:p w14:paraId="43C150B1" w14:textId="58BD6254" w:rsidR="00E713CB" w:rsidRPr="00B13B9A" w:rsidRDefault="00FE6601" w:rsidP="00E713CB">
      <w:pPr>
        <w:pStyle w:val="cn"/>
        <w:spacing w:line="276" w:lineRule="auto"/>
        <w:ind w:right="71"/>
        <w:jc w:val="both"/>
        <w:rPr>
          <w:rFonts w:asciiTheme="majorHAnsi" w:eastAsiaTheme="minorHAnsi" w:hAnsiTheme="majorHAnsi" w:cstheme="minorHAnsi"/>
          <w:i/>
          <w:sz w:val="20"/>
          <w:szCs w:val="20"/>
          <w:lang w:val="ro-MD" w:eastAsia="en-US"/>
        </w:rPr>
      </w:pPr>
      <w:r>
        <w:rPr>
          <w:rFonts w:asciiTheme="majorHAnsi" w:eastAsiaTheme="minorHAnsi" w:hAnsiTheme="majorHAnsi" w:cstheme="minorHAnsi"/>
          <w:b/>
          <w:i/>
          <w:sz w:val="20"/>
          <w:szCs w:val="20"/>
          <w:lang w:val="ro-MD" w:eastAsia="en-US"/>
        </w:rPr>
        <w:t>Источник</w:t>
      </w:r>
      <w:r w:rsidR="00E713CB" w:rsidRPr="00B13B9A">
        <w:rPr>
          <w:rFonts w:asciiTheme="majorHAnsi" w:eastAsiaTheme="minorHAnsi" w:hAnsiTheme="majorHAnsi" w:cstheme="minorHAnsi"/>
          <w:b/>
          <w:i/>
          <w:sz w:val="20"/>
          <w:szCs w:val="20"/>
          <w:lang w:val="ro-MD" w:eastAsia="en-US"/>
        </w:rPr>
        <w:t>:</w:t>
      </w:r>
      <w:r w:rsidR="00E713CB" w:rsidRPr="00B13B9A">
        <w:rPr>
          <w:rFonts w:asciiTheme="majorHAnsi" w:eastAsiaTheme="minorHAnsi" w:hAnsiTheme="majorHAnsi" w:cstheme="minorHAnsi"/>
          <w:i/>
          <w:sz w:val="20"/>
          <w:szCs w:val="20"/>
          <w:lang w:val="ro-MD" w:eastAsia="en-US"/>
        </w:rPr>
        <w:t xml:space="preserve"> </w:t>
      </w:r>
      <w:r w:rsidR="00A66F8A">
        <w:rPr>
          <w:rFonts w:asciiTheme="majorHAnsi" w:eastAsiaTheme="minorHAnsi" w:hAnsiTheme="majorHAnsi" w:cstheme="minorHAnsi"/>
          <w:i/>
          <w:sz w:val="20"/>
          <w:szCs w:val="20"/>
          <w:lang w:val="ro-MD" w:eastAsia="en-US"/>
        </w:rPr>
        <w:t>Бухгалтерский учет</w:t>
      </w:r>
      <w:r w:rsidR="008A44B8" w:rsidRPr="001924A7">
        <w:rPr>
          <w:rFonts w:asciiTheme="majorHAnsi" w:eastAsiaTheme="minorHAnsi" w:hAnsiTheme="majorHAnsi" w:cstheme="minorHAnsi"/>
          <w:i/>
          <w:sz w:val="20"/>
          <w:szCs w:val="20"/>
          <w:lang w:eastAsia="en-US"/>
        </w:rPr>
        <w:t xml:space="preserve"> </w:t>
      </w:r>
      <w:r w:rsidR="008A44B8">
        <w:rPr>
          <w:rFonts w:asciiTheme="majorHAnsi" w:hAnsiTheme="majorHAnsi" w:cstheme="majorHAnsi"/>
          <w:i/>
          <w:color w:val="000000" w:themeColor="text1"/>
          <w:sz w:val="20"/>
          <w:szCs w:val="20"/>
        </w:rPr>
        <w:t>ПМСУ</w:t>
      </w:r>
      <w:r w:rsidR="008A44B8" w:rsidRPr="001924A7">
        <w:rPr>
          <w:rFonts w:asciiTheme="majorHAnsi" w:hAnsiTheme="majorHAnsi" w:cstheme="majorHAnsi"/>
          <w:i/>
          <w:color w:val="000000" w:themeColor="text1"/>
          <w:sz w:val="20"/>
          <w:szCs w:val="20"/>
        </w:rPr>
        <w:t xml:space="preserve"> </w:t>
      </w:r>
      <w:r w:rsidR="008A44B8">
        <w:rPr>
          <w:rFonts w:asciiTheme="majorHAnsi" w:hAnsiTheme="majorHAnsi" w:cstheme="majorHAnsi"/>
          <w:i/>
          <w:color w:val="000000" w:themeColor="text1"/>
          <w:sz w:val="20"/>
          <w:szCs w:val="20"/>
        </w:rPr>
        <w:t>ИФП</w:t>
      </w:r>
      <w:r w:rsidR="00F431A2" w:rsidRPr="00B13B9A">
        <w:rPr>
          <w:rFonts w:asciiTheme="majorHAnsi" w:hAnsiTheme="majorHAnsi" w:cstheme="majorHAnsi"/>
          <w:i/>
          <w:color w:val="000000" w:themeColor="text1"/>
          <w:sz w:val="20"/>
          <w:szCs w:val="20"/>
          <w:lang w:val="ro-MD"/>
        </w:rPr>
        <w:t xml:space="preserve"> </w:t>
      </w:r>
      <w:r w:rsidR="001924A7">
        <w:rPr>
          <w:rFonts w:asciiTheme="majorHAnsi" w:hAnsiTheme="majorHAnsi" w:cstheme="majorHAnsi"/>
          <w:i/>
          <w:sz w:val="20"/>
          <w:szCs w:val="20"/>
          <w:lang w:val="ro-MD"/>
        </w:rPr>
        <w:t>«Кирилл Драганюк”</w:t>
      </w:r>
      <w:r w:rsidR="00B36240" w:rsidRPr="00B13B9A">
        <w:rPr>
          <w:rFonts w:asciiTheme="majorHAnsi" w:hAnsiTheme="majorHAnsi" w:cstheme="majorHAnsi"/>
          <w:i/>
          <w:sz w:val="20"/>
          <w:szCs w:val="20"/>
          <w:lang w:val="ro-MD"/>
        </w:rPr>
        <w:t>.</w:t>
      </w:r>
    </w:p>
    <w:p w14:paraId="6A417502" w14:textId="77777777" w:rsidR="00E713CB" w:rsidRPr="00B13B9A" w:rsidRDefault="00E713CB" w:rsidP="00E713CB">
      <w:pPr>
        <w:pStyle w:val="cn"/>
        <w:spacing w:line="276" w:lineRule="auto"/>
        <w:ind w:right="71"/>
        <w:jc w:val="both"/>
        <w:rPr>
          <w:rFonts w:asciiTheme="majorHAnsi" w:eastAsiaTheme="minorHAnsi" w:hAnsiTheme="majorHAnsi" w:cstheme="minorHAnsi"/>
          <w:lang w:val="ro-MD" w:eastAsia="en-US"/>
        </w:rPr>
      </w:pPr>
    </w:p>
    <w:p w14:paraId="6C32BE57" w14:textId="40C3F7A8" w:rsidR="00E713CB" w:rsidRPr="00B13B9A" w:rsidRDefault="00B85388" w:rsidP="00E713CB">
      <w:pPr>
        <w:pStyle w:val="cn"/>
        <w:spacing w:line="276" w:lineRule="auto"/>
        <w:ind w:right="71"/>
        <w:jc w:val="both"/>
        <w:rPr>
          <w:rFonts w:asciiTheme="majorHAnsi" w:eastAsiaTheme="minorHAnsi" w:hAnsiTheme="majorHAnsi" w:cstheme="minorHAnsi"/>
          <w:lang w:val="ro-MD" w:eastAsia="en-US"/>
        </w:rPr>
      </w:pPr>
      <w:r w:rsidRPr="00B85388">
        <w:rPr>
          <w:rFonts w:asciiTheme="majorHAnsi" w:eastAsiaTheme="minorHAnsi" w:hAnsiTheme="majorHAnsi" w:cstheme="minorHAnsi"/>
          <w:lang w:val="ro-MD" w:eastAsia="en-US"/>
        </w:rPr>
        <w:t xml:space="preserve">Что касается учета пожертвований (субсидий), отмечается, что после получения оборотные активы регистрируются как текущий ожидаемый доход (535), а </w:t>
      </w:r>
      <w:r w:rsidR="009A229C">
        <w:rPr>
          <w:rFonts w:asciiTheme="majorHAnsi" w:eastAsiaTheme="minorHAnsi" w:hAnsiTheme="majorHAnsi" w:cstheme="minorHAnsi"/>
          <w:lang w:eastAsia="en-US"/>
        </w:rPr>
        <w:t>согласно НСБУ</w:t>
      </w:r>
      <w:r w:rsidRPr="00B85388">
        <w:rPr>
          <w:rFonts w:asciiTheme="majorHAnsi" w:eastAsiaTheme="minorHAnsi" w:hAnsiTheme="majorHAnsi" w:cstheme="minorHAnsi"/>
          <w:lang w:val="ro-MD" w:eastAsia="en-US"/>
        </w:rPr>
        <w:t xml:space="preserve"> „</w:t>
      </w:r>
      <w:r w:rsidR="009A229C">
        <w:rPr>
          <w:rFonts w:asciiTheme="majorHAnsi" w:eastAsiaTheme="minorHAnsi" w:hAnsiTheme="majorHAnsi" w:cstheme="minorHAnsi"/>
          <w:lang w:eastAsia="en-US"/>
        </w:rPr>
        <w:t>Д</w:t>
      </w:r>
      <w:r w:rsidRPr="00B85388">
        <w:rPr>
          <w:rFonts w:asciiTheme="majorHAnsi" w:eastAsiaTheme="minorHAnsi" w:hAnsiTheme="majorHAnsi" w:cstheme="minorHAnsi"/>
          <w:lang w:val="ro-MD" w:eastAsia="en-US"/>
        </w:rPr>
        <w:t>оход</w:t>
      </w:r>
      <w:r w:rsidR="009A229C">
        <w:rPr>
          <w:rFonts w:asciiTheme="majorHAnsi" w:eastAsiaTheme="minorHAnsi" w:hAnsiTheme="majorHAnsi" w:cstheme="minorHAnsi"/>
          <w:lang w:eastAsia="en-US"/>
        </w:rPr>
        <w:t>ы</w:t>
      </w:r>
      <w:r w:rsidRPr="00B85388">
        <w:rPr>
          <w:rFonts w:asciiTheme="majorHAnsi" w:eastAsiaTheme="minorHAnsi" w:hAnsiTheme="majorHAnsi" w:cstheme="minorHAnsi"/>
          <w:lang w:val="ro-MD" w:eastAsia="en-US"/>
        </w:rPr>
        <w:t>” (</w:t>
      </w:r>
      <w:r w:rsidR="009A229C">
        <w:rPr>
          <w:rFonts w:asciiTheme="majorHAnsi" w:eastAsiaTheme="minorHAnsi" w:hAnsiTheme="majorHAnsi" w:cstheme="minorHAnsi"/>
          <w:lang w:eastAsia="en-US"/>
        </w:rPr>
        <w:t>п</w:t>
      </w:r>
      <w:r w:rsidRPr="00B85388">
        <w:rPr>
          <w:rFonts w:asciiTheme="majorHAnsi" w:eastAsiaTheme="minorHAnsi" w:hAnsiTheme="majorHAnsi" w:cstheme="minorHAnsi"/>
          <w:lang w:val="ro-MD" w:eastAsia="en-US"/>
        </w:rPr>
        <w:t xml:space="preserve">.10), доходы и расходы связанные с </w:t>
      </w:r>
      <w:r w:rsidR="009A229C">
        <w:rPr>
          <w:rFonts w:asciiTheme="majorHAnsi" w:eastAsiaTheme="minorHAnsi" w:hAnsiTheme="majorHAnsi" w:cstheme="minorHAnsi"/>
          <w:lang w:eastAsia="en-US"/>
        </w:rPr>
        <w:t>одни</w:t>
      </w:r>
      <w:r w:rsidRPr="00B85388">
        <w:rPr>
          <w:rFonts w:asciiTheme="majorHAnsi" w:eastAsiaTheme="minorHAnsi" w:hAnsiTheme="majorHAnsi" w:cstheme="minorHAnsi"/>
          <w:lang w:val="ro-MD" w:eastAsia="en-US"/>
        </w:rPr>
        <w:t xml:space="preserve">ми и теми же экономическими фактами признаются в тот же </w:t>
      </w:r>
      <w:r w:rsidR="009A229C">
        <w:rPr>
          <w:rFonts w:asciiTheme="majorHAnsi" w:eastAsiaTheme="minorHAnsi" w:hAnsiTheme="majorHAnsi" w:cstheme="minorHAnsi"/>
          <w:lang w:eastAsia="en-US"/>
        </w:rPr>
        <w:t xml:space="preserve">отчетный </w:t>
      </w:r>
      <w:r w:rsidRPr="00B85388">
        <w:rPr>
          <w:rFonts w:asciiTheme="majorHAnsi" w:eastAsiaTheme="minorHAnsi" w:hAnsiTheme="majorHAnsi" w:cstheme="minorHAnsi"/>
          <w:lang w:val="ro-MD" w:eastAsia="en-US"/>
        </w:rPr>
        <w:t xml:space="preserve">период, и согласно </w:t>
      </w:r>
      <w:r w:rsidR="009A229C">
        <w:rPr>
          <w:rFonts w:asciiTheme="majorHAnsi" w:eastAsiaTheme="minorHAnsi" w:hAnsiTheme="majorHAnsi" w:cstheme="minorHAnsi"/>
          <w:lang w:eastAsia="en-US"/>
        </w:rPr>
        <w:t>законодательн</w:t>
      </w:r>
      <w:r w:rsidRPr="00B85388">
        <w:rPr>
          <w:rFonts w:asciiTheme="majorHAnsi" w:eastAsiaTheme="minorHAnsi" w:hAnsiTheme="majorHAnsi" w:cstheme="minorHAnsi"/>
          <w:lang w:val="ro-MD" w:eastAsia="en-US"/>
        </w:rPr>
        <w:t>ой базе</w:t>
      </w:r>
      <w:r w:rsidR="009A229C" w:rsidRPr="00B13B9A">
        <w:rPr>
          <w:rStyle w:val="a9"/>
          <w:rFonts w:asciiTheme="majorHAnsi" w:eastAsiaTheme="minorHAnsi" w:hAnsiTheme="majorHAnsi" w:cstheme="minorHAnsi"/>
          <w:sz w:val="24"/>
          <w:lang w:val="ro-MD" w:eastAsia="en-US"/>
        </w:rPr>
        <w:footnoteReference w:id="71"/>
      </w:r>
      <w:r w:rsidR="009A229C">
        <w:rPr>
          <w:rFonts w:asciiTheme="majorHAnsi" w:eastAsiaTheme="minorHAnsi" w:hAnsiTheme="majorHAnsi" w:cstheme="minorHAnsi"/>
          <w:lang w:eastAsia="en-US"/>
        </w:rPr>
        <w:t>,</w:t>
      </w:r>
      <w:r w:rsidRPr="00B85388">
        <w:rPr>
          <w:rFonts w:asciiTheme="majorHAnsi" w:eastAsiaTheme="minorHAnsi" w:hAnsiTheme="majorHAnsi" w:cstheme="minorHAnsi"/>
          <w:lang w:val="ro-MD" w:eastAsia="en-US"/>
        </w:rPr>
        <w:t xml:space="preserve"> экономические факты регистрируются </w:t>
      </w:r>
      <w:r w:rsidR="009A229C">
        <w:rPr>
          <w:rFonts w:asciiTheme="majorHAnsi" w:eastAsiaTheme="minorHAnsi" w:hAnsiTheme="majorHAnsi" w:cstheme="minorHAnsi"/>
          <w:lang w:eastAsia="en-US"/>
        </w:rPr>
        <w:t>на</w:t>
      </w:r>
      <w:r w:rsidRPr="00B85388">
        <w:rPr>
          <w:rFonts w:asciiTheme="majorHAnsi" w:eastAsiaTheme="minorHAnsi" w:hAnsiTheme="majorHAnsi" w:cstheme="minorHAnsi"/>
          <w:lang w:val="ro-MD" w:eastAsia="en-US"/>
        </w:rPr>
        <w:t xml:space="preserve"> </w:t>
      </w:r>
      <w:r w:rsidR="009A229C">
        <w:rPr>
          <w:rFonts w:asciiTheme="majorHAnsi" w:eastAsiaTheme="minorHAnsi" w:hAnsiTheme="majorHAnsi" w:cstheme="minorHAnsi"/>
          <w:lang w:eastAsia="en-US"/>
        </w:rPr>
        <w:t>основан</w:t>
      </w:r>
      <w:r w:rsidRPr="00B85388">
        <w:rPr>
          <w:rFonts w:asciiTheme="majorHAnsi" w:eastAsiaTheme="minorHAnsi" w:hAnsiTheme="majorHAnsi" w:cstheme="minorHAnsi"/>
          <w:lang w:val="ro-MD" w:eastAsia="en-US"/>
        </w:rPr>
        <w:t xml:space="preserve">ии </w:t>
      </w:r>
      <w:r w:rsidR="009A229C">
        <w:rPr>
          <w:rFonts w:asciiTheme="majorHAnsi" w:eastAsiaTheme="minorHAnsi" w:hAnsiTheme="majorHAnsi" w:cstheme="minorHAnsi"/>
          <w:lang w:eastAsia="en-US"/>
        </w:rPr>
        <w:t>п</w:t>
      </w:r>
      <w:r w:rsidRPr="00B85388">
        <w:rPr>
          <w:rFonts w:asciiTheme="majorHAnsi" w:eastAsiaTheme="minorHAnsi" w:hAnsiTheme="majorHAnsi" w:cstheme="minorHAnsi"/>
          <w:lang w:val="ro-MD" w:eastAsia="en-US"/>
        </w:rPr>
        <w:t>ервичны</w:t>
      </w:r>
      <w:r w:rsidR="009A229C">
        <w:rPr>
          <w:rFonts w:asciiTheme="majorHAnsi" w:eastAsiaTheme="minorHAnsi" w:hAnsiTheme="majorHAnsi" w:cstheme="minorHAnsi"/>
          <w:lang w:eastAsia="en-US"/>
        </w:rPr>
        <w:t>х</w:t>
      </w:r>
      <w:r w:rsidRPr="00B85388">
        <w:rPr>
          <w:rFonts w:asciiTheme="majorHAnsi" w:eastAsiaTheme="minorHAnsi" w:hAnsiTheme="majorHAnsi" w:cstheme="minorHAnsi"/>
          <w:lang w:val="ro-MD" w:eastAsia="en-US"/>
        </w:rPr>
        <w:t xml:space="preserve"> документ</w:t>
      </w:r>
      <w:r w:rsidR="009A229C">
        <w:rPr>
          <w:rFonts w:asciiTheme="majorHAnsi" w:eastAsiaTheme="minorHAnsi" w:hAnsiTheme="majorHAnsi" w:cstheme="minorHAnsi"/>
          <w:lang w:eastAsia="en-US"/>
        </w:rPr>
        <w:t>ов</w:t>
      </w:r>
      <w:r w:rsidRPr="00B85388">
        <w:rPr>
          <w:rFonts w:asciiTheme="majorHAnsi" w:eastAsiaTheme="minorHAnsi" w:hAnsiTheme="majorHAnsi" w:cstheme="minorHAnsi"/>
          <w:lang w:val="ro-MD" w:eastAsia="en-US"/>
        </w:rPr>
        <w:t>. Так, аудит</w:t>
      </w:r>
      <w:r w:rsidR="009A229C">
        <w:rPr>
          <w:rFonts w:asciiTheme="majorHAnsi" w:eastAsiaTheme="minorHAnsi" w:hAnsiTheme="majorHAnsi" w:cstheme="minorHAnsi"/>
          <w:lang w:eastAsia="en-US"/>
        </w:rPr>
        <w:t>ом установлено</w:t>
      </w:r>
      <w:r w:rsidRPr="00B85388">
        <w:rPr>
          <w:rFonts w:asciiTheme="majorHAnsi" w:eastAsiaTheme="minorHAnsi" w:hAnsiTheme="majorHAnsi" w:cstheme="minorHAnsi"/>
          <w:lang w:val="ro-MD" w:eastAsia="en-US"/>
        </w:rPr>
        <w:t xml:space="preserve">, что </w:t>
      </w:r>
      <w:r w:rsidR="009A229C">
        <w:rPr>
          <w:rFonts w:asciiTheme="majorHAnsi" w:eastAsiaTheme="minorHAnsi" w:hAnsiTheme="majorHAnsi" w:cstheme="minorHAnsi"/>
          <w:lang w:eastAsia="en-US"/>
        </w:rPr>
        <w:t>после</w:t>
      </w:r>
      <w:r w:rsidRPr="00B85388">
        <w:rPr>
          <w:rFonts w:asciiTheme="majorHAnsi" w:eastAsiaTheme="minorHAnsi" w:hAnsiTheme="majorHAnsi" w:cstheme="minorHAnsi"/>
          <w:lang w:val="ro-MD" w:eastAsia="en-US"/>
        </w:rPr>
        <w:t xml:space="preserve"> использовани</w:t>
      </w:r>
      <w:r w:rsidR="009A229C">
        <w:rPr>
          <w:rFonts w:asciiTheme="majorHAnsi" w:eastAsiaTheme="minorHAnsi" w:hAnsiTheme="majorHAnsi" w:cstheme="minorHAnsi"/>
          <w:lang w:eastAsia="en-US"/>
        </w:rPr>
        <w:t>я</w:t>
      </w:r>
      <w:r w:rsidRPr="00B85388">
        <w:rPr>
          <w:rFonts w:asciiTheme="majorHAnsi" w:eastAsiaTheme="minorHAnsi" w:hAnsiTheme="majorHAnsi" w:cstheme="minorHAnsi"/>
          <w:lang w:val="ro-MD" w:eastAsia="en-US"/>
        </w:rPr>
        <w:t xml:space="preserve"> текущих активов, </w:t>
      </w:r>
      <w:r w:rsidR="009A229C">
        <w:rPr>
          <w:rFonts w:asciiTheme="majorHAnsi" w:eastAsiaTheme="minorHAnsi" w:hAnsiTheme="majorHAnsi" w:cstheme="minorHAnsi"/>
          <w:lang w:eastAsia="en-US"/>
        </w:rPr>
        <w:t>в основном на медикаменты</w:t>
      </w:r>
      <w:r w:rsidRPr="00B85388">
        <w:rPr>
          <w:rFonts w:asciiTheme="majorHAnsi" w:eastAsiaTheme="minorHAnsi" w:hAnsiTheme="majorHAnsi" w:cstheme="minorHAnsi"/>
          <w:lang w:val="ro-MD" w:eastAsia="en-US"/>
        </w:rPr>
        <w:t>, поступ</w:t>
      </w:r>
      <w:r w:rsidR="009A229C">
        <w:rPr>
          <w:rFonts w:asciiTheme="majorHAnsi" w:eastAsiaTheme="minorHAnsi" w:hAnsiTheme="majorHAnsi" w:cstheme="minorHAnsi"/>
          <w:lang w:eastAsia="en-US"/>
        </w:rPr>
        <w:t>ивших</w:t>
      </w:r>
      <w:r w:rsidRPr="00B85388">
        <w:rPr>
          <w:rFonts w:asciiTheme="majorHAnsi" w:eastAsiaTheme="minorHAnsi" w:hAnsiTheme="majorHAnsi" w:cstheme="minorHAnsi"/>
          <w:lang w:val="ro-MD" w:eastAsia="en-US"/>
        </w:rPr>
        <w:t xml:space="preserve"> от пожертвований, в течение 2021-2022 годов </w:t>
      </w:r>
      <w:r w:rsidR="00C10BD2">
        <w:rPr>
          <w:rFonts w:asciiTheme="majorHAnsi" w:eastAsiaTheme="minorHAnsi" w:hAnsiTheme="majorHAnsi" w:cstheme="minorHAnsi"/>
          <w:lang w:val="ro-MD" w:eastAsia="en-US"/>
        </w:rPr>
        <w:t>субъект</w:t>
      </w:r>
      <w:r w:rsidRPr="00B85388">
        <w:rPr>
          <w:rFonts w:asciiTheme="majorHAnsi" w:eastAsiaTheme="minorHAnsi" w:hAnsiTheme="majorHAnsi" w:cstheme="minorHAnsi"/>
          <w:lang w:val="ro-MD" w:eastAsia="en-US"/>
        </w:rPr>
        <w:t xml:space="preserve"> признает </w:t>
      </w:r>
      <w:r w:rsidR="009A229C">
        <w:rPr>
          <w:rFonts w:asciiTheme="majorHAnsi" w:eastAsiaTheme="minorHAnsi" w:hAnsiTheme="majorHAnsi" w:cstheme="minorHAnsi"/>
          <w:lang w:eastAsia="en-US"/>
        </w:rPr>
        <w:t>соответствующие</w:t>
      </w:r>
      <w:r w:rsidRPr="00B85388">
        <w:rPr>
          <w:rFonts w:asciiTheme="majorHAnsi" w:eastAsiaTheme="minorHAnsi" w:hAnsiTheme="majorHAnsi" w:cstheme="minorHAnsi"/>
          <w:lang w:val="ro-MD" w:eastAsia="en-US"/>
        </w:rPr>
        <w:t xml:space="preserve"> расходы ежемесячно, </w:t>
      </w:r>
      <w:r w:rsidR="009A229C">
        <w:rPr>
          <w:rFonts w:asciiTheme="majorHAnsi" w:eastAsiaTheme="minorHAnsi" w:hAnsiTheme="majorHAnsi" w:cstheme="minorHAnsi"/>
          <w:lang w:eastAsia="en-US"/>
        </w:rPr>
        <w:t>без</w:t>
      </w:r>
      <w:r w:rsidRPr="00B85388">
        <w:rPr>
          <w:rFonts w:asciiTheme="majorHAnsi" w:eastAsiaTheme="minorHAnsi" w:hAnsiTheme="majorHAnsi" w:cstheme="minorHAnsi"/>
          <w:lang w:val="ro-MD" w:eastAsia="en-US"/>
        </w:rPr>
        <w:t xml:space="preserve"> одновременно</w:t>
      </w:r>
      <w:r w:rsidR="009A229C">
        <w:rPr>
          <w:rFonts w:asciiTheme="majorHAnsi" w:eastAsiaTheme="minorHAnsi" w:hAnsiTheme="majorHAnsi" w:cstheme="minorHAnsi"/>
          <w:lang w:eastAsia="en-US"/>
        </w:rPr>
        <w:t>го</w:t>
      </w:r>
      <w:r w:rsidRPr="00B85388">
        <w:rPr>
          <w:rFonts w:asciiTheme="majorHAnsi" w:eastAsiaTheme="minorHAnsi" w:hAnsiTheme="majorHAnsi" w:cstheme="minorHAnsi"/>
          <w:lang w:val="ro-MD" w:eastAsia="en-US"/>
        </w:rPr>
        <w:t xml:space="preserve"> отраж</w:t>
      </w:r>
      <w:r w:rsidR="009A229C">
        <w:rPr>
          <w:rFonts w:asciiTheme="majorHAnsi" w:eastAsiaTheme="minorHAnsi" w:hAnsiTheme="majorHAnsi" w:cstheme="minorHAnsi"/>
          <w:lang w:eastAsia="en-US"/>
        </w:rPr>
        <w:t>ения</w:t>
      </w:r>
      <w:r w:rsidRPr="00B85388">
        <w:rPr>
          <w:rFonts w:asciiTheme="majorHAnsi" w:eastAsiaTheme="minorHAnsi" w:hAnsiTheme="majorHAnsi" w:cstheme="minorHAnsi"/>
          <w:lang w:val="ro-MD" w:eastAsia="en-US"/>
        </w:rPr>
        <w:t xml:space="preserve"> эти</w:t>
      </w:r>
      <w:r w:rsidR="009A229C">
        <w:rPr>
          <w:rFonts w:asciiTheme="majorHAnsi" w:eastAsiaTheme="minorHAnsi" w:hAnsiTheme="majorHAnsi" w:cstheme="minorHAnsi"/>
          <w:lang w:eastAsia="en-US"/>
        </w:rPr>
        <w:t>х</w:t>
      </w:r>
      <w:r w:rsidRPr="00B85388">
        <w:rPr>
          <w:rFonts w:asciiTheme="majorHAnsi" w:eastAsiaTheme="minorHAnsi" w:hAnsiTheme="majorHAnsi" w:cstheme="minorHAnsi"/>
          <w:lang w:val="ro-MD" w:eastAsia="en-US"/>
        </w:rPr>
        <w:t xml:space="preserve"> сумм от ожидаемого дохода </w:t>
      </w:r>
      <w:r w:rsidR="009A229C">
        <w:rPr>
          <w:rFonts w:asciiTheme="majorHAnsi" w:eastAsiaTheme="minorHAnsi" w:hAnsiTheme="majorHAnsi" w:cstheme="minorHAnsi"/>
          <w:lang w:eastAsia="en-US"/>
        </w:rPr>
        <w:t>на</w:t>
      </w:r>
      <w:r w:rsidRPr="00B85388">
        <w:rPr>
          <w:rFonts w:asciiTheme="majorHAnsi" w:eastAsiaTheme="minorHAnsi" w:hAnsiTheme="majorHAnsi" w:cstheme="minorHAnsi"/>
          <w:lang w:val="ro-MD" w:eastAsia="en-US"/>
        </w:rPr>
        <w:t xml:space="preserve"> текущ</w:t>
      </w:r>
      <w:r w:rsidR="009A229C">
        <w:rPr>
          <w:rFonts w:asciiTheme="majorHAnsi" w:eastAsiaTheme="minorHAnsi" w:hAnsiTheme="majorHAnsi" w:cstheme="minorHAnsi"/>
          <w:lang w:eastAsia="en-US"/>
        </w:rPr>
        <w:t>ие</w:t>
      </w:r>
      <w:r w:rsidRPr="00B85388">
        <w:rPr>
          <w:rFonts w:asciiTheme="majorHAnsi" w:eastAsiaTheme="minorHAnsi" w:hAnsiTheme="majorHAnsi" w:cstheme="minorHAnsi"/>
          <w:lang w:val="ro-MD" w:eastAsia="en-US"/>
        </w:rPr>
        <w:t xml:space="preserve"> доход</w:t>
      </w:r>
      <w:r w:rsidR="009A229C">
        <w:rPr>
          <w:rFonts w:asciiTheme="majorHAnsi" w:eastAsiaTheme="minorHAnsi" w:hAnsiTheme="majorHAnsi" w:cstheme="minorHAnsi"/>
          <w:lang w:eastAsia="en-US"/>
        </w:rPr>
        <w:t>ы</w:t>
      </w:r>
      <w:r w:rsidRPr="00B85388">
        <w:rPr>
          <w:rFonts w:asciiTheme="majorHAnsi" w:eastAsiaTheme="minorHAnsi" w:hAnsiTheme="majorHAnsi" w:cstheme="minorHAnsi"/>
          <w:lang w:val="ro-MD" w:eastAsia="en-US"/>
        </w:rPr>
        <w:t xml:space="preserve">. </w:t>
      </w:r>
      <w:r w:rsidR="008E5C91">
        <w:rPr>
          <w:rFonts w:asciiTheme="majorHAnsi" w:eastAsiaTheme="minorHAnsi" w:hAnsiTheme="majorHAnsi" w:cstheme="minorHAnsi"/>
          <w:lang w:eastAsia="en-US"/>
        </w:rPr>
        <w:t>Также</w:t>
      </w:r>
      <w:r w:rsidRPr="00B85388">
        <w:rPr>
          <w:rFonts w:asciiTheme="majorHAnsi" w:eastAsiaTheme="minorHAnsi" w:hAnsiTheme="majorHAnsi" w:cstheme="minorHAnsi"/>
          <w:lang w:val="ro-MD" w:eastAsia="en-US"/>
        </w:rPr>
        <w:t xml:space="preserve"> аудит </w:t>
      </w:r>
      <w:r w:rsidR="008E5C91">
        <w:rPr>
          <w:rFonts w:asciiTheme="majorHAnsi" w:eastAsiaTheme="minorHAnsi" w:hAnsiTheme="majorHAnsi" w:cstheme="minorHAnsi"/>
          <w:lang w:eastAsia="en-US"/>
        </w:rPr>
        <w:t>отмеч</w:t>
      </w:r>
      <w:r w:rsidRPr="00B85388">
        <w:rPr>
          <w:rFonts w:asciiTheme="majorHAnsi" w:eastAsiaTheme="minorHAnsi" w:hAnsiTheme="majorHAnsi" w:cstheme="minorHAnsi"/>
          <w:lang w:val="ro-MD" w:eastAsia="en-US"/>
        </w:rPr>
        <w:t xml:space="preserve">ает, что </w:t>
      </w:r>
      <w:r w:rsidR="008E5C91">
        <w:rPr>
          <w:rFonts w:asciiTheme="majorHAnsi" w:eastAsiaTheme="minorHAnsi" w:hAnsiTheme="majorHAnsi" w:cstheme="minorHAnsi"/>
          <w:lang w:eastAsia="en-US"/>
        </w:rPr>
        <w:t>ПМСУ</w:t>
      </w:r>
      <w:r w:rsidRPr="00B85388">
        <w:rPr>
          <w:rFonts w:asciiTheme="majorHAnsi" w:eastAsiaTheme="minorHAnsi" w:hAnsiTheme="majorHAnsi" w:cstheme="minorHAnsi"/>
          <w:lang w:val="ro-MD" w:eastAsia="en-US"/>
        </w:rPr>
        <w:t xml:space="preserve"> признал</w:t>
      </w:r>
      <w:r w:rsidR="008E5C91">
        <w:rPr>
          <w:rFonts w:asciiTheme="majorHAnsi" w:eastAsiaTheme="minorHAnsi" w:hAnsiTheme="majorHAnsi" w:cstheme="minorHAnsi"/>
          <w:lang w:eastAsia="en-US"/>
        </w:rPr>
        <w:t>о</w:t>
      </w:r>
      <w:r w:rsidRPr="00B85388">
        <w:rPr>
          <w:rFonts w:asciiTheme="majorHAnsi" w:eastAsiaTheme="minorHAnsi" w:hAnsiTheme="majorHAnsi" w:cstheme="minorHAnsi"/>
          <w:lang w:val="ro-MD" w:eastAsia="en-US"/>
        </w:rPr>
        <w:t xml:space="preserve"> текущие доходы, связанные с подаренными товарами, в отсутствие первичных документов. Таким образом, финансовый результат был скорректирован таким образом, чтобы сумма доходов и расходов была равной </w:t>
      </w:r>
      <w:r w:rsidRPr="008E5C91">
        <w:rPr>
          <w:rFonts w:asciiTheme="majorHAnsi" w:eastAsiaTheme="minorHAnsi" w:hAnsiTheme="majorHAnsi" w:cstheme="minorHAnsi"/>
          <w:i/>
          <w:lang w:val="ro-MD" w:eastAsia="en-US"/>
        </w:rPr>
        <w:t xml:space="preserve">(путем ежеквартального отражения </w:t>
      </w:r>
      <w:r w:rsidR="008E5C91" w:rsidRPr="008E5C91">
        <w:rPr>
          <w:rFonts w:asciiTheme="majorHAnsi" w:eastAsiaTheme="minorHAnsi" w:hAnsiTheme="majorHAnsi" w:cstheme="minorHAnsi"/>
          <w:i/>
          <w:lang w:val="ro-MD" w:eastAsia="en-US"/>
        </w:rPr>
        <w:t>на</w:t>
      </w:r>
      <w:r w:rsidRPr="008E5C91">
        <w:rPr>
          <w:rFonts w:asciiTheme="majorHAnsi" w:eastAsiaTheme="minorHAnsi" w:hAnsiTheme="majorHAnsi" w:cstheme="minorHAnsi"/>
          <w:i/>
          <w:lang w:val="ro-MD" w:eastAsia="en-US"/>
        </w:rPr>
        <w:t xml:space="preserve"> текущ</w:t>
      </w:r>
      <w:r w:rsidR="008E5C91" w:rsidRPr="008E5C91">
        <w:rPr>
          <w:rFonts w:asciiTheme="majorHAnsi" w:eastAsiaTheme="minorHAnsi" w:hAnsiTheme="majorHAnsi" w:cstheme="minorHAnsi"/>
          <w:i/>
          <w:lang w:val="ro-MD" w:eastAsia="en-US"/>
        </w:rPr>
        <w:t>ие</w:t>
      </w:r>
      <w:r w:rsidRPr="008E5C91">
        <w:rPr>
          <w:rFonts w:asciiTheme="majorHAnsi" w:eastAsiaTheme="minorHAnsi" w:hAnsiTheme="majorHAnsi" w:cstheme="minorHAnsi"/>
          <w:i/>
          <w:lang w:val="ro-MD" w:eastAsia="en-US"/>
        </w:rPr>
        <w:t xml:space="preserve"> доход</w:t>
      </w:r>
      <w:r w:rsidR="008E5C91" w:rsidRPr="008E5C91">
        <w:rPr>
          <w:rFonts w:asciiTheme="majorHAnsi" w:eastAsiaTheme="minorHAnsi" w:hAnsiTheme="majorHAnsi" w:cstheme="minorHAnsi"/>
          <w:i/>
          <w:lang w:val="ro-MD" w:eastAsia="en-US"/>
        </w:rPr>
        <w:t>ы</w:t>
      </w:r>
      <w:r w:rsidRPr="008E5C91">
        <w:rPr>
          <w:rFonts w:asciiTheme="majorHAnsi" w:eastAsiaTheme="minorHAnsi" w:hAnsiTheme="majorHAnsi" w:cstheme="minorHAnsi"/>
          <w:i/>
          <w:lang w:val="ro-MD" w:eastAsia="en-US"/>
        </w:rPr>
        <w:t xml:space="preserve"> суммы ожидаемого дохода, равной разнице между общей суммой текущего дохода и текущими расходами)</w:t>
      </w:r>
      <w:r w:rsidR="00E713CB" w:rsidRPr="00B13B9A">
        <w:rPr>
          <w:rFonts w:asciiTheme="majorHAnsi" w:eastAsiaTheme="minorHAnsi" w:hAnsiTheme="majorHAnsi" w:cstheme="minorHAnsi"/>
          <w:lang w:val="ro-MD" w:eastAsia="en-US"/>
        </w:rPr>
        <w:t>.</w:t>
      </w:r>
    </w:p>
    <w:p w14:paraId="71BD1008" w14:textId="77777777" w:rsidR="00E713CB" w:rsidRPr="00B13B9A" w:rsidRDefault="00E713CB" w:rsidP="00E713CB">
      <w:pPr>
        <w:pStyle w:val="cn"/>
        <w:spacing w:line="276" w:lineRule="auto"/>
        <w:ind w:right="71"/>
        <w:jc w:val="both"/>
        <w:rPr>
          <w:rFonts w:asciiTheme="majorHAnsi" w:eastAsiaTheme="minorHAnsi" w:hAnsiTheme="majorHAnsi" w:cstheme="minorHAnsi"/>
          <w:lang w:val="ro-MD" w:eastAsia="en-US"/>
        </w:rPr>
      </w:pPr>
    </w:p>
    <w:p w14:paraId="7D1CE9A1" w14:textId="0175C6A0" w:rsidR="00082422" w:rsidRPr="00B13B9A" w:rsidRDefault="00B85388" w:rsidP="00082422">
      <w:pPr>
        <w:spacing w:after="0" w:line="276" w:lineRule="auto"/>
        <w:ind w:right="71"/>
        <w:jc w:val="both"/>
        <w:rPr>
          <w:rFonts w:asciiTheme="majorHAnsi" w:eastAsia="Times New Roman" w:hAnsiTheme="majorHAnsi" w:cstheme="minorHAnsi"/>
          <w:bCs/>
          <w:color w:val="000000" w:themeColor="text1"/>
          <w:sz w:val="24"/>
          <w:szCs w:val="24"/>
          <w:lang w:val="ro-MD" w:eastAsia="ru-RU"/>
        </w:rPr>
      </w:pPr>
      <w:r w:rsidRPr="00B85388">
        <w:rPr>
          <w:rFonts w:asciiTheme="majorHAnsi" w:eastAsia="Times New Roman" w:hAnsiTheme="majorHAnsi" w:cstheme="minorHAnsi"/>
          <w:bCs/>
          <w:sz w:val="24"/>
          <w:szCs w:val="24"/>
          <w:lang w:val="ro-MD" w:eastAsia="ru-RU"/>
        </w:rPr>
        <w:t xml:space="preserve">Таким образом, </w:t>
      </w:r>
      <w:r w:rsidR="000222A8">
        <w:rPr>
          <w:rFonts w:asciiTheme="majorHAnsi" w:eastAsia="Times New Roman" w:hAnsiTheme="majorHAnsi" w:cstheme="minorHAnsi"/>
          <w:bCs/>
          <w:sz w:val="24"/>
          <w:szCs w:val="24"/>
          <w:lang w:val="ru-RU" w:eastAsia="ru-RU"/>
        </w:rPr>
        <w:t>учитыва</w:t>
      </w:r>
      <w:r w:rsidRPr="00B85388">
        <w:rPr>
          <w:rFonts w:asciiTheme="majorHAnsi" w:eastAsia="Times New Roman" w:hAnsiTheme="majorHAnsi" w:cstheme="minorHAnsi"/>
          <w:bCs/>
          <w:sz w:val="24"/>
          <w:szCs w:val="24"/>
          <w:lang w:val="ro-MD" w:eastAsia="ru-RU"/>
        </w:rPr>
        <w:t>я отсутстви</w:t>
      </w:r>
      <w:r w:rsidR="000222A8">
        <w:rPr>
          <w:rFonts w:asciiTheme="majorHAnsi" w:eastAsia="Times New Roman" w:hAnsiTheme="majorHAnsi" w:cstheme="minorHAnsi"/>
          <w:bCs/>
          <w:sz w:val="24"/>
          <w:szCs w:val="24"/>
          <w:lang w:val="ru-RU" w:eastAsia="ru-RU"/>
        </w:rPr>
        <w:t>е</w:t>
      </w:r>
      <w:r w:rsidRPr="00B85388">
        <w:rPr>
          <w:rFonts w:asciiTheme="majorHAnsi" w:eastAsia="Times New Roman" w:hAnsiTheme="majorHAnsi" w:cstheme="minorHAnsi"/>
          <w:bCs/>
          <w:sz w:val="24"/>
          <w:szCs w:val="24"/>
          <w:lang w:val="ro-MD" w:eastAsia="ru-RU"/>
        </w:rPr>
        <w:t xml:space="preserve"> первичных документов, аудит косвенно оценил сумму ожидаемого дохода, который не был </w:t>
      </w:r>
      <w:r w:rsidR="000222A8">
        <w:rPr>
          <w:rFonts w:asciiTheme="majorHAnsi" w:eastAsia="Times New Roman" w:hAnsiTheme="majorHAnsi" w:cstheme="minorHAnsi"/>
          <w:bCs/>
          <w:sz w:val="24"/>
          <w:szCs w:val="24"/>
          <w:lang w:val="ru-RU" w:eastAsia="ru-RU"/>
        </w:rPr>
        <w:t>отнесе</w:t>
      </w:r>
      <w:r w:rsidRPr="00B85388">
        <w:rPr>
          <w:rFonts w:asciiTheme="majorHAnsi" w:eastAsia="Times New Roman" w:hAnsiTheme="majorHAnsi" w:cstheme="minorHAnsi"/>
          <w:bCs/>
          <w:sz w:val="24"/>
          <w:szCs w:val="24"/>
          <w:lang w:val="ro-MD" w:eastAsia="ru-RU"/>
        </w:rPr>
        <w:t>н на текущи</w:t>
      </w:r>
      <w:r w:rsidR="000222A8">
        <w:rPr>
          <w:rFonts w:asciiTheme="majorHAnsi" w:eastAsia="Times New Roman" w:hAnsiTheme="majorHAnsi" w:cstheme="minorHAnsi"/>
          <w:bCs/>
          <w:sz w:val="24"/>
          <w:szCs w:val="24"/>
          <w:lang w:val="ru-RU" w:eastAsia="ru-RU"/>
        </w:rPr>
        <w:t>е</w:t>
      </w:r>
      <w:r w:rsidRPr="00B85388">
        <w:rPr>
          <w:rFonts w:asciiTheme="majorHAnsi" w:eastAsia="Times New Roman" w:hAnsiTheme="majorHAnsi" w:cstheme="minorHAnsi"/>
          <w:bCs/>
          <w:sz w:val="24"/>
          <w:szCs w:val="24"/>
          <w:lang w:val="ro-MD" w:eastAsia="ru-RU"/>
        </w:rPr>
        <w:t xml:space="preserve"> доход</w:t>
      </w:r>
      <w:r w:rsidR="000222A8">
        <w:rPr>
          <w:rFonts w:asciiTheme="majorHAnsi" w:eastAsia="Times New Roman" w:hAnsiTheme="majorHAnsi" w:cstheme="minorHAnsi"/>
          <w:bCs/>
          <w:sz w:val="24"/>
          <w:szCs w:val="24"/>
          <w:lang w:val="ru-RU" w:eastAsia="ru-RU"/>
        </w:rPr>
        <w:t>ы</w:t>
      </w:r>
      <w:r w:rsidRPr="00B85388">
        <w:rPr>
          <w:rFonts w:asciiTheme="majorHAnsi" w:eastAsia="Times New Roman" w:hAnsiTheme="majorHAnsi" w:cstheme="minorHAnsi"/>
          <w:bCs/>
          <w:sz w:val="24"/>
          <w:szCs w:val="24"/>
          <w:lang w:val="ro-MD" w:eastAsia="ru-RU"/>
        </w:rPr>
        <w:t xml:space="preserve">, исходя из стоимости текущих активов, полученных в качестве пожертвований, в </w:t>
      </w:r>
      <w:r w:rsidR="000222A8">
        <w:rPr>
          <w:rFonts w:asciiTheme="majorHAnsi" w:eastAsia="Times New Roman" w:hAnsiTheme="majorHAnsi" w:cstheme="minorHAnsi"/>
          <w:bCs/>
          <w:sz w:val="24"/>
          <w:szCs w:val="24"/>
          <w:lang w:val="ru-RU" w:eastAsia="ru-RU"/>
        </w:rPr>
        <w:t>корреляции</w:t>
      </w:r>
      <w:r w:rsidRPr="00B85388">
        <w:rPr>
          <w:rFonts w:asciiTheme="majorHAnsi" w:eastAsia="Times New Roman" w:hAnsiTheme="majorHAnsi" w:cstheme="minorHAnsi"/>
          <w:bCs/>
          <w:sz w:val="24"/>
          <w:szCs w:val="24"/>
          <w:lang w:val="ro-MD" w:eastAsia="ru-RU"/>
        </w:rPr>
        <w:t xml:space="preserve"> с ожидаемым</w:t>
      </w:r>
      <w:r w:rsidR="000222A8">
        <w:rPr>
          <w:rFonts w:asciiTheme="majorHAnsi" w:eastAsia="Times New Roman" w:hAnsiTheme="majorHAnsi" w:cstheme="minorHAnsi"/>
          <w:bCs/>
          <w:sz w:val="24"/>
          <w:szCs w:val="24"/>
          <w:lang w:val="ru-RU" w:eastAsia="ru-RU"/>
        </w:rPr>
        <w:t>и</w:t>
      </w:r>
      <w:r w:rsidRPr="00B85388">
        <w:rPr>
          <w:rFonts w:asciiTheme="majorHAnsi" w:eastAsia="Times New Roman" w:hAnsiTheme="majorHAnsi" w:cstheme="minorHAnsi"/>
          <w:bCs/>
          <w:sz w:val="24"/>
          <w:szCs w:val="24"/>
          <w:lang w:val="ro-MD" w:eastAsia="ru-RU"/>
        </w:rPr>
        <w:t xml:space="preserve"> долгосрочным</w:t>
      </w:r>
      <w:r w:rsidR="000222A8">
        <w:rPr>
          <w:rFonts w:asciiTheme="majorHAnsi" w:eastAsia="Times New Roman" w:hAnsiTheme="majorHAnsi" w:cstheme="minorHAnsi"/>
          <w:bCs/>
          <w:sz w:val="24"/>
          <w:szCs w:val="24"/>
          <w:lang w:val="ru-RU" w:eastAsia="ru-RU"/>
        </w:rPr>
        <w:t>и</w:t>
      </w:r>
      <w:r w:rsidRPr="00B85388">
        <w:rPr>
          <w:rFonts w:asciiTheme="majorHAnsi" w:eastAsia="Times New Roman" w:hAnsiTheme="majorHAnsi" w:cstheme="minorHAnsi"/>
          <w:bCs/>
          <w:sz w:val="24"/>
          <w:szCs w:val="24"/>
          <w:lang w:val="ro-MD" w:eastAsia="ru-RU"/>
        </w:rPr>
        <w:t xml:space="preserve"> и краткосрочным</w:t>
      </w:r>
      <w:r w:rsidR="000222A8">
        <w:rPr>
          <w:rFonts w:asciiTheme="majorHAnsi" w:eastAsia="Times New Roman" w:hAnsiTheme="majorHAnsi" w:cstheme="minorHAnsi"/>
          <w:bCs/>
          <w:sz w:val="24"/>
          <w:szCs w:val="24"/>
          <w:lang w:val="ru-RU" w:eastAsia="ru-RU"/>
        </w:rPr>
        <w:t>и</w:t>
      </w:r>
      <w:r w:rsidRPr="00B85388">
        <w:rPr>
          <w:rFonts w:asciiTheme="majorHAnsi" w:eastAsia="Times New Roman" w:hAnsiTheme="majorHAnsi" w:cstheme="minorHAnsi"/>
          <w:bCs/>
          <w:sz w:val="24"/>
          <w:szCs w:val="24"/>
          <w:lang w:val="ro-MD" w:eastAsia="ru-RU"/>
        </w:rPr>
        <w:t xml:space="preserve"> доход</w:t>
      </w:r>
      <w:r w:rsidR="000222A8">
        <w:rPr>
          <w:rFonts w:asciiTheme="majorHAnsi" w:eastAsia="Times New Roman" w:hAnsiTheme="majorHAnsi" w:cstheme="minorHAnsi"/>
          <w:bCs/>
          <w:sz w:val="24"/>
          <w:szCs w:val="24"/>
          <w:lang w:val="ru-RU" w:eastAsia="ru-RU"/>
        </w:rPr>
        <w:t>ами</w:t>
      </w:r>
      <w:r w:rsidRPr="00B85388">
        <w:rPr>
          <w:rFonts w:asciiTheme="majorHAnsi" w:eastAsia="Times New Roman" w:hAnsiTheme="majorHAnsi" w:cstheme="minorHAnsi"/>
          <w:bCs/>
          <w:sz w:val="24"/>
          <w:szCs w:val="24"/>
          <w:lang w:val="ro-MD" w:eastAsia="ru-RU"/>
        </w:rPr>
        <w:t xml:space="preserve">. </w:t>
      </w:r>
      <w:r w:rsidR="000222A8" w:rsidRPr="000222A8">
        <w:rPr>
          <w:rFonts w:asciiTheme="majorHAnsi" w:eastAsia="Times New Roman" w:hAnsiTheme="majorHAnsi" w:cstheme="minorHAnsi"/>
          <w:bCs/>
          <w:sz w:val="24"/>
          <w:szCs w:val="24"/>
          <w:lang w:val="ro-MD" w:eastAsia="ru-RU"/>
        </w:rPr>
        <w:t>Отмечается</w:t>
      </w:r>
      <w:r w:rsidRPr="00B85388">
        <w:rPr>
          <w:rFonts w:asciiTheme="majorHAnsi" w:eastAsia="Times New Roman" w:hAnsiTheme="majorHAnsi" w:cstheme="minorHAnsi"/>
          <w:bCs/>
          <w:sz w:val="24"/>
          <w:szCs w:val="24"/>
          <w:lang w:val="ro-MD" w:eastAsia="ru-RU"/>
        </w:rPr>
        <w:t xml:space="preserve">, что </w:t>
      </w:r>
      <w:r w:rsidR="000222A8" w:rsidRPr="000222A8">
        <w:rPr>
          <w:rFonts w:asciiTheme="majorHAnsi" w:eastAsia="Times New Roman" w:hAnsiTheme="majorHAnsi" w:cstheme="minorHAnsi"/>
          <w:bCs/>
          <w:sz w:val="24"/>
          <w:szCs w:val="24"/>
          <w:lang w:val="ro-MD" w:eastAsia="ru-RU"/>
        </w:rPr>
        <w:t>последние</w:t>
      </w:r>
      <w:r w:rsidRPr="00B85388">
        <w:rPr>
          <w:rFonts w:asciiTheme="majorHAnsi" w:eastAsia="Times New Roman" w:hAnsiTheme="majorHAnsi" w:cstheme="minorHAnsi"/>
          <w:bCs/>
          <w:sz w:val="24"/>
          <w:szCs w:val="24"/>
          <w:lang w:val="ro-MD" w:eastAsia="ru-RU"/>
        </w:rPr>
        <w:t xml:space="preserve"> преоблада</w:t>
      </w:r>
      <w:r w:rsidR="000222A8" w:rsidRPr="000222A8">
        <w:rPr>
          <w:rFonts w:asciiTheme="majorHAnsi" w:eastAsia="Times New Roman" w:hAnsiTheme="majorHAnsi" w:cstheme="minorHAnsi"/>
          <w:bCs/>
          <w:sz w:val="24"/>
          <w:szCs w:val="24"/>
          <w:lang w:val="ro-MD" w:eastAsia="ru-RU"/>
        </w:rPr>
        <w:t>ю</w:t>
      </w:r>
      <w:r w:rsidRPr="00B85388">
        <w:rPr>
          <w:rFonts w:asciiTheme="majorHAnsi" w:eastAsia="Times New Roman" w:hAnsiTheme="majorHAnsi" w:cstheme="minorHAnsi"/>
          <w:bCs/>
          <w:sz w:val="24"/>
          <w:szCs w:val="24"/>
          <w:lang w:val="ro-MD" w:eastAsia="ru-RU"/>
        </w:rPr>
        <w:t xml:space="preserve">т </w:t>
      </w:r>
      <w:r w:rsidR="000222A8" w:rsidRPr="000222A8">
        <w:rPr>
          <w:rFonts w:asciiTheme="majorHAnsi" w:eastAsia="Times New Roman" w:hAnsiTheme="majorHAnsi" w:cstheme="minorHAnsi"/>
          <w:bCs/>
          <w:sz w:val="24"/>
          <w:szCs w:val="24"/>
          <w:lang w:val="ro-MD" w:eastAsia="ru-RU"/>
        </w:rPr>
        <w:t xml:space="preserve">на </w:t>
      </w:r>
      <w:r w:rsidRPr="00B85388">
        <w:rPr>
          <w:rFonts w:asciiTheme="majorHAnsi" w:eastAsia="Times New Roman" w:hAnsiTheme="majorHAnsi" w:cstheme="minorHAnsi"/>
          <w:bCs/>
          <w:sz w:val="24"/>
          <w:szCs w:val="24"/>
          <w:lang w:val="ro-MD" w:eastAsia="ru-RU"/>
        </w:rPr>
        <w:t xml:space="preserve">63 337,0 тыс. леев, что указывает на риск </w:t>
      </w:r>
      <w:r w:rsidR="000222A8" w:rsidRPr="000222A8">
        <w:rPr>
          <w:rFonts w:asciiTheme="majorHAnsi" w:eastAsia="Times New Roman" w:hAnsiTheme="majorHAnsi" w:cstheme="minorHAnsi"/>
          <w:bCs/>
          <w:sz w:val="24"/>
          <w:szCs w:val="24"/>
          <w:lang w:val="ro-MD" w:eastAsia="ru-RU"/>
        </w:rPr>
        <w:t>занижения</w:t>
      </w:r>
      <w:r w:rsidRPr="00B85388">
        <w:rPr>
          <w:rFonts w:asciiTheme="majorHAnsi" w:eastAsia="Times New Roman" w:hAnsiTheme="majorHAnsi" w:cstheme="minorHAnsi"/>
          <w:bCs/>
          <w:sz w:val="24"/>
          <w:szCs w:val="24"/>
          <w:lang w:val="ro-MD" w:eastAsia="ru-RU"/>
        </w:rPr>
        <w:t xml:space="preserve"> текущих доходов предыдущих периодов 2023 года</w:t>
      </w:r>
      <w:r w:rsidR="00E713CB" w:rsidRPr="00B13B9A">
        <w:rPr>
          <w:rFonts w:asciiTheme="majorHAnsi" w:eastAsia="Times New Roman" w:hAnsiTheme="majorHAnsi" w:cstheme="minorHAnsi"/>
          <w:bCs/>
          <w:color w:val="000000" w:themeColor="text1"/>
          <w:sz w:val="24"/>
          <w:szCs w:val="24"/>
          <w:lang w:val="ro-MD" w:eastAsia="ru-RU"/>
        </w:rPr>
        <w:t>.</w:t>
      </w:r>
    </w:p>
    <w:p w14:paraId="593BC6E3" w14:textId="7B344073" w:rsidR="00E713CB" w:rsidRPr="00B13B9A" w:rsidRDefault="00B85388" w:rsidP="00082422">
      <w:pPr>
        <w:spacing w:after="0" w:line="276" w:lineRule="auto"/>
        <w:ind w:right="71"/>
        <w:jc w:val="right"/>
        <w:rPr>
          <w:rFonts w:asciiTheme="majorHAnsi" w:hAnsiTheme="majorHAnsi" w:cstheme="minorHAnsi"/>
          <w:b/>
          <w:bCs/>
          <w:sz w:val="24"/>
          <w:szCs w:val="24"/>
          <w:lang w:val="ro-MD"/>
        </w:rPr>
      </w:pPr>
      <w:r>
        <w:rPr>
          <w:rFonts w:asciiTheme="majorHAnsi" w:hAnsiTheme="majorHAnsi" w:cstheme="minorHAnsi"/>
          <w:b/>
          <w:bCs/>
          <w:sz w:val="24"/>
          <w:szCs w:val="24"/>
          <w:lang w:val="ru-RU"/>
        </w:rPr>
        <w:t>Таблица №</w:t>
      </w:r>
      <w:r w:rsidR="00D37D8A" w:rsidRPr="00B13B9A">
        <w:rPr>
          <w:rFonts w:asciiTheme="majorHAnsi" w:hAnsiTheme="majorHAnsi" w:cstheme="minorHAnsi"/>
          <w:b/>
          <w:bCs/>
          <w:sz w:val="24"/>
          <w:szCs w:val="24"/>
          <w:lang w:val="ro-MD"/>
        </w:rPr>
        <w:t>5</w:t>
      </w:r>
    </w:p>
    <w:p w14:paraId="1123D848" w14:textId="77777777" w:rsidR="000222A8" w:rsidRDefault="000222A8" w:rsidP="00E713CB">
      <w:pPr>
        <w:spacing w:after="0" w:line="276" w:lineRule="auto"/>
        <w:jc w:val="center"/>
        <w:rPr>
          <w:rFonts w:asciiTheme="majorHAnsi" w:hAnsiTheme="majorHAnsi" w:cstheme="minorHAnsi"/>
          <w:b/>
          <w:bCs/>
          <w:sz w:val="24"/>
          <w:szCs w:val="24"/>
          <w:lang w:val="ro-MD"/>
        </w:rPr>
      </w:pPr>
      <w:r w:rsidRPr="000222A8">
        <w:rPr>
          <w:rFonts w:asciiTheme="majorHAnsi" w:hAnsiTheme="majorHAnsi" w:cstheme="minorHAnsi"/>
          <w:b/>
          <w:bCs/>
          <w:sz w:val="24"/>
          <w:szCs w:val="24"/>
          <w:lang w:val="ro-MD"/>
        </w:rPr>
        <w:t xml:space="preserve">Информация об остатке активов и пассивов, связанных с пожертвованиями, </w:t>
      </w:r>
    </w:p>
    <w:p w14:paraId="6549E6FA" w14:textId="602BF35B" w:rsidR="00E713CB" w:rsidRPr="00B13B9A" w:rsidRDefault="000222A8" w:rsidP="00E713CB">
      <w:pPr>
        <w:spacing w:after="0" w:line="276" w:lineRule="auto"/>
        <w:jc w:val="center"/>
        <w:rPr>
          <w:rFonts w:asciiTheme="majorHAnsi" w:hAnsiTheme="majorHAnsi" w:cstheme="minorHAnsi"/>
          <w:b/>
          <w:bCs/>
          <w:sz w:val="24"/>
          <w:szCs w:val="24"/>
          <w:lang w:val="ro-MD"/>
        </w:rPr>
      </w:pPr>
      <w:r w:rsidRPr="000222A8">
        <w:rPr>
          <w:rFonts w:asciiTheme="majorHAnsi" w:hAnsiTheme="majorHAnsi" w:cstheme="minorHAnsi"/>
          <w:b/>
          <w:bCs/>
          <w:sz w:val="24"/>
          <w:szCs w:val="24"/>
          <w:lang w:val="ro-MD"/>
        </w:rPr>
        <w:t>на 30.06.2023, тыс. леев</w:t>
      </w:r>
    </w:p>
    <w:tbl>
      <w:tblPr>
        <w:tblW w:w="9209" w:type="dxa"/>
        <w:tblLook w:val="04A0" w:firstRow="1" w:lastRow="0" w:firstColumn="1" w:lastColumn="0" w:noHBand="0" w:noVBand="1"/>
      </w:tblPr>
      <w:tblGrid>
        <w:gridCol w:w="5807"/>
        <w:gridCol w:w="960"/>
        <w:gridCol w:w="2442"/>
      </w:tblGrid>
      <w:tr w:rsidR="00E713CB" w:rsidRPr="00B13B9A" w14:paraId="3B32FBBE" w14:textId="77777777" w:rsidTr="00F431A2">
        <w:trPr>
          <w:trHeight w:val="20"/>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14:paraId="5F2EEFF7" w14:textId="44BAFB11" w:rsidR="00E713CB" w:rsidRPr="000222A8" w:rsidRDefault="000222A8" w:rsidP="00B00556">
            <w:pPr>
              <w:spacing w:after="0" w:line="240" w:lineRule="auto"/>
              <w:contextualSpacing/>
              <w:jc w:val="center"/>
              <w:rPr>
                <w:rFonts w:asciiTheme="majorHAnsi" w:eastAsia="Times New Roman" w:hAnsiTheme="majorHAnsi" w:cstheme="majorHAnsi"/>
                <w:b/>
                <w:color w:val="000000"/>
                <w:sz w:val="20"/>
                <w:szCs w:val="20"/>
                <w:lang w:val="ru-RU"/>
              </w:rPr>
            </w:pPr>
            <w:r>
              <w:rPr>
                <w:rFonts w:asciiTheme="majorHAnsi" w:eastAsia="Times New Roman" w:hAnsiTheme="majorHAnsi" w:cstheme="majorHAnsi"/>
                <w:b/>
                <w:color w:val="000000"/>
                <w:sz w:val="20"/>
                <w:szCs w:val="20"/>
                <w:lang w:val="ru-RU"/>
              </w:rPr>
              <w:t>Название счета</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8CD32" w14:textId="755F02E8" w:rsidR="00E713CB" w:rsidRPr="000222A8" w:rsidRDefault="000222A8" w:rsidP="00B00556">
            <w:pPr>
              <w:spacing w:after="0" w:line="240" w:lineRule="auto"/>
              <w:contextualSpacing/>
              <w:jc w:val="center"/>
              <w:rPr>
                <w:rFonts w:asciiTheme="majorHAnsi" w:eastAsia="Times New Roman" w:hAnsiTheme="majorHAnsi" w:cstheme="majorHAnsi"/>
                <w:b/>
                <w:color w:val="000000"/>
                <w:sz w:val="20"/>
                <w:szCs w:val="20"/>
                <w:lang w:val="ru-RU"/>
              </w:rPr>
            </w:pPr>
            <w:r>
              <w:rPr>
                <w:rFonts w:asciiTheme="majorHAnsi" w:eastAsia="Times New Roman" w:hAnsiTheme="majorHAnsi" w:cstheme="majorHAnsi"/>
                <w:b/>
                <w:color w:val="000000"/>
                <w:sz w:val="20"/>
                <w:szCs w:val="20"/>
                <w:lang w:val="ru-RU"/>
              </w:rPr>
              <w:t>Счет</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14:paraId="1AA4B150" w14:textId="38630A54" w:rsidR="00E713CB" w:rsidRPr="00B13B9A" w:rsidRDefault="000222A8" w:rsidP="00B00556">
            <w:pPr>
              <w:spacing w:after="0" w:line="240" w:lineRule="auto"/>
              <w:contextualSpacing/>
              <w:jc w:val="center"/>
              <w:rPr>
                <w:rFonts w:asciiTheme="majorHAnsi" w:eastAsia="Times New Roman" w:hAnsiTheme="majorHAnsi" w:cstheme="majorHAnsi"/>
                <w:b/>
                <w:color w:val="000000"/>
                <w:sz w:val="20"/>
                <w:szCs w:val="20"/>
                <w:lang w:val="ro-MD"/>
              </w:rPr>
            </w:pPr>
            <w:r>
              <w:rPr>
                <w:rFonts w:asciiTheme="majorHAnsi" w:eastAsia="Times New Roman" w:hAnsiTheme="majorHAnsi" w:cstheme="majorHAnsi"/>
                <w:b/>
                <w:color w:val="000000"/>
                <w:sz w:val="20"/>
                <w:szCs w:val="20"/>
                <w:lang w:val="ru-RU"/>
              </w:rPr>
              <w:t>Остаток на</w:t>
            </w:r>
            <w:r w:rsidR="003E1FB0" w:rsidRPr="00B13B9A">
              <w:rPr>
                <w:rFonts w:asciiTheme="majorHAnsi" w:eastAsia="Times New Roman" w:hAnsiTheme="majorHAnsi" w:cstheme="majorHAnsi"/>
                <w:b/>
                <w:color w:val="000000"/>
                <w:sz w:val="20"/>
                <w:szCs w:val="20"/>
                <w:lang w:val="ro-MD"/>
              </w:rPr>
              <w:t xml:space="preserve"> </w:t>
            </w:r>
            <w:r w:rsidR="00E713CB" w:rsidRPr="00B13B9A">
              <w:rPr>
                <w:rFonts w:asciiTheme="majorHAnsi" w:eastAsia="Times New Roman" w:hAnsiTheme="majorHAnsi" w:cstheme="majorHAnsi"/>
                <w:b/>
                <w:color w:val="000000"/>
                <w:sz w:val="20"/>
                <w:szCs w:val="20"/>
                <w:lang w:val="ro-MD"/>
              </w:rPr>
              <w:t>30.06.2023</w:t>
            </w:r>
          </w:p>
        </w:tc>
      </w:tr>
      <w:tr w:rsidR="00E713CB" w:rsidRPr="00B13B9A" w14:paraId="4023A182" w14:textId="77777777" w:rsidTr="00F431A2">
        <w:trPr>
          <w:trHeight w:val="20"/>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14:paraId="2DF06BE9" w14:textId="0A5C0A6E" w:rsidR="00E713CB" w:rsidRPr="00B51D6D" w:rsidRDefault="00B51D6D" w:rsidP="00B00556">
            <w:pPr>
              <w:spacing w:after="0" w:line="240" w:lineRule="auto"/>
              <w:contextualSpacing/>
              <w:rPr>
                <w:rFonts w:asciiTheme="majorHAnsi" w:hAnsiTheme="majorHAnsi" w:cstheme="majorHAnsi"/>
                <w:bCs/>
                <w:sz w:val="20"/>
                <w:szCs w:val="20"/>
                <w:lang w:val="ru-RU"/>
              </w:rPr>
            </w:pPr>
            <w:r>
              <w:rPr>
                <w:rFonts w:asciiTheme="majorHAnsi" w:hAnsiTheme="majorHAnsi" w:cstheme="majorHAnsi"/>
                <w:bCs/>
                <w:sz w:val="20"/>
                <w:szCs w:val="20"/>
                <w:lang w:val="ru-RU"/>
              </w:rPr>
              <w:t>Материалы</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892D9" w14:textId="77777777" w:rsidR="00E713CB" w:rsidRPr="00B13B9A" w:rsidRDefault="00E713CB" w:rsidP="00B00556">
            <w:pPr>
              <w:spacing w:after="0" w:line="240" w:lineRule="auto"/>
              <w:contextualSpacing/>
              <w:jc w:val="center"/>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211</w:t>
            </w:r>
          </w:p>
        </w:tc>
        <w:tc>
          <w:tcPr>
            <w:tcW w:w="2442" w:type="dxa"/>
            <w:tcBorders>
              <w:top w:val="single" w:sz="4" w:space="0" w:color="auto"/>
              <w:left w:val="nil"/>
              <w:bottom w:val="single" w:sz="4" w:space="0" w:color="auto"/>
              <w:right w:val="single" w:sz="4" w:space="0" w:color="auto"/>
            </w:tcBorders>
            <w:shd w:val="clear" w:color="auto" w:fill="auto"/>
            <w:noWrap/>
            <w:vAlign w:val="center"/>
          </w:tcPr>
          <w:p w14:paraId="75D67A6D" w14:textId="77777777" w:rsidR="00E713CB" w:rsidRPr="00B13B9A" w:rsidRDefault="00E713CB" w:rsidP="00B00556">
            <w:pPr>
              <w:spacing w:after="0" w:line="240" w:lineRule="auto"/>
              <w:contextualSpacing/>
              <w:jc w:val="right"/>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20.451,8</w:t>
            </w:r>
          </w:p>
        </w:tc>
      </w:tr>
      <w:tr w:rsidR="00E713CB" w:rsidRPr="00B13B9A" w14:paraId="44996D45" w14:textId="77777777" w:rsidTr="00F431A2">
        <w:trPr>
          <w:trHeight w:val="20"/>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14:paraId="31F7C015" w14:textId="3C12F15C" w:rsidR="00E713CB" w:rsidRPr="00B51D6D" w:rsidRDefault="00B51D6D" w:rsidP="00B00556">
            <w:pPr>
              <w:spacing w:after="0" w:line="240" w:lineRule="auto"/>
              <w:contextualSpacing/>
              <w:rPr>
                <w:rFonts w:asciiTheme="majorHAnsi" w:hAnsiTheme="majorHAnsi" w:cstheme="majorHAnsi"/>
                <w:bCs/>
                <w:sz w:val="20"/>
                <w:szCs w:val="20"/>
                <w:lang w:val="ru-RU"/>
              </w:rPr>
            </w:pPr>
            <w:r>
              <w:rPr>
                <w:rFonts w:asciiTheme="majorHAnsi" w:hAnsiTheme="majorHAnsi" w:cstheme="majorHAnsi"/>
                <w:bCs/>
                <w:sz w:val="20"/>
                <w:szCs w:val="20"/>
                <w:lang w:val="ru-RU"/>
              </w:rPr>
              <w:t>МБТ</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0890C6E4" w14:textId="77777777" w:rsidR="00E713CB" w:rsidRPr="00B13B9A" w:rsidRDefault="00E713CB" w:rsidP="00B00556">
            <w:pPr>
              <w:spacing w:after="0" w:line="240" w:lineRule="auto"/>
              <w:contextualSpacing/>
              <w:jc w:val="center"/>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213</w:t>
            </w:r>
          </w:p>
        </w:tc>
        <w:tc>
          <w:tcPr>
            <w:tcW w:w="2442" w:type="dxa"/>
            <w:tcBorders>
              <w:top w:val="nil"/>
              <w:left w:val="nil"/>
              <w:bottom w:val="single" w:sz="4" w:space="0" w:color="auto"/>
              <w:right w:val="single" w:sz="4" w:space="0" w:color="auto"/>
            </w:tcBorders>
            <w:shd w:val="clear" w:color="auto" w:fill="auto"/>
            <w:noWrap/>
            <w:vAlign w:val="center"/>
          </w:tcPr>
          <w:p w14:paraId="352AC377" w14:textId="77777777" w:rsidR="00E713CB" w:rsidRPr="00B13B9A" w:rsidRDefault="00E713CB" w:rsidP="00B00556">
            <w:pPr>
              <w:spacing w:after="0" w:line="240" w:lineRule="auto"/>
              <w:contextualSpacing/>
              <w:jc w:val="right"/>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286,0</w:t>
            </w:r>
          </w:p>
        </w:tc>
      </w:tr>
      <w:tr w:rsidR="00E713CB" w:rsidRPr="00B13B9A" w14:paraId="4FE58A41" w14:textId="77777777" w:rsidTr="00F431A2">
        <w:trPr>
          <w:trHeight w:val="20"/>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14:paraId="4D01BD04" w14:textId="5F65AD07" w:rsidR="00E713CB" w:rsidRPr="00B51D6D" w:rsidRDefault="00B51D6D" w:rsidP="00B00556">
            <w:pPr>
              <w:spacing w:after="0" w:line="240" w:lineRule="auto"/>
              <w:contextualSpacing/>
              <w:rPr>
                <w:rFonts w:asciiTheme="majorHAnsi" w:hAnsiTheme="majorHAnsi" w:cstheme="majorHAnsi"/>
                <w:bCs/>
                <w:sz w:val="20"/>
                <w:szCs w:val="20"/>
                <w:lang w:val="ru-RU"/>
              </w:rPr>
            </w:pPr>
            <w:r>
              <w:rPr>
                <w:rFonts w:asciiTheme="majorHAnsi" w:hAnsiTheme="majorHAnsi" w:cstheme="majorHAnsi"/>
                <w:bCs/>
                <w:sz w:val="20"/>
                <w:szCs w:val="20"/>
                <w:lang w:val="ru-RU"/>
              </w:rPr>
              <w:t>Основные средства</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56BD3132" w14:textId="77777777" w:rsidR="00E713CB" w:rsidRPr="00B13B9A" w:rsidRDefault="00E713CB" w:rsidP="00B00556">
            <w:pPr>
              <w:spacing w:after="0" w:line="240" w:lineRule="auto"/>
              <w:contextualSpacing/>
              <w:jc w:val="center"/>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123</w:t>
            </w:r>
          </w:p>
        </w:tc>
        <w:tc>
          <w:tcPr>
            <w:tcW w:w="2442" w:type="dxa"/>
            <w:tcBorders>
              <w:top w:val="nil"/>
              <w:left w:val="nil"/>
              <w:bottom w:val="single" w:sz="4" w:space="0" w:color="auto"/>
              <w:right w:val="single" w:sz="4" w:space="0" w:color="auto"/>
            </w:tcBorders>
            <w:shd w:val="clear" w:color="auto" w:fill="auto"/>
            <w:noWrap/>
            <w:vAlign w:val="center"/>
          </w:tcPr>
          <w:p w14:paraId="331536D6" w14:textId="77777777" w:rsidR="00E713CB" w:rsidRPr="00B13B9A" w:rsidRDefault="00E713CB" w:rsidP="00B00556">
            <w:pPr>
              <w:spacing w:after="0" w:line="240" w:lineRule="auto"/>
              <w:contextualSpacing/>
              <w:jc w:val="right"/>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10.721,7</w:t>
            </w:r>
          </w:p>
        </w:tc>
      </w:tr>
      <w:tr w:rsidR="00E713CB" w:rsidRPr="00B13B9A" w14:paraId="65DC26BC" w14:textId="77777777" w:rsidTr="00F431A2">
        <w:trPr>
          <w:trHeight w:val="20"/>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14:paraId="33F5C9A3" w14:textId="03BB7FC5" w:rsidR="00E713CB" w:rsidRPr="00B13B9A" w:rsidRDefault="00B51D6D" w:rsidP="00B00556">
            <w:pPr>
              <w:spacing w:after="0" w:line="240" w:lineRule="auto"/>
              <w:contextualSpacing/>
              <w:rPr>
                <w:rFonts w:asciiTheme="majorHAnsi" w:hAnsiTheme="majorHAnsi" w:cstheme="majorHAnsi"/>
                <w:bCs/>
                <w:sz w:val="20"/>
                <w:szCs w:val="20"/>
                <w:lang w:val="ro-MD"/>
              </w:rPr>
            </w:pPr>
            <w:r w:rsidRPr="00B51D6D">
              <w:rPr>
                <w:rFonts w:asciiTheme="majorHAnsi" w:hAnsiTheme="majorHAnsi" w:cstheme="majorHAnsi"/>
                <w:bCs/>
                <w:sz w:val="20"/>
                <w:szCs w:val="20"/>
                <w:lang w:val="ro-MD"/>
              </w:rPr>
              <w:t>Незавершенные долгосрочные материальные активы</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77454CE0" w14:textId="77777777" w:rsidR="00E713CB" w:rsidRPr="00B13B9A" w:rsidRDefault="00E713CB" w:rsidP="00B00556">
            <w:pPr>
              <w:spacing w:after="0" w:line="240" w:lineRule="auto"/>
              <w:contextualSpacing/>
              <w:jc w:val="center"/>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121</w:t>
            </w:r>
          </w:p>
        </w:tc>
        <w:tc>
          <w:tcPr>
            <w:tcW w:w="2442" w:type="dxa"/>
            <w:tcBorders>
              <w:top w:val="nil"/>
              <w:left w:val="nil"/>
              <w:bottom w:val="single" w:sz="4" w:space="0" w:color="auto"/>
              <w:right w:val="single" w:sz="4" w:space="0" w:color="auto"/>
            </w:tcBorders>
            <w:shd w:val="clear" w:color="auto" w:fill="auto"/>
            <w:noWrap/>
            <w:vAlign w:val="center"/>
          </w:tcPr>
          <w:p w14:paraId="38A32556" w14:textId="77777777" w:rsidR="00E713CB" w:rsidRPr="00B13B9A" w:rsidRDefault="00E713CB" w:rsidP="00B00556">
            <w:pPr>
              <w:spacing w:after="0" w:line="240" w:lineRule="auto"/>
              <w:contextualSpacing/>
              <w:jc w:val="right"/>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4.797,2</w:t>
            </w:r>
          </w:p>
        </w:tc>
      </w:tr>
      <w:tr w:rsidR="00E713CB" w:rsidRPr="00B13B9A" w14:paraId="1B2DEED5" w14:textId="77777777" w:rsidTr="00F431A2">
        <w:trPr>
          <w:trHeight w:val="20"/>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14:paraId="49C6F9F9" w14:textId="584F17F9" w:rsidR="00E713CB" w:rsidRPr="00B13B9A" w:rsidRDefault="00B51D6D" w:rsidP="00B00556">
            <w:pPr>
              <w:spacing w:after="0" w:line="240" w:lineRule="auto"/>
              <w:contextualSpacing/>
              <w:rPr>
                <w:rFonts w:asciiTheme="majorHAnsi" w:hAnsiTheme="majorHAnsi" w:cstheme="majorHAnsi"/>
                <w:bCs/>
                <w:sz w:val="20"/>
                <w:szCs w:val="20"/>
                <w:lang w:val="ro-MD"/>
              </w:rPr>
            </w:pPr>
            <w:r w:rsidRPr="00B51D6D">
              <w:rPr>
                <w:rFonts w:asciiTheme="majorHAnsi" w:hAnsiTheme="majorHAnsi" w:cstheme="majorHAnsi"/>
                <w:bCs/>
                <w:sz w:val="20"/>
                <w:szCs w:val="20"/>
                <w:lang w:val="ro-MD"/>
              </w:rPr>
              <w:t>Текущие счета в иностранной валюте</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7170B313" w14:textId="77777777" w:rsidR="00E713CB" w:rsidRPr="00B13B9A" w:rsidRDefault="00E713CB" w:rsidP="00B00556">
            <w:pPr>
              <w:spacing w:after="0" w:line="240" w:lineRule="auto"/>
              <w:contextualSpacing/>
              <w:jc w:val="center"/>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243</w:t>
            </w:r>
          </w:p>
        </w:tc>
        <w:tc>
          <w:tcPr>
            <w:tcW w:w="2442" w:type="dxa"/>
            <w:tcBorders>
              <w:top w:val="nil"/>
              <w:left w:val="nil"/>
              <w:bottom w:val="single" w:sz="4" w:space="0" w:color="auto"/>
              <w:right w:val="single" w:sz="4" w:space="0" w:color="auto"/>
            </w:tcBorders>
            <w:shd w:val="clear" w:color="auto" w:fill="auto"/>
            <w:noWrap/>
            <w:vAlign w:val="center"/>
          </w:tcPr>
          <w:p w14:paraId="0B92D625" w14:textId="3B8DF437" w:rsidR="00E713CB" w:rsidRPr="00B13B9A" w:rsidRDefault="00E713CB" w:rsidP="00B00556">
            <w:pPr>
              <w:spacing w:after="0" w:line="240" w:lineRule="auto"/>
              <w:contextualSpacing/>
              <w:jc w:val="right"/>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3</w:t>
            </w:r>
            <w:r w:rsidR="004C3370">
              <w:rPr>
                <w:rFonts w:asciiTheme="majorHAnsi" w:hAnsiTheme="majorHAnsi" w:cstheme="majorHAnsi"/>
                <w:color w:val="000000"/>
                <w:sz w:val="20"/>
                <w:szCs w:val="20"/>
                <w:lang w:val="ro-MD"/>
              </w:rPr>
              <w:t>.</w:t>
            </w:r>
            <w:r w:rsidRPr="00B13B9A">
              <w:rPr>
                <w:rFonts w:asciiTheme="majorHAnsi" w:hAnsiTheme="majorHAnsi" w:cstheme="majorHAnsi"/>
                <w:color w:val="000000"/>
                <w:sz w:val="20"/>
                <w:szCs w:val="20"/>
                <w:lang w:val="ro-MD"/>
              </w:rPr>
              <w:t>813,5</w:t>
            </w:r>
          </w:p>
        </w:tc>
      </w:tr>
      <w:tr w:rsidR="00E713CB" w:rsidRPr="00B13B9A" w14:paraId="5950DE12" w14:textId="77777777" w:rsidTr="00F431A2">
        <w:trPr>
          <w:trHeight w:val="20"/>
        </w:trPr>
        <w:tc>
          <w:tcPr>
            <w:tcW w:w="67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02D5B" w14:textId="10809219" w:rsidR="00E713CB" w:rsidRPr="00B13B9A" w:rsidRDefault="00B51D6D" w:rsidP="00B51D6D">
            <w:pPr>
              <w:spacing w:after="0" w:line="240" w:lineRule="auto"/>
              <w:contextualSpacing/>
              <w:rPr>
                <w:rFonts w:asciiTheme="majorHAnsi" w:hAnsiTheme="majorHAnsi" w:cstheme="majorHAnsi"/>
                <w:color w:val="000000"/>
                <w:sz w:val="20"/>
                <w:szCs w:val="20"/>
                <w:lang w:val="ro-MD"/>
              </w:rPr>
            </w:pPr>
            <w:r>
              <w:rPr>
                <w:rFonts w:asciiTheme="majorHAnsi" w:hAnsiTheme="majorHAnsi" w:cstheme="majorHAnsi"/>
                <w:color w:val="000000"/>
                <w:sz w:val="20"/>
                <w:szCs w:val="20"/>
                <w:lang w:val="ru-RU"/>
              </w:rPr>
              <w:t>Всего, активов</w:t>
            </w:r>
          </w:p>
        </w:tc>
        <w:tc>
          <w:tcPr>
            <w:tcW w:w="2442" w:type="dxa"/>
            <w:tcBorders>
              <w:top w:val="nil"/>
              <w:left w:val="nil"/>
              <w:bottom w:val="single" w:sz="4" w:space="0" w:color="auto"/>
              <w:right w:val="single" w:sz="4" w:space="0" w:color="auto"/>
            </w:tcBorders>
            <w:shd w:val="clear" w:color="auto" w:fill="auto"/>
            <w:noWrap/>
            <w:vAlign w:val="center"/>
          </w:tcPr>
          <w:p w14:paraId="6F48DCF0" w14:textId="77777777" w:rsidR="00E713CB" w:rsidRPr="00B13B9A" w:rsidRDefault="00E713CB" w:rsidP="00B00556">
            <w:pPr>
              <w:spacing w:after="0" w:line="240" w:lineRule="auto"/>
              <w:contextualSpacing/>
              <w:jc w:val="right"/>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36.256,7</w:t>
            </w:r>
          </w:p>
        </w:tc>
      </w:tr>
      <w:tr w:rsidR="00E713CB" w:rsidRPr="00B13B9A" w14:paraId="3EBF7424" w14:textId="77777777" w:rsidTr="00F431A2">
        <w:trPr>
          <w:trHeight w:val="20"/>
        </w:trPr>
        <w:tc>
          <w:tcPr>
            <w:tcW w:w="5807" w:type="dxa"/>
            <w:tcBorders>
              <w:top w:val="nil"/>
              <w:left w:val="single" w:sz="4" w:space="0" w:color="auto"/>
              <w:bottom w:val="single" w:sz="4" w:space="0" w:color="auto"/>
              <w:right w:val="single" w:sz="4" w:space="0" w:color="auto"/>
            </w:tcBorders>
            <w:shd w:val="clear" w:color="auto" w:fill="auto"/>
            <w:vAlign w:val="center"/>
          </w:tcPr>
          <w:p w14:paraId="0E642E2F" w14:textId="4421BC29" w:rsidR="00E713CB" w:rsidRPr="00B13B9A" w:rsidRDefault="00B51D6D" w:rsidP="00B51D6D">
            <w:pPr>
              <w:spacing w:after="0" w:line="240" w:lineRule="auto"/>
              <w:contextualSpacing/>
              <w:rPr>
                <w:rFonts w:asciiTheme="majorHAnsi" w:hAnsiTheme="majorHAnsi" w:cstheme="majorHAnsi"/>
                <w:sz w:val="20"/>
                <w:szCs w:val="20"/>
                <w:lang w:val="ro-MD"/>
              </w:rPr>
            </w:pPr>
            <w:r>
              <w:rPr>
                <w:rFonts w:asciiTheme="majorHAnsi" w:hAnsiTheme="majorHAnsi" w:cstheme="majorHAnsi"/>
                <w:bCs/>
                <w:sz w:val="20"/>
                <w:szCs w:val="20"/>
                <w:lang w:val="ru-RU"/>
              </w:rPr>
              <w:t>Текущий ожидаемый доход</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344C8C27" w14:textId="77777777" w:rsidR="00E713CB" w:rsidRPr="00B13B9A" w:rsidRDefault="00E713CB" w:rsidP="00B00556">
            <w:pPr>
              <w:spacing w:after="0" w:line="240" w:lineRule="auto"/>
              <w:contextualSpacing/>
              <w:jc w:val="center"/>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535</w:t>
            </w:r>
          </w:p>
        </w:tc>
        <w:tc>
          <w:tcPr>
            <w:tcW w:w="2442" w:type="dxa"/>
            <w:tcBorders>
              <w:top w:val="nil"/>
              <w:left w:val="nil"/>
              <w:bottom w:val="single" w:sz="4" w:space="0" w:color="auto"/>
              <w:right w:val="single" w:sz="4" w:space="0" w:color="auto"/>
            </w:tcBorders>
            <w:shd w:val="clear" w:color="auto" w:fill="auto"/>
            <w:noWrap/>
            <w:vAlign w:val="center"/>
          </w:tcPr>
          <w:p w14:paraId="77A98E27" w14:textId="77777777" w:rsidR="00E713CB" w:rsidRPr="00B13B9A" w:rsidRDefault="00E713CB" w:rsidP="00B00556">
            <w:pPr>
              <w:spacing w:after="0" w:line="240" w:lineRule="auto"/>
              <w:contextualSpacing/>
              <w:jc w:val="right"/>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21.408,7</w:t>
            </w:r>
          </w:p>
        </w:tc>
      </w:tr>
      <w:tr w:rsidR="00E713CB" w:rsidRPr="00B13B9A" w14:paraId="41C66AAB" w14:textId="77777777" w:rsidTr="00F431A2">
        <w:trPr>
          <w:trHeight w:val="20"/>
        </w:trPr>
        <w:tc>
          <w:tcPr>
            <w:tcW w:w="5807" w:type="dxa"/>
            <w:tcBorders>
              <w:top w:val="nil"/>
              <w:left w:val="single" w:sz="4" w:space="0" w:color="auto"/>
              <w:bottom w:val="single" w:sz="4" w:space="0" w:color="auto"/>
              <w:right w:val="single" w:sz="4" w:space="0" w:color="auto"/>
            </w:tcBorders>
            <w:shd w:val="clear" w:color="auto" w:fill="auto"/>
            <w:vAlign w:val="center"/>
          </w:tcPr>
          <w:p w14:paraId="51D75A3A" w14:textId="32751ABC" w:rsidR="00E713CB" w:rsidRPr="00B13B9A" w:rsidRDefault="00182C85" w:rsidP="00182C85">
            <w:pPr>
              <w:spacing w:after="0" w:line="240" w:lineRule="auto"/>
              <w:contextualSpacing/>
              <w:rPr>
                <w:rFonts w:asciiTheme="majorHAnsi" w:hAnsiTheme="majorHAnsi" w:cstheme="majorHAnsi"/>
                <w:sz w:val="20"/>
                <w:szCs w:val="20"/>
                <w:lang w:val="ro-MD"/>
              </w:rPr>
            </w:pPr>
            <w:r w:rsidRPr="00182C85">
              <w:rPr>
                <w:rFonts w:asciiTheme="majorHAnsi" w:hAnsiTheme="majorHAnsi" w:cstheme="majorHAnsi"/>
                <w:bCs/>
                <w:sz w:val="20"/>
                <w:szCs w:val="20"/>
                <w:lang w:val="ro-MD"/>
              </w:rPr>
              <w:t>Долгосрочн</w:t>
            </w:r>
            <w:r>
              <w:rPr>
                <w:rFonts w:asciiTheme="majorHAnsi" w:hAnsiTheme="majorHAnsi" w:cstheme="majorHAnsi"/>
                <w:bCs/>
                <w:sz w:val="20"/>
                <w:szCs w:val="20"/>
                <w:lang w:val="ru-RU"/>
              </w:rPr>
              <w:t>ы</w:t>
            </w:r>
            <w:r w:rsidRPr="00182C85">
              <w:rPr>
                <w:rFonts w:asciiTheme="majorHAnsi" w:hAnsiTheme="majorHAnsi" w:cstheme="majorHAnsi"/>
                <w:bCs/>
                <w:sz w:val="20"/>
                <w:szCs w:val="20"/>
                <w:lang w:val="ro-MD"/>
              </w:rPr>
              <w:t>е целев</w:t>
            </w:r>
            <w:r>
              <w:rPr>
                <w:rFonts w:asciiTheme="majorHAnsi" w:hAnsiTheme="majorHAnsi" w:cstheme="majorHAnsi"/>
                <w:bCs/>
                <w:sz w:val="20"/>
                <w:szCs w:val="20"/>
                <w:lang w:val="ru-RU"/>
              </w:rPr>
              <w:t>ы</w:t>
            </w:r>
            <w:r w:rsidRPr="00182C85">
              <w:rPr>
                <w:rFonts w:asciiTheme="majorHAnsi" w:hAnsiTheme="majorHAnsi" w:cstheme="majorHAnsi"/>
                <w:bCs/>
                <w:sz w:val="20"/>
                <w:szCs w:val="20"/>
                <w:lang w:val="ro-MD"/>
              </w:rPr>
              <w:t>е финансирование и поступления</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4DAD320B" w14:textId="77777777" w:rsidR="00E713CB" w:rsidRPr="00B13B9A" w:rsidRDefault="00E713CB" w:rsidP="00B00556">
            <w:pPr>
              <w:spacing w:after="0" w:line="240" w:lineRule="auto"/>
              <w:contextualSpacing/>
              <w:jc w:val="center"/>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425</w:t>
            </w:r>
          </w:p>
        </w:tc>
        <w:tc>
          <w:tcPr>
            <w:tcW w:w="2442" w:type="dxa"/>
            <w:tcBorders>
              <w:top w:val="nil"/>
              <w:left w:val="nil"/>
              <w:bottom w:val="single" w:sz="4" w:space="0" w:color="auto"/>
              <w:right w:val="single" w:sz="4" w:space="0" w:color="auto"/>
            </w:tcBorders>
            <w:shd w:val="clear" w:color="auto" w:fill="auto"/>
            <w:noWrap/>
            <w:vAlign w:val="center"/>
          </w:tcPr>
          <w:p w14:paraId="0865BB13" w14:textId="77777777" w:rsidR="00E713CB" w:rsidRPr="00B13B9A" w:rsidRDefault="00E713CB" w:rsidP="00B00556">
            <w:pPr>
              <w:spacing w:after="0" w:line="240" w:lineRule="auto"/>
              <w:contextualSpacing/>
              <w:jc w:val="right"/>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13.706,9</w:t>
            </w:r>
          </w:p>
        </w:tc>
      </w:tr>
      <w:tr w:rsidR="00E713CB" w:rsidRPr="00B13B9A" w14:paraId="1D8D3459" w14:textId="77777777" w:rsidTr="00F431A2">
        <w:trPr>
          <w:trHeight w:val="20"/>
        </w:trPr>
        <w:tc>
          <w:tcPr>
            <w:tcW w:w="5807" w:type="dxa"/>
            <w:tcBorders>
              <w:top w:val="nil"/>
              <w:left w:val="single" w:sz="4" w:space="0" w:color="auto"/>
              <w:bottom w:val="single" w:sz="4" w:space="0" w:color="auto"/>
              <w:right w:val="single" w:sz="4" w:space="0" w:color="auto"/>
            </w:tcBorders>
            <w:shd w:val="clear" w:color="auto" w:fill="auto"/>
            <w:vAlign w:val="center"/>
          </w:tcPr>
          <w:p w14:paraId="73F706BF" w14:textId="28B4F132" w:rsidR="00E713CB" w:rsidRPr="00B13B9A" w:rsidRDefault="00182C85" w:rsidP="00B00556">
            <w:pPr>
              <w:spacing w:after="0" w:line="240" w:lineRule="auto"/>
              <w:contextualSpacing/>
              <w:rPr>
                <w:rFonts w:asciiTheme="majorHAnsi" w:hAnsiTheme="majorHAnsi" w:cstheme="majorHAnsi"/>
                <w:sz w:val="20"/>
                <w:szCs w:val="20"/>
                <w:lang w:val="ro-MD"/>
              </w:rPr>
            </w:pPr>
            <w:r w:rsidRPr="00182C85">
              <w:rPr>
                <w:rFonts w:asciiTheme="majorHAnsi" w:hAnsiTheme="majorHAnsi" w:cstheme="majorHAnsi"/>
                <w:bCs/>
                <w:sz w:val="20"/>
                <w:szCs w:val="20"/>
                <w:lang w:val="ro-MD"/>
              </w:rPr>
              <w:t>Субсидии субъектам, управляющим публичной собственностью</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66CACB6A" w14:textId="77777777" w:rsidR="00E713CB" w:rsidRPr="00B13B9A" w:rsidRDefault="00E713CB" w:rsidP="00B00556">
            <w:pPr>
              <w:spacing w:after="0" w:line="240" w:lineRule="auto"/>
              <w:contextualSpacing/>
              <w:jc w:val="center"/>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342</w:t>
            </w:r>
          </w:p>
        </w:tc>
        <w:tc>
          <w:tcPr>
            <w:tcW w:w="2442" w:type="dxa"/>
            <w:tcBorders>
              <w:top w:val="nil"/>
              <w:left w:val="nil"/>
              <w:bottom w:val="single" w:sz="4" w:space="0" w:color="auto"/>
              <w:right w:val="single" w:sz="4" w:space="0" w:color="auto"/>
            </w:tcBorders>
            <w:shd w:val="clear" w:color="auto" w:fill="auto"/>
            <w:noWrap/>
            <w:vAlign w:val="center"/>
          </w:tcPr>
          <w:p w14:paraId="0CEA8F6E" w14:textId="77777777" w:rsidR="00E713CB" w:rsidRPr="00B13B9A" w:rsidRDefault="00E713CB" w:rsidP="00B00556">
            <w:pPr>
              <w:spacing w:after="0" w:line="240" w:lineRule="auto"/>
              <w:contextualSpacing/>
              <w:jc w:val="right"/>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68.291,6</w:t>
            </w:r>
          </w:p>
        </w:tc>
      </w:tr>
      <w:tr w:rsidR="00E713CB" w:rsidRPr="00B13B9A" w14:paraId="6365483F" w14:textId="77777777" w:rsidTr="00F431A2">
        <w:trPr>
          <w:trHeight w:val="20"/>
        </w:trPr>
        <w:tc>
          <w:tcPr>
            <w:tcW w:w="67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DF573" w14:textId="1CA85FD2" w:rsidR="00E713CB" w:rsidRPr="00182C85" w:rsidRDefault="00182C85" w:rsidP="00B00556">
            <w:pPr>
              <w:spacing w:after="0" w:line="240" w:lineRule="auto"/>
              <w:contextualSpacing/>
              <w:rPr>
                <w:rFonts w:asciiTheme="majorHAnsi" w:hAnsiTheme="majorHAnsi" w:cstheme="majorHAnsi"/>
                <w:color w:val="000000"/>
                <w:sz w:val="20"/>
                <w:szCs w:val="20"/>
                <w:lang w:val="ru-RU"/>
              </w:rPr>
            </w:pPr>
            <w:r>
              <w:rPr>
                <w:rFonts w:asciiTheme="majorHAnsi" w:hAnsiTheme="majorHAnsi" w:cstheme="majorHAnsi"/>
                <w:color w:val="000000"/>
                <w:sz w:val="20"/>
                <w:szCs w:val="20"/>
                <w:lang w:val="ru-RU"/>
              </w:rPr>
              <w:t>Всего, пассивов</w:t>
            </w:r>
          </w:p>
        </w:tc>
        <w:tc>
          <w:tcPr>
            <w:tcW w:w="2442" w:type="dxa"/>
            <w:tcBorders>
              <w:top w:val="nil"/>
              <w:left w:val="nil"/>
              <w:bottom w:val="single" w:sz="4" w:space="0" w:color="auto"/>
              <w:right w:val="single" w:sz="4" w:space="0" w:color="auto"/>
            </w:tcBorders>
            <w:shd w:val="clear" w:color="auto" w:fill="auto"/>
            <w:noWrap/>
            <w:vAlign w:val="center"/>
          </w:tcPr>
          <w:p w14:paraId="115E22AF" w14:textId="77777777" w:rsidR="00E713CB" w:rsidRPr="00B13B9A" w:rsidRDefault="00E713CB" w:rsidP="00B00556">
            <w:pPr>
              <w:spacing w:after="0" w:line="240" w:lineRule="auto"/>
              <w:contextualSpacing/>
              <w:jc w:val="right"/>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103.407,2</w:t>
            </w:r>
          </w:p>
        </w:tc>
      </w:tr>
      <w:tr w:rsidR="00E713CB" w:rsidRPr="00B13B9A" w14:paraId="0FC70138" w14:textId="77777777" w:rsidTr="00F431A2">
        <w:trPr>
          <w:trHeight w:val="20"/>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14:paraId="3F918D53" w14:textId="479A6A16" w:rsidR="00E713CB" w:rsidRPr="00B13B9A" w:rsidRDefault="00182C85" w:rsidP="00182C85">
            <w:pPr>
              <w:spacing w:after="0" w:line="240" w:lineRule="auto"/>
              <w:contextualSpacing/>
              <w:rPr>
                <w:rFonts w:asciiTheme="majorHAnsi" w:hAnsiTheme="majorHAnsi" w:cstheme="majorHAnsi"/>
                <w:bCs/>
                <w:sz w:val="20"/>
                <w:szCs w:val="20"/>
                <w:lang w:val="ro-MD"/>
              </w:rPr>
            </w:pPr>
            <w:r>
              <w:rPr>
                <w:rFonts w:asciiTheme="majorHAnsi" w:hAnsiTheme="majorHAnsi" w:cstheme="majorHAnsi"/>
                <w:color w:val="000000"/>
                <w:sz w:val="20"/>
                <w:szCs w:val="20"/>
                <w:lang w:val="ru-RU"/>
              </w:rPr>
              <w:t>Разница Актив-Пассив</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4DE78D55" w14:textId="77777777" w:rsidR="00E713CB" w:rsidRPr="00B13B9A" w:rsidRDefault="00E713CB" w:rsidP="00B00556">
            <w:pPr>
              <w:spacing w:after="0" w:line="240" w:lineRule="auto"/>
              <w:contextualSpacing/>
              <w:jc w:val="center"/>
              <w:rPr>
                <w:rFonts w:asciiTheme="majorHAnsi" w:hAnsiTheme="majorHAnsi" w:cstheme="majorHAnsi"/>
                <w:color w:val="000000"/>
                <w:sz w:val="20"/>
                <w:szCs w:val="20"/>
                <w:lang w:val="ro-MD"/>
              </w:rPr>
            </w:pPr>
          </w:p>
        </w:tc>
        <w:tc>
          <w:tcPr>
            <w:tcW w:w="2442" w:type="dxa"/>
            <w:tcBorders>
              <w:top w:val="nil"/>
              <w:left w:val="nil"/>
              <w:bottom w:val="single" w:sz="4" w:space="0" w:color="auto"/>
              <w:right w:val="single" w:sz="4" w:space="0" w:color="auto"/>
            </w:tcBorders>
            <w:shd w:val="clear" w:color="auto" w:fill="auto"/>
            <w:noWrap/>
            <w:vAlign w:val="center"/>
          </w:tcPr>
          <w:p w14:paraId="4725CA19" w14:textId="77777777" w:rsidR="00E713CB" w:rsidRPr="00B13B9A" w:rsidRDefault="00E713CB" w:rsidP="00B00556">
            <w:pPr>
              <w:spacing w:after="0" w:line="240" w:lineRule="auto"/>
              <w:contextualSpacing/>
              <w:jc w:val="right"/>
              <w:rPr>
                <w:rFonts w:asciiTheme="majorHAnsi" w:hAnsiTheme="majorHAnsi" w:cstheme="majorHAnsi"/>
                <w:color w:val="000000"/>
                <w:sz w:val="20"/>
                <w:szCs w:val="20"/>
                <w:lang w:val="ro-MD"/>
              </w:rPr>
            </w:pPr>
            <w:r w:rsidRPr="00B13B9A">
              <w:rPr>
                <w:rFonts w:asciiTheme="majorHAnsi" w:hAnsiTheme="majorHAnsi" w:cstheme="majorHAnsi"/>
                <w:color w:val="FF0000"/>
                <w:sz w:val="20"/>
                <w:szCs w:val="20"/>
                <w:lang w:val="ro-MD"/>
              </w:rPr>
              <w:t>-63.337,0</w:t>
            </w:r>
          </w:p>
        </w:tc>
      </w:tr>
    </w:tbl>
    <w:p w14:paraId="6086768B" w14:textId="321EC866" w:rsidR="00E713CB" w:rsidRPr="00B13B9A" w:rsidRDefault="00FE6601" w:rsidP="00E713CB">
      <w:pPr>
        <w:pStyle w:val="cn"/>
        <w:spacing w:line="276" w:lineRule="auto"/>
        <w:ind w:right="71"/>
        <w:jc w:val="both"/>
        <w:rPr>
          <w:rFonts w:asciiTheme="majorHAnsi" w:eastAsiaTheme="minorHAnsi" w:hAnsiTheme="majorHAnsi" w:cstheme="minorHAnsi"/>
          <w:i/>
          <w:sz w:val="20"/>
          <w:szCs w:val="20"/>
          <w:lang w:val="ro-MD" w:eastAsia="en-US"/>
        </w:rPr>
      </w:pPr>
      <w:r>
        <w:rPr>
          <w:rFonts w:asciiTheme="majorHAnsi" w:eastAsiaTheme="minorHAnsi" w:hAnsiTheme="majorHAnsi" w:cstheme="minorHAnsi"/>
          <w:b/>
          <w:i/>
          <w:sz w:val="20"/>
          <w:szCs w:val="20"/>
          <w:lang w:val="ro-MD" w:eastAsia="en-US"/>
        </w:rPr>
        <w:t>Источник</w:t>
      </w:r>
      <w:r w:rsidR="00E713CB" w:rsidRPr="00B13B9A">
        <w:rPr>
          <w:rFonts w:asciiTheme="majorHAnsi" w:eastAsiaTheme="minorHAnsi" w:hAnsiTheme="majorHAnsi" w:cstheme="minorHAnsi"/>
          <w:b/>
          <w:i/>
          <w:sz w:val="20"/>
          <w:szCs w:val="20"/>
          <w:lang w:val="ro-MD" w:eastAsia="en-US"/>
        </w:rPr>
        <w:t>:</w:t>
      </w:r>
      <w:r w:rsidR="00E713CB" w:rsidRPr="00B13B9A">
        <w:rPr>
          <w:rFonts w:asciiTheme="majorHAnsi" w:eastAsiaTheme="minorHAnsi" w:hAnsiTheme="majorHAnsi" w:cstheme="minorHAnsi"/>
          <w:i/>
          <w:sz w:val="20"/>
          <w:szCs w:val="20"/>
          <w:lang w:val="ro-MD" w:eastAsia="en-US"/>
        </w:rPr>
        <w:t xml:space="preserve"> </w:t>
      </w:r>
      <w:r w:rsidR="00A66F8A">
        <w:rPr>
          <w:rFonts w:asciiTheme="majorHAnsi" w:eastAsiaTheme="minorHAnsi" w:hAnsiTheme="majorHAnsi" w:cstheme="minorHAnsi"/>
          <w:i/>
          <w:sz w:val="20"/>
          <w:szCs w:val="20"/>
          <w:lang w:val="ro-MD" w:eastAsia="en-US"/>
        </w:rPr>
        <w:t>Бухгалтерский учет</w:t>
      </w:r>
      <w:r w:rsidR="00B030D1">
        <w:rPr>
          <w:rFonts w:asciiTheme="majorHAnsi" w:hAnsiTheme="majorHAnsi" w:cstheme="majorHAnsi"/>
          <w:i/>
          <w:color w:val="000000" w:themeColor="text1"/>
          <w:sz w:val="20"/>
          <w:szCs w:val="20"/>
          <w:lang w:val="ro-MD"/>
        </w:rPr>
        <w:t>ПМСУ ИФП</w:t>
      </w:r>
      <w:r w:rsidR="00F431A2" w:rsidRPr="00B13B9A">
        <w:rPr>
          <w:rFonts w:asciiTheme="majorHAnsi" w:hAnsiTheme="majorHAnsi" w:cstheme="majorHAnsi"/>
          <w:i/>
          <w:color w:val="000000" w:themeColor="text1"/>
          <w:sz w:val="20"/>
          <w:szCs w:val="20"/>
          <w:lang w:val="ro-MD"/>
        </w:rPr>
        <w:t xml:space="preserve"> </w:t>
      </w:r>
      <w:r w:rsidR="001924A7">
        <w:rPr>
          <w:rFonts w:asciiTheme="majorHAnsi" w:hAnsiTheme="majorHAnsi" w:cstheme="majorHAnsi"/>
          <w:i/>
          <w:sz w:val="20"/>
          <w:szCs w:val="20"/>
          <w:lang w:val="ro-MD"/>
        </w:rPr>
        <w:t>«Кирилл Драганюк”</w:t>
      </w:r>
      <w:r w:rsidR="003E1FB0" w:rsidRPr="00B13B9A">
        <w:rPr>
          <w:rFonts w:asciiTheme="majorHAnsi" w:hAnsiTheme="majorHAnsi" w:cstheme="majorHAnsi"/>
          <w:i/>
          <w:sz w:val="20"/>
          <w:szCs w:val="20"/>
          <w:lang w:val="ro-MD"/>
        </w:rPr>
        <w:t>.</w:t>
      </w:r>
      <w:r w:rsidR="00E713CB" w:rsidRPr="00B13B9A">
        <w:rPr>
          <w:rFonts w:asciiTheme="majorHAnsi" w:eastAsiaTheme="minorHAnsi" w:hAnsiTheme="majorHAnsi" w:cstheme="minorHAnsi"/>
          <w:i/>
          <w:sz w:val="20"/>
          <w:szCs w:val="20"/>
          <w:lang w:val="ro-MD" w:eastAsia="en-US"/>
        </w:rPr>
        <w:t xml:space="preserve"> </w:t>
      </w:r>
    </w:p>
    <w:p w14:paraId="217E8AFD" w14:textId="77777777" w:rsidR="00E713CB" w:rsidRPr="00B13B9A" w:rsidRDefault="00E713CB" w:rsidP="00E713CB">
      <w:pPr>
        <w:pStyle w:val="cn"/>
        <w:spacing w:line="276" w:lineRule="auto"/>
        <w:ind w:right="71"/>
        <w:jc w:val="both"/>
        <w:rPr>
          <w:rFonts w:asciiTheme="majorHAnsi" w:eastAsiaTheme="minorHAnsi" w:hAnsiTheme="majorHAnsi" w:cstheme="minorHAnsi"/>
          <w:lang w:val="ro-MD" w:eastAsia="en-US"/>
        </w:rPr>
      </w:pPr>
    </w:p>
    <w:p w14:paraId="0EA6D33F" w14:textId="21AF80EA" w:rsidR="00E713CB" w:rsidRPr="00B13B9A" w:rsidRDefault="002C0AA0" w:rsidP="00E713CB">
      <w:pPr>
        <w:spacing w:after="0" w:line="276" w:lineRule="auto"/>
        <w:jc w:val="both"/>
        <w:rPr>
          <w:rFonts w:asciiTheme="majorHAnsi" w:eastAsia="Times New Roman" w:hAnsiTheme="majorHAnsi" w:cstheme="majorHAnsi"/>
          <w:sz w:val="24"/>
          <w:szCs w:val="24"/>
          <w:lang w:val="ro-MD"/>
        </w:rPr>
      </w:pPr>
      <w:r>
        <w:rPr>
          <w:rFonts w:asciiTheme="majorHAnsi" w:hAnsiTheme="majorHAnsi" w:cstheme="minorHAnsi"/>
          <w:sz w:val="24"/>
          <w:szCs w:val="24"/>
          <w:lang w:val="ru-RU"/>
        </w:rPr>
        <w:t>Относительно</w:t>
      </w:r>
      <w:r w:rsidR="00B85388" w:rsidRPr="00B85388">
        <w:rPr>
          <w:rFonts w:asciiTheme="majorHAnsi" w:hAnsiTheme="majorHAnsi" w:cstheme="minorHAnsi"/>
          <w:sz w:val="24"/>
          <w:szCs w:val="24"/>
          <w:lang w:val="ro-MD"/>
        </w:rPr>
        <w:t xml:space="preserve"> долгосрочных активов</w:t>
      </w:r>
      <w:r>
        <w:rPr>
          <w:rFonts w:asciiTheme="majorHAnsi" w:hAnsiTheme="majorHAnsi" w:cstheme="minorHAnsi"/>
          <w:sz w:val="24"/>
          <w:szCs w:val="24"/>
          <w:lang w:val="ru-RU"/>
        </w:rPr>
        <w:t xml:space="preserve"> отмечается</w:t>
      </w:r>
      <w:r w:rsidR="00B85388" w:rsidRPr="00B85388">
        <w:rPr>
          <w:rFonts w:asciiTheme="majorHAnsi" w:hAnsiTheme="majorHAnsi" w:cstheme="minorHAnsi"/>
          <w:sz w:val="24"/>
          <w:szCs w:val="24"/>
          <w:lang w:val="ro-MD"/>
        </w:rPr>
        <w:t xml:space="preserve">, что они признаются </w:t>
      </w:r>
      <w:r w:rsidR="00121B23">
        <w:rPr>
          <w:rFonts w:asciiTheme="majorHAnsi" w:hAnsiTheme="majorHAnsi" w:cstheme="minorHAnsi"/>
          <w:sz w:val="24"/>
          <w:szCs w:val="24"/>
          <w:lang w:val="ru-RU"/>
        </w:rPr>
        <w:t>как</w:t>
      </w:r>
      <w:r w:rsidR="00B85388" w:rsidRPr="00B85388">
        <w:rPr>
          <w:rFonts w:asciiTheme="majorHAnsi" w:hAnsiTheme="majorHAnsi" w:cstheme="minorHAnsi"/>
          <w:sz w:val="24"/>
          <w:szCs w:val="24"/>
          <w:lang w:val="ro-MD"/>
        </w:rPr>
        <w:t xml:space="preserve"> долгосрочн</w:t>
      </w:r>
      <w:r w:rsidR="00121B23">
        <w:rPr>
          <w:rFonts w:asciiTheme="majorHAnsi" w:hAnsiTheme="majorHAnsi" w:cstheme="minorHAnsi"/>
          <w:sz w:val="24"/>
          <w:szCs w:val="24"/>
          <w:lang w:val="ru-RU"/>
        </w:rPr>
        <w:t>ые</w:t>
      </w:r>
      <w:r w:rsidR="00B85388" w:rsidRPr="00B85388">
        <w:rPr>
          <w:rFonts w:asciiTheme="majorHAnsi" w:hAnsiTheme="majorHAnsi" w:cstheme="minorHAnsi"/>
          <w:sz w:val="24"/>
          <w:szCs w:val="24"/>
          <w:lang w:val="ro-MD"/>
        </w:rPr>
        <w:t xml:space="preserve"> </w:t>
      </w:r>
      <w:r w:rsidR="00121B23">
        <w:rPr>
          <w:rFonts w:asciiTheme="majorHAnsi" w:hAnsiTheme="majorHAnsi" w:cstheme="minorHAnsi"/>
          <w:sz w:val="24"/>
          <w:szCs w:val="24"/>
          <w:lang w:val="ru-RU"/>
        </w:rPr>
        <w:t xml:space="preserve">целевые </w:t>
      </w:r>
      <w:r w:rsidR="00B85388" w:rsidRPr="00B85388">
        <w:rPr>
          <w:rFonts w:asciiTheme="majorHAnsi" w:hAnsiTheme="majorHAnsi" w:cstheme="minorHAnsi"/>
          <w:sz w:val="24"/>
          <w:szCs w:val="24"/>
          <w:lang w:val="ro-MD"/>
        </w:rPr>
        <w:t>финансировани</w:t>
      </w:r>
      <w:r w:rsidR="00121B23">
        <w:rPr>
          <w:rFonts w:asciiTheme="majorHAnsi" w:hAnsiTheme="majorHAnsi" w:cstheme="minorHAnsi"/>
          <w:sz w:val="24"/>
          <w:szCs w:val="24"/>
          <w:lang w:val="ru-RU"/>
        </w:rPr>
        <w:t>е</w:t>
      </w:r>
      <w:r w:rsidR="00B85388" w:rsidRPr="00B85388">
        <w:rPr>
          <w:rFonts w:asciiTheme="majorHAnsi" w:hAnsiTheme="majorHAnsi" w:cstheme="minorHAnsi"/>
          <w:sz w:val="24"/>
          <w:szCs w:val="24"/>
          <w:lang w:val="ro-MD"/>
        </w:rPr>
        <w:t xml:space="preserve"> и поступлени</w:t>
      </w:r>
      <w:r w:rsidR="00121B23">
        <w:rPr>
          <w:rFonts w:asciiTheme="majorHAnsi" w:hAnsiTheme="majorHAnsi" w:cstheme="minorHAnsi"/>
          <w:sz w:val="24"/>
          <w:szCs w:val="24"/>
          <w:lang w:val="ru-RU"/>
        </w:rPr>
        <w:t>я</w:t>
      </w:r>
      <w:r w:rsidR="00B85388" w:rsidRPr="00B85388">
        <w:rPr>
          <w:rFonts w:asciiTheme="majorHAnsi" w:hAnsiTheme="majorHAnsi" w:cstheme="minorHAnsi"/>
          <w:sz w:val="24"/>
          <w:szCs w:val="24"/>
          <w:lang w:val="ro-MD"/>
        </w:rPr>
        <w:t xml:space="preserve"> (425), а при вводе в эксплуатацию </w:t>
      </w:r>
      <w:r w:rsidR="00C10BD2">
        <w:rPr>
          <w:rFonts w:asciiTheme="majorHAnsi" w:hAnsiTheme="majorHAnsi" w:cstheme="minorHAnsi"/>
          <w:sz w:val="24"/>
          <w:szCs w:val="24"/>
          <w:lang w:val="ro-MD"/>
        </w:rPr>
        <w:t>субъект</w:t>
      </w:r>
      <w:r w:rsidR="00B85388" w:rsidRPr="00B85388">
        <w:rPr>
          <w:rFonts w:asciiTheme="majorHAnsi" w:hAnsiTheme="majorHAnsi" w:cstheme="minorHAnsi"/>
          <w:sz w:val="24"/>
          <w:szCs w:val="24"/>
          <w:lang w:val="ro-MD"/>
        </w:rPr>
        <w:t xml:space="preserve"> не учитывал </w:t>
      </w:r>
      <w:r w:rsidR="00121B23">
        <w:rPr>
          <w:rFonts w:asciiTheme="majorHAnsi" w:hAnsiTheme="majorHAnsi" w:cstheme="minorHAnsi"/>
          <w:sz w:val="24"/>
          <w:szCs w:val="24"/>
          <w:lang w:val="ru-RU"/>
        </w:rPr>
        <w:t>их происхождение</w:t>
      </w:r>
      <w:r w:rsidR="00B85388" w:rsidRPr="00B85388">
        <w:rPr>
          <w:rFonts w:asciiTheme="majorHAnsi" w:hAnsiTheme="majorHAnsi" w:cstheme="minorHAnsi"/>
          <w:sz w:val="24"/>
          <w:szCs w:val="24"/>
          <w:lang w:val="ro-MD"/>
        </w:rPr>
        <w:t xml:space="preserve">, и все они были отнесены к субсидиям </w:t>
      </w:r>
      <w:r w:rsidR="00121B23">
        <w:rPr>
          <w:rFonts w:asciiTheme="majorHAnsi" w:hAnsiTheme="majorHAnsi" w:cstheme="minorHAnsi"/>
          <w:sz w:val="24"/>
          <w:szCs w:val="24"/>
          <w:lang w:val="ru-RU"/>
        </w:rPr>
        <w:t>субъектам</w:t>
      </w:r>
      <w:r w:rsidR="00B85388" w:rsidRPr="00B85388">
        <w:rPr>
          <w:rFonts w:asciiTheme="majorHAnsi" w:hAnsiTheme="majorHAnsi" w:cstheme="minorHAnsi"/>
          <w:sz w:val="24"/>
          <w:szCs w:val="24"/>
          <w:lang w:val="ro-MD"/>
        </w:rPr>
        <w:t xml:space="preserve">, </w:t>
      </w:r>
      <w:r w:rsidR="00121B23">
        <w:rPr>
          <w:rFonts w:asciiTheme="majorHAnsi" w:hAnsiTheme="majorHAnsi" w:cstheme="minorHAnsi"/>
          <w:sz w:val="24"/>
          <w:szCs w:val="24"/>
          <w:lang w:val="ru-RU"/>
        </w:rPr>
        <w:t>управляющим</w:t>
      </w:r>
      <w:r w:rsidR="00B85388" w:rsidRPr="00B85388">
        <w:rPr>
          <w:rFonts w:asciiTheme="majorHAnsi" w:hAnsiTheme="majorHAnsi" w:cstheme="minorHAnsi"/>
          <w:sz w:val="24"/>
          <w:szCs w:val="24"/>
          <w:lang w:val="ro-MD"/>
        </w:rPr>
        <w:t xml:space="preserve"> </w:t>
      </w:r>
      <w:r w:rsidR="00EE088D">
        <w:rPr>
          <w:rFonts w:asciiTheme="majorHAnsi" w:hAnsiTheme="majorHAnsi" w:cstheme="minorHAnsi"/>
          <w:sz w:val="24"/>
          <w:szCs w:val="24"/>
          <w:lang w:val="ro-MD"/>
        </w:rPr>
        <w:t>публич</w:t>
      </w:r>
      <w:r w:rsidR="00B85388" w:rsidRPr="00B85388">
        <w:rPr>
          <w:rFonts w:asciiTheme="majorHAnsi" w:hAnsiTheme="majorHAnsi" w:cstheme="minorHAnsi"/>
          <w:sz w:val="24"/>
          <w:szCs w:val="24"/>
          <w:lang w:val="ro-MD"/>
        </w:rPr>
        <w:t>ной собственност</w:t>
      </w:r>
      <w:r w:rsidR="00121B23">
        <w:rPr>
          <w:rFonts w:asciiTheme="majorHAnsi" w:hAnsiTheme="majorHAnsi" w:cstheme="minorHAnsi"/>
          <w:sz w:val="24"/>
          <w:szCs w:val="24"/>
          <w:lang w:val="ru-RU"/>
        </w:rPr>
        <w:t>ью</w:t>
      </w:r>
      <w:r w:rsidR="00B85388" w:rsidRPr="00B85388">
        <w:rPr>
          <w:rFonts w:asciiTheme="majorHAnsi" w:hAnsiTheme="majorHAnsi" w:cstheme="minorHAnsi"/>
          <w:sz w:val="24"/>
          <w:szCs w:val="24"/>
          <w:lang w:val="ro-MD"/>
        </w:rPr>
        <w:t xml:space="preserve">, хотя, согласно </w:t>
      </w:r>
      <w:r w:rsidR="00121B23">
        <w:rPr>
          <w:rFonts w:asciiTheme="majorHAnsi" w:hAnsiTheme="majorHAnsi" w:cstheme="minorHAnsi"/>
          <w:sz w:val="24"/>
          <w:szCs w:val="24"/>
          <w:lang w:val="ru-RU"/>
        </w:rPr>
        <w:t>НСБУ</w:t>
      </w:r>
      <w:r w:rsidR="00B85388" w:rsidRPr="00B85388">
        <w:rPr>
          <w:rFonts w:asciiTheme="majorHAnsi" w:hAnsiTheme="majorHAnsi" w:cstheme="minorHAnsi"/>
          <w:sz w:val="24"/>
          <w:szCs w:val="24"/>
          <w:lang w:val="ro-MD"/>
        </w:rPr>
        <w:t xml:space="preserve"> „</w:t>
      </w:r>
      <w:r w:rsidR="00121B23">
        <w:rPr>
          <w:rFonts w:asciiTheme="majorHAnsi" w:hAnsiTheme="majorHAnsi" w:cstheme="minorHAnsi"/>
          <w:sz w:val="24"/>
          <w:szCs w:val="24"/>
          <w:lang w:val="ru-RU"/>
        </w:rPr>
        <w:t>С</w:t>
      </w:r>
      <w:r w:rsidR="00B85388" w:rsidRPr="00B85388">
        <w:rPr>
          <w:rFonts w:asciiTheme="majorHAnsi" w:hAnsiTheme="majorHAnsi" w:cstheme="minorHAnsi"/>
          <w:sz w:val="24"/>
          <w:szCs w:val="24"/>
          <w:lang w:val="ro-MD"/>
        </w:rPr>
        <w:t xml:space="preserve">обственный капитал и </w:t>
      </w:r>
      <w:r w:rsidR="00121B23">
        <w:rPr>
          <w:rFonts w:asciiTheme="majorHAnsi" w:hAnsiTheme="majorHAnsi" w:cstheme="minorHAnsi"/>
          <w:sz w:val="24"/>
          <w:szCs w:val="24"/>
          <w:lang w:val="ru-RU"/>
        </w:rPr>
        <w:t>обязательства</w:t>
      </w:r>
      <w:r w:rsidR="00B85388" w:rsidRPr="00B85388">
        <w:rPr>
          <w:rFonts w:asciiTheme="majorHAnsi" w:hAnsiTheme="majorHAnsi" w:cstheme="minorHAnsi"/>
          <w:sz w:val="24"/>
          <w:szCs w:val="24"/>
          <w:lang w:val="ro-MD"/>
        </w:rPr>
        <w:t xml:space="preserve">”, </w:t>
      </w:r>
      <w:r w:rsidR="00C10BD2">
        <w:rPr>
          <w:rFonts w:asciiTheme="majorHAnsi" w:hAnsiTheme="majorHAnsi" w:cstheme="minorHAnsi"/>
          <w:sz w:val="24"/>
          <w:szCs w:val="24"/>
          <w:lang w:val="ro-MD"/>
        </w:rPr>
        <w:t>субъект</w:t>
      </w:r>
      <w:r w:rsidR="00B85388" w:rsidRPr="00B85388">
        <w:rPr>
          <w:rFonts w:asciiTheme="majorHAnsi" w:hAnsiTheme="majorHAnsi" w:cstheme="minorHAnsi"/>
          <w:sz w:val="24"/>
          <w:szCs w:val="24"/>
          <w:lang w:val="ro-MD"/>
        </w:rPr>
        <w:t xml:space="preserve"> долж</w:t>
      </w:r>
      <w:r w:rsidR="00121B23">
        <w:rPr>
          <w:rFonts w:asciiTheme="majorHAnsi" w:hAnsiTheme="majorHAnsi" w:cstheme="minorHAnsi"/>
          <w:sz w:val="24"/>
          <w:szCs w:val="24"/>
          <w:lang w:val="ru-RU"/>
        </w:rPr>
        <w:t>е</w:t>
      </w:r>
      <w:r w:rsidR="00B85388" w:rsidRPr="00B85388">
        <w:rPr>
          <w:rFonts w:asciiTheme="majorHAnsi" w:hAnsiTheme="majorHAnsi" w:cstheme="minorHAnsi"/>
          <w:sz w:val="24"/>
          <w:szCs w:val="24"/>
          <w:lang w:val="ro-MD"/>
        </w:rPr>
        <w:t xml:space="preserve">н признать в составе собственного капитала только субсидии, полученные от </w:t>
      </w:r>
      <w:r w:rsidR="00121B23">
        <w:rPr>
          <w:rFonts w:asciiTheme="majorHAnsi" w:hAnsiTheme="majorHAnsi" w:cstheme="minorHAnsi"/>
          <w:sz w:val="24"/>
          <w:szCs w:val="24"/>
          <w:lang w:val="ru-RU"/>
        </w:rPr>
        <w:t>П</w:t>
      </w:r>
      <w:r w:rsidR="00B85388" w:rsidRPr="00B85388">
        <w:rPr>
          <w:rFonts w:asciiTheme="majorHAnsi" w:hAnsiTheme="majorHAnsi" w:cstheme="minorHAnsi"/>
          <w:sz w:val="24"/>
          <w:szCs w:val="24"/>
          <w:lang w:val="ro-MD"/>
        </w:rPr>
        <w:t xml:space="preserve">равительства и других органов </w:t>
      </w:r>
      <w:r w:rsidR="00EE088D">
        <w:rPr>
          <w:rFonts w:asciiTheme="majorHAnsi" w:hAnsiTheme="majorHAnsi" w:cstheme="minorHAnsi"/>
          <w:sz w:val="24"/>
          <w:szCs w:val="24"/>
          <w:lang w:val="ro-MD"/>
        </w:rPr>
        <w:t>публич</w:t>
      </w:r>
      <w:r w:rsidR="00B85388" w:rsidRPr="00B85388">
        <w:rPr>
          <w:rFonts w:asciiTheme="majorHAnsi" w:hAnsiTheme="majorHAnsi" w:cstheme="minorHAnsi"/>
          <w:sz w:val="24"/>
          <w:szCs w:val="24"/>
          <w:lang w:val="ro-MD"/>
        </w:rPr>
        <w:t>ного управления.</w:t>
      </w:r>
    </w:p>
    <w:p w14:paraId="4F48C457" w14:textId="7D77943B" w:rsidR="00B85388" w:rsidRPr="00B85388" w:rsidRDefault="00C10BD2" w:rsidP="00B85388">
      <w:pPr>
        <w:spacing w:after="0" w:line="276" w:lineRule="auto"/>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Субъект</w:t>
      </w:r>
      <w:r w:rsidR="00B85388" w:rsidRPr="00B85388">
        <w:rPr>
          <w:rFonts w:asciiTheme="majorHAnsi" w:eastAsia="Times New Roman" w:hAnsiTheme="majorHAnsi" w:cstheme="majorHAnsi"/>
          <w:sz w:val="24"/>
          <w:szCs w:val="24"/>
          <w:lang w:val="ro-MD"/>
        </w:rPr>
        <w:t xml:space="preserve"> также проводит клинические испытания</w:t>
      </w:r>
      <w:r w:rsidR="00121B23">
        <w:rPr>
          <w:rFonts w:asciiTheme="majorHAnsi" w:eastAsia="Times New Roman" w:hAnsiTheme="majorHAnsi" w:cstheme="majorHAnsi"/>
          <w:sz w:val="24"/>
          <w:szCs w:val="24"/>
          <w:lang w:val="ru-RU"/>
        </w:rPr>
        <w:t>,</w:t>
      </w:r>
      <w:r w:rsidR="00B85388" w:rsidRPr="00B85388">
        <w:rPr>
          <w:rFonts w:asciiTheme="majorHAnsi" w:eastAsia="Times New Roman" w:hAnsiTheme="majorHAnsi" w:cstheme="majorHAnsi"/>
          <w:sz w:val="24"/>
          <w:szCs w:val="24"/>
          <w:lang w:val="ro-MD"/>
        </w:rPr>
        <w:t xml:space="preserve"> с распространением данных за пределами страны. За эти услуги/исследования </w:t>
      </w:r>
      <w:r>
        <w:rPr>
          <w:rFonts w:asciiTheme="majorHAnsi" w:eastAsia="Times New Roman" w:hAnsiTheme="majorHAnsi" w:cstheme="majorHAnsi"/>
          <w:sz w:val="24"/>
          <w:szCs w:val="24"/>
          <w:lang w:val="ro-MD"/>
        </w:rPr>
        <w:t>субъект</w:t>
      </w:r>
      <w:r w:rsidR="00B85388" w:rsidRPr="00B85388">
        <w:rPr>
          <w:rFonts w:asciiTheme="majorHAnsi" w:eastAsia="Times New Roman" w:hAnsiTheme="majorHAnsi" w:cstheme="majorHAnsi"/>
          <w:sz w:val="24"/>
          <w:szCs w:val="24"/>
          <w:lang w:val="ro-MD"/>
        </w:rPr>
        <w:t xml:space="preserve"> получает финансовые средства в иностранной валюте, а суммы авансов не</w:t>
      </w:r>
      <w:r w:rsidR="00121B23">
        <w:rPr>
          <w:rFonts w:asciiTheme="majorHAnsi" w:eastAsia="Times New Roman" w:hAnsiTheme="majorHAnsi" w:cstheme="majorHAnsi"/>
          <w:sz w:val="24"/>
          <w:szCs w:val="24"/>
          <w:lang w:val="ru-RU"/>
        </w:rPr>
        <w:t>правиль</w:t>
      </w:r>
      <w:r w:rsidR="00B85388" w:rsidRPr="00B85388">
        <w:rPr>
          <w:rFonts w:asciiTheme="majorHAnsi" w:eastAsia="Times New Roman" w:hAnsiTheme="majorHAnsi" w:cstheme="majorHAnsi"/>
          <w:sz w:val="24"/>
          <w:szCs w:val="24"/>
          <w:lang w:val="ro-MD"/>
        </w:rPr>
        <w:t xml:space="preserve">но </w:t>
      </w:r>
      <w:r w:rsidR="00121B23">
        <w:rPr>
          <w:rFonts w:asciiTheme="majorHAnsi" w:eastAsia="Times New Roman" w:hAnsiTheme="majorHAnsi" w:cstheme="majorHAnsi"/>
          <w:sz w:val="24"/>
          <w:szCs w:val="24"/>
          <w:lang w:val="ru-RU"/>
        </w:rPr>
        <w:t>относя</w:t>
      </w:r>
      <w:r w:rsidR="00B85388" w:rsidRPr="00B85388">
        <w:rPr>
          <w:rFonts w:asciiTheme="majorHAnsi" w:eastAsia="Times New Roman" w:hAnsiTheme="majorHAnsi" w:cstheme="majorHAnsi"/>
          <w:sz w:val="24"/>
          <w:szCs w:val="24"/>
          <w:lang w:val="ro-MD"/>
        </w:rPr>
        <w:t xml:space="preserve">тся на </w:t>
      </w:r>
      <w:r w:rsidR="00121B23" w:rsidRPr="00B85388">
        <w:rPr>
          <w:rFonts w:asciiTheme="majorHAnsi" w:eastAsia="Times New Roman" w:hAnsiTheme="majorHAnsi" w:cstheme="majorHAnsi"/>
          <w:sz w:val="24"/>
          <w:szCs w:val="24"/>
          <w:lang w:val="ro-MD"/>
        </w:rPr>
        <w:t>долгосрочн</w:t>
      </w:r>
      <w:r w:rsidR="00121B23">
        <w:rPr>
          <w:rFonts w:asciiTheme="majorHAnsi" w:eastAsia="Times New Roman" w:hAnsiTheme="majorHAnsi" w:cstheme="majorHAnsi"/>
          <w:sz w:val="24"/>
          <w:szCs w:val="24"/>
          <w:lang w:val="ru-RU"/>
        </w:rPr>
        <w:t xml:space="preserve">ые целевые </w:t>
      </w:r>
      <w:r w:rsidR="00B85388" w:rsidRPr="00B85388">
        <w:rPr>
          <w:rFonts w:asciiTheme="majorHAnsi" w:eastAsia="Times New Roman" w:hAnsiTheme="majorHAnsi" w:cstheme="majorHAnsi"/>
          <w:sz w:val="24"/>
          <w:szCs w:val="24"/>
          <w:lang w:val="ro-MD"/>
        </w:rPr>
        <w:t xml:space="preserve">финансирование и поступления (425). </w:t>
      </w:r>
    </w:p>
    <w:p w14:paraId="1A43AE1B" w14:textId="216EEB69" w:rsidR="00B85388" w:rsidRPr="008B1632" w:rsidRDefault="00121B23" w:rsidP="00B85388">
      <w:pPr>
        <w:spacing w:after="0" w:line="276" w:lineRule="auto"/>
        <w:jc w:val="both"/>
        <w:rPr>
          <w:rFonts w:asciiTheme="majorHAnsi" w:eastAsia="Times New Roman" w:hAnsiTheme="majorHAnsi" w:cstheme="majorHAnsi"/>
          <w:sz w:val="24"/>
          <w:szCs w:val="24"/>
          <w:lang w:val="ru-RU"/>
        </w:rPr>
      </w:pPr>
      <w:r>
        <w:rPr>
          <w:rFonts w:asciiTheme="majorHAnsi" w:eastAsia="Times New Roman" w:hAnsiTheme="majorHAnsi" w:cstheme="majorHAnsi"/>
          <w:sz w:val="24"/>
          <w:szCs w:val="24"/>
          <w:lang w:val="ru-RU"/>
        </w:rPr>
        <w:t>Проблема учета</w:t>
      </w:r>
      <w:r w:rsidR="00B85388" w:rsidRPr="00B85388">
        <w:rPr>
          <w:rFonts w:asciiTheme="majorHAnsi" w:eastAsia="Times New Roman" w:hAnsiTheme="majorHAnsi" w:cstheme="majorHAnsi"/>
          <w:sz w:val="24"/>
          <w:szCs w:val="24"/>
          <w:lang w:val="ro-MD"/>
        </w:rPr>
        <w:t xml:space="preserve"> доход</w:t>
      </w:r>
      <w:r>
        <w:rPr>
          <w:rFonts w:asciiTheme="majorHAnsi" w:eastAsia="Times New Roman" w:hAnsiTheme="majorHAnsi" w:cstheme="majorHAnsi"/>
          <w:sz w:val="24"/>
          <w:szCs w:val="24"/>
          <w:lang w:val="ru-RU"/>
        </w:rPr>
        <w:t>ов</w:t>
      </w:r>
      <w:r w:rsidR="00B85388" w:rsidRPr="00B85388">
        <w:rPr>
          <w:rFonts w:asciiTheme="majorHAnsi" w:eastAsia="Times New Roman" w:hAnsiTheme="majorHAnsi" w:cstheme="majorHAnsi"/>
          <w:sz w:val="24"/>
          <w:szCs w:val="24"/>
          <w:lang w:val="ro-MD"/>
        </w:rPr>
        <w:t xml:space="preserve"> также был</w:t>
      </w:r>
      <w:r>
        <w:rPr>
          <w:rFonts w:asciiTheme="majorHAnsi" w:eastAsia="Times New Roman" w:hAnsiTheme="majorHAnsi" w:cstheme="majorHAnsi"/>
          <w:sz w:val="24"/>
          <w:szCs w:val="24"/>
          <w:lang w:val="ru-RU"/>
        </w:rPr>
        <w:t>а</w:t>
      </w:r>
      <w:r w:rsidR="00B85388" w:rsidRPr="00B85388">
        <w:rPr>
          <w:rFonts w:asciiTheme="majorHAnsi" w:eastAsia="Times New Roman" w:hAnsiTheme="majorHAnsi" w:cstheme="majorHAnsi"/>
          <w:sz w:val="24"/>
          <w:szCs w:val="24"/>
          <w:lang w:val="ro-MD"/>
        </w:rPr>
        <w:t xml:space="preserve"> </w:t>
      </w:r>
      <w:r>
        <w:rPr>
          <w:rFonts w:asciiTheme="majorHAnsi" w:eastAsia="Times New Roman" w:hAnsiTheme="majorHAnsi" w:cstheme="majorHAnsi"/>
          <w:sz w:val="24"/>
          <w:szCs w:val="24"/>
          <w:lang w:val="ru-RU"/>
        </w:rPr>
        <w:t>отмечена</w:t>
      </w:r>
      <w:r w:rsidR="00B85388" w:rsidRPr="00B85388">
        <w:rPr>
          <w:rFonts w:asciiTheme="majorHAnsi" w:eastAsia="Times New Roman" w:hAnsiTheme="majorHAnsi" w:cstheme="majorHAnsi"/>
          <w:sz w:val="24"/>
          <w:szCs w:val="24"/>
          <w:lang w:val="ro-MD"/>
        </w:rPr>
        <w:t xml:space="preserve"> частным аудитом, проведенным в 2022 году. Таким образом, </w:t>
      </w:r>
      <w:r>
        <w:rPr>
          <w:rFonts w:asciiTheme="majorHAnsi" w:eastAsia="Times New Roman" w:hAnsiTheme="majorHAnsi" w:cstheme="majorHAnsi"/>
          <w:sz w:val="24"/>
          <w:szCs w:val="24"/>
          <w:lang w:val="ru-RU"/>
        </w:rPr>
        <w:t>начиная с</w:t>
      </w:r>
      <w:r w:rsidR="00B85388" w:rsidRPr="00B85388">
        <w:rPr>
          <w:rFonts w:asciiTheme="majorHAnsi" w:eastAsia="Times New Roman" w:hAnsiTheme="majorHAnsi" w:cstheme="majorHAnsi"/>
          <w:sz w:val="24"/>
          <w:szCs w:val="24"/>
          <w:lang w:val="ro-MD"/>
        </w:rPr>
        <w:t xml:space="preserve"> 2023 год</w:t>
      </w:r>
      <w:r>
        <w:rPr>
          <w:rFonts w:asciiTheme="majorHAnsi" w:eastAsia="Times New Roman" w:hAnsiTheme="majorHAnsi" w:cstheme="majorHAnsi"/>
          <w:sz w:val="24"/>
          <w:szCs w:val="24"/>
          <w:lang w:val="ru-RU"/>
        </w:rPr>
        <w:t>а</w:t>
      </w:r>
      <w:r w:rsidR="00B85388" w:rsidRPr="00B85388">
        <w:rPr>
          <w:rFonts w:asciiTheme="majorHAnsi" w:eastAsia="Times New Roman" w:hAnsiTheme="majorHAnsi" w:cstheme="majorHAnsi"/>
          <w:sz w:val="24"/>
          <w:szCs w:val="24"/>
          <w:lang w:val="ro-MD"/>
        </w:rPr>
        <w:t xml:space="preserve"> для потребляемых лекарств </w:t>
      </w:r>
      <w:r w:rsidR="00C10BD2">
        <w:rPr>
          <w:rFonts w:asciiTheme="majorHAnsi" w:eastAsia="Times New Roman" w:hAnsiTheme="majorHAnsi" w:cstheme="majorHAnsi"/>
          <w:sz w:val="24"/>
          <w:szCs w:val="24"/>
          <w:lang w:val="ro-MD"/>
        </w:rPr>
        <w:t>субъект</w:t>
      </w:r>
      <w:r w:rsidR="00B85388" w:rsidRPr="00B85388">
        <w:rPr>
          <w:rFonts w:asciiTheme="majorHAnsi" w:eastAsia="Times New Roman" w:hAnsiTheme="majorHAnsi" w:cstheme="majorHAnsi"/>
          <w:sz w:val="24"/>
          <w:szCs w:val="24"/>
          <w:lang w:val="ro-MD"/>
        </w:rPr>
        <w:t xml:space="preserve"> признает </w:t>
      </w:r>
      <w:r w:rsidR="008B1632" w:rsidRPr="00B85388">
        <w:rPr>
          <w:rFonts w:asciiTheme="majorHAnsi" w:eastAsia="Times New Roman" w:hAnsiTheme="majorHAnsi" w:cstheme="majorHAnsi"/>
          <w:sz w:val="24"/>
          <w:szCs w:val="24"/>
          <w:lang w:val="ro-MD"/>
        </w:rPr>
        <w:t>доход</w:t>
      </w:r>
      <w:r w:rsidR="008B1632">
        <w:rPr>
          <w:rFonts w:asciiTheme="majorHAnsi" w:eastAsia="Times New Roman" w:hAnsiTheme="majorHAnsi" w:cstheme="majorHAnsi"/>
          <w:sz w:val="24"/>
          <w:szCs w:val="24"/>
          <w:lang w:val="ru-RU"/>
        </w:rPr>
        <w:t>ы</w:t>
      </w:r>
      <w:r w:rsidR="008B1632" w:rsidRPr="00B85388">
        <w:rPr>
          <w:rFonts w:asciiTheme="majorHAnsi" w:eastAsia="Times New Roman" w:hAnsiTheme="majorHAnsi" w:cstheme="majorHAnsi"/>
          <w:sz w:val="24"/>
          <w:szCs w:val="24"/>
          <w:lang w:val="ro-MD"/>
        </w:rPr>
        <w:t xml:space="preserve"> </w:t>
      </w:r>
      <w:r w:rsidR="008B1632">
        <w:rPr>
          <w:rFonts w:asciiTheme="majorHAnsi" w:eastAsia="Times New Roman" w:hAnsiTheme="majorHAnsi" w:cstheme="majorHAnsi"/>
          <w:sz w:val="24"/>
          <w:szCs w:val="24"/>
          <w:lang w:val="ru-RU"/>
        </w:rPr>
        <w:t>правильно</w:t>
      </w:r>
      <w:r w:rsidR="00B85388" w:rsidRPr="00B85388">
        <w:rPr>
          <w:rFonts w:asciiTheme="majorHAnsi" w:eastAsia="Times New Roman" w:hAnsiTheme="majorHAnsi" w:cstheme="majorHAnsi"/>
          <w:sz w:val="24"/>
          <w:szCs w:val="24"/>
          <w:lang w:val="ro-MD"/>
        </w:rPr>
        <w:t xml:space="preserve">, то есть по мере </w:t>
      </w:r>
      <w:r w:rsidR="008B1632">
        <w:rPr>
          <w:rFonts w:asciiTheme="majorHAnsi" w:eastAsia="Times New Roman" w:hAnsiTheme="majorHAnsi" w:cstheme="majorHAnsi"/>
          <w:sz w:val="24"/>
          <w:szCs w:val="24"/>
          <w:lang w:val="ru-RU"/>
        </w:rPr>
        <w:t>их возникнов</w:t>
      </w:r>
      <w:r w:rsidR="00B85388" w:rsidRPr="00B85388">
        <w:rPr>
          <w:rFonts w:asciiTheme="majorHAnsi" w:eastAsia="Times New Roman" w:hAnsiTheme="majorHAnsi" w:cstheme="majorHAnsi"/>
          <w:sz w:val="24"/>
          <w:szCs w:val="24"/>
          <w:lang w:val="ro-MD"/>
        </w:rPr>
        <w:t xml:space="preserve">ения, </w:t>
      </w:r>
      <w:r w:rsidR="008B1632">
        <w:rPr>
          <w:rFonts w:asciiTheme="majorHAnsi" w:eastAsia="Times New Roman" w:hAnsiTheme="majorHAnsi" w:cstheme="majorHAnsi"/>
          <w:sz w:val="24"/>
          <w:szCs w:val="24"/>
          <w:lang w:val="ru-RU"/>
        </w:rPr>
        <w:t>а</w:t>
      </w:r>
      <w:r w:rsidR="00B85388" w:rsidRPr="00B85388">
        <w:rPr>
          <w:rFonts w:asciiTheme="majorHAnsi" w:eastAsia="Times New Roman" w:hAnsiTheme="majorHAnsi" w:cstheme="majorHAnsi"/>
          <w:sz w:val="24"/>
          <w:szCs w:val="24"/>
          <w:lang w:val="ro-MD"/>
        </w:rPr>
        <w:t xml:space="preserve"> не по другим </w:t>
      </w:r>
      <w:r w:rsidR="008B1632">
        <w:rPr>
          <w:rFonts w:asciiTheme="majorHAnsi" w:eastAsia="Times New Roman" w:hAnsiTheme="majorHAnsi" w:cstheme="majorHAnsi"/>
          <w:sz w:val="24"/>
          <w:szCs w:val="24"/>
          <w:lang w:val="ru-RU"/>
        </w:rPr>
        <w:t>остальным элементам.</w:t>
      </w:r>
    </w:p>
    <w:p w14:paraId="318C5645" w14:textId="14A223B8" w:rsidR="00E713CB" w:rsidRPr="00B13B9A" w:rsidRDefault="00B85388" w:rsidP="00E713CB">
      <w:pPr>
        <w:pStyle w:val="cn"/>
        <w:spacing w:line="276" w:lineRule="auto"/>
        <w:ind w:right="71"/>
        <w:jc w:val="both"/>
        <w:rPr>
          <w:rFonts w:asciiTheme="majorHAnsi" w:eastAsiaTheme="minorHAnsi" w:hAnsiTheme="majorHAnsi" w:cstheme="minorHAnsi"/>
          <w:lang w:val="ro-MD" w:eastAsia="en-US"/>
        </w:rPr>
      </w:pPr>
      <w:r w:rsidRPr="00B85388">
        <w:rPr>
          <w:rFonts w:asciiTheme="majorHAnsi" w:eastAsiaTheme="minorHAnsi" w:hAnsiTheme="majorHAnsi" w:cstheme="minorHAnsi"/>
          <w:lang w:val="ro-MD" w:eastAsia="en-US"/>
        </w:rPr>
        <w:t xml:space="preserve">Отмечается, что субъект не располагает методологическими положениями, описанными в </w:t>
      </w:r>
      <w:r w:rsidR="008B1632">
        <w:rPr>
          <w:rFonts w:asciiTheme="majorHAnsi" w:eastAsiaTheme="minorHAnsi" w:hAnsiTheme="majorHAnsi" w:cstheme="minorHAnsi"/>
          <w:lang w:eastAsia="en-US"/>
        </w:rPr>
        <w:t xml:space="preserve">учетной </w:t>
      </w:r>
      <w:r w:rsidRPr="00B85388">
        <w:rPr>
          <w:rFonts w:asciiTheme="majorHAnsi" w:eastAsiaTheme="minorHAnsi" w:hAnsiTheme="majorHAnsi" w:cstheme="minorHAnsi"/>
          <w:lang w:val="ro-MD" w:eastAsia="en-US"/>
        </w:rPr>
        <w:t xml:space="preserve">политике, в отношении признания доходов от </w:t>
      </w:r>
      <w:r w:rsidR="008B1632">
        <w:rPr>
          <w:rFonts w:asciiTheme="majorHAnsi" w:eastAsiaTheme="minorHAnsi" w:hAnsiTheme="majorHAnsi" w:cstheme="minorHAnsi"/>
          <w:lang w:eastAsia="en-US"/>
        </w:rPr>
        <w:t>выплаты</w:t>
      </w:r>
      <w:r w:rsidRPr="00B85388">
        <w:rPr>
          <w:rFonts w:asciiTheme="majorHAnsi" w:eastAsiaTheme="minorHAnsi" w:hAnsiTheme="majorHAnsi" w:cstheme="minorHAnsi"/>
          <w:lang w:val="ro-MD" w:eastAsia="en-US"/>
        </w:rPr>
        <w:t xml:space="preserve"> субсидий, в том числе </w:t>
      </w:r>
      <w:r w:rsidR="008B1632">
        <w:rPr>
          <w:rFonts w:asciiTheme="majorHAnsi" w:eastAsiaTheme="minorHAnsi" w:hAnsiTheme="majorHAnsi" w:cstheme="minorHAnsi"/>
          <w:lang w:eastAsia="en-US"/>
        </w:rPr>
        <w:t xml:space="preserve">доходов </w:t>
      </w:r>
      <w:r w:rsidRPr="00B85388">
        <w:rPr>
          <w:rFonts w:asciiTheme="majorHAnsi" w:eastAsiaTheme="minorHAnsi" w:hAnsiTheme="majorHAnsi" w:cstheme="minorHAnsi"/>
          <w:lang w:val="ro-MD" w:eastAsia="en-US"/>
        </w:rPr>
        <w:t xml:space="preserve">от оказания услуг бенефициарам за пределами страны. Так, путем ежеквартального отражения </w:t>
      </w:r>
      <w:r w:rsidR="008B1632" w:rsidRPr="008B1632">
        <w:rPr>
          <w:rFonts w:asciiTheme="majorHAnsi" w:eastAsiaTheme="minorHAnsi" w:hAnsiTheme="majorHAnsi" w:cstheme="minorHAnsi"/>
          <w:lang w:val="ro-MD" w:eastAsia="en-US"/>
        </w:rPr>
        <w:t>на</w:t>
      </w:r>
      <w:r w:rsidRPr="00B85388">
        <w:rPr>
          <w:rFonts w:asciiTheme="majorHAnsi" w:eastAsiaTheme="minorHAnsi" w:hAnsiTheme="majorHAnsi" w:cstheme="minorHAnsi"/>
          <w:lang w:val="ro-MD" w:eastAsia="en-US"/>
        </w:rPr>
        <w:t xml:space="preserve"> доход</w:t>
      </w:r>
      <w:r w:rsidR="008B1632" w:rsidRPr="008B1632">
        <w:rPr>
          <w:rFonts w:asciiTheme="majorHAnsi" w:eastAsiaTheme="minorHAnsi" w:hAnsiTheme="majorHAnsi" w:cstheme="minorHAnsi"/>
          <w:lang w:val="ro-MD" w:eastAsia="en-US"/>
        </w:rPr>
        <w:t>ы</w:t>
      </w:r>
      <w:r w:rsidRPr="00B85388">
        <w:rPr>
          <w:rFonts w:asciiTheme="majorHAnsi" w:eastAsiaTheme="minorHAnsi" w:hAnsiTheme="majorHAnsi" w:cstheme="minorHAnsi"/>
          <w:lang w:val="ro-MD" w:eastAsia="en-US"/>
        </w:rPr>
        <w:t xml:space="preserve"> разницы между общей суммой текущ</w:t>
      </w:r>
      <w:r w:rsidR="008B1632" w:rsidRPr="008B1632">
        <w:rPr>
          <w:rFonts w:asciiTheme="majorHAnsi" w:eastAsiaTheme="minorHAnsi" w:hAnsiTheme="majorHAnsi" w:cstheme="minorHAnsi"/>
          <w:lang w:val="ro-MD" w:eastAsia="en-US"/>
        </w:rPr>
        <w:t>их</w:t>
      </w:r>
      <w:r w:rsidRPr="00B85388">
        <w:rPr>
          <w:rFonts w:asciiTheme="majorHAnsi" w:eastAsiaTheme="minorHAnsi" w:hAnsiTheme="majorHAnsi" w:cstheme="minorHAnsi"/>
          <w:lang w:val="ro-MD" w:eastAsia="en-US"/>
        </w:rPr>
        <w:t xml:space="preserve"> доход</w:t>
      </w:r>
      <w:r w:rsidR="008B1632" w:rsidRPr="008B1632">
        <w:rPr>
          <w:rFonts w:asciiTheme="majorHAnsi" w:eastAsiaTheme="minorHAnsi" w:hAnsiTheme="majorHAnsi" w:cstheme="minorHAnsi"/>
          <w:lang w:val="ro-MD" w:eastAsia="en-US"/>
        </w:rPr>
        <w:t>ов</w:t>
      </w:r>
      <w:r w:rsidRPr="00B85388">
        <w:rPr>
          <w:rFonts w:asciiTheme="majorHAnsi" w:eastAsiaTheme="minorHAnsi" w:hAnsiTheme="majorHAnsi" w:cstheme="minorHAnsi"/>
          <w:lang w:val="ro-MD" w:eastAsia="en-US"/>
        </w:rPr>
        <w:t xml:space="preserve"> и текущих расходов</w:t>
      </w:r>
      <w:r w:rsidR="008B1632" w:rsidRPr="008B1632">
        <w:rPr>
          <w:rFonts w:asciiTheme="majorHAnsi" w:eastAsiaTheme="minorHAnsi" w:hAnsiTheme="majorHAnsi" w:cstheme="minorHAnsi"/>
          <w:lang w:val="ro-MD" w:eastAsia="en-US"/>
        </w:rPr>
        <w:t>,</w:t>
      </w:r>
      <w:r w:rsidRPr="00B85388">
        <w:rPr>
          <w:rFonts w:asciiTheme="majorHAnsi" w:eastAsiaTheme="minorHAnsi" w:hAnsiTheme="majorHAnsi" w:cstheme="minorHAnsi"/>
          <w:lang w:val="ro-MD" w:eastAsia="en-US"/>
        </w:rPr>
        <w:t xml:space="preserve"> не обеспечивается </w:t>
      </w:r>
      <w:r w:rsidR="008B1632" w:rsidRPr="008B1632">
        <w:rPr>
          <w:rFonts w:asciiTheme="majorHAnsi" w:eastAsiaTheme="minorHAnsi" w:hAnsiTheme="majorHAnsi" w:cstheme="minorHAnsi"/>
          <w:lang w:val="ro-MD" w:eastAsia="en-US"/>
        </w:rPr>
        <w:t>надлежаще</w:t>
      </w:r>
      <w:r w:rsidRPr="00B85388">
        <w:rPr>
          <w:rFonts w:asciiTheme="majorHAnsi" w:eastAsiaTheme="minorHAnsi" w:hAnsiTheme="majorHAnsi" w:cstheme="minorHAnsi"/>
          <w:lang w:val="ro-MD" w:eastAsia="en-US"/>
        </w:rPr>
        <w:t xml:space="preserve">е определение и маскируется </w:t>
      </w:r>
      <w:r w:rsidR="008B1632" w:rsidRPr="008B1632">
        <w:rPr>
          <w:rFonts w:asciiTheme="majorHAnsi" w:eastAsiaTheme="minorHAnsi" w:hAnsiTheme="majorHAnsi" w:cstheme="minorHAnsi"/>
          <w:lang w:val="ro-MD" w:eastAsia="en-US"/>
        </w:rPr>
        <w:t>реальны</w:t>
      </w:r>
      <w:r w:rsidRPr="00B85388">
        <w:rPr>
          <w:rFonts w:asciiTheme="majorHAnsi" w:eastAsiaTheme="minorHAnsi" w:hAnsiTheme="majorHAnsi" w:cstheme="minorHAnsi"/>
          <w:lang w:val="ro-MD" w:eastAsia="en-US"/>
        </w:rPr>
        <w:t>й финансовый результат</w:t>
      </w:r>
      <w:r w:rsidR="00E713CB" w:rsidRPr="00B13B9A">
        <w:rPr>
          <w:rFonts w:asciiTheme="majorHAnsi" w:eastAsiaTheme="minorHAnsi" w:hAnsiTheme="majorHAnsi" w:cstheme="minorHAnsi"/>
          <w:lang w:val="ro-MD" w:eastAsia="en-US"/>
        </w:rPr>
        <w:t>.</w:t>
      </w:r>
    </w:p>
    <w:p w14:paraId="6FD6544E" w14:textId="77777777" w:rsidR="00E713CB" w:rsidRPr="00B13B9A" w:rsidRDefault="00E713CB" w:rsidP="00E713CB">
      <w:pPr>
        <w:pStyle w:val="cn"/>
        <w:spacing w:line="276" w:lineRule="auto"/>
        <w:ind w:right="71"/>
        <w:jc w:val="both"/>
        <w:rPr>
          <w:rFonts w:asciiTheme="majorHAnsi" w:eastAsiaTheme="minorHAnsi" w:hAnsiTheme="majorHAnsi" w:cstheme="minorHAnsi"/>
          <w:lang w:val="ro-MD" w:eastAsia="en-US"/>
        </w:rPr>
      </w:pPr>
    </w:p>
    <w:p w14:paraId="0C6D19DE" w14:textId="7EA2C3F8" w:rsidR="00E713CB" w:rsidRPr="00B13B9A" w:rsidRDefault="00B85388" w:rsidP="008B1632">
      <w:pPr>
        <w:pStyle w:val="cn"/>
        <w:numPr>
          <w:ilvl w:val="2"/>
          <w:numId w:val="10"/>
        </w:numPr>
        <w:tabs>
          <w:tab w:val="left" w:pos="1080"/>
        </w:tabs>
        <w:spacing w:line="276" w:lineRule="auto"/>
        <w:ind w:left="0" w:right="71" w:firstLine="284"/>
        <w:jc w:val="both"/>
        <w:outlineLvl w:val="2"/>
        <w:rPr>
          <w:rFonts w:asciiTheme="majorHAnsi" w:eastAsiaTheme="minorHAnsi" w:hAnsiTheme="majorHAnsi" w:cstheme="minorHAnsi"/>
          <w:b/>
          <w:lang w:val="ro-MD" w:eastAsia="en-US"/>
        </w:rPr>
      </w:pPr>
      <w:bookmarkStart w:id="46" w:name="_Toc158317248"/>
      <w:r w:rsidRPr="00B85388">
        <w:rPr>
          <w:rFonts w:asciiTheme="majorHAnsi" w:eastAsiaTheme="minorHAnsi" w:hAnsiTheme="majorHAnsi" w:cstheme="minorHAnsi"/>
          <w:b/>
          <w:lang w:val="ro-MD" w:eastAsia="en-US"/>
        </w:rPr>
        <w:t>Расходы, связанные с оказанными услугами, лежат в основе формирования тарифов, утвержденных Министерством здравоохранения</w:t>
      </w:r>
      <w:r w:rsidR="005A3DB7" w:rsidRPr="00B13B9A">
        <w:rPr>
          <w:rFonts w:asciiTheme="majorHAnsi" w:eastAsiaTheme="minorHAnsi" w:hAnsiTheme="majorHAnsi" w:cstheme="minorHAnsi"/>
          <w:b/>
          <w:lang w:val="ro-MD" w:eastAsia="en-US"/>
        </w:rPr>
        <w:t>.</w:t>
      </w:r>
      <w:bookmarkEnd w:id="46"/>
    </w:p>
    <w:p w14:paraId="508611EB" w14:textId="77777777" w:rsidR="00E713CB" w:rsidRPr="00B13B9A" w:rsidRDefault="00E713CB" w:rsidP="00E713CB">
      <w:pPr>
        <w:pStyle w:val="cn"/>
        <w:spacing w:line="276" w:lineRule="auto"/>
        <w:ind w:right="71"/>
        <w:jc w:val="both"/>
        <w:rPr>
          <w:rFonts w:asciiTheme="majorHAnsi" w:eastAsiaTheme="minorHAnsi" w:hAnsiTheme="majorHAnsi" w:cstheme="minorHAnsi"/>
          <w:lang w:val="ro-MD" w:eastAsia="en-US"/>
        </w:rPr>
      </w:pPr>
    </w:p>
    <w:p w14:paraId="426A4E05" w14:textId="00A6211A" w:rsidR="00E713CB" w:rsidRPr="00B13B9A" w:rsidRDefault="00B85388" w:rsidP="00E713CB">
      <w:pPr>
        <w:pStyle w:val="cn"/>
        <w:spacing w:line="276" w:lineRule="auto"/>
        <w:ind w:right="71"/>
        <w:jc w:val="both"/>
        <w:rPr>
          <w:rFonts w:asciiTheme="majorHAnsi" w:eastAsiaTheme="minorHAnsi" w:hAnsiTheme="majorHAnsi" w:cstheme="minorHAnsi"/>
          <w:lang w:val="ro-MD" w:eastAsia="en-US"/>
        </w:rPr>
      </w:pPr>
      <w:r w:rsidRPr="00B85388">
        <w:rPr>
          <w:rFonts w:asciiTheme="majorHAnsi" w:eastAsiaTheme="minorHAnsi" w:hAnsiTheme="majorHAnsi" w:cstheme="minorHAnsi"/>
          <w:lang w:val="ro-MD" w:eastAsia="en-US"/>
        </w:rPr>
        <w:t>Медико-санитарные учреждения представляют данные</w:t>
      </w:r>
      <w:r w:rsidR="003102AA">
        <w:rPr>
          <w:rFonts w:asciiTheme="majorHAnsi" w:eastAsiaTheme="minorHAnsi" w:hAnsiTheme="majorHAnsi" w:cstheme="minorHAnsi"/>
          <w:lang w:eastAsia="en-US"/>
        </w:rPr>
        <w:t xml:space="preserve"> о</w:t>
      </w:r>
      <w:r w:rsidRPr="00B85388">
        <w:rPr>
          <w:rFonts w:asciiTheme="majorHAnsi" w:eastAsiaTheme="minorHAnsi" w:hAnsiTheme="majorHAnsi" w:cstheme="minorHAnsi"/>
          <w:lang w:val="ro-MD" w:eastAsia="en-US"/>
        </w:rPr>
        <w:t xml:space="preserve"> расхода</w:t>
      </w:r>
      <w:r w:rsidR="003102AA">
        <w:rPr>
          <w:rFonts w:asciiTheme="majorHAnsi" w:eastAsiaTheme="minorHAnsi" w:hAnsiTheme="majorHAnsi" w:cstheme="minorHAnsi"/>
          <w:lang w:eastAsia="en-US"/>
        </w:rPr>
        <w:t>х</w:t>
      </w:r>
      <w:r w:rsidRPr="00B85388">
        <w:rPr>
          <w:rFonts w:asciiTheme="majorHAnsi" w:eastAsiaTheme="minorHAnsi" w:hAnsiTheme="majorHAnsi" w:cstheme="minorHAnsi"/>
          <w:lang w:val="ro-MD" w:eastAsia="en-US"/>
        </w:rPr>
        <w:t>, лежащи</w:t>
      </w:r>
      <w:r w:rsidR="003102AA">
        <w:rPr>
          <w:rFonts w:asciiTheme="majorHAnsi" w:eastAsiaTheme="minorHAnsi" w:hAnsiTheme="majorHAnsi" w:cstheme="minorHAnsi"/>
          <w:lang w:eastAsia="en-US"/>
        </w:rPr>
        <w:t>х</w:t>
      </w:r>
      <w:r w:rsidRPr="00B85388">
        <w:rPr>
          <w:rFonts w:asciiTheme="majorHAnsi" w:eastAsiaTheme="minorHAnsi" w:hAnsiTheme="majorHAnsi" w:cstheme="minorHAnsi"/>
          <w:lang w:val="ro-MD" w:eastAsia="en-US"/>
        </w:rPr>
        <w:t xml:space="preserve"> в основе расчета тарифов на медико-санитарные услуги, и представляют их Министерству здравоохранения, прила</w:t>
      </w:r>
      <w:r w:rsidR="00C721F6">
        <w:rPr>
          <w:rFonts w:asciiTheme="majorHAnsi" w:eastAsiaTheme="minorHAnsi" w:hAnsiTheme="majorHAnsi" w:cstheme="minorHAnsi"/>
          <w:lang w:eastAsia="en-US"/>
        </w:rPr>
        <w:t>жив</w:t>
      </w:r>
      <w:r w:rsidRPr="00B85388">
        <w:rPr>
          <w:rFonts w:asciiTheme="majorHAnsi" w:eastAsiaTheme="minorHAnsi" w:hAnsiTheme="majorHAnsi" w:cstheme="minorHAnsi"/>
          <w:lang w:val="ro-MD" w:eastAsia="en-US"/>
        </w:rPr>
        <w:t xml:space="preserve"> </w:t>
      </w:r>
      <w:r w:rsidR="003102AA" w:rsidRPr="00B85388">
        <w:rPr>
          <w:rFonts w:asciiTheme="majorHAnsi" w:eastAsiaTheme="minorHAnsi" w:hAnsiTheme="majorHAnsi" w:cstheme="minorHAnsi"/>
          <w:lang w:val="ro-MD" w:eastAsia="en-US"/>
        </w:rPr>
        <w:t xml:space="preserve">необходимые </w:t>
      </w:r>
      <w:r w:rsidRPr="00B85388">
        <w:rPr>
          <w:rFonts w:asciiTheme="majorHAnsi" w:eastAsiaTheme="minorHAnsi" w:hAnsiTheme="majorHAnsi" w:cstheme="minorHAnsi"/>
          <w:lang w:val="ro-MD" w:eastAsia="en-US"/>
        </w:rPr>
        <w:t xml:space="preserve">документы </w:t>
      </w:r>
      <w:r w:rsidR="003102AA">
        <w:rPr>
          <w:rFonts w:asciiTheme="majorHAnsi" w:eastAsiaTheme="minorHAnsi" w:hAnsiTheme="majorHAnsi" w:cstheme="minorHAnsi"/>
          <w:lang w:val="ro-MD" w:eastAsia="en-US"/>
        </w:rPr>
        <w:t>для их обоснования</w:t>
      </w:r>
      <w:r w:rsidRPr="00B85388">
        <w:rPr>
          <w:rFonts w:asciiTheme="majorHAnsi" w:eastAsiaTheme="minorHAnsi" w:hAnsiTheme="majorHAnsi" w:cstheme="minorHAnsi"/>
          <w:lang w:val="ro-MD" w:eastAsia="en-US"/>
        </w:rPr>
        <w:t xml:space="preserve">. </w:t>
      </w:r>
      <w:r w:rsidR="003102AA">
        <w:rPr>
          <w:rFonts w:asciiTheme="majorHAnsi" w:eastAsiaTheme="minorHAnsi" w:hAnsiTheme="majorHAnsi" w:cstheme="minorHAnsi"/>
          <w:lang w:eastAsia="en-US"/>
        </w:rPr>
        <w:t>Одновременно,</w:t>
      </w:r>
      <w:r w:rsidRPr="00B85388">
        <w:rPr>
          <w:rFonts w:asciiTheme="majorHAnsi" w:eastAsiaTheme="minorHAnsi" w:hAnsiTheme="majorHAnsi" w:cstheme="minorHAnsi"/>
          <w:lang w:val="ro-MD" w:eastAsia="en-US"/>
        </w:rPr>
        <w:t xml:space="preserve"> </w:t>
      </w:r>
      <w:r w:rsidR="00C721F6">
        <w:rPr>
          <w:rFonts w:asciiTheme="majorHAnsi" w:eastAsiaTheme="minorHAnsi" w:hAnsiTheme="majorHAnsi" w:cstheme="minorHAnsi"/>
          <w:lang w:eastAsia="en-US"/>
        </w:rPr>
        <w:t xml:space="preserve">стоимость </w:t>
      </w:r>
      <w:r w:rsidRPr="00B85388">
        <w:rPr>
          <w:rFonts w:asciiTheme="majorHAnsi" w:eastAsiaTheme="minorHAnsi" w:hAnsiTheme="majorHAnsi" w:cstheme="minorHAnsi"/>
          <w:lang w:val="ro-MD" w:eastAsia="en-US"/>
        </w:rPr>
        <w:t xml:space="preserve">медико-санитарных услуг состоит из: затрат/расходов на персонал; материальных затрат/расходов; </w:t>
      </w:r>
      <w:r w:rsidR="00B90874">
        <w:rPr>
          <w:rFonts w:asciiTheme="majorHAnsi" w:eastAsiaTheme="minorHAnsi" w:hAnsiTheme="majorHAnsi" w:cstheme="minorHAnsi"/>
          <w:lang w:eastAsia="en-US"/>
        </w:rPr>
        <w:t>затрат</w:t>
      </w:r>
      <w:r w:rsidRPr="00B85388">
        <w:rPr>
          <w:rFonts w:asciiTheme="majorHAnsi" w:eastAsiaTheme="minorHAnsi" w:hAnsiTheme="majorHAnsi" w:cstheme="minorHAnsi"/>
          <w:lang w:val="ro-MD" w:eastAsia="en-US"/>
        </w:rPr>
        <w:t xml:space="preserve">/расходов на амортизацию/износ нематериальных активов и основных средств; </w:t>
      </w:r>
      <w:r w:rsidR="00C721F6">
        <w:rPr>
          <w:rFonts w:asciiTheme="majorHAnsi" w:eastAsiaTheme="minorHAnsi" w:hAnsiTheme="majorHAnsi" w:cstheme="minorHAnsi"/>
          <w:lang w:eastAsia="en-US"/>
        </w:rPr>
        <w:t>проч</w:t>
      </w:r>
      <w:r w:rsidRPr="00B85388">
        <w:rPr>
          <w:rFonts w:asciiTheme="majorHAnsi" w:eastAsiaTheme="minorHAnsi" w:hAnsiTheme="majorHAnsi" w:cstheme="minorHAnsi"/>
          <w:lang w:val="ro-MD" w:eastAsia="en-US"/>
        </w:rPr>
        <w:t>их затрат/расходов. За ауди</w:t>
      </w:r>
      <w:r w:rsidR="00B90874" w:rsidRPr="00B90874">
        <w:rPr>
          <w:rFonts w:asciiTheme="majorHAnsi" w:eastAsiaTheme="minorHAnsi" w:hAnsiTheme="majorHAnsi" w:cstheme="minorHAnsi"/>
          <w:lang w:val="ro-MD" w:eastAsia="en-US"/>
        </w:rPr>
        <w:t>руемый</w:t>
      </w:r>
      <w:r w:rsidRPr="00B85388">
        <w:rPr>
          <w:rFonts w:asciiTheme="majorHAnsi" w:eastAsiaTheme="minorHAnsi" w:hAnsiTheme="majorHAnsi" w:cstheme="minorHAnsi"/>
          <w:lang w:val="ro-MD" w:eastAsia="en-US"/>
        </w:rPr>
        <w:t xml:space="preserve"> период </w:t>
      </w:r>
      <w:r w:rsidR="00C10BD2">
        <w:rPr>
          <w:rFonts w:asciiTheme="majorHAnsi" w:eastAsiaTheme="minorHAnsi" w:hAnsiTheme="majorHAnsi" w:cstheme="minorHAnsi"/>
          <w:lang w:val="ro-MD" w:eastAsia="en-US"/>
        </w:rPr>
        <w:t>субъект</w:t>
      </w:r>
      <w:r w:rsidRPr="00B85388">
        <w:rPr>
          <w:rFonts w:asciiTheme="majorHAnsi" w:eastAsiaTheme="minorHAnsi" w:hAnsiTheme="majorHAnsi" w:cstheme="minorHAnsi"/>
          <w:lang w:val="ro-MD" w:eastAsia="en-US"/>
        </w:rPr>
        <w:t xml:space="preserve"> рассчитал и представил стоимость оказанных услуг, а </w:t>
      </w:r>
      <w:r w:rsidR="00B90874" w:rsidRPr="00B90874">
        <w:rPr>
          <w:rFonts w:asciiTheme="majorHAnsi" w:eastAsiaTheme="minorHAnsi" w:hAnsiTheme="majorHAnsi" w:cstheme="minorHAnsi"/>
          <w:lang w:val="ro-MD" w:eastAsia="en-US"/>
        </w:rPr>
        <w:t>МЗ</w:t>
      </w:r>
      <w:r w:rsidRPr="00B85388">
        <w:rPr>
          <w:rFonts w:asciiTheme="majorHAnsi" w:eastAsiaTheme="minorHAnsi" w:hAnsiTheme="majorHAnsi" w:cstheme="minorHAnsi"/>
          <w:lang w:val="ro-MD" w:eastAsia="en-US"/>
        </w:rPr>
        <w:t xml:space="preserve"> утвердил</w:t>
      </w:r>
      <w:r w:rsidR="00B90874" w:rsidRPr="00B90874">
        <w:rPr>
          <w:rFonts w:asciiTheme="majorHAnsi" w:eastAsiaTheme="minorHAnsi" w:hAnsiTheme="majorHAnsi" w:cstheme="minorHAnsi"/>
          <w:lang w:val="ro-MD" w:eastAsia="en-US"/>
        </w:rPr>
        <w:t>о</w:t>
      </w:r>
      <w:r w:rsidRPr="00B85388">
        <w:rPr>
          <w:rFonts w:asciiTheme="majorHAnsi" w:eastAsiaTheme="minorHAnsi" w:hAnsiTheme="majorHAnsi" w:cstheme="minorHAnsi"/>
          <w:lang w:val="ro-MD" w:eastAsia="en-US"/>
        </w:rPr>
        <w:t xml:space="preserve"> тариф, ситуация представлен</w:t>
      </w:r>
      <w:r w:rsidR="00B90874" w:rsidRPr="00B90874">
        <w:rPr>
          <w:rFonts w:asciiTheme="majorHAnsi" w:eastAsiaTheme="minorHAnsi" w:hAnsiTheme="majorHAnsi" w:cstheme="minorHAnsi"/>
          <w:lang w:val="ro-MD" w:eastAsia="en-US"/>
        </w:rPr>
        <w:t>а</w:t>
      </w:r>
      <w:r w:rsidRPr="00B85388">
        <w:rPr>
          <w:rFonts w:asciiTheme="majorHAnsi" w:eastAsiaTheme="minorHAnsi" w:hAnsiTheme="majorHAnsi" w:cstheme="minorHAnsi"/>
          <w:lang w:val="ro-MD" w:eastAsia="en-US"/>
        </w:rPr>
        <w:t xml:space="preserve"> в таблице ниже</w:t>
      </w:r>
      <w:r w:rsidR="00E713CB" w:rsidRPr="00B13B9A">
        <w:rPr>
          <w:rFonts w:asciiTheme="majorHAnsi" w:eastAsiaTheme="minorHAnsi" w:hAnsiTheme="majorHAnsi" w:cstheme="minorHAnsi"/>
          <w:lang w:val="ro-MD" w:eastAsia="en-US"/>
        </w:rPr>
        <w:t>:</w:t>
      </w:r>
    </w:p>
    <w:p w14:paraId="033FF401" w14:textId="4EC95DBA" w:rsidR="00E713CB" w:rsidRPr="00B13B9A" w:rsidRDefault="003102AA" w:rsidP="00E713CB">
      <w:pPr>
        <w:pStyle w:val="cn"/>
        <w:spacing w:line="276" w:lineRule="auto"/>
        <w:ind w:right="71"/>
        <w:jc w:val="right"/>
        <w:rPr>
          <w:rFonts w:asciiTheme="majorHAnsi" w:hAnsiTheme="majorHAnsi" w:cstheme="majorHAnsi"/>
          <w:color w:val="333333"/>
          <w:shd w:val="clear" w:color="auto" w:fill="FFFFFF"/>
          <w:lang w:val="ro-MD"/>
        </w:rPr>
      </w:pPr>
      <w:r w:rsidRPr="003102AA">
        <w:rPr>
          <w:rFonts w:asciiTheme="majorHAnsi" w:hAnsiTheme="majorHAnsi" w:cstheme="majorHAnsi"/>
          <w:color w:val="333333"/>
          <w:shd w:val="clear" w:color="auto" w:fill="FFFFFF"/>
          <w:lang w:val="ro-MD"/>
        </w:rPr>
        <w:t>Таблица №</w:t>
      </w:r>
      <w:r w:rsidR="00D37D8A" w:rsidRPr="00B13B9A">
        <w:rPr>
          <w:rFonts w:asciiTheme="majorHAnsi" w:hAnsiTheme="majorHAnsi" w:cstheme="majorHAnsi"/>
          <w:color w:val="333333"/>
          <w:shd w:val="clear" w:color="auto" w:fill="FFFFFF"/>
          <w:lang w:val="ro-MD"/>
        </w:rPr>
        <w:t>6</w:t>
      </w:r>
    </w:p>
    <w:p w14:paraId="47808A34" w14:textId="2333E2E9" w:rsidR="00E713CB" w:rsidRPr="00B13B9A" w:rsidRDefault="003102AA" w:rsidP="00E713CB">
      <w:pPr>
        <w:pStyle w:val="cn"/>
        <w:spacing w:line="276" w:lineRule="auto"/>
        <w:ind w:right="71"/>
        <w:rPr>
          <w:rFonts w:asciiTheme="majorHAnsi" w:hAnsiTheme="majorHAnsi" w:cstheme="majorHAnsi"/>
          <w:b/>
          <w:color w:val="333333"/>
          <w:shd w:val="clear" w:color="auto" w:fill="FFFFFF"/>
          <w:lang w:val="ro-MD"/>
        </w:rPr>
      </w:pPr>
      <w:r w:rsidRPr="003102AA">
        <w:rPr>
          <w:rFonts w:asciiTheme="majorHAnsi" w:hAnsiTheme="majorHAnsi" w:cstheme="majorHAnsi"/>
          <w:b/>
          <w:color w:val="333333"/>
          <w:shd w:val="clear" w:color="auto" w:fill="FFFFFF"/>
          <w:lang w:val="ro-MD"/>
        </w:rPr>
        <w:t xml:space="preserve">Информация о стоимости услуг и тарифе, утвержденном Министерством здравоохранения, леев </w:t>
      </w:r>
    </w:p>
    <w:tbl>
      <w:tblPr>
        <w:tblW w:w="9577" w:type="dxa"/>
        <w:tblLook w:val="04A0" w:firstRow="1" w:lastRow="0" w:firstColumn="1" w:lastColumn="0" w:noHBand="0" w:noVBand="1"/>
      </w:tblPr>
      <w:tblGrid>
        <w:gridCol w:w="3475"/>
        <w:gridCol w:w="2034"/>
        <w:gridCol w:w="2034"/>
        <w:gridCol w:w="2034"/>
      </w:tblGrid>
      <w:tr w:rsidR="00E713CB" w:rsidRPr="00B13B9A" w14:paraId="2949B25D" w14:textId="77777777" w:rsidTr="00B00556">
        <w:trPr>
          <w:trHeight w:val="20"/>
        </w:trPr>
        <w:tc>
          <w:tcPr>
            <w:tcW w:w="3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2BD71" w14:textId="738E1830" w:rsidR="00E713CB" w:rsidRPr="003102AA" w:rsidRDefault="003102AA" w:rsidP="001179CC">
            <w:pPr>
              <w:spacing w:after="0" w:line="240" w:lineRule="auto"/>
              <w:jc w:val="center"/>
              <w:rPr>
                <w:rFonts w:asciiTheme="majorHAnsi" w:eastAsia="Times New Roman" w:hAnsiTheme="majorHAnsi" w:cstheme="majorHAnsi"/>
                <w:b/>
                <w:bCs/>
                <w:color w:val="000000"/>
                <w:sz w:val="20"/>
                <w:szCs w:val="20"/>
                <w:lang w:val="ru-RU"/>
              </w:rPr>
            </w:pPr>
            <w:r>
              <w:rPr>
                <w:rFonts w:asciiTheme="majorHAnsi" w:eastAsia="Times New Roman" w:hAnsiTheme="majorHAnsi" w:cstheme="majorHAnsi"/>
                <w:b/>
                <w:bCs/>
                <w:color w:val="000000"/>
                <w:sz w:val="20"/>
                <w:szCs w:val="20"/>
                <w:lang w:val="ru-RU"/>
              </w:rPr>
              <w:t>Год</w:t>
            </w:r>
          </w:p>
        </w:tc>
        <w:tc>
          <w:tcPr>
            <w:tcW w:w="2034" w:type="dxa"/>
            <w:tcBorders>
              <w:top w:val="single" w:sz="4" w:space="0" w:color="auto"/>
              <w:left w:val="nil"/>
              <w:bottom w:val="single" w:sz="4" w:space="0" w:color="auto"/>
              <w:right w:val="single" w:sz="4" w:space="0" w:color="auto"/>
            </w:tcBorders>
            <w:shd w:val="clear" w:color="auto" w:fill="auto"/>
            <w:noWrap/>
            <w:vAlign w:val="bottom"/>
            <w:hideMark/>
          </w:tcPr>
          <w:p w14:paraId="006A6CA6" w14:textId="77777777" w:rsidR="00E713CB" w:rsidRPr="00B13B9A" w:rsidRDefault="00E713CB" w:rsidP="001179CC">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2021</w:t>
            </w:r>
          </w:p>
        </w:tc>
        <w:tc>
          <w:tcPr>
            <w:tcW w:w="2034" w:type="dxa"/>
            <w:tcBorders>
              <w:top w:val="single" w:sz="4" w:space="0" w:color="auto"/>
              <w:left w:val="nil"/>
              <w:bottom w:val="single" w:sz="4" w:space="0" w:color="auto"/>
              <w:right w:val="single" w:sz="4" w:space="0" w:color="auto"/>
            </w:tcBorders>
            <w:shd w:val="clear" w:color="auto" w:fill="auto"/>
            <w:noWrap/>
            <w:vAlign w:val="bottom"/>
            <w:hideMark/>
          </w:tcPr>
          <w:p w14:paraId="0DD6D28E" w14:textId="77777777" w:rsidR="00E713CB" w:rsidRPr="00B13B9A" w:rsidRDefault="00E713CB" w:rsidP="001179CC">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2022</w:t>
            </w:r>
          </w:p>
        </w:tc>
        <w:tc>
          <w:tcPr>
            <w:tcW w:w="2034" w:type="dxa"/>
            <w:tcBorders>
              <w:top w:val="single" w:sz="4" w:space="0" w:color="auto"/>
              <w:left w:val="nil"/>
              <w:bottom w:val="single" w:sz="4" w:space="0" w:color="auto"/>
              <w:right w:val="single" w:sz="4" w:space="0" w:color="auto"/>
            </w:tcBorders>
            <w:shd w:val="clear" w:color="auto" w:fill="auto"/>
            <w:noWrap/>
            <w:vAlign w:val="bottom"/>
            <w:hideMark/>
          </w:tcPr>
          <w:p w14:paraId="0558588C" w14:textId="77777777" w:rsidR="00E713CB" w:rsidRPr="00B13B9A" w:rsidRDefault="00E713CB" w:rsidP="001179CC">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2023</w:t>
            </w:r>
          </w:p>
        </w:tc>
      </w:tr>
      <w:tr w:rsidR="00E713CB" w:rsidRPr="00B13B9A" w14:paraId="75430D1A" w14:textId="77777777" w:rsidTr="00B00556">
        <w:trPr>
          <w:trHeight w:val="20"/>
        </w:trPr>
        <w:tc>
          <w:tcPr>
            <w:tcW w:w="3475" w:type="dxa"/>
            <w:tcBorders>
              <w:top w:val="nil"/>
              <w:left w:val="single" w:sz="4" w:space="0" w:color="auto"/>
              <w:bottom w:val="single" w:sz="4" w:space="0" w:color="auto"/>
              <w:right w:val="single" w:sz="4" w:space="0" w:color="auto"/>
            </w:tcBorders>
            <w:shd w:val="clear" w:color="auto" w:fill="auto"/>
            <w:vAlign w:val="bottom"/>
            <w:hideMark/>
          </w:tcPr>
          <w:p w14:paraId="0B4C5E29" w14:textId="11CD435F" w:rsidR="00E713CB" w:rsidRPr="00B13B9A" w:rsidRDefault="003102AA" w:rsidP="00B00556">
            <w:pPr>
              <w:spacing w:after="0" w:line="240" w:lineRule="auto"/>
              <w:rPr>
                <w:rFonts w:asciiTheme="majorHAnsi" w:eastAsia="Times New Roman" w:hAnsiTheme="majorHAnsi" w:cstheme="majorHAnsi"/>
                <w:color w:val="000000"/>
                <w:sz w:val="20"/>
                <w:szCs w:val="20"/>
                <w:lang w:val="ro-MD"/>
              </w:rPr>
            </w:pPr>
            <w:r w:rsidRPr="003102AA">
              <w:rPr>
                <w:rFonts w:asciiTheme="majorHAnsi" w:eastAsia="Times New Roman" w:hAnsiTheme="majorHAnsi" w:cstheme="majorHAnsi"/>
                <w:color w:val="000000"/>
                <w:sz w:val="20"/>
                <w:szCs w:val="20"/>
                <w:lang w:val="ro-MD"/>
              </w:rPr>
              <w:t>Стоимость услуг, рассчитанная субъектом</w:t>
            </w:r>
          </w:p>
        </w:tc>
        <w:tc>
          <w:tcPr>
            <w:tcW w:w="2034" w:type="dxa"/>
            <w:tcBorders>
              <w:top w:val="nil"/>
              <w:left w:val="nil"/>
              <w:bottom w:val="single" w:sz="4" w:space="0" w:color="auto"/>
              <w:right w:val="single" w:sz="4" w:space="0" w:color="auto"/>
            </w:tcBorders>
            <w:shd w:val="clear" w:color="auto" w:fill="auto"/>
            <w:noWrap/>
            <w:vAlign w:val="bottom"/>
            <w:hideMark/>
          </w:tcPr>
          <w:p w14:paraId="0BC507DA"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815</w:t>
            </w:r>
          </w:p>
        </w:tc>
        <w:tc>
          <w:tcPr>
            <w:tcW w:w="2034" w:type="dxa"/>
            <w:tcBorders>
              <w:top w:val="nil"/>
              <w:left w:val="nil"/>
              <w:bottom w:val="single" w:sz="4" w:space="0" w:color="auto"/>
              <w:right w:val="single" w:sz="4" w:space="0" w:color="auto"/>
            </w:tcBorders>
            <w:shd w:val="clear" w:color="auto" w:fill="auto"/>
            <w:noWrap/>
            <w:vAlign w:val="bottom"/>
            <w:hideMark/>
          </w:tcPr>
          <w:p w14:paraId="20CAF3D3" w14:textId="0912B616"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w:t>
            </w:r>
            <w:r w:rsidR="005A3DB7" w:rsidRPr="00B13B9A">
              <w:rPr>
                <w:rFonts w:asciiTheme="majorHAnsi" w:eastAsia="Times New Roman" w:hAnsiTheme="majorHAnsi" w:cstheme="majorHAnsi"/>
                <w:color w:val="000000"/>
                <w:sz w:val="20"/>
                <w:szCs w:val="20"/>
                <w:lang w:val="ro-MD"/>
              </w:rPr>
              <w:t xml:space="preserve"> </w:t>
            </w:r>
            <w:r w:rsidRPr="00B13B9A">
              <w:rPr>
                <w:rFonts w:asciiTheme="majorHAnsi" w:eastAsia="Times New Roman" w:hAnsiTheme="majorHAnsi" w:cstheme="majorHAnsi"/>
                <w:color w:val="000000"/>
                <w:sz w:val="20"/>
                <w:szCs w:val="20"/>
                <w:lang w:val="ro-MD"/>
              </w:rPr>
              <w:t>077</w:t>
            </w:r>
          </w:p>
        </w:tc>
        <w:tc>
          <w:tcPr>
            <w:tcW w:w="2034" w:type="dxa"/>
            <w:tcBorders>
              <w:top w:val="nil"/>
              <w:left w:val="nil"/>
              <w:bottom w:val="single" w:sz="4" w:space="0" w:color="auto"/>
              <w:right w:val="single" w:sz="4" w:space="0" w:color="auto"/>
            </w:tcBorders>
            <w:shd w:val="clear" w:color="auto" w:fill="auto"/>
            <w:noWrap/>
            <w:vAlign w:val="bottom"/>
            <w:hideMark/>
          </w:tcPr>
          <w:p w14:paraId="24F8BBA2" w14:textId="180A0AE3"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w:t>
            </w:r>
            <w:r w:rsidR="005A3DB7" w:rsidRPr="00B13B9A">
              <w:rPr>
                <w:rFonts w:asciiTheme="majorHAnsi" w:eastAsia="Times New Roman" w:hAnsiTheme="majorHAnsi" w:cstheme="majorHAnsi"/>
                <w:color w:val="000000"/>
                <w:sz w:val="20"/>
                <w:szCs w:val="20"/>
                <w:lang w:val="ro-MD"/>
              </w:rPr>
              <w:t xml:space="preserve"> </w:t>
            </w:r>
            <w:r w:rsidRPr="00B13B9A">
              <w:rPr>
                <w:rFonts w:asciiTheme="majorHAnsi" w:eastAsia="Times New Roman" w:hAnsiTheme="majorHAnsi" w:cstheme="majorHAnsi"/>
                <w:color w:val="000000"/>
                <w:sz w:val="20"/>
                <w:szCs w:val="20"/>
                <w:lang w:val="ro-MD"/>
              </w:rPr>
              <w:t>138</w:t>
            </w:r>
          </w:p>
        </w:tc>
      </w:tr>
      <w:tr w:rsidR="00E713CB" w:rsidRPr="00B13B9A" w14:paraId="47239BB2" w14:textId="77777777" w:rsidTr="00B00556">
        <w:trPr>
          <w:trHeight w:val="20"/>
        </w:trPr>
        <w:tc>
          <w:tcPr>
            <w:tcW w:w="3475" w:type="dxa"/>
            <w:tcBorders>
              <w:top w:val="nil"/>
              <w:left w:val="single" w:sz="4" w:space="0" w:color="auto"/>
              <w:bottom w:val="single" w:sz="4" w:space="0" w:color="auto"/>
              <w:right w:val="single" w:sz="4" w:space="0" w:color="auto"/>
            </w:tcBorders>
            <w:shd w:val="clear" w:color="auto" w:fill="auto"/>
            <w:vAlign w:val="bottom"/>
            <w:hideMark/>
          </w:tcPr>
          <w:p w14:paraId="285A9F70" w14:textId="33168FD4" w:rsidR="00E713CB" w:rsidRPr="00B13B9A" w:rsidRDefault="003102AA" w:rsidP="00B00556">
            <w:pPr>
              <w:spacing w:after="0" w:line="240" w:lineRule="auto"/>
              <w:rPr>
                <w:rFonts w:asciiTheme="majorHAnsi" w:eastAsia="Times New Roman" w:hAnsiTheme="majorHAnsi" w:cstheme="majorHAnsi"/>
                <w:color w:val="000000"/>
                <w:sz w:val="20"/>
                <w:szCs w:val="20"/>
                <w:lang w:val="ro-MD"/>
              </w:rPr>
            </w:pPr>
            <w:r w:rsidRPr="003102AA">
              <w:rPr>
                <w:rFonts w:asciiTheme="majorHAnsi" w:eastAsia="Times New Roman" w:hAnsiTheme="majorHAnsi" w:cstheme="majorHAnsi"/>
                <w:color w:val="000000"/>
                <w:sz w:val="20"/>
                <w:szCs w:val="20"/>
                <w:lang w:val="ro-MD"/>
              </w:rPr>
              <w:t>Тариф, утвержденный MЗ</w:t>
            </w:r>
          </w:p>
        </w:tc>
        <w:tc>
          <w:tcPr>
            <w:tcW w:w="2034" w:type="dxa"/>
            <w:tcBorders>
              <w:top w:val="nil"/>
              <w:left w:val="nil"/>
              <w:bottom w:val="single" w:sz="4" w:space="0" w:color="auto"/>
              <w:right w:val="single" w:sz="4" w:space="0" w:color="auto"/>
            </w:tcBorders>
            <w:shd w:val="clear" w:color="auto" w:fill="auto"/>
            <w:noWrap/>
            <w:vAlign w:val="bottom"/>
            <w:hideMark/>
          </w:tcPr>
          <w:p w14:paraId="37A346A8"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815</w:t>
            </w:r>
          </w:p>
        </w:tc>
        <w:tc>
          <w:tcPr>
            <w:tcW w:w="2034" w:type="dxa"/>
            <w:tcBorders>
              <w:top w:val="nil"/>
              <w:left w:val="nil"/>
              <w:bottom w:val="single" w:sz="4" w:space="0" w:color="auto"/>
              <w:right w:val="single" w:sz="4" w:space="0" w:color="auto"/>
            </w:tcBorders>
            <w:shd w:val="clear" w:color="auto" w:fill="auto"/>
            <w:noWrap/>
            <w:vAlign w:val="bottom"/>
            <w:hideMark/>
          </w:tcPr>
          <w:p w14:paraId="0DDA7300" w14:textId="54F3D9C8"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w:t>
            </w:r>
            <w:r w:rsidR="005A3DB7" w:rsidRPr="00B13B9A">
              <w:rPr>
                <w:rFonts w:asciiTheme="majorHAnsi" w:eastAsia="Times New Roman" w:hAnsiTheme="majorHAnsi" w:cstheme="majorHAnsi"/>
                <w:color w:val="000000"/>
                <w:sz w:val="20"/>
                <w:szCs w:val="20"/>
                <w:lang w:val="ro-MD"/>
              </w:rPr>
              <w:t xml:space="preserve"> </w:t>
            </w:r>
            <w:r w:rsidRPr="00B13B9A">
              <w:rPr>
                <w:rFonts w:asciiTheme="majorHAnsi" w:eastAsia="Times New Roman" w:hAnsiTheme="majorHAnsi" w:cstheme="majorHAnsi"/>
                <w:color w:val="000000"/>
                <w:sz w:val="20"/>
                <w:szCs w:val="20"/>
                <w:lang w:val="ro-MD"/>
              </w:rPr>
              <w:t>077</w:t>
            </w:r>
          </w:p>
        </w:tc>
        <w:tc>
          <w:tcPr>
            <w:tcW w:w="2034" w:type="dxa"/>
            <w:tcBorders>
              <w:top w:val="nil"/>
              <w:left w:val="nil"/>
              <w:bottom w:val="single" w:sz="4" w:space="0" w:color="auto"/>
              <w:right w:val="single" w:sz="4" w:space="0" w:color="auto"/>
            </w:tcBorders>
            <w:shd w:val="clear" w:color="auto" w:fill="auto"/>
            <w:noWrap/>
            <w:vAlign w:val="bottom"/>
            <w:hideMark/>
          </w:tcPr>
          <w:p w14:paraId="107A83EC" w14:textId="01759B83"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w:t>
            </w:r>
            <w:r w:rsidR="005A3DB7" w:rsidRPr="00B13B9A">
              <w:rPr>
                <w:rFonts w:asciiTheme="majorHAnsi" w:eastAsia="Times New Roman" w:hAnsiTheme="majorHAnsi" w:cstheme="majorHAnsi"/>
                <w:color w:val="000000"/>
                <w:sz w:val="20"/>
                <w:szCs w:val="20"/>
                <w:lang w:val="ro-MD"/>
              </w:rPr>
              <w:t xml:space="preserve"> </w:t>
            </w:r>
            <w:r w:rsidRPr="00B13B9A">
              <w:rPr>
                <w:rFonts w:asciiTheme="majorHAnsi" w:eastAsia="Times New Roman" w:hAnsiTheme="majorHAnsi" w:cstheme="majorHAnsi"/>
                <w:color w:val="000000"/>
                <w:sz w:val="20"/>
                <w:szCs w:val="20"/>
                <w:lang w:val="ro-MD"/>
              </w:rPr>
              <w:t>130</w:t>
            </w:r>
          </w:p>
        </w:tc>
      </w:tr>
      <w:tr w:rsidR="00E713CB" w:rsidRPr="00B13B9A" w14:paraId="38E4B19F" w14:textId="77777777" w:rsidTr="00B00556">
        <w:trPr>
          <w:trHeight w:val="20"/>
        </w:trPr>
        <w:tc>
          <w:tcPr>
            <w:tcW w:w="3475" w:type="dxa"/>
            <w:tcBorders>
              <w:top w:val="nil"/>
              <w:left w:val="single" w:sz="4" w:space="0" w:color="auto"/>
              <w:bottom w:val="single" w:sz="4" w:space="0" w:color="auto"/>
              <w:right w:val="single" w:sz="4" w:space="0" w:color="auto"/>
            </w:tcBorders>
            <w:shd w:val="clear" w:color="auto" w:fill="auto"/>
            <w:vAlign w:val="bottom"/>
            <w:hideMark/>
          </w:tcPr>
          <w:p w14:paraId="3C18E6E3" w14:textId="6B305562" w:rsidR="00E713CB" w:rsidRPr="00B13B9A" w:rsidRDefault="003102AA" w:rsidP="003102AA">
            <w:pPr>
              <w:spacing w:after="0" w:line="240" w:lineRule="auto"/>
              <w:rPr>
                <w:rFonts w:asciiTheme="majorHAnsi" w:eastAsia="Times New Roman" w:hAnsiTheme="majorHAnsi" w:cstheme="majorHAnsi"/>
                <w:color w:val="000000"/>
                <w:sz w:val="20"/>
                <w:szCs w:val="20"/>
                <w:lang w:val="ro-MD"/>
              </w:rPr>
            </w:pPr>
            <w:r>
              <w:rPr>
                <w:rFonts w:asciiTheme="majorHAnsi" w:eastAsia="Times New Roman" w:hAnsiTheme="majorHAnsi" w:cstheme="majorHAnsi"/>
                <w:color w:val="000000"/>
                <w:sz w:val="20"/>
                <w:szCs w:val="20"/>
                <w:lang w:val="ru-RU"/>
              </w:rPr>
              <w:t>Разница рассчитанный тариф</w:t>
            </w:r>
            <w:r w:rsidR="00E713CB" w:rsidRPr="00B13B9A">
              <w:rPr>
                <w:rFonts w:asciiTheme="majorHAnsi" w:eastAsia="Times New Roman" w:hAnsiTheme="majorHAnsi" w:cstheme="majorHAnsi"/>
                <w:color w:val="000000"/>
                <w:sz w:val="20"/>
                <w:szCs w:val="20"/>
                <w:lang w:val="ro-MD"/>
              </w:rPr>
              <w:t>/</w:t>
            </w:r>
            <w:r>
              <w:rPr>
                <w:rFonts w:asciiTheme="majorHAnsi" w:eastAsia="Times New Roman" w:hAnsiTheme="majorHAnsi" w:cstheme="majorHAnsi"/>
                <w:color w:val="000000"/>
                <w:sz w:val="20"/>
                <w:szCs w:val="20"/>
                <w:lang w:val="ru-RU"/>
              </w:rPr>
              <w:t>утвержденный тариф</w:t>
            </w:r>
          </w:p>
        </w:tc>
        <w:tc>
          <w:tcPr>
            <w:tcW w:w="2034" w:type="dxa"/>
            <w:tcBorders>
              <w:top w:val="nil"/>
              <w:left w:val="nil"/>
              <w:bottom w:val="single" w:sz="4" w:space="0" w:color="auto"/>
              <w:right w:val="single" w:sz="4" w:space="0" w:color="auto"/>
            </w:tcBorders>
            <w:shd w:val="clear" w:color="auto" w:fill="auto"/>
            <w:noWrap/>
            <w:vAlign w:val="bottom"/>
            <w:hideMark/>
          </w:tcPr>
          <w:p w14:paraId="225E6989"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0</w:t>
            </w:r>
          </w:p>
        </w:tc>
        <w:tc>
          <w:tcPr>
            <w:tcW w:w="2034" w:type="dxa"/>
            <w:tcBorders>
              <w:top w:val="nil"/>
              <w:left w:val="nil"/>
              <w:bottom w:val="single" w:sz="4" w:space="0" w:color="auto"/>
              <w:right w:val="single" w:sz="4" w:space="0" w:color="auto"/>
            </w:tcBorders>
            <w:shd w:val="clear" w:color="auto" w:fill="auto"/>
            <w:noWrap/>
            <w:vAlign w:val="bottom"/>
            <w:hideMark/>
          </w:tcPr>
          <w:p w14:paraId="1B0362CC"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0</w:t>
            </w:r>
          </w:p>
        </w:tc>
        <w:tc>
          <w:tcPr>
            <w:tcW w:w="2034" w:type="dxa"/>
            <w:tcBorders>
              <w:top w:val="nil"/>
              <w:left w:val="nil"/>
              <w:bottom w:val="single" w:sz="4" w:space="0" w:color="auto"/>
              <w:right w:val="single" w:sz="4" w:space="0" w:color="auto"/>
            </w:tcBorders>
            <w:shd w:val="clear" w:color="auto" w:fill="auto"/>
            <w:noWrap/>
            <w:vAlign w:val="bottom"/>
            <w:hideMark/>
          </w:tcPr>
          <w:p w14:paraId="6BF1DE29"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-8</w:t>
            </w:r>
          </w:p>
        </w:tc>
      </w:tr>
    </w:tbl>
    <w:p w14:paraId="387EFBCD" w14:textId="1DDC64EF" w:rsidR="00E713CB" w:rsidRPr="00B13B9A" w:rsidRDefault="00FE6601" w:rsidP="00E713CB">
      <w:pPr>
        <w:pStyle w:val="cn"/>
        <w:spacing w:line="276" w:lineRule="auto"/>
        <w:ind w:right="71"/>
        <w:jc w:val="both"/>
        <w:rPr>
          <w:rFonts w:asciiTheme="majorHAnsi" w:hAnsiTheme="majorHAnsi" w:cstheme="majorHAnsi"/>
          <w:i/>
          <w:color w:val="333333"/>
          <w:sz w:val="20"/>
          <w:szCs w:val="20"/>
          <w:shd w:val="clear" w:color="auto" w:fill="FFFFFF"/>
          <w:lang w:val="ro-MD"/>
        </w:rPr>
      </w:pPr>
      <w:r>
        <w:rPr>
          <w:rFonts w:asciiTheme="majorHAnsi" w:hAnsiTheme="majorHAnsi" w:cstheme="majorHAnsi"/>
          <w:b/>
          <w:i/>
          <w:color w:val="333333"/>
          <w:sz w:val="20"/>
          <w:szCs w:val="20"/>
          <w:shd w:val="clear" w:color="auto" w:fill="FFFFFF"/>
          <w:lang w:val="ro-MD"/>
        </w:rPr>
        <w:t>Источник</w:t>
      </w:r>
      <w:r w:rsidR="00E713CB" w:rsidRPr="00B13B9A">
        <w:rPr>
          <w:rFonts w:asciiTheme="majorHAnsi" w:hAnsiTheme="majorHAnsi" w:cstheme="majorHAnsi"/>
          <w:b/>
          <w:i/>
          <w:color w:val="333333"/>
          <w:sz w:val="20"/>
          <w:szCs w:val="20"/>
          <w:shd w:val="clear" w:color="auto" w:fill="FFFFFF"/>
          <w:lang w:val="ro-MD"/>
        </w:rPr>
        <w:t>:</w:t>
      </w:r>
      <w:r w:rsidR="00E713CB" w:rsidRPr="00B13B9A">
        <w:rPr>
          <w:rFonts w:asciiTheme="majorHAnsi" w:hAnsiTheme="majorHAnsi" w:cstheme="majorHAnsi"/>
          <w:i/>
          <w:color w:val="333333"/>
          <w:sz w:val="20"/>
          <w:szCs w:val="20"/>
          <w:shd w:val="clear" w:color="auto" w:fill="FFFFFF"/>
          <w:lang w:val="ro-MD"/>
        </w:rPr>
        <w:t xml:space="preserve"> </w:t>
      </w:r>
      <w:r w:rsidR="003102AA" w:rsidRPr="003102AA">
        <w:rPr>
          <w:rFonts w:asciiTheme="majorHAnsi" w:hAnsiTheme="majorHAnsi" w:cstheme="majorHAnsi"/>
          <w:i/>
          <w:color w:val="333333"/>
          <w:sz w:val="20"/>
          <w:szCs w:val="20"/>
          <w:shd w:val="clear" w:color="auto" w:fill="FFFFFF"/>
          <w:lang w:val="ro-MD"/>
        </w:rPr>
        <w:t>Разработан аудитом на основе информации, представленной субъектом и Министерством здравоохранения</w:t>
      </w:r>
      <w:r w:rsidR="00FF0A71" w:rsidRPr="00B13B9A">
        <w:rPr>
          <w:rFonts w:asciiTheme="majorHAnsi" w:hAnsiTheme="majorHAnsi" w:cstheme="majorHAnsi"/>
          <w:i/>
          <w:color w:val="333333"/>
          <w:sz w:val="20"/>
          <w:szCs w:val="20"/>
          <w:shd w:val="clear" w:color="auto" w:fill="FFFFFF"/>
          <w:lang w:val="ro-MD"/>
        </w:rPr>
        <w:t>.</w:t>
      </w:r>
    </w:p>
    <w:p w14:paraId="7A8EB58B" w14:textId="77777777" w:rsidR="00E713CB" w:rsidRPr="00B13B9A" w:rsidRDefault="00E713CB" w:rsidP="00E713CB">
      <w:pPr>
        <w:pStyle w:val="cn"/>
        <w:spacing w:line="276" w:lineRule="auto"/>
        <w:ind w:right="71"/>
        <w:jc w:val="both"/>
        <w:rPr>
          <w:rFonts w:asciiTheme="majorHAnsi" w:hAnsiTheme="majorHAnsi" w:cstheme="majorHAnsi"/>
          <w:i/>
          <w:color w:val="333333"/>
          <w:shd w:val="clear" w:color="auto" w:fill="FFFFFF"/>
          <w:lang w:val="ro-MD"/>
        </w:rPr>
      </w:pPr>
    </w:p>
    <w:p w14:paraId="4FD7A00A" w14:textId="6EA3F647" w:rsidR="00E713CB" w:rsidRDefault="005204D1" w:rsidP="00E713CB">
      <w:pPr>
        <w:pStyle w:val="cn"/>
        <w:spacing w:line="276" w:lineRule="auto"/>
        <w:ind w:right="71"/>
        <w:jc w:val="both"/>
        <w:rPr>
          <w:rFonts w:asciiTheme="majorHAnsi" w:eastAsiaTheme="minorHAnsi" w:hAnsiTheme="majorHAnsi" w:cstheme="minorHAnsi"/>
          <w:lang w:val="ro-MD" w:eastAsia="en-US"/>
        </w:rPr>
      </w:pPr>
      <w:r w:rsidRPr="005204D1">
        <w:rPr>
          <w:rFonts w:asciiTheme="majorHAnsi" w:eastAsiaTheme="minorHAnsi" w:hAnsiTheme="majorHAnsi" w:cstheme="minorHAnsi"/>
          <w:lang w:val="ro-MD" w:eastAsia="en-US"/>
        </w:rPr>
        <w:t xml:space="preserve">Хотя стоимость одного </w:t>
      </w:r>
      <w:r w:rsidR="00C721F6">
        <w:rPr>
          <w:rFonts w:asciiTheme="majorHAnsi" w:eastAsiaTheme="minorHAnsi" w:hAnsiTheme="majorHAnsi" w:cstheme="minorHAnsi"/>
          <w:lang w:val="ro-MD" w:eastAsia="en-US"/>
        </w:rPr>
        <w:t>койко/дня</w:t>
      </w:r>
      <w:r w:rsidRPr="005204D1">
        <w:rPr>
          <w:rFonts w:asciiTheme="majorHAnsi" w:eastAsiaTheme="minorHAnsi" w:hAnsiTheme="majorHAnsi" w:cstheme="minorHAnsi"/>
          <w:lang w:val="ro-MD" w:eastAsia="en-US"/>
        </w:rPr>
        <w:t xml:space="preserve"> состоит из суммы фактических или запланированных затрат/расходов </w:t>
      </w:r>
      <w:r w:rsidR="00C721F6">
        <w:rPr>
          <w:rFonts w:asciiTheme="majorHAnsi" w:eastAsiaTheme="minorHAnsi" w:hAnsiTheme="majorHAnsi" w:cstheme="minorHAnsi"/>
          <w:lang w:eastAsia="en-US"/>
        </w:rPr>
        <w:t>по</w:t>
      </w:r>
      <w:r w:rsidRPr="005204D1">
        <w:rPr>
          <w:rFonts w:asciiTheme="majorHAnsi" w:eastAsiaTheme="minorHAnsi" w:hAnsiTheme="majorHAnsi" w:cstheme="minorHAnsi"/>
          <w:lang w:val="ro-MD" w:eastAsia="en-US"/>
        </w:rPr>
        <w:t xml:space="preserve"> кажд</w:t>
      </w:r>
      <w:r w:rsidR="00C721F6">
        <w:rPr>
          <w:rFonts w:asciiTheme="majorHAnsi" w:eastAsiaTheme="minorHAnsi" w:hAnsiTheme="majorHAnsi" w:cstheme="minorHAnsi"/>
          <w:lang w:eastAsia="en-US"/>
        </w:rPr>
        <w:t>ому</w:t>
      </w:r>
      <w:r w:rsidRPr="005204D1">
        <w:rPr>
          <w:rFonts w:asciiTheme="majorHAnsi" w:eastAsiaTheme="minorHAnsi" w:hAnsiTheme="majorHAnsi" w:cstheme="minorHAnsi"/>
          <w:lang w:val="ro-MD" w:eastAsia="en-US"/>
        </w:rPr>
        <w:t xml:space="preserve"> </w:t>
      </w:r>
      <w:r w:rsidR="00C721F6">
        <w:rPr>
          <w:rFonts w:asciiTheme="majorHAnsi" w:eastAsiaTheme="minorHAnsi" w:hAnsiTheme="majorHAnsi" w:cstheme="minorHAnsi"/>
          <w:lang w:eastAsia="en-US"/>
        </w:rPr>
        <w:t>отделению</w:t>
      </w:r>
      <w:r w:rsidR="00C721F6" w:rsidRPr="00B13B9A">
        <w:rPr>
          <w:rStyle w:val="a9"/>
          <w:rFonts w:asciiTheme="majorHAnsi" w:eastAsiaTheme="minorHAnsi" w:hAnsiTheme="majorHAnsi" w:cstheme="minorHAnsi"/>
          <w:sz w:val="24"/>
          <w:lang w:val="ro-MD" w:eastAsia="en-US"/>
        </w:rPr>
        <w:footnoteReference w:id="72"/>
      </w:r>
      <w:r w:rsidRPr="005204D1">
        <w:rPr>
          <w:rFonts w:asciiTheme="majorHAnsi" w:eastAsiaTheme="minorHAnsi" w:hAnsiTheme="majorHAnsi" w:cstheme="minorHAnsi"/>
          <w:lang w:val="ro-MD" w:eastAsia="en-US"/>
        </w:rPr>
        <w:t>, аудит показ</w:t>
      </w:r>
      <w:r w:rsidR="00C721F6">
        <w:rPr>
          <w:rFonts w:asciiTheme="majorHAnsi" w:eastAsiaTheme="minorHAnsi" w:hAnsiTheme="majorHAnsi" w:cstheme="minorHAnsi"/>
          <w:lang w:eastAsia="en-US"/>
        </w:rPr>
        <w:t>ал</w:t>
      </w:r>
      <w:r w:rsidRPr="005204D1">
        <w:rPr>
          <w:rFonts w:asciiTheme="majorHAnsi" w:eastAsiaTheme="minorHAnsi" w:hAnsiTheme="majorHAnsi" w:cstheme="minorHAnsi"/>
          <w:lang w:val="ro-MD" w:eastAsia="en-US"/>
        </w:rPr>
        <w:t xml:space="preserve">, что при расчете стоимости одного </w:t>
      </w:r>
      <w:r w:rsidR="00C721F6">
        <w:rPr>
          <w:rFonts w:asciiTheme="majorHAnsi" w:eastAsiaTheme="minorHAnsi" w:hAnsiTheme="majorHAnsi" w:cstheme="minorHAnsi"/>
          <w:lang w:val="ro-MD" w:eastAsia="en-US"/>
        </w:rPr>
        <w:t>койко/дня</w:t>
      </w:r>
      <w:r w:rsidRPr="005204D1">
        <w:rPr>
          <w:rFonts w:asciiTheme="majorHAnsi" w:eastAsiaTheme="minorHAnsi" w:hAnsiTheme="majorHAnsi" w:cstheme="minorHAnsi"/>
          <w:lang w:val="ro-MD" w:eastAsia="en-US"/>
        </w:rPr>
        <w:t xml:space="preserve"> </w:t>
      </w:r>
      <w:r w:rsidR="00FF106E">
        <w:rPr>
          <w:rFonts w:asciiTheme="majorHAnsi" w:eastAsiaTheme="minorHAnsi" w:hAnsiTheme="majorHAnsi" w:cstheme="minorHAnsi"/>
          <w:lang w:eastAsia="en-US"/>
        </w:rPr>
        <w:t>на</w:t>
      </w:r>
      <w:r w:rsidRPr="005204D1">
        <w:rPr>
          <w:rFonts w:asciiTheme="majorHAnsi" w:eastAsiaTheme="minorHAnsi" w:hAnsiTheme="majorHAnsi" w:cstheme="minorHAnsi"/>
          <w:lang w:val="ro-MD" w:eastAsia="en-US"/>
        </w:rPr>
        <w:t xml:space="preserve"> 2023 год</w:t>
      </w:r>
      <w:r w:rsidR="00FF106E">
        <w:rPr>
          <w:rFonts w:asciiTheme="majorHAnsi" w:eastAsiaTheme="minorHAnsi" w:hAnsiTheme="majorHAnsi" w:cstheme="minorHAnsi"/>
          <w:lang w:eastAsia="en-US"/>
        </w:rPr>
        <w:t>,</w:t>
      </w:r>
      <w:r w:rsidRPr="005204D1">
        <w:rPr>
          <w:rFonts w:asciiTheme="majorHAnsi" w:eastAsiaTheme="minorHAnsi" w:hAnsiTheme="majorHAnsi" w:cstheme="minorHAnsi"/>
          <w:lang w:val="ro-MD" w:eastAsia="en-US"/>
        </w:rPr>
        <w:t xml:space="preserve"> </w:t>
      </w:r>
      <w:r w:rsidR="00C721F6">
        <w:rPr>
          <w:rFonts w:asciiTheme="majorHAnsi" w:eastAsiaTheme="minorHAnsi" w:hAnsiTheme="majorHAnsi" w:cstheme="minorHAnsi"/>
          <w:lang w:val="ro-MD" w:eastAsia="en-US"/>
        </w:rPr>
        <w:t>ПМСУ</w:t>
      </w:r>
      <w:r w:rsidRPr="005204D1">
        <w:rPr>
          <w:rFonts w:asciiTheme="majorHAnsi" w:eastAsiaTheme="minorHAnsi" w:hAnsiTheme="majorHAnsi" w:cstheme="minorHAnsi"/>
          <w:lang w:val="ro-MD" w:eastAsia="en-US"/>
        </w:rPr>
        <w:t xml:space="preserve"> </w:t>
      </w:r>
      <w:r w:rsidR="00FF106E">
        <w:rPr>
          <w:rFonts w:asciiTheme="majorHAnsi" w:eastAsiaTheme="minorHAnsi" w:hAnsiTheme="majorHAnsi" w:cstheme="minorHAnsi"/>
          <w:lang w:eastAsia="en-US"/>
        </w:rPr>
        <w:t>отнес</w:t>
      </w:r>
      <w:r w:rsidRPr="005204D1">
        <w:rPr>
          <w:rFonts w:asciiTheme="majorHAnsi" w:eastAsiaTheme="minorHAnsi" w:hAnsiTheme="majorHAnsi" w:cstheme="minorHAnsi"/>
          <w:lang w:val="ro-MD" w:eastAsia="en-US"/>
        </w:rPr>
        <w:t xml:space="preserve"> понесенные расходы (включая износ медицинских устройств), распределенные в зависимости от площадь </w:t>
      </w:r>
      <w:r w:rsidR="00FF106E">
        <w:rPr>
          <w:rFonts w:asciiTheme="majorHAnsi" w:eastAsiaTheme="minorHAnsi" w:hAnsiTheme="majorHAnsi" w:cstheme="minorHAnsi"/>
          <w:lang w:eastAsia="en-US"/>
        </w:rPr>
        <w:t>отделения</w:t>
      </w:r>
      <w:r w:rsidRPr="005204D1">
        <w:rPr>
          <w:rFonts w:asciiTheme="majorHAnsi" w:eastAsiaTheme="minorHAnsi" w:hAnsiTheme="majorHAnsi" w:cstheme="minorHAnsi"/>
          <w:lang w:val="ro-MD" w:eastAsia="en-US"/>
        </w:rPr>
        <w:t xml:space="preserve">, а не с учетом </w:t>
      </w:r>
      <w:r w:rsidR="00FF106E">
        <w:rPr>
          <w:rFonts w:asciiTheme="majorHAnsi" w:eastAsiaTheme="minorHAnsi" w:hAnsiTheme="majorHAnsi" w:cstheme="minorHAnsi"/>
          <w:lang w:eastAsia="en-US"/>
        </w:rPr>
        <w:t>реальны</w:t>
      </w:r>
      <w:r w:rsidRPr="005204D1">
        <w:rPr>
          <w:rFonts w:asciiTheme="majorHAnsi" w:eastAsiaTheme="minorHAnsi" w:hAnsiTheme="majorHAnsi" w:cstheme="minorHAnsi"/>
          <w:lang w:val="ro-MD" w:eastAsia="en-US"/>
        </w:rPr>
        <w:t xml:space="preserve">х/ фактических расходов в </w:t>
      </w:r>
      <w:r w:rsidR="00FF106E">
        <w:rPr>
          <w:rFonts w:asciiTheme="majorHAnsi" w:eastAsiaTheme="minorHAnsi" w:hAnsiTheme="majorHAnsi" w:cstheme="minorHAnsi"/>
          <w:lang w:eastAsia="en-US"/>
        </w:rPr>
        <w:t>отделения</w:t>
      </w:r>
      <w:r w:rsidRPr="005204D1">
        <w:rPr>
          <w:rFonts w:asciiTheme="majorHAnsi" w:eastAsiaTheme="minorHAnsi" w:hAnsiTheme="majorHAnsi" w:cstheme="minorHAnsi"/>
          <w:lang w:val="ro-MD" w:eastAsia="en-US"/>
        </w:rPr>
        <w:t>х. Отме</w:t>
      </w:r>
      <w:r w:rsidR="00FF106E">
        <w:rPr>
          <w:rFonts w:asciiTheme="majorHAnsi" w:eastAsiaTheme="minorHAnsi" w:hAnsiTheme="majorHAnsi" w:cstheme="minorHAnsi"/>
          <w:lang w:eastAsia="en-US"/>
        </w:rPr>
        <w:t>чае</w:t>
      </w:r>
      <w:r w:rsidRPr="005204D1">
        <w:rPr>
          <w:rFonts w:asciiTheme="majorHAnsi" w:eastAsiaTheme="minorHAnsi" w:hAnsiTheme="majorHAnsi" w:cstheme="minorHAnsi"/>
          <w:lang w:val="ro-MD" w:eastAsia="en-US"/>
        </w:rPr>
        <w:t>м, что</w:t>
      </w:r>
      <w:r w:rsidR="00FF106E">
        <w:rPr>
          <w:rFonts w:asciiTheme="majorHAnsi" w:eastAsiaTheme="minorHAnsi" w:hAnsiTheme="majorHAnsi" w:cstheme="minorHAnsi"/>
          <w:lang w:eastAsia="en-US"/>
        </w:rPr>
        <w:t>,</w:t>
      </w:r>
      <w:r w:rsidRPr="005204D1">
        <w:rPr>
          <w:rFonts w:asciiTheme="majorHAnsi" w:eastAsiaTheme="minorHAnsi" w:hAnsiTheme="majorHAnsi" w:cstheme="minorHAnsi"/>
          <w:lang w:val="ro-MD" w:eastAsia="en-US"/>
        </w:rPr>
        <w:t xml:space="preserve"> согласно </w:t>
      </w:r>
      <w:r w:rsidR="00FF106E">
        <w:rPr>
          <w:rFonts w:asciiTheme="majorHAnsi" w:eastAsiaTheme="minorHAnsi" w:hAnsiTheme="majorHAnsi" w:cstheme="minorHAnsi"/>
          <w:lang w:eastAsia="en-US"/>
        </w:rPr>
        <w:t>нормативным положениям,</w:t>
      </w:r>
      <w:r w:rsidRPr="005204D1">
        <w:rPr>
          <w:rFonts w:asciiTheme="majorHAnsi" w:eastAsiaTheme="minorHAnsi" w:hAnsiTheme="majorHAnsi" w:cstheme="minorHAnsi"/>
          <w:lang w:val="ro-MD" w:eastAsia="en-US"/>
        </w:rPr>
        <w:t xml:space="preserve"> установлено, что </w:t>
      </w:r>
      <w:r w:rsidR="00FF106E" w:rsidRPr="00FF106E">
        <w:rPr>
          <w:rFonts w:asciiTheme="majorHAnsi" w:eastAsiaTheme="minorHAnsi" w:hAnsiTheme="majorHAnsi" w:cstheme="minorHAnsi"/>
          <w:lang w:eastAsia="en-US"/>
        </w:rPr>
        <w:t>медико-санитарные учреждения рассчитывают тарифы на медико-санитарные услуги на основе затрат/расходов согласно Методике установления тарифов на предоставление медико-санитарных услуг, и несут ответственность за правильность расчетов и качество услуг</w:t>
      </w:r>
      <w:r w:rsidRPr="005204D1">
        <w:rPr>
          <w:rFonts w:asciiTheme="majorHAnsi" w:eastAsiaTheme="minorHAnsi" w:hAnsiTheme="majorHAnsi" w:cstheme="minorHAnsi"/>
          <w:lang w:val="ro-MD" w:eastAsia="en-US"/>
        </w:rPr>
        <w:t xml:space="preserve">. Таким образом, </w:t>
      </w:r>
      <w:r w:rsidR="00FF106E" w:rsidRPr="00FF106E">
        <w:rPr>
          <w:rFonts w:asciiTheme="majorHAnsi" w:eastAsiaTheme="minorHAnsi" w:hAnsiTheme="majorHAnsi" w:cstheme="minorHAnsi"/>
          <w:lang w:val="ro-MD" w:eastAsia="en-US"/>
        </w:rPr>
        <w:t>МЗ</w:t>
      </w:r>
      <w:r w:rsidRPr="005204D1">
        <w:rPr>
          <w:rFonts w:asciiTheme="majorHAnsi" w:eastAsiaTheme="minorHAnsi" w:hAnsiTheme="majorHAnsi" w:cstheme="minorHAnsi"/>
          <w:lang w:val="ro-MD" w:eastAsia="en-US"/>
        </w:rPr>
        <w:t xml:space="preserve"> утверждает тарифы на основе расчетов, представленных медицинскими учреждениями, которые несут ответственность за достоверность представленных данных</w:t>
      </w:r>
      <w:r w:rsidR="003D5F17" w:rsidRPr="00B13B9A">
        <w:rPr>
          <w:rFonts w:asciiTheme="majorHAnsi" w:eastAsiaTheme="minorHAnsi" w:hAnsiTheme="majorHAnsi" w:cstheme="minorHAnsi"/>
          <w:lang w:val="ro-MD" w:eastAsia="en-US"/>
        </w:rPr>
        <w:t>.</w:t>
      </w:r>
    </w:p>
    <w:p w14:paraId="068FE8CB" w14:textId="77777777" w:rsidR="00CD2891" w:rsidRPr="00B13B9A" w:rsidRDefault="00CD2891" w:rsidP="00E713CB">
      <w:pPr>
        <w:pStyle w:val="cn"/>
        <w:spacing w:line="276" w:lineRule="auto"/>
        <w:ind w:right="71"/>
        <w:jc w:val="both"/>
        <w:rPr>
          <w:rFonts w:asciiTheme="majorHAnsi" w:eastAsiaTheme="minorHAnsi" w:hAnsiTheme="majorHAnsi" w:cstheme="minorHAnsi"/>
          <w:lang w:val="ro-MD" w:eastAsia="en-US"/>
        </w:rPr>
      </w:pPr>
    </w:p>
    <w:p w14:paraId="1E2373EE" w14:textId="2955EFE8" w:rsidR="00E713CB" w:rsidRPr="00B13B9A" w:rsidRDefault="005204D1" w:rsidP="005204D1">
      <w:pPr>
        <w:pStyle w:val="cn"/>
        <w:numPr>
          <w:ilvl w:val="2"/>
          <w:numId w:val="10"/>
        </w:numPr>
        <w:tabs>
          <w:tab w:val="left" w:pos="1080"/>
        </w:tabs>
        <w:spacing w:line="276" w:lineRule="auto"/>
        <w:ind w:left="0" w:right="71" w:firstLine="284"/>
        <w:jc w:val="both"/>
        <w:outlineLvl w:val="2"/>
        <w:rPr>
          <w:rFonts w:asciiTheme="majorHAnsi" w:eastAsiaTheme="minorHAnsi" w:hAnsiTheme="majorHAnsi" w:cstheme="minorHAnsi"/>
          <w:b/>
          <w:lang w:val="ro-MD" w:eastAsia="en-US"/>
        </w:rPr>
      </w:pPr>
      <w:bookmarkStart w:id="47" w:name="_Toc158317249"/>
      <w:r w:rsidRPr="005204D1">
        <w:rPr>
          <w:rFonts w:asciiTheme="majorHAnsi" w:eastAsiaTheme="minorHAnsi" w:hAnsiTheme="majorHAnsi" w:cstheme="minorHAnsi"/>
          <w:b/>
          <w:lang w:val="ro-MD" w:eastAsia="en-US"/>
        </w:rPr>
        <w:t>Отсутствует отдельная законодательная база по регулированию ПМСУ на самофинансировании</w:t>
      </w:r>
      <w:r w:rsidR="005D3067" w:rsidRPr="00B13B9A">
        <w:rPr>
          <w:rFonts w:asciiTheme="majorHAnsi" w:eastAsiaTheme="minorHAnsi" w:hAnsiTheme="majorHAnsi" w:cstheme="minorHAnsi"/>
          <w:b/>
          <w:lang w:val="ro-MD" w:eastAsia="en-US"/>
        </w:rPr>
        <w:t>.</w:t>
      </w:r>
      <w:bookmarkEnd w:id="47"/>
    </w:p>
    <w:p w14:paraId="51233233" w14:textId="647C35D8" w:rsidR="00E713CB" w:rsidRPr="00B13B9A" w:rsidRDefault="005204D1" w:rsidP="00E713CB">
      <w:pPr>
        <w:spacing w:after="120" w:line="276" w:lineRule="auto"/>
        <w:jc w:val="both"/>
        <w:rPr>
          <w:rFonts w:asciiTheme="majorHAnsi" w:hAnsiTheme="majorHAnsi" w:cstheme="minorHAnsi"/>
          <w:sz w:val="24"/>
          <w:szCs w:val="24"/>
          <w:lang w:val="ro-MD"/>
        </w:rPr>
      </w:pPr>
      <w:r w:rsidRPr="005204D1">
        <w:rPr>
          <w:rFonts w:asciiTheme="majorHAnsi" w:hAnsiTheme="majorHAnsi" w:cstheme="minorHAnsi"/>
          <w:sz w:val="24"/>
          <w:szCs w:val="24"/>
          <w:lang w:val="ro-MD"/>
        </w:rPr>
        <w:t>Анализ законодательных положений показал, что Министерство финансов не установило четки</w:t>
      </w:r>
      <w:r w:rsidR="00FF106E">
        <w:rPr>
          <w:rFonts w:asciiTheme="majorHAnsi" w:hAnsiTheme="majorHAnsi" w:cstheme="minorHAnsi"/>
          <w:sz w:val="24"/>
          <w:szCs w:val="24"/>
          <w:lang w:val="ru-RU"/>
        </w:rPr>
        <w:t>е</w:t>
      </w:r>
      <w:r w:rsidRPr="005204D1">
        <w:rPr>
          <w:rFonts w:asciiTheme="majorHAnsi" w:hAnsiTheme="majorHAnsi" w:cstheme="minorHAnsi"/>
          <w:sz w:val="24"/>
          <w:szCs w:val="24"/>
          <w:lang w:val="ro-MD"/>
        </w:rPr>
        <w:t xml:space="preserve"> принцип</w:t>
      </w:r>
      <w:r w:rsidR="00FF106E">
        <w:rPr>
          <w:rFonts w:asciiTheme="majorHAnsi" w:hAnsiTheme="majorHAnsi" w:cstheme="minorHAnsi"/>
          <w:sz w:val="24"/>
          <w:szCs w:val="24"/>
          <w:lang w:val="ru-RU"/>
        </w:rPr>
        <w:t>ы</w:t>
      </w:r>
      <w:r w:rsidRPr="005204D1">
        <w:rPr>
          <w:rFonts w:asciiTheme="majorHAnsi" w:hAnsiTheme="majorHAnsi" w:cstheme="minorHAnsi"/>
          <w:sz w:val="24"/>
          <w:szCs w:val="24"/>
          <w:lang w:val="ro-MD"/>
        </w:rPr>
        <w:t xml:space="preserve"> деятельности </w:t>
      </w:r>
      <w:r w:rsidR="00EE088D">
        <w:rPr>
          <w:rFonts w:asciiTheme="majorHAnsi" w:hAnsiTheme="majorHAnsi" w:cstheme="minorHAnsi"/>
          <w:sz w:val="24"/>
          <w:szCs w:val="24"/>
          <w:lang w:val="ro-MD"/>
        </w:rPr>
        <w:t>публич</w:t>
      </w:r>
      <w:r w:rsidRPr="005204D1">
        <w:rPr>
          <w:rFonts w:asciiTheme="majorHAnsi" w:hAnsiTheme="majorHAnsi" w:cstheme="minorHAnsi"/>
          <w:sz w:val="24"/>
          <w:szCs w:val="24"/>
          <w:lang w:val="ro-MD"/>
        </w:rPr>
        <w:t xml:space="preserve">ных учреждений </w:t>
      </w:r>
      <w:r w:rsidR="00FF106E">
        <w:rPr>
          <w:rFonts w:asciiTheme="majorHAnsi" w:hAnsiTheme="majorHAnsi" w:cstheme="minorHAnsi"/>
          <w:sz w:val="24"/>
          <w:szCs w:val="24"/>
          <w:lang w:val="ru-RU"/>
        </w:rPr>
        <w:t>на</w:t>
      </w:r>
      <w:r w:rsidRPr="005204D1">
        <w:rPr>
          <w:rFonts w:asciiTheme="majorHAnsi" w:hAnsiTheme="majorHAnsi" w:cstheme="minorHAnsi"/>
          <w:sz w:val="24"/>
          <w:szCs w:val="24"/>
          <w:lang w:val="ro-MD"/>
        </w:rPr>
        <w:t xml:space="preserve"> самофинансировании и некоммерческ</w:t>
      </w:r>
      <w:r w:rsidR="00FF106E">
        <w:rPr>
          <w:rFonts w:asciiTheme="majorHAnsi" w:hAnsiTheme="majorHAnsi" w:cstheme="minorHAnsi"/>
          <w:sz w:val="24"/>
          <w:szCs w:val="24"/>
          <w:lang w:val="ru-RU"/>
        </w:rPr>
        <w:t>ой</w:t>
      </w:r>
      <w:r w:rsidRPr="005204D1">
        <w:rPr>
          <w:rFonts w:asciiTheme="majorHAnsi" w:hAnsiTheme="majorHAnsi" w:cstheme="minorHAnsi"/>
          <w:sz w:val="24"/>
          <w:szCs w:val="24"/>
          <w:lang w:val="ro-MD"/>
        </w:rPr>
        <w:t xml:space="preserve"> </w:t>
      </w:r>
      <w:r w:rsidR="00FF106E">
        <w:rPr>
          <w:rFonts w:asciiTheme="majorHAnsi" w:hAnsiTheme="majorHAnsi" w:cstheme="minorHAnsi"/>
          <w:sz w:val="24"/>
          <w:szCs w:val="24"/>
          <w:lang w:val="ru-RU"/>
        </w:rPr>
        <w:t>деятельности,</w:t>
      </w:r>
      <w:r w:rsidRPr="005204D1">
        <w:rPr>
          <w:rFonts w:asciiTheme="majorHAnsi" w:hAnsiTheme="majorHAnsi" w:cstheme="minorHAnsi"/>
          <w:sz w:val="24"/>
          <w:szCs w:val="24"/>
          <w:lang w:val="ro-MD"/>
        </w:rPr>
        <w:t xml:space="preserve"> с раскрытием правил </w:t>
      </w:r>
      <w:r w:rsidRPr="00FF106E">
        <w:rPr>
          <w:rFonts w:asciiTheme="majorHAnsi" w:hAnsiTheme="majorHAnsi" w:cstheme="minorHAnsi"/>
          <w:i/>
          <w:sz w:val="24"/>
          <w:szCs w:val="24"/>
          <w:lang w:val="ro-MD"/>
        </w:rPr>
        <w:t>„самофинансирования и некоммерческ</w:t>
      </w:r>
      <w:r w:rsidR="00FF106E" w:rsidRPr="00FF106E">
        <w:rPr>
          <w:rFonts w:asciiTheme="majorHAnsi" w:hAnsiTheme="majorHAnsi" w:cstheme="minorHAnsi"/>
          <w:i/>
          <w:sz w:val="24"/>
          <w:szCs w:val="24"/>
          <w:lang w:val="ru-RU"/>
        </w:rPr>
        <w:t>ой деятельности</w:t>
      </w:r>
      <w:r w:rsidRPr="00FF106E">
        <w:rPr>
          <w:rFonts w:asciiTheme="majorHAnsi" w:hAnsiTheme="majorHAnsi" w:cstheme="minorHAnsi"/>
          <w:i/>
          <w:sz w:val="24"/>
          <w:szCs w:val="24"/>
          <w:lang w:val="ro-MD"/>
        </w:rPr>
        <w:t>”</w:t>
      </w:r>
      <w:r w:rsidRPr="005204D1">
        <w:rPr>
          <w:rFonts w:asciiTheme="majorHAnsi" w:hAnsiTheme="majorHAnsi" w:cstheme="minorHAnsi"/>
          <w:sz w:val="24"/>
          <w:szCs w:val="24"/>
          <w:lang w:val="ro-MD"/>
        </w:rPr>
        <w:t xml:space="preserve">. Так, </w:t>
      </w:r>
      <w:r w:rsidR="00FF106E">
        <w:rPr>
          <w:rFonts w:asciiTheme="majorHAnsi" w:hAnsiTheme="majorHAnsi" w:cstheme="minorHAnsi"/>
          <w:sz w:val="24"/>
          <w:szCs w:val="24"/>
          <w:lang w:val="ru-RU"/>
        </w:rPr>
        <w:t>законодательн</w:t>
      </w:r>
      <w:r w:rsidRPr="005204D1">
        <w:rPr>
          <w:rFonts w:asciiTheme="majorHAnsi" w:hAnsiTheme="majorHAnsi" w:cstheme="minorHAnsi"/>
          <w:sz w:val="24"/>
          <w:szCs w:val="24"/>
          <w:lang w:val="ro-MD"/>
        </w:rPr>
        <w:t>ая база не предусматривает механизм</w:t>
      </w:r>
      <w:r w:rsidR="00FF106E">
        <w:rPr>
          <w:rFonts w:asciiTheme="majorHAnsi" w:hAnsiTheme="majorHAnsi" w:cstheme="minorHAnsi"/>
          <w:sz w:val="24"/>
          <w:szCs w:val="24"/>
          <w:lang w:val="ru-RU"/>
        </w:rPr>
        <w:t>ы</w:t>
      </w:r>
      <w:r w:rsidRPr="005204D1">
        <w:rPr>
          <w:rFonts w:asciiTheme="majorHAnsi" w:hAnsiTheme="majorHAnsi" w:cstheme="minorHAnsi"/>
          <w:sz w:val="24"/>
          <w:szCs w:val="24"/>
          <w:lang w:val="ro-MD"/>
        </w:rPr>
        <w:t xml:space="preserve"> для этих </w:t>
      </w:r>
      <w:r w:rsidR="00FF106E">
        <w:rPr>
          <w:rFonts w:asciiTheme="majorHAnsi" w:hAnsiTheme="majorHAnsi" w:cstheme="minorHAnsi"/>
          <w:sz w:val="24"/>
          <w:szCs w:val="24"/>
          <w:lang w:val="ru-RU"/>
        </w:rPr>
        <w:t>субъектов</w:t>
      </w:r>
      <w:r w:rsidRPr="005204D1">
        <w:rPr>
          <w:rFonts w:asciiTheme="majorHAnsi" w:hAnsiTheme="majorHAnsi" w:cstheme="minorHAnsi"/>
          <w:sz w:val="24"/>
          <w:szCs w:val="24"/>
          <w:lang w:val="ro-MD"/>
        </w:rPr>
        <w:t xml:space="preserve">, </w:t>
      </w:r>
      <w:r w:rsidR="00FF106E">
        <w:rPr>
          <w:rFonts w:asciiTheme="majorHAnsi" w:hAnsiTheme="majorHAnsi" w:cstheme="minorHAnsi"/>
          <w:sz w:val="24"/>
          <w:szCs w:val="24"/>
          <w:lang w:val="ru-RU"/>
        </w:rPr>
        <w:t xml:space="preserve">в случае, </w:t>
      </w:r>
      <w:r w:rsidRPr="005204D1">
        <w:rPr>
          <w:rFonts w:asciiTheme="majorHAnsi" w:hAnsiTheme="majorHAnsi" w:cstheme="minorHAnsi"/>
          <w:sz w:val="24"/>
          <w:szCs w:val="24"/>
          <w:lang w:val="ro-MD"/>
        </w:rPr>
        <w:t xml:space="preserve">если они регистрируют прибыль или убытки. Такой подход </w:t>
      </w:r>
      <w:r w:rsidR="00A0171C">
        <w:rPr>
          <w:rFonts w:asciiTheme="majorHAnsi" w:hAnsiTheme="majorHAnsi" w:cstheme="minorHAnsi"/>
          <w:sz w:val="24"/>
          <w:szCs w:val="24"/>
          <w:lang w:val="ru-RU"/>
        </w:rPr>
        <w:t>созд</w:t>
      </w:r>
      <w:r w:rsidRPr="005204D1">
        <w:rPr>
          <w:rFonts w:asciiTheme="majorHAnsi" w:hAnsiTheme="majorHAnsi" w:cstheme="minorHAnsi"/>
          <w:sz w:val="24"/>
          <w:szCs w:val="24"/>
          <w:lang w:val="ro-MD"/>
        </w:rPr>
        <w:t xml:space="preserve">ает неопределенность и риск того, что учреждения будут влиять </w:t>
      </w:r>
      <w:r w:rsidR="00A0171C">
        <w:rPr>
          <w:rFonts w:asciiTheme="majorHAnsi" w:hAnsiTheme="majorHAnsi" w:cstheme="minorHAnsi"/>
          <w:sz w:val="24"/>
          <w:szCs w:val="24"/>
          <w:lang w:val="ru-RU"/>
        </w:rPr>
        <w:t xml:space="preserve">на </w:t>
      </w:r>
      <w:r w:rsidRPr="005204D1">
        <w:rPr>
          <w:rFonts w:asciiTheme="majorHAnsi" w:hAnsiTheme="majorHAnsi" w:cstheme="minorHAnsi"/>
          <w:sz w:val="24"/>
          <w:szCs w:val="24"/>
          <w:lang w:val="ro-MD"/>
        </w:rPr>
        <w:t>(маскировать) финансовый результат. Таким образом, нормативн</w:t>
      </w:r>
      <w:r w:rsidR="00A0171C">
        <w:rPr>
          <w:rFonts w:asciiTheme="majorHAnsi" w:hAnsiTheme="majorHAnsi" w:cstheme="minorHAnsi"/>
          <w:sz w:val="24"/>
          <w:szCs w:val="24"/>
          <w:lang w:val="ru-RU"/>
        </w:rPr>
        <w:t>ая</w:t>
      </w:r>
      <w:r w:rsidRPr="005204D1">
        <w:rPr>
          <w:rFonts w:asciiTheme="majorHAnsi" w:hAnsiTheme="majorHAnsi" w:cstheme="minorHAnsi"/>
          <w:sz w:val="24"/>
          <w:szCs w:val="24"/>
          <w:lang w:val="ro-MD"/>
        </w:rPr>
        <w:t xml:space="preserve"> база не устанавливает норм</w:t>
      </w:r>
      <w:r w:rsidR="00A0171C">
        <w:rPr>
          <w:rFonts w:asciiTheme="majorHAnsi" w:hAnsiTheme="majorHAnsi" w:cstheme="minorHAnsi"/>
          <w:sz w:val="24"/>
          <w:szCs w:val="24"/>
          <w:lang w:val="ru-RU"/>
        </w:rPr>
        <w:t>ы</w:t>
      </w:r>
      <w:r w:rsidRPr="005204D1">
        <w:rPr>
          <w:rFonts w:asciiTheme="majorHAnsi" w:hAnsiTheme="majorHAnsi" w:cstheme="minorHAnsi"/>
          <w:sz w:val="24"/>
          <w:szCs w:val="24"/>
          <w:lang w:val="ro-MD"/>
        </w:rPr>
        <w:t xml:space="preserve">, которые предусматривали бы </w:t>
      </w:r>
      <w:r w:rsidR="00A0171C">
        <w:rPr>
          <w:rFonts w:asciiTheme="majorHAnsi" w:hAnsiTheme="majorHAnsi" w:cstheme="minorHAnsi"/>
          <w:sz w:val="24"/>
          <w:szCs w:val="24"/>
          <w:lang w:val="ru-RU"/>
        </w:rPr>
        <w:t>выделение в</w:t>
      </w:r>
      <w:r w:rsidRPr="005204D1">
        <w:rPr>
          <w:rFonts w:asciiTheme="majorHAnsi" w:hAnsiTheme="majorHAnsi" w:cstheme="minorHAnsi"/>
          <w:sz w:val="24"/>
          <w:szCs w:val="24"/>
          <w:lang w:val="ro-MD"/>
        </w:rPr>
        <w:t xml:space="preserve"> </w:t>
      </w:r>
      <w:r w:rsidR="00A0171C">
        <w:rPr>
          <w:rFonts w:asciiTheme="majorHAnsi" w:hAnsiTheme="majorHAnsi" w:cstheme="minorHAnsi"/>
          <w:sz w:val="24"/>
          <w:szCs w:val="24"/>
          <w:lang w:val="ru-RU"/>
        </w:rPr>
        <w:t>г</w:t>
      </w:r>
      <w:r w:rsidRPr="005204D1">
        <w:rPr>
          <w:rFonts w:asciiTheme="majorHAnsi" w:hAnsiTheme="majorHAnsi" w:cstheme="minorHAnsi"/>
          <w:sz w:val="24"/>
          <w:szCs w:val="24"/>
          <w:lang w:val="ro-MD"/>
        </w:rPr>
        <w:t xml:space="preserve">осударственном бюджете прибыли, полученной </w:t>
      </w:r>
      <w:r w:rsidR="00C721F6">
        <w:rPr>
          <w:rFonts w:asciiTheme="majorHAnsi" w:hAnsiTheme="majorHAnsi" w:cstheme="minorHAnsi"/>
          <w:sz w:val="24"/>
          <w:szCs w:val="24"/>
          <w:lang w:val="ro-MD"/>
        </w:rPr>
        <w:t>ПМСУ</w:t>
      </w:r>
      <w:r w:rsidRPr="005204D1">
        <w:rPr>
          <w:rFonts w:asciiTheme="majorHAnsi" w:hAnsiTheme="majorHAnsi" w:cstheme="minorHAnsi"/>
          <w:sz w:val="24"/>
          <w:szCs w:val="24"/>
          <w:lang w:val="ro-MD"/>
        </w:rPr>
        <w:t xml:space="preserve"> от предоставления услуг. В настоящее время нет </w:t>
      </w:r>
      <w:r w:rsidR="00A0171C" w:rsidRPr="00A0171C">
        <w:rPr>
          <w:rFonts w:asciiTheme="majorHAnsi" w:hAnsiTheme="majorHAnsi" w:cstheme="minorHAnsi"/>
          <w:sz w:val="24"/>
          <w:szCs w:val="24"/>
          <w:lang w:val="ro-MD"/>
        </w:rPr>
        <w:t xml:space="preserve">и </w:t>
      </w:r>
      <w:r w:rsidRPr="005204D1">
        <w:rPr>
          <w:rFonts w:asciiTheme="majorHAnsi" w:hAnsiTheme="majorHAnsi" w:cstheme="minorHAnsi"/>
          <w:sz w:val="24"/>
          <w:szCs w:val="24"/>
          <w:lang w:val="ro-MD"/>
        </w:rPr>
        <w:t xml:space="preserve">правил подачи </w:t>
      </w:r>
      <w:r w:rsidR="00C721F6">
        <w:rPr>
          <w:rFonts w:asciiTheme="majorHAnsi" w:hAnsiTheme="majorHAnsi" w:cstheme="minorHAnsi"/>
          <w:sz w:val="24"/>
          <w:szCs w:val="24"/>
          <w:lang w:val="ro-MD"/>
        </w:rPr>
        <w:t>ПМСУ</w:t>
      </w:r>
      <w:r w:rsidRPr="005204D1">
        <w:rPr>
          <w:rFonts w:asciiTheme="majorHAnsi" w:hAnsiTheme="majorHAnsi" w:cstheme="minorHAnsi"/>
          <w:sz w:val="24"/>
          <w:szCs w:val="24"/>
          <w:lang w:val="ro-MD"/>
        </w:rPr>
        <w:t xml:space="preserve"> деклараций о подоходном налоге и уплате подоходного налога</w:t>
      </w:r>
      <w:r w:rsidR="00A0171C" w:rsidRPr="00A0171C">
        <w:rPr>
          <w:rFonts w:asciiTheme="majorHAnsi" w:hAnsiTheme="majorHAnsi" w:cstheme="minorHAnsi"/>
          <w:sz w:val="24"/>
          <w:szCs w:val="24"/>
          <w:lang w:val="ro-MD"/>
        </w:rPr>
        <w:t>,</w:t>
      </w:r>
      <w:r w:rsidRPr="005204D1">
        <w:rPr>
          <w:rFonts w:asciiTheme="majorHAnsi" w:hAnsiTheme="majorHAnsi" w:cstheme="minorHAnsi"/>
          <w:sz w:val="24"/>
          <w:szCs w:val="24"/>
          <w:lang w:val="ro-MD"/>
        </w:rPr>
        <w:t xml:space="preserve"> в случае получения прибыли</w:t>
      </w:r>
      <w:r w:rsidR="00E713CB" w:rsidRPr="00B13B9A">
        <w:rPr>
          <w:rFonts w:asciiTheme="majorHAnsi" w:hAnsiTheme="majorHAnsi" w:cstheme="minorHAnsi"/>
          <w:sz w:val="24"/>
          <w:szCs w:val="24"/>
          <w:lang w:val="ro-MD"/>
        </w:rPr>
        <w:t>.</w:t>
      </w:r>
    </w:p>
    <w:p w14:paraId="4E49A5F8" w14:textId="666B3E7C" w:rsidR="00E713CB" w:rsidRPr="00B13B9A" w:rsidRDefault="00C721F6" w:rsidP="00E713CB">
      <w:pPr>
        <w:pStyle w:val="cn"/>
        <w:spacing w:line="276" w:lineRule="auto"/>
        <w:ind w:right="71"/>
        <w:jc w:val="both"/>
        <w:rPr>
          <w:rFonts w:asciiTheme="majorHAnsi" w:eastAsiaTheme="minorHAnsi" w:hAnsiTheme="majorHAnsi" w:cstheme="minorHAnsi"/>
          <w:lang w:val="ro-MD" w:eastAsia="en-US"/>
        </w:rPr>
      </w:pPr>
      <w:r>
        <w:rPr>
          <w:rFonts w:asciiTheme="majorHAnsi" w:eastAsiaTheme="minorHAnsi" w:hAnsiTheme="majorHAnsi" w:cstheme="minorHAnsi"/>
          <w:lang w:val="ro-MD" w:eastAsia="en-US"/>
        </w:rPr>
        <w:t>ПМСУ</w:t>
      </w:r>
      <w:r w:rsidR="005204D1" w:rsidRPr="005204D1">
        <w:rPr>
          <w:rFonts w:asciiTheme="majorHAnsi" w:eastAsiaTheme="minorHAnsi" w:hAnsiTheme="majorHAnsi" w:cstheme="minorHAnsi"/>
          <w:lang w:val="ro-MD" w:eastAsia="en-US"/>
        </w:rPr>
        <w:t xml:space="preserve"> не обеспечивает точного определения доходов и расходов по видам оказываемых услуг, не обеспечивая их учет по центрам затрат, определяемым в соответствии со спецификой деятельности </w:t>
      </w:r>
      <w:r>
        <w:rPr>
          <w:rFonts w:asciiTheme="majorHAnsi" w:eastAsiaTheme="minorHAnsi" w:hAnsiTheme="majorHAnsi" w:cstheme="minorHAnsi"/>
          <w:lang w:val="ro-MD" w:eastAsia="en-US"/>
        </w:rPr>
        <w:t>ПМСУ</w:t>
      </w:r>
      <w:r w:rsidR="005204D1" w:rsidRPr="005204D1">
        <w:rPr>
          <w:rFonts w:asciiTheme="majorHAnsi" w:eastAsiaTheme="minorHAnsi" w:hAnsiTheme="majorHAnsi" w:cstheme="minorHAnsi"/>
          <w:lang w:val="ro-MD" w:eastAsia="en-US"/>
        </w:rPr>
        <w:t xml:space="preserve">. Отсутствие надлежащего учета создает риски </w:t>
      </w:r>
      <w:r w:rsidR="00A0171C" w:rsidRPr="00A0171C">
        <w:rPr>
          <w:rFonts w:asciiTheme="majorHAnsi" w:eastAsiaTheme="minorHAnsi" w:hAnsiTheme="majorHAnsi" w:cstheme="minorHAnsi"/>
          <w:lang w:val="ro-MD" w:eastAsia="en-US"/>
        </w:rPr>
        <w:t>принят</w:t>
      </w:r>
      <w:r w:rsidR="005204D1" w:rsidRPr="005204D1">
        <w:rPr>
          <w:rFonts w:asciiTheme="majorHAnsi" w:eastAsiaTheme="minorHAnsi" w:hAnsiTheme="majorHAnsi" w:cstheme="minorHAnsi"/>
          <w:lang w:val="ro-MD" w:eastAsia="en-US"/>
        </w:rPr>
        <w:t>ия необоснованных решений</w:t>
      </w:r>
      <w:r w:rsidR="00A0171C" w:rsidRPr="00A0171C">
        <w:rPr>
          <w:rFonts w:asciiTheme="majorHAnsi" w:eastAsiaTheme="minorHAnsi" w:hAnsiTheme="majorHAnsi" w:cstheme="minorHAnsi"/>
          <w:lang w:val="ro-MD" w:eastAsia="en-US"/>
        </w:rPr>
        <w:t xml:space="preserve"> относительно порядка</w:t>
      </w:r>
      <w:r w:rsidR="005204D1" w:rsidRPr="005204D1">
        <w:rPr>
          <w:rFonts w:asciiTheme="majorHAnsi" w:eastAsiaTheme="minorHAnsi" w:hAnsiTheme="majorHAnsi" w:cstheme="minorHAnsi"/>
          <w:lang w:val="ro-MD" w:eastAsia="en-US"/>
        </w:rPr>
        <w:t xml:space="preserve"> </w:t>
      </w:r>
      <w:r w:rsidR="00A0171C" w:rsidRPr="00A0171C">
        <w:rPr>
          <w:rFonts w:asciiTheme="majorHAnsi" w:eastAsiaTheme="minorHAnsi" w:hAnsiTheme="majorHAnsi" w:cstheme="minorHAnsi"/>
          <w:lang w:val="ro-MD" w:eastAsia="en-US"/>
        </w:rPr>
        <w:t>оказания</w:t>
      </w:r>
      <w:r w:rsidR="005204D1" w:rsidRPr="005204D1">
        <w:rPr>
          <w:rFonts w:asciiTheme="majorHAnsi" w:eastAsiaTheme="minorHAnsi" w:hAnsiTheme="majorHAnsi" w:cstheme="minorHAnsi"/>
          <w:lang w:val="ro-MD" w:eastAsia="en-US"/>
        </w:rPr>
        <w:t xml:space="preserve"> и финансирова</w:t>
      </w:r>
      <w:r w:rsidR="00A0171C" w:rsidRPr="00A0171C">
        <w:rPr>
          <w:rFonts w:asciiTheme="majorHAnsi" w:eastAsiaTheme="minorHAnsi" w:hAnsiTheme="majorHAnsi" w:cstheme="minorHAnsi"/>
          <w:lang w:val="ro-MD" w:eastAsia="en-US"/>
        </w:rPr>
        <w:t>ния</w:t>
      </w:r>
      <w:r w:rsidR="005204D1" w:rsidRPr="005204D1">
        <w:rPr>
          <w:rFonts w:asciiTheme="majorHAnsi" w:eastAsiaTheme="minorHAnsi" w:hAnsiTheme="majorHAnsi" w:cstheme="minorHAnsi"/>
          <w:lang w:val="ro-MD" w:eastAsia="en-US"/>
        </w:rPr>
        <w:t xml:space="preserve"> медицински</w:t>
      </w:r>
      <w:r w:rsidR="00A0171C" w:rsidRPr="00A0171C">
        <w:rPr>
          <w:rFonts w:asciiTheme="majorHAnsi" w:eastAsiaTheme="minorHAnsi" w:hAnsiTheme="majorHAnsi" w:cstheme="minorHAnsi"/>
          <w:lang w:val="ro-MD" w:eastAsia="en-US"/>
        </w:rPr>
        <w:t>х</w:t>
      </w:r>
      <w:r w:rsidR="005204D1" w:rsidRPr="005204D1">
        <w:rPr>
          <w:rFonts w:asciiTheme="majorHAnsi" w:eastAsiaTheme="minorHAnsi" w:hAnsiTheme="majorHAnsi" w:cstheme="minorHAnsi"/>
          <w:lang w:val="ro-MD" w:eastAsia="en-US"/>
        </w:rPr>
        <w:t xml:space="preserve"> услуг</w:t>
      </w:r>
      <w:r w:rsidR="00A0171C" w:rsidRPr="00A0171C">
        <w:rPr>
          <w:rFonts w:asciiTheme="majorHAnsi" w:eastAsiaTheme="minorHAnsi" w:hAnsiTheme="majorHAnsi" w:cstheme="minorHAnsi"/>
          <w:lang w:val="ro-MD" w:eastAsia="en-US"/>
        </w:rPr>
        <w:t>.</w:t>
      </w:r>
    </w:p>
    <w:p w14:paraId="7A70F3F5" w14:textId="64827203" w:rsidR="00E713CB" w:rsidRPr="00B13B9A" w:rsidRDefault="005204D1" w:rsidP="00E713CB">
      <w:pPr>
        <w:pStyle w:val="cn"/>
        <w:spacing w:line="276" w:lineRule="auto"/>
        <w:ind w:right="71"/>
        <w:jc w:val="both"/>
        <w:rPr>
          <w:rFonts w:asciiTheme="majorHAnsi" w:eastAsiaTheme="minorHAnsi" w:hAnsiTheme="majorHAnsi" w:cstheme="minorHAnsi"/>
          <w:lang w:val="ro-MD" w:eastAsia="en-US"/>
        </w:rPr>
      </w:pPr>
      <w:r w:rsidRPr="005204D1">
        <w:rPr>
          <w:rFonts w:asciiTheme="majorHAnsi" w:eastAsiaTheme="minorHAnsi" w:hAnsiTheme="majorHAnsi" w:cstheme="minorHAnsi"/>
          <w:lang w:val="ro-MD" w:eastAsia="en-US"/>
        </w:rPr>
        <w:t xml:space="preserve">Хотя </w:t>
      </w:r>
      <w:r w:rsidR="00C721F6">
        <w:rPr>
          <w:rFonts w:asciiTheme="majorHAnsi" w:eastAsiaTheme="minorHAnsi" w:hAnsiTheme="majorHAnsi" w:cstheme="minorHAnsi"/>
          <w:lang w:val="ro-MD" w:eastAsia="en-US"/>
        </w:rPr>
        <w:t>ПМСУ</w:t>
      </w:r>
      <w:r w:rsidRPr="005204D1">
        <w:rPr>
          <w:rFonts w:asciiTheme="majorHAnsi" w:eastAsiaTheme="minorHAnsi" w:hAnsiTheme="majorHAnsi" w:cstheme="minorHAnsi"/>
          <w:lang w:val="ro-MD" w:eastAsia="en-US"/>
        </w:rPr>
        <w:t xml:space="preserve"> определила некоторые центры затрат, распределение всех расходов не осуществляется в зависимости от типа услуги, для которой используется ресурс, и в </w:t>
      </w:r>
      <w:r w:rsidR="00A0171C">
        <w:rPr>
          <w:rFonts w:asciiTheme="majorHAnsi" w:eastAsiaTheme="minorHAnsi" w:hAnsiTheme="majorHAnsi" w:cstheme="minorHAnsi"/>
          <w:lang w:eastAsia="en-US"/>
        </w:rPr>
        <w:t xml:space="preserve">Учетной </w:t>
      </w:r>
      <w:r w:rsidRPr="005204D1">
        <w:rPr>
          <w:rFonts w:asciiTheme="majorHAnsi" w:eastAsiaTheme="minorHAnsi" w:hAnsiTheme="majorHAnsi" w:cstheme="minorHAnsi"/>
          <w:lang w:val="ro-MD" w:eastAsia="en-US"/>
        </w:rPr>
        <w:t xml:space="preserve">политике этот процесс не регулируется. В </w:t>
      </w:r>
      <w:r w:rsidR="00A0171C">
        <w:rPr>
          <w:rFonts w:asciiTheme="majorHAnsi" w:eastAsiaTheme="minorHAnsi" w:hAnsiTheme="majorHAnsi" w:cstheme="minorHAnsi"/>
          <w:lang w:eastAsia="en-US"/>
        </w:rPr>
        <w:t>итоге,</w:t>
      </w:r>
      <w:r w:rsidR="00A0171C">
        <w:rPr>
          <w:rFonts w:asciiTheme="majorHAnsi" w:eastAsiaTheme="minorHAnsi" w:hAnsiTheme="majorHAnsi" w:cstheme="minorHAnsi"/>
          <w:lang w:val="ro-MD" w:eastAsia="en-US"/>
        </w:rPr>
        <w:t xml:space="preserve"> аудитом установлено</w:t>
      </w:r>
      <w:r w:rsidRPr="005204D1">
        <w:rPr>
          <w:rFonts w:asciiTheme="majorHAnsi" w:eastAsiaTheme="minorHAnsi" w:hAnsiTheme="majorHAnsi" w:cstheme="minorHAnsi"/>
          <w:lang w:val="ro-MD" w:eastAsia="en-US"/>
        </w:rPr>
        <w:t xml:space="preserve">, что некоторые центры затрат включают в себя несколько видов оказанных услуг. Например, центр затрат </w:t>
      </w:r>
      <w:r w:rsidR="00A0171C" w:rsidRPr="00B13B9A">
        <w:rPr>
          <w:rFonts w:asciiTheme="majorHAnsi" w:eastAsiaTheme="minorHAnsi" w:hAnsiTheme="majorHAnsi" w:cstheme="minorHAnsi"/>
          <w:lang w:val="ro-MD" w:eastAsia="en-US"/>
        </w:rPr>
        <w:t>„</w:t>
      </w:r>
      <w:r w:rsidR="00A0171C">
        <w:rPr>
          <w:rFonts w:asciiTheme="majorHAnsi" w:eastAsiaTheme="minorHAnsi" w:hAnsiTheme="majorHAnsi" w:cstheme="minorHAnsi"/>
          <w:lang w:eastAsia="en-US"/>
        </w:rPr>
        <w:t>Проекты</w:t>
      </w:r>
      <w:r w:rsidR="00A0171C" w:rsidRPr="00B13B9A">
        <w:rPr>
          <w:rFonts w:asciiTheme="majorHAnsi" w:eastAsiaTheme="minorHAnsi" w:hAnsiTheme="majorHAnsi" w:cstheme="minorHAnsi"/>
          <w:lang w:val="ro-MD" w:eastAsia="en-US"/>
        </w:rPr>
        <w:t>”</w:t>
      </w:r>
      <w:r w:rsidR="00A0171C">
        <w:rPr>
          <w:rFonts w:asciiTheme="majorHAnsi" w:eastAsiaTheme="minorHAnsi" w:hAnsiTheme="majorHAnsi" w:cstheme="minorHAnsi"/>
          <w:lang w:eastAsia="en-US"/>
        </w:rPr>
        <w:t xml:space="preserve"> </w:t>
      </w:r>
      <w:r w:rsidRPr="005204D1">
        <w:rPr>
          <w:rFonts w:asciiTheme="majorHAnsi" w:eastAsiaTheme="minorHAnsi" w:hAnsiTheme="majorHAnsi" w:cstheme="minorHAnsi"/>
          <w:lang w:val="ro-MD" w:eastAsia="en-US"/>
        </w:rPr>
        <w:t>включает в себя услуги, связанные с распр</w:t>
      </w:r>
      <w:r w:rsidR="00A0171C">
        <w:rPr>
          <w:rFonts w:asciiTheme="majorHAnsi" w:eastAsiaTheme="minorHAnsi" w:hAnsiTheme="majorHAnsi" w:cstheme="minorHAnsi"/>
          <w:lang w:eastAsia="en-US"/>
        </w:rPr>
        <w:t>едел</w:t>
      </w:r>
      <w:r w:rsidRPr="005204D1">
        <w:rPr>
          <w:rFonts w:asciiTheme="majorHAnsi" w:eastAsiaTheme="minorHAnsi" w:hAnsiTheme="majorHAnsi" w:cstheme="minorHAnsi"/>
          <w:lang w:val="ro-MD" w:eastAsia="en-US"/>
        </w:rPr>
        <w:t>ением пищевых пакетов, проведением тестирования новых схем лечения и использованием товаров (лекарств и других), полученных бесплатно, но используемых для оказания услуг</w:t>
      </w:r>
      <w:r w:rsidR="00A0171C">
        <w:rPr>
          <w:rFonts w:asciiTheme="majorHAnsi" w:eastAsiaTheme="minorHAnsi" w:hAnsiTheme="majorHAnsi" w:cstheme="minorHAnsi"/>
          <w:lang w:eastAsia="en-US"/>
        </w:rPr>
        <w:t>, законтрактованных у</w:t>
      </w:r>
      <w:r w:rsidRPr="005204D1">
        <w:rPr>
          <w:rFonts w:asciiTheme="majorHAnsi" w:eastAsiaTheme="minorHAnsi" w:hAnsiTheme="majorHAnsi" w:cstheme="minorHAnsi"/>
          <w:lang w:val="ro-MD" w:eastAsia="en-US"/>
        </w:rPr>
        <w:t xml:space="preserve"> </w:t>
      </w:r>
      <w:r w:rsidR="00815146">
        <w:rPr>
          <w:rFonts w:asciiTheme="majorHAnsi" w:eastAsiaTheme="minorHAnsi" w:hAnsiTheme="majorHAnsi" w:cstheme="minorHAnsi"/>
          <w:lang w:val="ro-MD" w:eastAsia="en-US"/>
        </w:rPr>
        <w:t>НКМС</w:t>
      </w:r>
      <w:r w:rsidRPr="005204D1">
        <w:rPr>
          <w:rFonts w:asciiTheme="majorHAnsi" w:eastAsiaTheme="minorHAnsi" w:hAnsiTheme="majorHAnsi" w:cstheme="minorHAnsi"/>
          <w:lang w:val="ro-MD" w:eastAsia="en-US"/>
        </w:rPr>
        <w:t xml:space="preserve"> (см. Приложение 20, 21, 22). В результате</w:t>
      </w:r>
      <w:r w:rsidR="00A0171C" w:rsidRPr="00A0171C">
        <w:rPr>
          <w:rFonts w:asciiTheme="majorHAnsi" w:eastAsiaTheme="minorHAnsi" w:hAnsiTheme="majorHAnsi" w:cstheme="minorHAnsi"/>
          <w:lang w:val="ro-MD" w:eastAsia="en-US"/>
        </w:rPr>
        <w:t>,</w:t>
      </w:r>
      <w:r w:rsidR="00A0171C" w:rsidRPr="0097278E">
        <w:rPr>
          <w:rFonts w:asciiTheme="majorHAnsi" w:eastAsiaTheme="minorHAnsi" w:hAnsiTheme="majorHAnsi" w:cstheme="minorHAnsi"/>
          <w:lang w:val="ro-MD" w:eastAsia="en-US"/>
        </w:rPr>
        <w:t xml:space="preserve"> отмечается</w:t>
      </w:r>
      <w:r w:rsidRPr="005204D1">
        <w:rPr>
          <w:rFonts w:asciiTheme="majorHAnsi" w:eastAsiaTheme="minorHAnsi" w:hAnsiTheme="majorHAnsi" w:cstheme="minorHAnsi"/>
          <w:lang w:val="ro-MD" w:eastAsia="en-US"/>
        </w:rPr>
        <w:t xml:space="preserve"> </w:t>
      </w:r>
      <w:r w:rsidR="0097278E" w:rsidRPr="0097278E">
        <w:rPr>
          <w:rFonts w:asciiTheme="majorHAnsi" w:eastAsiaTheme="minorHAnsi" w:hAnsiTheme="majorHAnsi" w:cstheme="minorHAnsi"/>
          <w:lang w:val="ro-MD" w:eastAsia="en-US"/>
        </w:rPr>
        <w:t xml:space="preserve">необеспечение </w:t>
      </w:r>
      <w:r w:rsidRPr="005204D1">
        <w:rPr>
          <w:rFonts w:asciiTheme="majorHAnsi" w:eastAsiaTheme="minorHAnsi" w:hAnsiTheme="majorHAnsi" w:cstheme="minorHAnsi"/>
          <w:lang w:val="ro-MD" w:eastAsia="en-US"/>
        </w:rPr>
        <w:t>точно</w:t>
      </w:r>
      <w:r w:rsidR="0097278E" w:rsidRPr="0097278E">
        <w:rPr>
          <w:rFonts w:asciiTheme="majorHAnsi" w:eastAsiaTheme="minorHAnsi" w:hAnsiTheme="majorHAnsi" w:cstheme="minorHAnsi"/>
          <w:lang w:val="ro-MD" w:eastAsia="en-US"/>
        </w:rPr>
        <w:t>го</w:t>
      </w:r>
      <w:r w:rsidRPr="005204D1">
        <w:rPr>
          <w:rFonts w:asciiTheme="majorHAnsi" w:eastAsiaTheme="minorHAnsi" w:hAnsiTheme="majorHAnsi" w:cstheme="minorHAnsi"/>
          <w:lang w:val="ro-MD" w:eastAsia="en-US"/>
        </w:rPr>
        <w:t xml:space="preserve"> определени</w:t>
      </w:r>
      <w:r w:rsidR="0097278E" w:rsidRPr="0097278E">
        <w:rPr>
          <w:rFonts w:asciiTheme="majorHAnsi" w:eastAsiaTheme="minorHAnsi" w:hAnsiTheme="majorHAnsi" w:cstheme="minorHAnsi"/>
          <w:lang w:val="ro-MD" w:eastAsia="en-US"/>
        </w:rPr>
        <w:t>я</w:t>
      </w:r>
      <w:r w:rsidRPr="005204D1">
        <w:rPr>
          <w:rFonts w:asciiTheme="majorHAnsi" w:eastAsiaTheme="minorHAnsi" w:hAnsiTheme="majorHAnsi" w:cstheme="minorHAnsi"/>
          <w:lang w:val="ro-MD" w:eastAsia="en-US"/>
        </w:rPr>
        <w:t xml:space="preserve"> финансовых результатов, связанных с оказанием каждой услуги</w:t>
      </w:r>
      <w:r w:rsidR="0097278E" w:rsidRPr="0097278E">
        <w:rPr>
          <w:rFonts w:asciiTheme="majorHAnsi" w:eastAsiaTheme="minorHAnsi" w:hAnsiTheme="majorHAnsi" w:cstheme="minorHAnsi"/>
          <w:lang w:val="ro-MD" w:eastAsia="en-US"/>
        </w:rPr>
        <w:t xml:space="preserve"> в </w:t>
      </w:r>
      <w:r w:rsidR="0097278E" w:rsidRPr="005204D1">
        <w:rPr>
          <w:rFonts w:asciiTheme="majorHAnsi" w:eastAsiaTheme="minorHAnsi" w:hAnsiTheme="majorHAnsi" w:cstheme="minorHAnsi"/>
          <w:lang w:val="ro-MD" w:eastAsia="en-US"/>
        </w:rPr>
        <w:t>отдельно</w:t>
      </w:r>
      <w:r w:rsidR="0097278E" w:rsidRPr="0097278E">
        <w:rPr>
          <w:rFonts w:asciiTheme="majorHAnsi" w:eastAsiaTheme="minorHAnsi" w:hAnsiTheme="majorHAnsi" w:cstheme="minorHAnsi"/>
          <w:lang w:val="ro-MD" w:eastAsia="en-US"/>
        </w:rPr>
        <w:t>сти</w:t>
      </w:r>
      <w:r w:rsidRPr="005204D1">
        <w:rPr>
          <w:rFonts w:asciiTheme="majorHAnsi" w:eastAsiaTheme="minorHAnsi" w:hAnsiTheme="majorHAnsi" w:cstheme="minorHAnsi"/>
          <w:lang w:val="ro-MD" w:eastAsia="en-US"/>
        </w:rPr>
        <w:t>, что не позволяет принимать управленческие решения по управлению понесенными затратами</w:t>
      </w:r>
      <w:r w:rsidR="00E713CB" w:rsidRPr="00B13B9A">
        <w:rPr>
          <w:rFonts w:asciiTheme="majorHAnsi" w:eastAsiaTheme="minorHAnsi" w:hAnsiTheme="majorHAnsi" w:cstheme="minorHAnsi"/>
          <w:lang w:val="ro-MD" w:eastAsia="en-US"/>
        </w:rPr>
        <w:t xml:space="preserve">. </w:t>
      </w:r>
    </w:p>
    <w:p w14:paraId="12BF5E47" w14:textId="4A595BDC" w:rsidR="005204D1" w:rsidRPr="005204D1" w:rsidRDefault="0097278E" w:rsidP="005204D1">
      <w:pPr>
        <w:pStyle w:val="cn"/>
        <w:spacing w:line="276" w:lineRule="auto"/>
        <w:ind w:right="71"/>
        <w:jc w:val="both"/>
        <w:rPr>
          <w:rFonts w:asciiTheme="majorHAnsi" w:eastAsiaTheme="minorHAnsi" w:hAnsiTheme="majorHAnsi" w:cstheme="minorHAnsi"/>
          <w:lang w:val="ro-MD" w:eastAsia="en-US"/>
        </w:rPr>
      </w:pPr>
      <w:r>
        <w:rPr>
          <w:rFonts w:asciiTheme="majorHAnsi" w:eastAsiaTheme="minorHAnsi" w:hAnsiTheme="majorHAnsi" w:cstheme="minorHAnsi"/>
          <w:lang w:eastAsia="en-US"/>
        </w:rPr>
        <w:t>Кроме того,</w:t>
      </w:r>
      <w:r w:rsidR="005204D1" w:rsidRPr="005204D1">
        <w:rPr>
          <w:rFonts w:asciiTheme="majorHAnsi" w:eastAsiaTheme="minorHAnsi" w:hAnsiTheme="majorHAnsi" w:cstheme="minorHAnsi"/>
          <w:lang w:val="ro-MD" w:eastAsia="en-US"/>
        </w:rPr>
        <w:t xml:space="preserve"> </w:t>
      </w:r>
      <w:r w:rsidR="00C10BD2">
        <w:rPr>
          <w:rFonts w:asciiTheme="majorHAnsi" w:eastAsiaTheme="minorHAnsi" w:hAnsiTheme="majorHAnsi" w:cstheme="minorHAnsi"/>
          <w:lang w:val="ro-MD" w:eastAsia="en-US"/>
        </w:rPr>
        <w:t>субъект</w:t>
      </w:r>
      <w:r w:rsidR="005204D1" w:rsidRPr="005204D1">
        <w:rPr>
          <w:rFonts w:asciiTheme="majorHAnsi" w:eastAsiaTheme="minorHAnsi" w:hAnsiTheme="majorHAnsi" w:cstheme="minorHAnsi"/>
          <w:lang w:val="ro-MD" w:eastAsia="en-US"/>
        </w:rPr>
        <w:t xml:space="preserve"> не </w:t>
      </w:r>
      <w:r>
        <w:rPr>
          <w:rFonts w:asciiTheme="majorHAnsi" w:eastAsiaTheme="minorHAnsi" w:hAnsiTheme="majorHAnsi" w:cstheme="minorHAnsi"/>
          <w:lang w:eastAsia="en-US"/>
        </w:rPr>
        <w:t>установил</w:t>
      </w:r>
      <w:r w:rsidR="005204D1" w:rsidRPr="005204D1">
        <w:rPr>
          <w:rFonts w:asciiTheme="majorHAnsi" w:eastAsiaTheme="minorHAnsi" w:hAnsiTheme="majorHAnsi" w:cstheme="minorHAnsi"/>
          <w:lang w:val="ro-MD" w:eastAsia="en-US"/>
        </w:rPr>
        <w:t xml:space="preserve"> методологи</w:t>
      </w:r>
      <w:r>
        <w:rPr>
          <w:rFonts w:asciiTheme="majorHAnsi" w:eastAsiaTheme="minorHAnsi" w:hAnsiTheme="majorHAnsi" w:cstheme="minorHAnsi"/>
          <w:lang w:eastAsia="en-US"/>
        </w:rPr>
        <w:t>ю</w:t>
      </w:r>
      <w:r w:rsidR="005204D1" w:rsidRPr="005204D1">
        <w:rPr>
          <w:rFonts w:asciiTheme="majorHAnsi" w:eastAsiaTheme="minorHAnsi" w:hAnsiTheme="majorHAnsi" w:cstheme="minorHAnsi"/>
          <w:lang w:val="ro-MD" w:eastAsia="en-US"/>
        </w:rPr>
        <w:t>/способ ведения учета доходов и расходов, что не обеспечивает точно</w:t>
      </w:r>
      <w:r>
        <w:rPr>
          <w:rFonts w:asciiTheme="majorHAnsi" w:eastAsiaTheme="minorHAnsi" w:hAnsiTheme="majorHAnsi" w:cstheme="minorHAnsi"/>
          <w:lang w:eastAsia="en-US"/>
        </w:rPr>
        <w:t>е</w:t>
      </w:r>
      <w:r w:rsidR="005204D1" w:rsidRPr="005204D1">
        <w:rPr>
          <w:rFonts w:asciiTheme="majorHAnsi" w:eastAsiaTheme="minorHAnsi" w:hAnsiTheme="majorHAnsi" w:cstheme="minorHAnsi"/>
          <w:lang w:val="ro-MD" w:eastAsia="en-US"/>
        </w:rPr>
        <w:t xml:space="preserve"> и реально</w:t>
      </w:r>
      <w:r>
        <w:rPr>
          <w:rFonts w:asciiTheme="majorHAnsi" w:eastAsiaTheme="minorHAnsi" w:hAnsiTheme="majorHAnsi" w:cstheme="minorHAnsi"/>
          <w:lang w:eastAsia="en-US"/>
        </w:rPr>
        <w:t>е</w:t>
      </w:r>
      <w:r w:rsidR="005204D1" w:rsidRPr="005204D1">
        <w:rPr>
          <w:rFonts w:asciiTheme="majorHAnsi" w:eastAsiaTheme="minorHAnsi" w:hAnsiTheme="majorHAnsi" w:cstheme="minorHAnsi"/>
          <w:lang w:val="ro-MD" w:eastAsia="en-US"/>
        </w:rPr>
        <w:t xml:space="preserve"> определени</w:t>
      </w:r>
      <w:r>
        <w:rPr>
          <w:rFonts w:asciiTheme="majorHAnsi" w:eastAsiaTheme="minorHAnsi" w:hAnsiTheme="majorHAnsi" w:cstheme="minorHAnsi"/>
          <w:lang w:eastAsia="en-US"/>
        </w:rPr>
        <w:t>е</w:t>
      </w:r>
      <w:r w:rsidR="005204D1" w:rsidRPr="005204D1">
        <w:rPr>
          <w:rFonts w:asciiTheme="majorHAnsi" w:eastAsiaTheme="minorHAnsi" w:hAnsiTheme="majorHAnsi" w:cstheme="minorHAnsi"/>
          <w:lang w:val="ro-MD" w:eastAsia="en-US"/>
        </w:rPr>
        <w:t xml:space="preserve"> стоимости оказываемой услуги.</w:t>
      </w:r>
    </w:p>
    <w:p w14:paraId="2D16EF06" w14:textId="0F8823CE" w:rsidR="00E713CB" w:rsidRPr="0097278E" w:rsidRDefault="005204D1" w:rsidP="0097278E">
      <w:pPr>
        <w:pStyle w:val="cn"/>
        <w:spacing w:line="276" w:lineRule="auto"/>
        <w:ind w:right="71"/>
        <w:jc w:val="both"/>
        <w:rPr>
          <w:rFonts w:asciiTheme="majorHAnsi" w:eastAsiaTheme="minorHAnsi" w:hAnsiTheme="majorHAnsi" w:cstheme="minorHAnsi"/>
          <w:lang w:val="ro-MD" w:eastAsia="en-US"/>
        </w:rPr>
      </w:pPr>
      <w:r w:rsidRPr="005204D1">
        <w:rPr>
          <w:rFonts w:asciiTheme="majorHAnsi" w:eastAsiaTheme="minorHAnsi" w:hAnsiTheme="majorHAnsi" w:cstheme="minorHAnsi"/>
          <w:lang w:val="ro-MD" w:eastAsia="en-US"/>
        </w:rPr>
        <w:t xml:space="preserve">Так, некоторые расходы, </w:t>
      </w:r>
      <w:r w:rsidR="0097278E">
        <w:rPr>
          <w:rFonts w:asciiTheme="majorHAnsi" w:eastAsiaTheme="minorHAnsi" w:hAnsiTheme="majorHAnsi" w:cstheme="minorHAnsi"/>
          <w:lang w:eastAsia="en-US"/>
        </w:rPr>
        <w:t>отнесенн</w:t>
      </w:r>
      <w:r w:rsidRPr="005204D1">
        <w:rPr>
          <w:rFonts w:asciiTheme="majorHAnsi" w:eastAsiaTheme="minorHAnsi" w:hAnsiTheme="majorHAnsi" w:cstheme="minorHAnsi"/>
          <w:lang w:val="ro-MD" w:eastAsia="en-US"/>
        </w:rPr>
        <w:t xml:space="preserve">ые </w:t>
      </w:r>
      <w:r w:rsidR="0097278E">
        <w:rPr>
          <w:rFonts w:asciiTheme="majorHAnsi" w:eastAsiaTheme="minorHAnsi" w:hAnsiTheme="majorHAnsi" w:cstheme="minorHAnsi"/>
          <w:lang w:eastAsia="en-US"/>
        </w:rPr>
        <w:t xml:space="preserve">на </w:t>
      </w:r>
      <w:r w:rsidRPr="005204D1">
        <w:rPr>
          <w:rFonts w:asciiTheme="majorHAnsi" w:eastAsiaTheme="minorHAnsi" w:hAnsiTheme="majorHAnsi" w:cstheme="minorHAnsi"/>
          <w:lang w:val="ro-MD" w:eastAsia="en-US"/>
        </w:rPr>
        <w:t>стоимост</w:t>
      </w:r>
      <w:r w:rsidR="0097278E">
        <w:rPr>
          <w:rFonts w:asciiTheme="majorHAnsi" w:eastAsiaTheme="minorHAnsi" w:hAnsiTheme="majorHAnsi" w:cstheme="minorHAnsi"/>
          <w:lang w:eastAsia="en-US"/>
        </w:rPr>
        <w:t>ь</w:t>
      </w:r>
      <w:r w:rsidRPr="005204D1">
        <w:rPr>
          <w:rFonts w:asciiTheme="majorHAnsi" w:eastAsiaTheme="minorHAnsi" w:hAnsiTheme="majorHAnsi" w:cstheme="minorHAnsi"/>
          <w:lang w:val="ro-MD" w:eastAsia="en-US"/>
        </w:rPr>
        <w:t xml:space="preserve"> услуг (711), приводят к их нео</w:t>
      </w:r>
      <w:r w:rsidR="0097278E">
        <w:rPr>
          <w:rFonts w:asciiTheme="majorHAnsi" w:eastAsiaTheme="minorHAnsi" w:hAnsiTheme="majorHAnsi" w:cstheme="minorHAnsi"/>
          <w:lang w:eastAsia="en-US"/>
        </w:rPr>
        <w:t>боснов</w:t>
      </w:r>
      <w:r w:rsidRPr="005204D1">
        <w:rPr>
          <w:rFonts w:asciiTheme="majorHAnsi" w:eastAsiaTheme="minorHAnsi" w:hAnsiTheme="majorHAnsi" w:cstheme="minorHAnsi"/>
          <w:lang w:val="ro-MD" w:eastAsia="en-US"/>
        </w:rPr>
        <w:t>анному увеличению. Например, износ неиспользуемых зданий (за ауди</w:t>
      </w:r>
      <w:r w:rsidR="0097278E">
        <w:rPr>
          <w:rFonts w:asciiTheme="majorHAnsi" w:eastAsiaTheme="minorHAnsi" w:hAnsiTheme="majorHAnsi" w:cstheme="minorHAnsi"/>
          <w:lang w:eastAsia="en-US"/>
        </w:rPr>
        <w:t>руемый период</w:t>
      </w:r>
      <w:r w:rsidRPr="005204D1">
        <w:rPr>
          <w:rFonts w:asciiTheme="majorHAnsi" w:eastAsiaTheme="minorHAnsi" w:hAnsiTheme="majorHAnsi" w:cstheme="minorHAnsi"/>
          <w:lang w:val="ro-MD" w:eastAsia="en-US"/>
        </w:rPr>
        <w:t xml:space="preserve"> составил 205,5 тыс. леев</w:t>
      </w:r>
      <w:r w:rsidR="0097278E" w:rsidRPr="00B13B9A">
        <w:rPr>
          <w:rStyle w:val="a9"/>
          <w:rFonts w:asciiTheme="majorHAnsi" w:hAnsiTheme="majorHAnsi" w:cstheme="majorHAnsi"/>
          <w:color w:val="000000" w:themeColor="text1"/>
          <w:sz w:val="24"/>
          <w:lang w:val="ro-MD"/>
        </w:rPr>
        <w:footnoteReference w:id="73"/>
      </w:r>
      <w:r w:rsidRPr="005204D1">
        <w:rPr>
          <w:rFonts w:asciiTheme="majorHAnsi" w:eastAsiaTheme="minorHAnsi" w:hAnsiTheme="majorHAnsi" w:cstheme="minorHAnsi"/>
          <w:lang w:val="ro-MD" w:eastAsia="en-US"/>
        </w:rPr>
        <w:t>)</w:t>
      </w:r>
      <w:r w:rsidR="0097278E">
        <w:rPr>
          <w:rFonts w:asciiTheme="majorHAnsi" w:eastAsiaTheme="minorHAnsi" w:hAnsiTheme="majorHAnsi" w:cstheme="minorHAnsi"/>
          <w:lang w:eastAsia="en-US"/>
        </w:rPr>
        <w:t>,</w:t>
      </w:r>
      <w:r w:rsidRPr="005204D1">
        <w:rPr>
          <w:rFonts w:asciiTheme="majorHAnsi" w:eastAsiaTheme="minorHAnsi" w:hAnsiTheme="majorHAnsi" w:cstheme="minorHAnsi"/>
          <w:lang w:val="ro-MD" w:eastAsia="en-US"/>
        </w:rPr>
        <w:t xml:space="preserve"> и износ </w:t>
      </w:r>
      <w:r w:rsidR="0097278E">
        <w:rPr>
          <w:rFonts w:asciiTheme="majorHAnsi" w:eastAsiaTheme="minorHAnsi" w:hAnsiTheme="majorHAnsi" w:cstheme="minorHAnsi"/>
          <w:lang w:eastAsia="en-US"/>
        </w:rPr>
        <w:t>ряда</w:t>
      </w:r>
      <w:r w:rsidRPr="005204D1">
        <w:rPr>
          <w:rFonts w:asciiTheme="majorHAnsi" w:eastAsiaTheme="minorHAnsi" w:hAnsiTheme="majorHAnsi" w:cstheme="minorHAnsi"/>
          <w:lang w:val="ro-MD" w:eastAsia="en-US"/>
        </w:rPr>
        <w:t xml:space="preserve"> медицинских приборов, не </w:t>
      </w:r>
      <w:r w:rsidR="0097278E">
        <w:rPr>
          <w:rFonts w:asciiTheme="majorHAnsi" w:eastAsiaTheme="minorHAnsi" w:hAnsiTheme="majorHAnsi" w:cstheme="minorHAnsi"/>
          <w:lang w:eastAsia="en-US"/>
        </w:rPr>
        <w:t>введе</w:t>
      </w:r>
      <w:r w:rsidRPr="005204D1">
        <w:rPr>
          <w:rFonts w:asciiTheme="majorHAnsi" w:eastAsiaTheme="minorHAnsi" w:hAnsiTheme="majorHAnsi" w:cstheme="minorHAnsi"/>
          <w:lang w:val="ro-MD" w:eastAsia="en-US"/>
        </w:rPr>
        <w:t>нных в эксплуатацию (151,9 тыс. леев</w:t>
      </w:r>
      <w:r w:rsidR="0097278E" w:rsidRPr="00B13B9A">
        <w:rPr>
          <w:rStyle w:val="a9"/>
          <w:rFonts w:asciiTheme="majorHAnsi" w:hAnsiTheme="majorHAnsi" w:cstheme="majorHAnsi"/>
          <w:sz w:val="24"/>
          <w:lang w:val="ro-MD"/>
        </w:rPr>
        <w:footnoteReference w:id="74"/>
      </w:r>
      <w:r w:rsidRPr="005204D1">
        <w:rPr>
          <w:rFonts w:asciiTheme="majorHAnsi" w:eastAsiaTheme="minorHAnsi" w:hAnsiTheme="majorHAnsi" w:cstheme="minorHAnsi"/>
          <w:lang w:val="ro-MD" w:eastAsia="en-US"/>
        </w:rPr>
        <w:t>), были включены в стоимость оказ</w:t>
      </w:r>
      <w:r w:rsidR="0097278E">
        <w:rPr>
          <w:rFonts w:asciiTheme="majorHAnsi" w:eastAsiaTheme="minorHAnsi" w:hAnsiTheme="majorHAnsi" w:cstheme="minorHAnsi"/>
          <w:lang w:eastAsia="en-US"/>
        </w:rPr>
        <w:t>ываем</w:t>
      </w:r>
      <w:r w:rsidRPr="005204D1">
        <w:rPr>
          <w:rFonts w:asciiTheme="majorHAnsi" w:eastAsiaTheme="minorHAnsi" w:hAnsiTheme="majorHAnsi" w:cstheme="minorHAnsi"/>
          <w:lang w:val="ro-MD" w:eastAsia="en-US"/>
        </w:rPr>
        <w:t xml:space="preserve">ых услуг, хотя они должны были отражаться на </w:t>
      </w:r>
      <w:r w:rsidR="0097278E">
        <w:rPr>
          <w:rFonts w:asciiTheme="majorHAnsi" w:eastAsiaTheme="minorHAnsi" w:hAnsiTheme="majorHAnsi" w:cstheme="minorHAnsi"/>
          <w:lang w:eastAsia="en-US"/>
        </w:rPr>
        <w:t>общие</w:t>
      </w:r>
      <w:r w:rsidRPr="005204D1">
        <w:rPr>
          <w:rFonts w:asciiTheme="majorHAnsi" w:eastAsiaTheme="minorHAnsi" w:hAnsiTheme="majorHAnsi" w:cstheme="minorHAnsi"/>
          <w:lang w:val="ro-MD" w:eastAsia="en-US"/>
        </w:rPr>
        <w:t xml:space="preserve"> и административны</w:t>
      </w:r>
      <w:r w:rsidR="0097278E">
        <w:rPr>
          <w:rFonts w:asciiTheme="majorHAnsi" w:eastAsiaTheme="minorHAnsi" w:hAnsiTheme="majorHAnsi" w:cstheme="minorHAnsi"/>
          <w:lang w:eastAsia="en-US"/>
        </w:rPr>
        <w:t>е</w:t>
      </w:r>
      <w:r w:rsidRPr="005204D1">
        <w:rPr>
          <w:rFonts w:asciiTheme="majorHAnsi" w:eastAsiaTheme="minorHAnsi" w:hAnsiTheme="majorHAnsi" w:cstheme="minorHAnsi"/>
          <w:lang w:val="ro-MD" w:eastAsia="en-US"/>
        </w:rPr>
        <w:t xml:space="preserve"> расход</w:t>
      </w:r>
      <w:r w:rsidR="0097278E">
        <w:rPr>
          <w:rFonts w:asciiTheme="majorHAnsi" w:eastAsiaTheme="minorHAnsi" w:hAnsiTheme="majorHAnsi" w:cstheme="minorHAnsi"/>
          <w:lang w:eastAsia="en-US"/>
        </w:rPr>
        <w:t>ы</w:t>
      </w:r>
      <w:r w:rsidRPr="005204D1">
        <w:rPr>
          <w:rFonts w:asciiTheme="majorHAnsi" w:eastAsiaTheme="minorHAnsi" w:hAnsiTheme="majorHAnsi" w:cstheme="minorHAnsi"/>
          <w:lang w:val="ro-MD" w:eastAsia="en-US"/>
        </w:rPr>
        <w:t>. Этот факт искажает информацию, используемую при утверждении тарифов на соответствующие медицинские услуги</w:t>
      </w:r>
      <w:r w:rsidR="00E713CB" w:rsidRPr="00B13B9A">
        <w:rPr>
          <w:rFonts w:asciiTheme="majorHAnsi" w:hAnsiTheme="majorHAnsi" w:cstheme="majorHAnsi"/>
          <w:lang w:val="ro-MD"/>
        </w:rPr>
        <w:t>.</w:t>
      </w:r>
    </w:p>
    <w:p w14:paraId="63DC8980" w14:textId="77777777" w:rsidR="00B37661" w:rsidRPr="00B13B9A" w:rsidRDefault="00B37661" w:rsidP="00B37661">
      <w:pPr>
        <w:pStyle w:val="a7"/>
        <w:spacing w:after="0" w:line="276" w:lineRule="auto"/>
        <w:ind w:left="0"/>
        <w:jc w:val="both"/>
        <w:rPr>
          <w:rFonts w:asciiTheme="majorHAnsi" w:hAnsiTheme="majorHAnsi" w:cs="Calibri Light"/>
          <w:sz w:val="24"/>
          <w:szCs w:val="24"/>
          <w:lang w:val="ro-MD"/>
        </w:rPr>
      </w:pPr>
    </w:p>
    <w:p w14:paraId="1E93E8EA" w14:textId="04FF34DF" w:rsidR="00082D69" w:rsidRPr="00B13B9A" w:rsidRDefault="005204D1" w:rsidP="00675C08">
      <w:pPr>
        <w:pStyle w:val="a7"/>
        <w:numPr>
          <w:ilvl w:val="2"/>
          <w:numId w:val="10"/>
        </w:numPr>
        <w:tabs>
          <w:tab w:val="left" w:pos="1080"/>
          <w:tab w:val="left" w:pos="1260"/>
        </w:tabs>
        <w:spacing w:after="0" w:line="276" w:lineRule="auto"/>
        <w:ind w:left="0" w:firstLine="284"/>
        <w:jc w:val="both"/>
        <w:outlineLvl w:val="2"/>
        <w:rPr>
          <w:rFonts w:asciiTheme="majorHAnsi" w:hAnsiTheme="majorHAnsi" w:cstheme="majorHAnsi"/>
          <w:b/>
          <w:sz w:val="24"/>
          <w:szCs w:val="24"/>
          <w:lang w:val="ro-MD"/>
        </w:rPr>
      </w:pPr>
      <w:bookmarkStart w:id="48" w:name="_Toc158317250"/>
      <w:r w:rsidRPr="005204D1">
        <w:rPr>
          <w:rFonts w:asciiTheme="majorHAnsi" w:hAnsiTheme="majorHAnsi" w:cstheme="majorHAnsi"/>
          <w:b/>
          <w:sz w:val="24"/>
          <w:szCs w:val="24"/>
          <w:lang w:val="ro-MD"/>
        </w:rPr>
        <w:t xml:space="preserve">Управление противотуберкулезными препаратами </w:t>
      </w:r>
      <w:r w:rsidR="00142892" w:rsidRPr="00142892">
        <w:rPr>
          <w:rFonts w:asciiTheme="majorHAnsi" w:hAnsiTheme="majorHAnsi" w:cstheme="majorHAnsi"/>
          <w:b/>
          <w:sz w:val="24"/>
          <w:szCs w:val="24"/>
          <w:lang w:val="ro-MD"/>
        </w:rPr>
        <w:t>осуществлялось</w:t>
      </w:r>
      <w:r w:rsidRPr="005204D1">
        <w:rPr>
          <w:rFonts w:asciiTheme="majorHAnsi" w:hAnsiTheme="majorHAnsi" w:cstheme="majorHAnsi"/>
          <w:b/>
          <w:sz w:val="24"/>
          <w:szCs w:val="24"/>
          <w:lang w:val="ro-MD"/>
        </w:rPr>
        <w:t xml:space="preserve"> </w:t>
      </w:r>
      <w:r w:rsidR="00142892" w:rsidRPr="00142892">
        <w:rPr>
          <w:rFonts w:asciiTheme="majorHAnsi" w:hAnsiTheme="majorHAnsi" w:cstheme="majorHAnsi"/>
          <w:b/>
          <w:sz w:val="24"/>
          <w:szCs w:val="24"/>
          <w:lang w:val="ro-MD"/>
        </w:rPr>
        <w:t>в надлежащем порядке</w:t>
      </w:r>
      <w:r w:rsidRPr="005204D1">
        <w:rPr>
          <w:rFonts w:asciiTheme="majorHAnsi" w:hAnsiTheme="majorHAnsi" w:cstheme="majorHAnsi"/>
          <w:b/>
          <w:sz w:val="24"/>
          <w:szCs w:val="24"/>
          <w:lang w:val="ro-MD"/>
        </w:rPr>
        <w:t xml:space="preserve"> и обеспечивает своевременное лечение пациентов</w:t>
      </w:r>
      <w:r w:rsidR="008A166D" w:rsidRPr="00B13B9A">
        <w:rPr>
          <w:rFonts w:asciiTheme="majorHAnsi" w:hAnsiTheme="majorHAnsi" w:cstheme="majorHAnsi"/>
          <w:b/>
          <w:sz w:val="24"/>
          <w:szCs w:val="24"/>
          <w:lang w:val="ro-MD"/>
        </w:rPr>
        <w:t>.</w:t>
      </w:r>
      <w:bookmarkEnd w:id="48"/>
    </w:p>
    <w:p w14:paraId="2B5B24B0" w14:textId="77777777" w:rsidR="00A634B2" w:rsidRPr="00B13B9A" w:rsidRDefault="00A634B2" w:rsidP="00A634B2">
      <w:pPr>
        <w:pStyle w:val="a7"/>
        <w:spacing w:after="0" w:line="276" w:lineRule="auto"/>
        <w:jc w:val="both"/>
        <w:rPr>
          <w:rFonts w:asciiTheme="majorHAnsi" w:hAnsiTheme="majorHAnsi" w:cstheme="majorHAnsi"/>
          <w:b/>
          <w:sz w:val="24"/>
          <w:szCs w:val="24"/>
          <w:lang w:val="ro-MD"/>
        </w:rPr>
      </w:pPr>
    </w:p>
    <w:p w14:paraId="629B38F2" w14:textId="57279E41" w:rsidR="00510A4C" w:rsidRPr="00B13B9A" w:rsidRDefault="005204D1" w:rsidP="00B37661">
      <w:pPr>
        <w:spacing w:after="0" w:line="276" w:lineRule="auto"/>
        <w:jc w:val="both"/>
        <w:rPr>
          <w:rFonts w:asciiTheme="majorHAnsi" w:hAnsiTheme="majorHAnsi" w:cstheme="majorHAnsi"/>
          <w:sz w:val="24"/>
          <w:szCs w:val="24"/>
          <w:lang w:val="ro-MD"/>
        </w:rPr>
      </w:pPr>
      <w:r w:rsidRPr="00142892">
        <w:rPr>
          <w:rFonts w:asciiTheme="majorHAnsi" w:hAnsiTheme="majorHAnsi" w:cstheme="majorHAnsi"/>
          <w:sz w:val="24"/>
          <w:szCs w:val="24"/>
          <w:lang w:val="ro-MD"/>
        </w:rPr>
        <w:t xml:space="preserve">Лечение больных туберкулезом, независимо от профиля резистентности, проводится на основе </w:t>
      </w:r>
      <w:r w:rsidR="00142892">
        <w:rPr>
          <w:rFonts w:asciiTheme="majorHAnsi" w:hAnsiTheme="majorHAnsi" w:cstheme="majorHAnsi"/>
          <w:sz w:val="24"/>
          <w:szCs w:val="24"/>
          <w:lang w:val="ru-RU"/>
        </w:rPr>
        <w:t>Н</w:t>
      </w:r>
      <w:r w:rsidRPr="00142892">
        <w:rPr>
          <w:rFonts w:asciiTheme="majorHAnsi" w:hAnsiTheme="majorHAnsi" w:cstheme="majorHAnsi"/>
          <w:sz w:val="24"/>
          <w:szCs w:val="24"/>
          <w:lang w:val="ro-MD"/>
        </w:rPr>
        <w:t xml:space="preserve">ациональных клинических протоколов и стандартов </w:t>
      </w:r>
      <w:r w:rsidR="00142892">
        <w:rPr>
          <w:rFonts w:asciiTheme="majorHAnsi" w:hAnsiTheme="majorHAnsi" w:cstheme="majorHAnsi"/>
          <w:sz w:val="24"/>
          <w:szCs w:val="24"/>
          <w:lang w:val="ru-RU"/>
        </w:rPr>
        <w:t>медицинской помощи</w:t>
      </w:r>
      <w:r w:rsidRPr="00142892">
        <w:rPr>
          <w:rFonts w:asciiTheme="majorHAnsi" w:hAnsiTheme="majorHAnsi" w:cstheme="majorHAnsi"/>
          <w:sz w:val="24"/>
          <w:szCs w:val="24"/>
          <w:lang w:val="ro-MD"/>
        </w:rPr>
        <w:t xml:space="preserve">, разработанных в соответствии с рекомендациями ВОЗ и утвержденных </w:t>
      </w:r>
      <w:r w:rsidR="00142892">
        <w:rPr>
          <w:rFonts w:asciiTheme="majorHAnsi" w:hAnsiTheme="majorHAnsi" w:cstheme="majorHAnsi"/>
          <w:sz w:val="24"/>
          <w:szCs w:val="24"/>
          <w:lang w:val="ru-RU"/>
        </w:rPr>
        <w:t>МЗ</w:t>
      </w:r>
      <w:r w:rsidRPr="00142892">
        <w:rPr>
          <w:rFonts w:asciiTheme="majorHAnsi" w:hAnsiTheme="majorHAnsi" w:cstheme="majorHAnsi"/>
          <w:sz w:val="24"/>
          <w:szCs w:val="24"/>
          <w:lang w:val="ro-MD"/>
        </w:rPr>
        <w:t xml:space="preserve">. </w:t>
      </w:r>
      <w:r w:rsidR="00142892">
        <w:rPr>
          <w:rFonts w:asciiTheme="majorHAnsi" w:hAnsiTheme="majorHAnsi" w:cstheme="majorHAnsi"/>
          <w:sz w:val="24"/>
          <w:szCs w:val="24"/>
          <w:lang w:val="ru-RU"/>
        </w:rPr>
        <w:t>Вы</w:t>
      </w:r>
      <w:r w:rsidRPr="00142892">
        <w:rPr>
          <w:rFonts w:asciiTheme="majorHAnsi" w:hAnsiTheme="majorHAnsi" w:cstheme="majorHAnsi"/>
          <w:sz w:val="24"/>
          <w:szCs w:val="24"/>
          <w:lang w:val="ro-MD"/>
        </w:rPr>
        <w:t xml:space="preserve">бор противотуберкулезных препаратов </w:t>
      </w:r>
      <w:r w:rsidR="00142892">
        <w:rPr>
          <w:rFonts w:asciiTheme="majorHAnsi" w:hAnsiTheme="majorHAnsi" w:cstheme="majorHAnsi"/>
          <w:sz w:val="24"/>
          <w:szCs w:val="24"/>
          <w:lang w:val="ru-RU"/>
        </w:rPr>
        <w:t>осуществляе</w:t>
      </w:r>
      <w:r w:rsidRPr="00142892">
        <w:rPr>
          <w:rFonts w:asciiTheme="majorHAnsi" w:hAnsiTheme="majorHAnsi" w:cstheme="majorHAnsi"/>
          <w:sz w:val="24"/>
          <w:szCs w:val="24"/>
          <w:lang w:val="ro-MD"/>
        </w:rPr>
        <w:t xml:space="preserve">тся в соответствии с </w:t>
      </w:r>
      <w:r w:rsidR="00142892">
        <w:rPr>
          <w:rFonts w:asciiTheme="majorHAnsi" w:hAnsiTheme="majorHAnsi" w:cstheme="majorHAnsi"/>
          <w:sz w:val="24"/>
          <w:szCs w:val="24"/>
          <w:lang w:val="ru-RU"/>
        </w:rPr>
        <w:t>Н</w:t>
      </w:r>
      <w:r w:rsidRPr="00142892">
        <w:rPr>
          <w:rFonts w:asciiTheme="majorHAnsi" w:hAnsiTheme="majorHAnsi" w:cstheme="majorHAnsi"/>
          <w:sz w:val="24"/>
          <w:szCs w:val="24"/>
          <w:lang w:val="ro-MD"/>
        </w:rPr>
        <w:t>ациональными клиническими протоколами,</w:t>
      </w:r>
      <w:r w:rsidRPr="005204D1">
        <w:rPr>
          <w:rFonts w:asciiTheme="majorHAnsi" w:hAnsiTheme="majorHAnsi" w:cstheme="majorHAnsi"/>
          <w:sz w:val="24"/>
          <w:szCs w:val="24"/>
          <w:lang w:val="ro-MD"/>
        </w:rPr>
        <w:t xml:space="preserve"> Национальным </w:t>
      </w:r>
      <w:r w:rsidR="00142892">
        <w:rPr>
          <w:rFonts w:asciiTheme="majorHAnsi" w:hAnsiTheme="majorHAnsi" w:cstheme="majorHAnsi"/>
          <w:sz w:val="24"/>
          <w:szCs w:val="24"/>
          <w:lang w:val="ru-RU"/>
        </w:rPr>
        <w:t>перечнем</w:t>
      </w:r>
      <w:r w:rsidRPr="005204D1">
        <w:rPr>
          <w:rFonts w:asciiTheme="majorHAnsi" w:hAnsiTheme="majorHAnsi" w:cstheme="majorHAnsi"/>
          <w:sz w:val="24"/>
          <w:szCs w:val="24"/>
          <w:lang w:val="ro-MD"/>
        </w:rPr>
        <w:t xml:space="preserve"> основных лекарственных средств и последними рекомендациями ВОЗ. На национальном уровне ответственными за выбор противотуберкулезных препаратов</w:t>
      </w:r>
      <w:r w:rsidR="00142892" w:rsidRPr="00142892">
        <w:rPr>
          <w:rFonts w:asciiTheme="majorHAnsi" w:hAnsiTheme="majorHAnsi" w:cstheme="majorHAnsi"/>
          <w:sz w:val="24"/>
          <w:szCs w:val="24"/>
          <w:lang w:val="ro-MD"/>
        </w:rPr>
        <w:t>,</w:t>
      </w:r>
      <w:r w:rsidRPr="005204D1">
        <w:rPr>
          <w:rFonts w:asciiTheme="majorHAnsi" w:hAnsiTheme="majorHAnsi" w:cstheme="majorHAnsi"/>
          <w:sz w:val="24"/>
          <w:szCs w:val="24"/>
          <w:lang w:val="ro-MD"/>
        </w:rPr>
        <w:t xml:space="preserve"> для закупки </w:t>
      </w:r>
      <w:r w:rsidR="00142892" w:rsidRPr="00142892">
        <w:rPr>
          <w:rFonts w:asciiTheme="majorHAnsi" w:hAnsiTheme="majorHAnsi" w:cstheme="majorHAnsi"/>
          <w:sz w:val="24"/>
          <w:szCs w:val="24"/>
          <w:lang w:val="ro-MD"/>
        </w:rPr>
        <w:t>за счет</w:t>
      </w:r>
      <w:r w:rsidRPr="005204D1">
        <w:rPr>
          <w:rFonts w:asciiTheme="majorHAnsi" w:hAnsiTheme="majorHAnsi" w:cstheme="majorHAnsi"/>
          <w:sz w:val="24"/>
          <w:szCs w:val="24"/>
          <w:lang w:val="ro-MD"/>
        </w:rPr>
        <w:t xml:space="preserve"> государственного бюджета</w:t>
      </w:r>
      <w:r w:rsidR="00142892" w:rsidRPr="00142892">
        <w:rPr>
          <w:rFonts w:asciiTheme="majorHAnsi" w:hAnsiTheme="majorHAnsi" w:cstheme="majorHAnsi"/>
          <w:sz w:val="24"/>
          <w:szCs w:val="24"/>
          <w:lang w:val="ro-MD"/>
        </w:rPr>
        <w:t>,</w:t>
      </w:r>
      <w:r w:rsidRPr="005204D1">
        <w:rPr>
          <w:rFonts w:asciiTheme="majorHAnsi" w:hAnsiTheme="majorHAnsi" w:cstheme="majorHAnsi"/>
          <w:sz w:val="24"/>
          <w:szCs w:val="24"/>
          <w:lang w:val="ro-MD"/>
        </w:rPr>
        <w:t xml:space="preserve"> являются: </w:t>
      </w:r>
      <w:r w:rsidR="00142892" w:rsidRPr="00142892">
        <w:rPr>
          <w:rFonts w:asciiTheme="majorHAnsi" w:hAnsiTheme="majorHAnsi" w:cstheme="majorHAnsi"/>
          <w:sz w:val="24"/>
          <w:szCs w:val="24"/>
          <w:lang w:val="ro-MD"/>
        </w:rPr>
        <w:t>С</w:t>
      </w:r>
      <w:r w:rsidRPr="005204D1">
        <w:rPr>
          <w:rFonts w:asciiTheme="majorHAnsi" w:hAnsiTheme="majorHAnsi" w:cstheme="majorHAnsi"/>
          <w:sz w:val="24"/>
          <w:szCs w:val="24"/>
          <w:lang w:val="ro-MD"/>
        </w:rPr>
        <w:t xml:space="preserve">пециальная комиссия </w:t>
      </w:r>
      <w:r w:rsidR="00142892" w:rsidRPr="00142892">
        <w:rPr>
          <w:rFonts w:asciiTheme="majorHAnsi" w:hAnsiTheme="majorHAnsi" w:cstheme="majorHAnsi"/>
          <w:sz w:val="24"/>
          <w:szCs w:val="24"/>
          <w:lang w:val="ro-MD"/>
        </w:rPr>
        <w:t>МЗ</w:t>
      </w:r>
      <w:r w:rsidRPr="005204D1">
        <w:rPr>
          <w:rFonts w:asciiTheme="majorHAnsi" w:hAnsiTheme="majorHAnsi" w:cstheme="majorHAnsi"/>
          <w:sz w:val="24"/>
          <w:szCs w:val="24"/>
          <w:lang w:val="ro-MD"/>
        </w:rPr>
        <w:t xml:space="preserve">, координатор </w:t>
      </w:r>
      <w:r w:rsidR="00142892" w:rsidRPr="00142892">
        <w:rPr>
          <w:rFonts w:asciiTheme="majorHAnsi" w:hAnsiTheme="majorHAnsi" w:cstheme="majorHAnsi"/>
          <w:sz w:val="24"/>
          <w:szCs w:val="24"/>
          <w:lang w:val="ro-MD"/>
        </w:rPr>
        <w:t>НПБТ</w:t>
      </w:r>
      <w:r w:rsidRPr="005204D1">
        <w:rPr>
          <w:rFonts w:asciiTheme="majorHAnsi" w:hAnsiTheme="majorHAnsi" w:cstheme="majorHAnsi"/>
          <w:sz w:val="24"/>
          <w:szCs w:val="24"/>
          <w:lang w:val="ro-MD"/>
        </w:rPr>
        <w:t xml:space="preserve"> и группа по управлению лекарственными средствами в рамках </w:t>
      </w:r>
      <w:r w:rsidR="00142892" w:rsidRPr="00142892">
        <w:rPr>
          <w:rFonts w:asciiTheme="majorHAnsi" w:hAnsiTheme="majorHAnsi" w:cstheme="majorHAnsi"/>
          <w:sz w:val="24"/>
          <w:szCs w:val="24"/>
          <w:lang w:val="ro-MD"/>
        </w:rPr>
        <w:t>П</w:t>
      </w:r>
      <w:r w:rsidRPr="005204D1">
        <w:rPr>
          <w:rFonts w:asciiTheme="majorHAnsi" w:hAnsiTheme="majorHAnsi" w:cstheme="majorHAnsi"/>
          <w:sz w:val="24"/>
          <w:szCs w:val="24"/>
          <w:lang w:val="ro-MD"/>
        </w:rPr>
        <w:t>рограммы</w:t>
      </w:r>
      <w:r w:rsidR="00510A4C" w:rsidRPr="00B13B9A">
        <w:rPr>
          <w:rFonts w:asciiTheme="majorHAnsi" w:hAnsiTheme="majorHAnsi" w:cstheme="majorHAnsi"/>
          <w:sz w:val="24"/>
          <w:szCs w:val="24"/>
          <w:lang w:val="ro-MD"/>
        </w:rPr>
        <w:t>.</w:t>
      </w:r>
    </w:p>
    <w:p w14:paraId="77E480EA" w14:textId="48F70499" w:rsidR="002A7177" w:rsidRPr="00B13B9A" w:rsidRDefault="00B030D1" w:rsidP="00B37661">
      <w:pPr>
        <w:spacing w:after="0" w:line="276" w:lineRule="auto"/>
        <w:jc w:val="both"/>
        <w:rPr>
          <w:rFonts w:asciiTheme="majorHAnsi" w:hAnsiTheme="majorHAnsi" w:cstheme="majorHAnsi"/>
          <w:sz w:val="24"/>
          <w:szCs w:val="24"/>
          <w:lang w:val="ro-MD"/>
        </w:rPr>
      </w:pPr>
      <w:r>
        <w:rPr>
          <w:rFonts w:asciiTheme="majorHAnsi" w:hAnsiTheme="majorHAnsi" w:cstheme="majorHAnsi"/>
          <w:color w:val="000000" w:themeColor="text1"/>
          <w:sz w:val="24"/>
          <w:szCs w:val="24"/>
          <w:lang w:val="ro-MD"/>
        </w:rPr>
        <w:t>ПМСУ ИФП</w:t>
      </w:r>
      <w:r w:rsidR="005204D1" w:rsidRPr="005204D1">
        <w:rPr>
          <w:rFonts w:asciiTheme="majorHAnsi" w:hAnsiTheme="majorHAnsi" w:cstheme="majorHAnsi"/>
          <w:color w:val="000000" w:themeColor="text1"/>
          <w:sz w:val="24"/>
          <w:szCs w:val="24"/>
          <w:lang w:val="ro-MD"/>
        </w:rPr>
        <w:t xml:space="preserve"> </w:t>
      </w:r>
      <w:r w:rsidR="00AC00D0">
        <w:rPr>
          <w:rFonts w:asciiTheme="majorHAnsi" w:hAnsiTheme="majorHAnsi" w:cstheme="majorHAnsi"/>
          <w:color w:val="000000" w:themeColor="text1"/>
          <w:sz w:val="24"/>
          <w:szCs w:val="24"/>
          <w:lang w:val="ro-MD"/>
        </w:rPr>
        <w:t>„</w:t>
      </w:r>
      <w:r w:rsidR="00AC00D0">
        <w:rPr>
          <w:rFonts w:asciiTheme="majorHAnsi" w:hAnsiTheme="majorHAnsi" w:cs="Calibri Light"/>
          <w:sz w:val="24"/>
          <w:szCs w:val="24"/>
          <w:lang w:val="ru-MD" w:eastAsia="ru-RU"/>
        </w:rPr>
        <w:t>Кирилл Драганюк</w:t>
      </w:r>
      <w:r w:rsidR="00F56EC1">
        <w:rPr>
          <w:rFonts w:asciiTheme="majorHAnsi" w:hAnsiTheme="majorHAnsi" w:cstheme="majorHAnsi"/>
          <w:color w:val="000000" w:themeColor="text1"/>
          <w:sz w:val="24"/>
          <w:szCs w:val="24"/>
          <w:lang w:val="ro-MD"/>
        </w:rPr>
        <w:t>”</w:t>
      </w:r>
      <w:r w:rsidR="005204D1" w:rsidRPr="005204D1">
        <w:rPr>
          <w:rFonts w:asciiTheme="majorHAnsi" w:hAnsiTheme="majorHAnsi" w:cstheme="majorHAnsi"/>
          <w:color w:val="000000" w:themeColor="text1"/>
          <w:sz w:val="24"/>
          <w:szCs w:val="24"/>
          <w:lang w:val="ro-MD"/>
        </w:rPr>
        <w:t xml:space="preserve">, </w:t>
      </w:r>
      <w:r w:rsidR="00142892">
        <w:rPr>
          <w:rFonts w:asciiTheme="majorHAnsi" w:hAnsiTheme="majorHAnsi" w:cstheme="majorHAnsi"/>
          <w:color w:val="000000" w:themeColor="text1"/>
          <w:sz w:val="24"/>
          <w:szCs w:val="24"/>
          <w:lang w:val="ru-RU"/>
        </w:rPr>
        <w:t>в качестве</w:t>
      </w:r>
      <w:r w:rsidR="005204D1" w:rsidRPr="005204D1">
        <w:rPr>
          <w:rFonts w:asciiTheme="majorHAnsi" w:hAnsiTheme="majorHAnsi" w:cstheme="majorHAnsi"/>
          <w:color w:val="000000" w:themeColor="text1"/>
          <w:sz w:val="24"/>
          <w:szCs w:val="24"/>
          <w:lang w:val="ro-MD"/>
        </w:rPr>
        <w:t xml:space="preserve"> координатор</w:t>
      </w:r>
      <w:r w:rsidR="00142892">
        <w:rPr>
          <w:rFonts w:asciiTheme="majorHAnsi" w:hAnsiTheme="majorHAnsi" w:cstheme="majorHAnsi"/>
          <w:color w:val="000000" w:themeColor="text1"/>
          <w:sz w:val="24"/>
          <w:szCs w:val="24"/>
          <w:lang w:val="ru-RU"/>
        </w:rPr>
        <w:t>а</w:t>
      </w:r>
      <w:r w:rsidR="005204D1" w:rsidRPr="005204D1">
        <w:rPr>
          <w:rFonts w:asciiTheme="majorHAnsi" w:hAnsiTheme="majorHAnsi" w:cstheme="majorHAnsi"/>
          <w:color w:val="000000" w:themeColor="text1"/>
          <w:sz w:val="24"/>
          <w:szCs w:val="24"/>
          <w:lang w:val="ro-MD"/>
        </w:rPr>
        <w:t xml:space="preserve"> </w:t>
      </w:r>
      <w:r w:rsidR="00142892">
        <w:rPr>
          <w:rFonts w:asciiTheme="majorHAnsi" w:hAnsiTheme="majorHAnsi" w:cstheme="majorHAnsi"/>
          <w:color w:val="000000" w:themeColor="text1"/>
          <w:sz w:val="24"/>
          <w:szCs w:val="24"/>
          <w:lang w:val="ru-RU"/>
        </w:rPr>
        <w:t>НПБТ</w:t>
      </w:r>
      <w:r w:rsidR="005204D1" w:rsidRPr="005204D1">
        <w:rPr>
          <w:rFonts w:asciiTheme="majorHAnsi" w:hAnsiTheme="majorHAnsi" w:cstheme="majorHAnsi"/>
          <w:color w:val="000000" w:themeColor="text1"/>
          <w:sz w:val="24"/>
          <w:szCs w:val="24"/>
          <w:lang w:val="ro-MD"/>
        </w:rPr>
        <w:t>, обеспечивает противотуберкулезны</w:t>
      </w:r>
      <w:r w:rsidR="00142892">
        <w:rPr>
          <w:rFonts w:asciiTheme="majorHAnsi" w:hAnsiTheme="majorHAnsi" w:cstheme="majorHAnsi"/>
          <w:color w:val="000000" w:themeColor="text1"/>
          <w:sz w:val="24"/>
          <w:szCs w:val="24"/>
          <w:lang w:val="ru-RU"/>
        </w:rPr>
        <w:t>ми</w:t>
      </w:r>
      <w:r w:rsidR="005204D1" w:rsidRPr="005204D1">
        <w:rPr>
          <w:rFonts w:asciiTheme="majorHAnsi" w:hAnsiTheme="majorHAnsi" w:cstheme="majorHAnsi"/>
          <w:color w:val="000000" w:themeColor="text1"/>
          <w:sz w:val="24"/>
          <w:szCs w:val="24"/>
          <w:lang w:val="ro-MD"/>
        </w:rPr>
        <w:t xml:space="preserve"> препарат</w:t>
      </w:r>
      <w:r w:rsidR="00142892">
        <w:rPr>
          <w:rFonts w:asciiTheme="majorHAnsi" w:hAnsiTheme="majorHAnsi" w:cstheme="majorHAnsi"/>
          <w:color w:val="000000" w:themeColor="text1"/>
          <w:sz w:val="24"/>
          <w:szCs w:val="24"/>
          <w:lang w:val="ru-RU"/>
        </w:rPr>
        <w:t>ами</w:t>
      </w:r>
      <w:r w:rsidR="005204D1" w:rsidRPr="005204D1">
        <w:rPr>
          <w:rFonts w:asciiTheme="majorHAnsi" w:hAnsiTheme="majorHAnsi" w:cstheme="majorHAnsi"/>
          <w:color w:val="000000" w:themeColor="text1"/>
          <w:sz w:val="24"/>
          <w:szCs w:val="24"/>
          <w:lang w:val="ro-MD"/>
        </w:rPr>
        <w:t xml:space="preserve"> и мониторинг эффективности лечения. Процесс </w:t>
      </w:r>
      <w:r w:rsidR="00142892" w:rsidRPr="00142892">
        <w:rPr>
          <w:rFonts w:asciiTheme="majorHAnsi" w:hAnsiTheme="majorHAnsi" w:cstheme="majorHAnsi"/>
          <w:color w:val="000000" w:themeColor="text1"/>
          <w:sz w:val="24"/>
          <w:szCs w:val="24"/>
          <w:lang w:val="ro-MD"/>
        </w:rPr>
        <w:t>обеспече</w:t>
      </w:r>
      <w:r w:rsidR="005204D1" w:rsidRPr="005204D1">
        <w:rPr>
          <w:rFonts w:asciiTheme="majorHAnsi" w:hAnsiTheme="majorHAnsi" w:cstheme="majorHAnsi"/>
          <w:color w:val="000000" w:themeColor="text1"/>
          <w:sz w:val="24"/>
          <w:szCs w:val="24"/>
          <w:lang w:val="ro-MD"/>
        </w:rPr>
        <w:t>ния лечением п</w:t>
      </w:r>
      <w:r w:rsidR="00142892" w:rsidRPr="00142892">
        <w:rPr>
          <w:rFonts w:asciiTheme="majorHAnsi" w:hAnsiTheme="majorHAnsi" w:cstheme="majorHAnsi"/>
          <w:color w:val="000000" w:themeColor="text1"/>
          <w:sz w:val="24"/>
          <w:szCs w:val="24"/>
          <w:lang w:val="ro-MD"/>
        </w:rPr>
        <w:t>редставле</w:t>
      </w:r>
      <w:r w:rsidR="005204D1" w:rsidRPr="005204D1">
        <w:rPr>
          <w:rFonts w:asciiTheme="majorHAnsi" w:hAnsiTheme="majorHAnsi" w:cstheme="majorHAnsi"/>
          <w:color w:val="000000" w:themeColor="text1"/>
          <w:sz w:val="24"/>
          <w:szCs w:val="24"/>
          <w:lang w:val="ro-MD"/>
        </w:rPr>
        <w:t>н на рисунке ниже</w:t>
      </w:r>
      <w:r w:rsidR="00510A4C" w:rsidRPr="00B13B9A">
        <w:rPr>
          <w:rFonts w:asciiTheme="majorHAnsi" w:hAnsiTheme="majorHAnsi" w:cstheme="majorHAnsi"/>
          <w:sz w:val="24"/>
          <w:szCs w:val="24"/>
          <w:lang w:val="ro-MD"/>
        </w:rPr>
        <w:t>:</w:t>
      </w:r>
      <w:r w:rsidR="002A7177" w:rsidRPr="00B13B9A">
        <w:rPr>
          <w:rFonts w:asciiTheme="majorHAnsi" w:hAnsiTheme="majorHAnsi" w:cstheme="majorHAnsi"/>
          <w:sz w:val="24"/>
          <w:szCs w:val="24"/>
          <w:lang w:val="ro-MD"/>
        </w:rPr>
        <w:t xml:space="preserve"> </w:t>
      </w:r>
    </w:p>
    <w:p w14:paraId="14328B85" w14:textId="564A7520" w:rsidR="00B37661" w:rsidRPr="00B13B9A" w:rsidRDefault="00E411AC" w:rsidP="002A7177">
      <w:pPr>
        <w:spacing w:after="0" w:line="276" w:lineRule="auto"/>
        <w:jc w:val="right"/>
        <w:rPr>
          <w:rFonts w:asciiTheme="majorHAnsi" w:hAnsiTheme="majorHAnsi" w:cstheme="majorHAnsi"/>
          <w:sz w:val="24"/>
          <w:szCs w:val="24"/>
          <w:lang w:val="ro-MD"/>
        </w:rPr>
      </w:pPr>
      <w:r>
        <w:rPr>
          <w:rFonts w:asciiTheme="majorHAnsi" w:hAnsiTheme="majorHAnsi" w:cstheme="majorHAnsi"/>
          <w:sz w:val="24"/>
          <w:szCs w:val="24"/>
          <w:lang w:val="ro-MD"/>
        </w:rPr>
        <w:t>Рисунок №</w:t>
      </w:r>
      <w:r w:rsidR="002A7177" w:rsidRPr="00B13B9A">
        <w:rPr>
          <w:rFonts w:asciiTheme="majorHAnsi" w:hAnsiTheme="majorHAnsi" w:cstheme="majorHAnsi"/>
          <w:sz w:val="24"/>
          <w:szCs w:val="24"/>
          <w:lang w:val="ro-MD"/>
        </w:rPr>
        <w:t>3</w:t>
      </w:r>
    </w:p>
    <w:p w14:paraId="721F2031" w14:textId="6016D5E0" w:rsidR="00DB5FF6" w:rsidRPr="00B13B9A" w:rsidRDefault="00142892" w:rsidP="002A7177">
      <w:pPr>
        <w:spacing w:after="0" w:line="276" w:lineRule="auto"/>
        <w:jc w:val="center"/>
        <w:rPr>
          <w:rFonts w:asciiTheme="majorHAnsi" w:hAnsiTheme="majorHAnsi" w:cstheme="majorHAnsi"/>
          <w:sz w:val="24"/>
          <w:szCs w:val="24"/>
          <w:lang w:val="ro-MD"/>
        </w:rPr>
      </w:pPr>
      <w:r>
        <w:rPr>
          <w:rFonts w:asciiTheme="majorHAnsi" w:hAnsiTheme="majorHAnsi" w:cstheme="majorHAnsi"/>
          <w:b/>
          <w:sz w:val="24"/>
          <w:szCs w:val="24"/>
          <w:lang w:val="ru-RU"/>
        </w:rPr>
        <w:t xml:space="preserve">Управление противотуберкулезными </w:t>
      </w:r>
      <w:r w:rsidR="004A5483">
        <w:rPr>
          <w:rFonts w:asciiTheme="majorHAnsi" w:hAnsiTheme="majorHAnsi" w:cstheme="majorHAnsi"/>
          <w:b/>
          <w:sz w:val="24"/>
          <w:szCs w:val="24"/>
          <w:lang w:val="ru-RU"/>
        </w:rPr>
        <w:t>лекарственны</w:t>
      </w:r>
      <w:r>
        <w:rPr>
          <w:rFonts w:asciiTheme="majorHAnsi" w:hAnsiTheme="majorHAnsi" w:cstheme="majorHAnsi"/>
          <w:b/>
          <w:sz w:val="24"/>
          <w:szCs w:val="24"/>
          <w:lang w:val="ru-RU"/>
        </w:rPr>
        <w:t>ми</w:t>
      </w:r>
      <w:r w:rsidR="004A5483">
        <w:rPr>
          <w:rFonts w:asciiTheme="majorHAnsi" w:hAnsiTheme="majorHAnsi" w:cstheme="majorHAnsi"/>
          <w:b/>
          <w:sz w:val="24"/>
          <w:szCs w:val="24"/>
          <w:lang w:val="ru-RU"/>
        </w:rPr>
        <w:t xml:space="preserve"> средствами</w:t>
      </w:r>
    </w:p>
    <w:p w14:paraId="2F22DE74" w14:textId="77777777" w:rsidR="00DB5FF6" w:rsidRPr="00B13B9A" w:rsidRDefault="00DB5FF6" w:rsidP="00DB5FF6">
      <w:pPr>
        <w:rPr>
          <w:lang w:val="ro-MD"/>
        </w:rPr>
      </w:pPr>
      <w:r w:rsidRPr="00B13B9A">
        <w:rPr>
          <w:noProof/>
          <w:lang w:val="ru-RU" w:eastAsia="ru-RU"/>
        </w:rPr>
        <w:drawing>
          <wp:inline distT="0" distB="0" distL="0" distR="0" wp14:anchorId="66E704FD" wp14:editId="4FAC18D3">
            <wp:extent cx="6362700" cy="3611880"/>
            <wp:effectExtent l="38100" t="38100" r="38100" b="4572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7BCDC48" w14:textId="77777777" w:rsidR="000C6F18" w:rsidRPr="00B13B9A" w:rsidRDefault="000C6F18" w:rsidP="000C6F18">
      <w:pPr>
        <w:spacing w:after="0" w:line="276" w:lineRule="auto"/>
        <w:jc w:val="both"/>
        <w:rPr>
          <w:rFonts w:asciiTheme="majorHAnsi" w:hAnsiTheme="majorHAnsi" w:cstheme="majorHAnsi"/>
          <w:bCs/>
          <w:sz w:val="24"/>
          <w:szCs w:val="24"/>
          <w:highlight w:val="green"/>
          <w:lang w:val="ro-MD"/>
        </w:rPr>
      </w:pPr>
    </w:p>
    <w:p w14:paraId="535BB5AF" w14:textId="6B25033E" w:rsidR="000C6F18" w:rsidRPr="00B13B9A" w:rsidRDefault="005204D1" w:rsidP="00B37661">
      <w:pPr>
        <w:spacing w:after="0" w:line="276" w:lineRule="auto"/>
        <w:jc w:val="both"/>
        <w:rPr>
          <w:rFonts w:asciiTheme="majorHAnsi" w:hAnsiTheme="majorHAnsi" w:cstheme="majorHAnsi"/>
          <w:sz w:val="24"/>
          <w:szCs w:val="24"/>
          <w:lang w:val="ro-MD"/>
        </w:rPr>
      </w:pPr>
      <w:r w:rsidRPr="005204D1">
        <w:rPr>
          <w:rFonts w:asciiTheme="majorHAnsi" w:hAnsiTheme="majorHAnsi" w:cstheme="majorHAnsi"/>
          <w:bCs/>
          <w:sz w:val="24"/>
          <w:szCs w:val="24"/>
          <w:lang w:val="ro-MD"/>
        </w:rPr>
        <w:t xml:space="preserve">Лекарства закупаются </w:t>
      </w:r>
      <w:r w:rsidR="003101B7">
        <w:rPr>
          <w:rFonts w:asciiTheme="majorHAnsi" w:hAnsiTheme="majorHAnsi" w:cstheme="majorHAnsi"/>
          <w:bCs/>
          <w:sz w:val="24"/>
          <w:szCs w:val="24"/>
          <w:lang w:val="ru-RU"/>
        </w:rPr>
        <w:t>за счет</w:t>
      </w:r>
      <w:r w:rsidRPr="005204D1">
        <w:rPr>
          <w:rFonts w:asciiTheme="majorHAnsi" w:hAnsiTheme="majorHAnsi" w:cstheme="majorHAnsi"/>
          <w:bCs/>
          <w:sz w:val="24"/>
          <w:szCs w:val="24"/>
          <w:lang w:val="ro-MD"/>
        </w:rPr>
        <w:t xml:space="preserve"> государственного бюджета</w:t>
      </w:r>
      <w:r w:rsidR="003101B7">
        <w:rPr>
          <w:rFonts w:asciiTheme="majorHAnsi" w:hAnsiTheme="majorHAnsi" w:cstheme="majorHAnsi"/>
          <w:bCs/>
          <w:sz w:val="24"/>
          <w:szCs w:val="24"/>
          <w:lang w:val="ru-RU"/>
        </w:rPr>
        <w:t>,</w:t>
      </w:r>
      <w:r w:rsidRPr="005204D1">
        <w:rPr>
          <w:rFonts w:asciiTheme="majorHAnsi" w:hAnsiTheme="majorHAnsi" w:cstheme="majorHAnsi"/>
          <w:bCs/>
          <w:sz w:val="24"/>
          <w:szCs w:val="24"/>
          <w:lang w:val="ro-MD"/>
        </w:rPr>
        <w:t xml:space="preserve"> в соответствии с планом закупок, </w:t>
      </w:r>
      <w:r w:rsidR="003101B7">
        <w:rPr>
          <w:rFonts w:asciiTheme="majorHAnsi" w:hAnsiTheme="majorHAnsi" w:cstheme="majorHAnsi"/>
          <w:bCs/>
          <w:sz w:val="24"/>
          <w:szCs w:val="24"/>
          <w:lang w:val="ru-RU"/>
        </w:rPr>
        <w:t>согласованным с</w:t>
      </w:r>
      <w:r w:rsidRPr="005204D1">
        <w:rPr>
          <w:rFonts w:asciiTheme="majorHAnsi" w:hAnsiTheme="majorHAnsi" w:cstheme="majorHAnsi"/>
          <w:bCs/>
          <w:sz w:val="24"/>
          <w:szCs w:val="24"/>
          <w:lang w:val="ro-MD"/>
        </w:rPr>
        <w:t xml:space="preserve"> </w:t>
      </w:r>
      <w:r w:rsidR="003101B7">
        <w:rPr>
          <w:rFonts w:asciiTheme="majorHAnsi" w:hAnsiTheme="majorHAnsi" w:cstheme="majorHAnsi"/>
          <w:bCs/>
          <w:sz w:val="24"/>
          <w:szCs w:val="24"/>
          <w:lang w:val="ru-RU"/>
        </w:rPr>
        <w:t>НПБТ</w:t>
      </w:r>
      <w:r w:rsidRPr="005204D1">
        <w:rPr>
          <w:rFonts w:asciiTheme="majorHAnsi" w:hAnsiTheme="majorHAnsi" w:cstheme="majorHAnsi"/>
          <w:bCs/>
          <w:sz w:val="24"/>
          <w:szCs w:val="24"/>
          <w:lang w:val="ro-MD"/>
        </w:rPr>
        <w:t xml:space="preserve"> и </w:t>
      </w:r>
      <w:r w:rsidR="003101B7">
        <w:rPr>
          <w:rFonts w:asciiTheme="majorHAnsi" w:hAnsiTheme="majorHAnsi" w:cstheme="majorHAnsi"/>
          <w:bCs/>
          <w:sz w:val="24"/>
          <w:szCs w:val="24"/>
          <w:lang w:val="ru-RU"/>
        </w:rPr>
        <w:t>утвержд</w:t>
      </w:r>
      <w:r w:rsidRPr="005204D1">
        <w:rPr>
          <w:rFonts w:asciiTheme="majorHAnsi" w:hAnsiTheme="majorHAnsi" w:cstheme="majorHAnsi"/>
          <w:bCs/>
          <w:sz w:val="24"/>
          <w:szCs w:val="24"/>
          <w:lang w:val="ro-MD"/>
        </w:rPr>
        <w:t xml:space="preserve">енным </w:t>
      </w:r>
      <w:r w:rsidR="003101B7">
        <w:rPr>
          <w:rFonts w:asciiTheme="majorHAnsi" w:hAnsiTheme="majorHAnsi" w:cstheme="majorHAnsi"/>
          <w:bCs/>
          <w:sz w:val="24"/>
          <w:szCs w:val="24"/>
          <w:lang w:val="ru-RU"/>
        </w:rPr>
        <w:t>МЗ</w:t>
      </w:r>
      <w:r w:rsidRPr="005204D1">
        <w:rPr>
          <w:rFonts w:asciiTheme="majorHAnsi" w:hAnsiTheme="majorHAnsi" w:cstheme="majorHAnsi"/>
          <w:bCs/>
          <w:sz w:val="24"/>
          <w:szCs w:val="24"/>
          <w:lang w:val="ro-MD"/>
        </w:rPr>
        <w:t xml:space="preserve">, в </w:t>
      </w:r>
      <w:r w:rsidR="003101B7">
        <w:rPr>
          <w:rFonts w:asciiTheme="majorHAnsi" w:hAnsiTheme="majorHAnsi" w:cstheme="majorHAnsi"/>
          <w:bCs/>
          <w:sz w:val="24"/>
          <w:szCs w:val="24"/>
          <w:lang w:val="ru-RU"/>
        </w:rPr>
        <w:t xml:space="preserve">результате </w:t>
      </w:r>
      <w:r w:rsidRPr="005204D1">
        <w:rPr>
          <w:rFonts w:asciiTheme="majorHAnsi" w:hAnsiTheme="majorHAnsi" w:cstheme="majorHAnsi"/>
          <w:bCs/>
          <w:sz w:val="24"/>
          <w:szCs w:val="24"/>
          <w:lang w:val="ro-MD"/>
        </w:rPr>
        <w:t>консульт</w:t>
      </w:r>
      <w:r w:rsidR="003101B7">
        <w:rPr>
          <w:rFonts w:asciiTheme="majorHAnsi" w:hAnsiTheme="majorHAnsi" w:cstheme="majorHAnsi"/>
          <w:bCs/>
          <w:sz w:val="24"/>
          <w:szCs w:val="24"/>
          <w:lang w:val="ru-RU"/>
        </w:rPr>
        <w:t>ирования</w:t>
      </w:r>
      <w:r w:rsidRPr="005204D1">
        <w:rPr>
          <w:rFonts w:asciiTheme="majorHAnsi" w:hAnsiTheme="majorHAnsi" w:cstheme="majorHAnsi"/>
          <w:bCs/>
          <w:sz w:val="24"/>
          <w:szCs w:val="24"/>
          <w:lang w:val="ro-MD"/>
        </w:rPr>
        <w:t xml:space="preserve"> со </w:t>
      </w:r>
      <w:r w:rsidR="003101B7">
        <w:rPr>
          <w:rFonts w:asciiTheme="majorHAnsi" w:hAnsiTheme="majorHAnsi" w:cstheme="majorHAnsi"/>
          <w:bCs/>
          <w:sz w:val="24"/>
          <w:szCs w:val="24"/>
          <w:lang w:val="ru-RU"/>
        </w:rPr>
        <w:t>С</w:t>
      </w:r>
      <w:r w:rsidRPr="005204D1">
        <w:rPr>
          <w:rFonts w:asciiTheme="majorHAnsi" w:hAnsiTheme="majorHAnsi" w:cstheme="majorHAnsi"/>
          <w:bCs/>
          <w:sz w:val="24"/>
          <w:szCs w:val="24"/>
          <w:lang w:val="ro-MD"/>
        </w:rPr>
        <w:t xml:space="preserve">пециализированной комиссией </w:t>
      </w:r>
      <w:r w:rsidR="003101B7">
        <w:rPr>
          <w:rFonts w:asciiTheme="majorHAnsi" w:hAnsiTheme="majorHAnsi" w:cstheme="majorHAnsi"/>
          <w:bCs/>
          <w:sz w:val="24"/>
          <w:szCs w:val="24"/>
          <w:lang w:val="ru-RU"/>
        </w:rPr>
        <w:t xml:space="preserve">МЗ, а также </w:t>
      </w:r>
      <w:r w:rsidRPr="005204D1">
        <w:rPr>
          <w:rFonts w:asciiTheme="majorHAnsi" w:hAnsiTheme="majorHAnsi" w:cstheme="majorHAnsi"/>
          <w:bCs/>
          <w:sz w:val="24"/>
          <w:szCs w:val="24"/>
          <w:lang w:val="ro-MD"/>
        </w:rPr>
        <w:t>из донорских источников (</w:t>
      </w:r>
      <w:r w:rsidR="002F3E36" w:rsidRPr="005204D1">
        <w:rPr>
          <w:rFonts w:asciiTheme="majorHAnsi" w:hAnsiTheme="majorHAnsi" w:cstheme="majorHAnsi"/>
          <w:bCs/>
          <w:sz w:val="24"/>
          <w:szCs w:val="24"/>
          <w:lang w:val="ro-MD"/>
        </w:rPr>
        <w:t>Глобальн</w:t>
      </w:r>
      <w:r w:rsidR="002F3E36">
        <w:rPr>
          <w:rFonts w:asciiTheme="majorHAnsi" w:hAnsiTheme="majorHAnsi" w:cstheme="majorHAnsi"/>
          <w:bCs/>
          <w:sz w:val="24"/>
          <w:szCs w:val="24"/>
          <w:lang w:val="ru-RU"/>
        </w:rPr>
        <w:t>ый</w:t>
      </w:r>
      <w:r w:rsidR="002F3E36" w:rsidRPr="005204D1">
        <w:rPr>
          <w:rFonts w:asciiTheme="majorHAnsi" w:hAnsiTheme="majorHAnsi" w:cstheme="majorHAnsi"/>
          <w:bCs/>
          <w:sz w:val="24"/>
          <w:szCs w:val="24"/>
          <w:lang w:val="ro-MD"/>
        </w:rPr>
        <w:t xml:space="preserve"> фонд</w:t>
      </w:r>
      <w:r w:rsidRPr="005204D1">
        <w:rPr>
          <w:rFonts w:asciiTheme="majorHAnsi" w:hAnsiTheme="majorHAnsi" w:cstheme="majorHAnsi"/>
          <w:bCs/>
          <w:sz w:val="24"/>
          <w:szCs w:val="24"/>
          <w:lang w:val="ro-MD"/>
        </w:rPr>
        <w:t xml:space="preserve">). Лекарственные препараты для лечения </w:t>
      </w:r>
      <w:r w:rsidR="002F3E36" w:rsidRPr="002F3E36">
        <w:rPr>
          <w:rFonts w:asciiTheme="majorHAnsi" w:hAnsiTheme="majorHAnsi" w:cstheme="majorHAnsi"/>
          <w:bCs/>
          <w:sz w:val="24"/>
          <w:szCs w:val="24"/>
          <w:lang w:val="ro-MD"/>
        </w:rPr>
        <w:t xml:space="preserve">резистентного </w:t>
      </w:r>
      <w:r w:rsidRPr="005204D1">
        <w:rPr>
          <w:rFonts w:asciiTheme="majorHAnsi" w:hAnsiTheme="majorHAnsi" w:cstheme="majorHAnsi"/>
          <w:bCs/>
          <w:sz w:val="24"/>
          <w:szCs w:val="24"/>
          <w:lang w:val="ro-MD"/>
        </w:rPr>
        <w:t xml:space="preserve">туберкулеза, предназначенные для </w:t>
      </w:r>
      <w:r w:rsidR="00C721F6">
        <w:rPr>
          <w:rFonts w:asciiTheme="majorHAnsi" w:hAnsiTheme="majorHAnsi" w:cstheme="majorHAnsi"/>
          <w:bCs/>
          <w:sz w:val="24"/>
          <w:szCs w:val="24"/>
          <w:lang w:val="ro-MD"/>
        </w:rPr>
        <w:t>ПМСУ</w:t>
      </w:r>
      <w:r w:rsidRPr="005204D1">
        <w:rPr>
          <w:rFonts w:asciiTheme="majorHAnsi" w:hAnsiTheme="majorHAnsi" w:cstheme="majorHAnsi"/>
          <w:bCs/>
          <w:sz w:val="24"/>
          <w:szCs w:val="24"/>
          <w:lang w:val="ro-MD"/>
        </w:rPr>
        <w:t xml:space="preserve"> </w:t>
      </w:r>
      <w:r w:rsidR="002F3E36" w:rsidRPr="002F3E36">
        <w:rPr>
          <w:rFonts w:asciiTheme="majorHAnsi" w:hAnsiTheme="majorHAnsi" w:cstheme="majorHAnsi"/>
          <w:bCs/>
          <w:sz w:val="24"/>
          <w:szCs w:val="24"/>
          <w:lang w:val="ro-MD"/>
        </w:rPr>
        <w:t>левобережья Днестра</w:t>
      </w:r>
      <w:r w:rsidRPr="005204D1">
        <w:rPr>
          <w:rFonts w:asciiTheme="majorHAnsi" w:hAnsiTheme="majorHAnsi" w:cstheme="majorHAnsi"/>
          <w:bCs/>
          <w:sz w:val="24"/>
          <w:szCs w:val="24"/>
          <w:lang w:val="ro-MD"/>
        </w:rPr>
        <w:t>, полностью закупаются из ресурсов Глобального фонда</w:t>
      </w:r>
      <w:r w:rsidR="000C6F18" w:rsidRPr="00B13B9A">
        <w:rPr>
          <w:rFonts w:asciiTheme="majorHAnsi" w:hAnsiTheme="majorHAnsi" w:cstheme="majorHAnsi"/>
          <w:sz w:val="24"/>
          <w:szCs w:val="24"/>
          <w:lang w:val="ro-MD"/>
        </w:rPr>
        <w:t>.</w:t>
      </w:r>
    </w:p>
    <w:p w14:paraId="47B31638" w14:textId="658C6D4D" w:rsidR="005204D1" w:rsidRPr="005204D1" w:rsidRDefault="005204D1" w:rsidP="005204D1">
      <w:pPr>
        <w:spacing w:after="0" w:line="276" w:lineRule="auto"/>
        <w:jc w:val="both"/>
        <w:rPr>
          <w:rFonts w:asciiTheme="majorHAnsi" w:hAnsiTheme="majorHAnsi" w:cstheme="majorHAnsi"/>
          <w:sz w:val="24"/>
          <w:szCs w:val="24"/>
          <w:lang w:val="ro-MD"/>
        </w:rPr>
      </w:pPr>
      <w:r w:rsidRPr="005204D1">
        <w:rPr>
          <w:rFonts w:asciiTheme="majorHAnsi" w:hAnsiTheme="majorHAnsi" w:cstheme="majorHAnsi"/>
          <w:sz w:val="24"/>
          <w:szCs w:val="24"/>
          <w:lang w:val="ro-MD"/>
        </w:rPr>
        <w:t>Закупка лекарств</w:t>
      </w:r>
      <w:r w:rsidR="00040D19">
        <w:rPr>
          <w:rFonts w:asciiTheme="majorHAnsi" w:hAnsiTheme="majorHAnsi" w:cstheme="majorHAnsi"/>
          <w:sz w:val="24"/>
          <w:szCs w:val="24"/>
          <w:lang w:val="ru-RU"/>
        </w:rPr>
        <w:t>енных средств</w:t>
      </w:r>
      <w:r w:rsidRPr="005204D1">
        <w:rPr>
          <w:rFonts w:asciiTheme="majorHAnsi" w:hAnsiTheme="majorHAnsi" w:cstheme="majorHAnsi"/>
          <w:sz w:val="24"/>
          <w:szCs w:val="24"/>
          <w:lang w:val="ro-MD"/>
        </w:rPr>
        <w:t xml:space="preserve"> осуществляется посредством централизованных процедур закупок</w:t>
      </w:r>
      <w:r w:rsidR="00040D19">
        <w:rPr>
          <w:rFonts w:asciiTheme="majorHAnsi" w:hAnsiTheme="majorHAnsi" w:cstheme="majorHAnsi"/>
          <w:sz w:val="24"/>
          <w:szCs w:val="24"/>
          <w:lang w:val="ru-RU"/>
        </w:rPr>
        <w:t>,</w:t>
      </w:r>
      <w:r w:rsidRPr="005204D1">
        <w:rPr>
          <w:rFonts w:asciiTheme="majorHAnsi" w:hAnsiTheme="majorHAnsi" w:cstheme="majorHAnsi"/>
          <w:sz w:val="24"/>
          <w:szCs w:val="24"/>
          <w:lang w:val="ro-MD"/>
        </w:rPr>
        <w:t xml:space="preserve"> в соответствии с действующими п</w:t>
      </w:r>
      <w:r w:rsidR="00040D19">
        <w:rPr>
          <w:rFonts w:asciiTheme="majorHAnsi" w:hAnsiTheme="majorHAnsi" w:cstheme="majorHAnsi"/>
          <w:sz w:val="24"/>
          <w:szCs w:val="24"/>
          <w:lang w:val="ru-RU"/>
        </w:rPr>
        <w:t>оложения</w:t>
      </w:r>
      <w:r w:rsidRPr="005204D1">
        <w:rPr>
          <w:rFonts w:asciiTheme="majorHAnsi" w:hAnsiTheme="majorHAnsi" w:cstheme="majorHAnsi"/>
          <w:sz w:val="24"/>
          <w:szCs w:val="24"/>
          <w:lang w:val="ro-MD"/>
        </w:rPr>
        <w:t>ми и/или приобрета</w:t>
      </w:r>
      <w:r w:rsidR="00040D19">
        <w:rPr>
          <w:rFonts w:asciiTheme="majorHAnsi" w:hAnsiTheme="majorHAnsi" w:cstheme="majorHAnsi"/>
          <w:sz w:val="24"/>
          <w:szCs w:val="24"/>
          <w:lang w:val="ru-RU"/>
        </w:rPr>
        <w:t>ю</w:t>
      </w:r>
      <w:r w:rsidRPr="005204D1">
        <w:rPr>
          <w:rFonts w:asciiTheme="majorHAnsi" w:hAnsiTheme="majorHAnsi" w:cstheme="majorHAnsi"/>
          <w:sz w:val="24"/>
          <w:szCs w:val="24"/>
          <w:lang w:val="ro-MD"/>
        </w:rPr>
        <w:t xml:space="preserve">тся через местные учреждения, </w:t>
      </w:r>
      <w:r w:rsidR="00040D19">
        <w:rPr>
          <w:rFonts w:asciiTheme="majorHAnsi" w:hAnsiTheme="majorHAnsi" w:cstheme="majorHAnsi"/>
          <w:sz w:val="24"/>
          <w:szCs w:val="24"/>
          <w:lang w:val="ru-RU"/>
        </w:rPr>
        <w:t>авторизова</w:t>
      </w:r>
      <w:r w:rsidRPr="005204D1">
        <w:rPr>
          <w:rFonts w:asciiTheme="majorHAnsi" w:hAnsiTheme="majorHAnsi" w:cstheme="majorHAnsi"/>
          <w:sz w:val="24"/>
          <w:szCs w:val="24"/>
          <w:lang w:val="ro-MD"/>
        </w:rPr>
        <w:t xml:space="preserve">нные законом, международные агентства, специализирующиеся на закупке лекарств (Global Drug Facility).  </w:t>
      </w:r>
    </w:p>
    <w:p w14:paraId="1D94D993" w14:textId="545B6457" w:rsidR="000C6F18" w:rsidRPr="00040D19" w:rsidRDefault="005204D1" w:rsidP="000C6F18">
      <w:pPr>
        <w:spacing w:after="0" w:line="276" w:lineRule="auto"/>
        <w:jc w:val="both"/>
        <w:rPr>
          <w:rFonts w:asciiTheme="majorHAnsi" w:hAnsiTheme="majorHAnsi" w:cstheme="majorHAnsi"/>
          <w:sz w:val="24"/>
          <w:szCs w:val="24"/>
          <w:lang w:val="ru-RU"/>
        </w:rPr>
      </w:pPr>
      <w:r w:rsidRPr="005204D1">
        <w:rPr>
          <w:rFonts w:asciiTheme="majorHAnsi" w:hAnsiTheme="majorHAnsi" w:cstheme="majorHAnsi"/>
          <w:sz w:val="24"/>
          <w:szCs w:val="24"/>
          <w:lang w:val="ro-MD"/>
        </w:rPr>
        <w:t xml:space="preserve">Основные требования для определения потребностей в лекарствах от туберкулеза являются общими как для </w:t>
      </w:r>
      <w:r w:rsidR="00040D19">
        <w:rPr>
          <w:rFonts w:asciiTheme="majorHAnsi" w:hAnsiTheme="majorHAnsi" w:cstheme="majorHAnsi"/>
          <w:sz w:val="24"/>
          <w:szCs w:val="24"/>
          <w:lang w:val="ru-RU"/>
        </w:rPr>
        <w:t>за</w:t>
      </w:r>
      <w:r w:rsidRPr="005204D1">
        <w:rPr>
          <w:rFonts w:asciiTheme="majorHAnsi" w:hAnsiTheme="majorHAnsi" w:cstheme="majorHAnsi"/>
          <w:sz w:val="24"/>
          <w:szCs w:val="24"/>
          <w:lang w:val="ro-MD"/>
        </w:rPr>
        <w:t xml:space="preserve">купки из </w:t>
      </w:r>
      <w:r w:rsidR="00EE088D">
        <w:rPr>
          <w:rFonts w:asciiTheme="majorHAnsi" w:hAnsiTheme="majorHAnsi" w:cstheme="majorHAnsi"/>
          <w:sz w:val="24"/>
          <w:szCs w:val="24"/>
          <w:lang w:val="ro-MD"/>
        </w:rPr>
        <w:t>публич</w:t>
      </w:r>
      <w:r w:rsidRPr="005204D1">
        <w:rPr>
          <w:rFonts w:asciiTheme="majorHAnsi" w:hAnsiTheme="majorHAnsi" w:cstheme="majorHAnsi"/>
          <w:sz w:val="24"/>
          <w:szCs w:val="24"/>
          <w:lang w:val="ro-MD"/>
        </w:rPr>
        <w:t>ных денег, так и из других источников. Процедура оценки и составления за</w:t>
      </w:r>
      <w:r w:rsidR="00040D19">
        <w:rPr>
          <w:rFonts w:asciiTheme="majorHAnsi" w:hAnsiTheme="majorHAnsi" w:cstheme="majorHAnsi"/>
          <w:sz w:val="24"/>
          <w:szCs w:val="24"/>
          <w:lang w:val="ru-RU"/>
        </w:rPr>
        <w:t xml:space="preserve">явки на </w:t>
      </w:r>
      <w:r w:rsidRPr="005204D1">
        <w:rPr>
          <w:rFonts w:asciiTheme="majorHAnsi" w:hAnsiTheme="majorHAnsi" w:cstheme="majorHAnsi"/>
          <w:sz w:val="24"/>
          <w:szCs w:val="24"/>
          <w:lang w:val="ro-MD"/>
        </w:rPr>
        <w:t>лекарств</w:t>
      </w:r>
      <w:r w:rsidR="00040D19">
        <w:rPr>
          <w:rFonts w:asciiTheme="majorHAnsi" w:hAnsiTheme="majorHAnsi" w:cstheme="majorHAnsi"/>
          <w:sz w:val="24"/>
          <w:szCs w:val="24"/>
          <w:lang w:val="ru-RU"/>
        </w:rPr>
        <w:t>а</w:t>
      </w:r>
      <w:r w:rsidRPr="005204D1">
        <w:rPr>
          <w:rFonts w:asciiTheme="majorHAnsi" w:hAnsiTheme="majorHAnsi" w:cstheme="majorHAnsi"/>
          <w:sz w:val="24"/>
          <w:szCs w:val="24"/>
          <w:lang w:val="ro-MD"/>
        </w:rPr>
        <w:t xml:space="preserve"> и необходимого бюджета используется центральн</w:t>
      </w:r>
      <w:r w:rsidR="00040D19">
        <w:rPr>
          <w:rFonts w:asciiTheme="majorHAnsi" w:hAnsiTheme="majorHAnsi" w:cstheme="majorHAnsi"/>
          <w:sz w:val="24"/>
          <w:szCs w:val="24"/>
          <w:lang w:val="ru-RU"/>
        </w:rPr>
        <w:t>ы</w:t>
      </w:r>
      <w:r w:rsidRPr="005204D1">
        <w:rPr>
          <w:rFonts w:asciiTheme="majorHAnsi" w:hAnsiTheme="majorHAnsi" w:cstheme="majorHAnsi"/>
          <w:sz w:val="24"/>
          <w:szCs w:val="24"/>
          <w:lang w:val="ro-MD"/>
        </w:rPr>
        <w:t>м уровне</w:t>
      </w:r>
      <w:r w:rsidR="00040D19">
        <w:rPr>
          <w:rFonts w:asciiTheme="majorHAnsi" w:hAnsiTheme="majorHAnsi" w:cstheme="majorHAnsi"/>
          <w:sz w:val="24"/>
          <w:szCs w:val="24"/>
          <w:lang w:val="ru-RU"/>
        </w:rPr>
        <w:t>м</w:t>
      </w:r>
      <w:r w:rsidRPr="005204D1">
        <w:rPr>
          <w:rFonts w:asciiTheme="majorHAnsi" w:hAnsiTheme="majorHAnsi" w:cstheme="majorHAnsi"/>
          <w:sz w:val="24"/>
          <w:szCs w:val="24"/>
          <w:lang w:val="ro-MD"/>
        </w:rPr>
        <w:t xml:space="preserve"> </w:t>
      </w:r>
      <w:r w:rsidR="00040D19">
        <w:rPr>
          <w:rFonts w:asciiTheme="majorHAnsi" w:hAnsiTheme="majorHAnsi" w:cstheme="majorHAnsi"/>
          <w:sz w:val="24"/>
          <w:szCs w:val="24"/>
          <w:lang w:val="ru-RU"/>
        </w:rPr>
        <w:t>НПБТ</w:t>
      </w:r>
      <w:r w:rsidRPr="005204D1">
        <w:rPr>
          <w:rFonts w:asciiTheme="majorHAnsi" w:hAnsiTheme="majorHAnsi" w:cstheme="majorHAnsi"/>
          <w:sz w:val="24"/>
          <w:szCs w:val="24"/>
          <w:lang w:val="ro-MD"/>
        </w:rPr>
        <w:t xml:space="preserve">, который отвечает за определение потребностей </w:t>
      </w:r>
      <w:r w:rsidR="00040D19">
        <w:rPr>
          <w:rFonts w:asciiTheme="majorHAnsi" w:hAnsiTheme="majorHAnsi" w:cstheme="majorHAnsi"/>
          <w:sz w:val="24"/>
          <w:szCs w:val="24"/>
          <w:lang w:val="ru-RU"/>
        </w:rPr>
        <w:t>для</w:t>
      </w:r>
      <w:r w:rsidRPr="005204D1">
        <w:rPr>
          <w:rFonts w:asciiTheme="majorHAnsi" w:hAnsiTheme="majorHAnsi" w:cstheme="majorHAnsi"/>
          <w:sz w:val="24"/>
          <w:szCs w:val="24"/>
          <w:lang w:val="ro-MD"/>
        </w:rPr>
        <w:t xml:space="preserve"> централизованной закупк</w:t>
      </w:r>
      <w:r w:rsidR="00040D19">
        <w:rPr>
          <w:rFonts w:asciiTheme="majorHAnsi" w:hAnsiTheme="majorHAnsi" w:cstheme="majorHAnsi"/>
          <w:sz w:val="24"/>
          <w:szCs w:val="24"/>
          <w:lang w:val="ru-RU"/>
        </w:rPr>
        <w:t>и</w:t>
      </w:r>
      <w:r w:rsidRPr="005204D1">
        <w:rPr>
          <w:rFonts w:asciiTheme="majorHAnsi" w:hAnsiTheme="majorHAnsi" w:cstheme="majorHAnsi"/>
          <w:sz w:val="24"/>
          <w:szCs w:val="24"/>
          <w:lang w:val="ro-MD"/>
        </w:rPr>
        <w:t xml:space="preserve"> лекарств из государственного бюджета. За закупки </w:t>
      </w:r>
      <w:r w:rsidR="00040D19">
        <w:rPr>
          <w:rFonts w:asciiTheme="majorHAnsi" w:hAnsiTheme="majorHAnsi" w:cstheme="majorHAnsi"/>
          <w:sz w:val="24"/>
          <w:szCs w:val="24"/>
          <w:lang w:val="ru-RU"/>
        </w:rPr>
        <w:t xml:space="preserve">из </w:t>
      </w:r>
      <w:r w:rsidRPr="005204D1">
        <w:rPr>
          <w:rFonts w:asciiTheme="majorHAnsi" w:hAnsiTheme="majorHAnsi" w:cstheme="majorHAnsi"/>
          <w:sz w:val="24"/>
          <w:szCs w:val="24"/>
          <w:lang w:val="ro-MD"/>
        </w:rPr>
        <w:t xml:space="preserve">средств Глобального фонда отвечает </w:t>
      </w:r>
      <w:r w:rsidR="00040D19">
        <w:rPr>
          <w:rFonts w:asciiTheme="majorHAnsi" w:hAnsiTheme="majorHAnsi" w:cstheme="majorHAnsi"/>
          <w:sz w:val="24"/>
          <w:szCs w:val="24"/>
          <w:lang w:val="ru-RU"/>
        </w:rPr>
        <w:t>Публич</w:t>
      </w:r>
      <w:r w:rsidRPr="005204D1">
        <w:rPr>
          <w:rFonts w:asciiTheme="majorHAnsi" w:hAnsiTheme="majorHAnsi" w:cstheme="majorHAnsi"/>
          <w:sz w:val="24"/>
          <w:szCs w:val="24"/>
          <w:lang w:val="ro-MD"/>
        </w:rPr>
        <w:t xml:space="preserve">ное учреждение </w:t>
      </w:r>
      <w:r w:rsidR="00040D19" w:rsidRPr="00B13B9A">
        <w:rPr>
          <w:rFonts w:asciiTheme="majorHAnsi" w:hAnsiTheme="majorHAnsi" w:cstheme="majorHAnsi"/>
          <w:sz w:val="24"/>
          <w:szCs w:val="24"/>
          <w:lang w:val="ro-MD"/>
        </w:rPr>
        <w:t>„</w:t>
      </w:r>
      <w:r w:rsidR="00040D19">
        <w:rPr>
          <w:rFonts w:asciiTheme="majorHAnsi" w:hAnsiTheme="majorHAnsi" w:cstheme="majorHAnsi"/>
          <w:sz w:val="24"/>
          <w:szCs w:val="24"/>
          <w:lang w:val="ru-RU"/>
        </w:rPr>
        <w:t>П</w:t>
      </w:r>
      <w:r w:rsidRPr="005204D1">
        <w:rPr>
          <w:rFonts w:asciiTheme="majorHAnsi" w:hAnsiTheme="majorHAnsi" w:cstheme="majorHAnsi"/>
          <w:sz w:val="24"/>
          <w:szCs w:val="24"/>
          <w:lang w:val="ro-MD"/>
        </w:rPr>
        <w:t xml:space="preserve">одразделение по координации, </w:t>
      </w:r>
      <w:r w:rsidR="00040D19">
        <w:rPr>
          <w:rFonts w:asciiTheme="majorHAnsi" w:hAnsiTheme="majorHAnsi" w:cstheme="majorHAnsi"/>
          <w:sz w:val="24"/>
          <w:szCs w:val="24"/>
          <w:lang w:val="ru-RU"/>
        </w:rPr>
        <w:t>внедрению</w:t>
      </w:r>
      <w:r w:rsidRPr="005204D1">
        <w:rPr>
          <w:rFonts w:asciiTheme="majorHAnsi" w:hAnsiTheme="majorHAnsi" w:cstheme="majorHAnsi"/>
          <w:sz w:val="24"/>
          <w:szCs w:val="24"/>
          <w:lang w:val="ro-MD"/>
        </w:rPr>
        <w:t xml:space="preserve"> и мониторингу </w:t>
      </w:r>
      <w:r w:rsidR="00040D19">
        <w:rPr>
          <w:rFonts w:asciiTheme="majorHAnsi" w:hAnsiTheme="majorHAnsi" w:cstheme="majorHAnsi"/>
          <w:sz w:val="24"/>
          <w:szCs w:val="24"/>
          <w:lang w:val="ru-RU"/>
        </w:rPr>
        <w:t>п</w:t>
      </w:r>
      <w:r w:rsidRPr="005204D1">
        <w:rPr>
          <w:rFonts w:asciiTheme="majorHAnsi" w:hAnsiTheme="majorHAnsi" w:cstheme="majorHAnsi"/>
          <w:sz w:val="24"/>
          <w:szCs w:val="24"/>
          <w:lang w:val="ro-MD"/>
        </w:rPr>
        <w:t>роектов в области здравоохранения”</w:t>
      </w:r>
      <w:r>
        <w:rPr>
          <w:rFonts w:asciiTheme="majorHAnsi" w:hAnsiTheme="majorHAnsi" w:cstheme="majorHAnsi"/>
          <w:sz w:val="24"/>
          <w:szCs w:val="24"/>
          <w:lang w:val="ru-RU"/>
        </w:rPr>
        <w:t xml:space="preserve"> </w:t>
      </w:r>
      <w:r w:rsidRPr="00B13B9A">
        <w:rPr>
          <w:rFonts w:asciiTheme="majorHAnsi" w:hAnsiTheme="majorHAnsi" w:cstheme="majorHAnsi"/>
          <w:sz w:val="24"/>
          <w:szCs w:val="24"/>
          <w:lang w:val="ro-MD"/>
        </w:rPr>
        <w:t>(</w:t>
      </w:r>
      <w:r w:rsidR="00040D19">
        <w:rPr>
          <w:rFonts w:asciiTheme="majorHAnsi" w:hAnsiTheme="majorHAnsi" w:cstheme="majorHAnsi"/>
          <w:sz w:val="24"/>
          <w:szCs w:val="24"/>
          <w:lang w:val="ru-RU"/>
        </w:rPr>
        <w:t>ПКВМП</w:t>
      </w:r>
      <w:r w:rsidRPr="00B13B9A">
        <w:rPr>
          <w:rFonts w:asciiTheme="majorHAnsi" w:hAnsiTheme="majorHAnsi" w:cstheme="majorHAnsi"/>
          <w:sz w:val="24"/>
          <w:szCs w:val="24"/>
          <w:lang w:val="ro-MD"/>
        </w:rPr>
        <w:t>)</w:t>
      </w:r>
      <w:r w:rsidR="000C6F18" w:rsidRPr="00B13B9A">
        <w:rPr>
          <w:rFonts w:asciiTheme="majorHAnsi" w:hAnsiTheme="majorHAnsi" w:cstheme="majorHAnsi"/>
          <w:sz w:val="24"/>
          <w:szCs w:val="24"/>
          <w:lang w:val="ro-MD"/>
        </w:rPr>
        <w:t xml:space="preserve">. </w:t>
      </w:r>
    </w:p>
    <w:p w14:paraId="726BAFF2" w14:textId="1F9267B0" w:rsidR="000C6F18" w:rsidRPr="00B13B9A" w:rsidRDefault="005204D1" w:rsidP="000C6F18">
      <w:pPr>
        <w:spacing w:before="240" w:after="0" w:line="276" w:lineRule="auto"/>
        <w:jc w:val="both"/>
        <w:rPr>
          <w:rFonts w:asciiTheme="majorHAnsi" w:hAnsiTheme="majorHAnsi" w:cstheme="majorHAnsi"/>
          <w:bCs/>
          <w:sz w:val="24"/>
          <w:szCs w:val="24"/>
          <w:lang w:val="ro-MD"/>
        </w:rPr>
      </w:pPr>
      <w:r w:rsidRPr="005204D1">
        <w:rPr>
          <w:rFonts w:asciiTheme="majorHAnsi" w:hAnsiTheme="majorHAnsi" w:cstheme="majorHAnsi"/>
          <w:color w:val="000000"/>
          <w:sz w:val="24"/>
          <w:szCs w:val="24"/>
          <w:lang w:val="ro-MD"/>
        </w:rPr>
        <w:t xml:space="preserve">Таким образом, </w:t>
      </w:r>
      <w:r w:rsidR="00592558">
        <w:rPr>
          <w:rFonts w:asciiTheme="majorHAnsi" w:hAnsiTheme="majorHAnsi" w:cstheme="majorHAnsi"/>
          <w:color w:val="000000"/>
          <w:sz w:val="24"/>
          <w:szCs w:val="24"/>
          <w:lang w:val="ru-RU"/>
        </w:rPr>
        <w:t>отмечаем</w:t>
      </w:r>
      <w:r w:rsidRPr="005204D1">
        <w:rPr>
          <w:rFonts w:asciiTheme="majorHAnsi" w:hAnsiTheme="majorHAnsi" w:cstheme="majorHAnsi"/>
          <w:color w:val="000000"/>
          <w:sz w:val="24"/>
          <w:szCs w:val="24"/>
          <w:lang w:val="ro-MD"/>
        </w:rPr>
        <w:t xml:space="preserve">, что </w:t>
      </w:r>
      <w:r w:rsidR="00592558">
        <w:rPr>
          <w:rFonts w:asciiTheme="majorHAnsi" w:hAnsiTheme="majorHAnsi" w:cstheme="majorHAnsi"/>
          <w:color w:val="000000"/>
          <w:sz w:val="24"/>
          <w:szCs w:val="24"/>
          <w:lang w:val="ru-RU"/>
        </w:rPr>
        <w:t>Г</w:t>
      </w:r>
      <w:r w:rsidRPr="005204D1">
        <w:rPr>
          <w:rFonts w:asciiTheme="majorHAnsi" w:hAnsiTheme="majorHAnsi" w:cstheme="majorHAnsi"/>
          <w:color w:val="000000"/>
          <w:sz w:val="24"/>
          <w:szCs w:val="24"/>
          <w:lang w:val="ro-MD"/>
        </w:rPr>
        <w:t xml:space="preserve">руппа по управлению лекарственными средствами в рамках </w:t>
      </w:r>
      <w:r w:rsidR="00592558">
        <w:rPr>
          <w:rFonts w:asciiTheme="majorHAnsi" w:hAnsiTheme="majorHAnsi" w:cstheme="majorHAnsi"/>
          <w:color w:val="000000"/>
          <w:sz w:val="24"/>
          <w:szCs w:val="24"/>
          <w:lang w:val="ro-MD"/>
        </w:rPr>
        <w:t>НПБТ</w:t>
      </w:r>
      <w:r w:rsidR="00592558" w:rsidRPr="005204D1">
        <w:rPr>
          <w:rFonts w:asciiTheme="majorHAnsi" w:hAnsiTheme="majorHAnsi" w:cstheme="majorHAnsi"/>
          <w:color w:val="000000"/>
          <w:sz w:val="24"/>
          <w:szCs w:val="24"/>
          <w:lang w:val="ro-MD"/>
        </w:rPr>
        <w:t xml:space="preserve"> </w:t>
      </w:r>
      <w:r w:rsidRPr="005204D1">
        <w:rPr>
          <w:rFonts w:asciiTheme="majorHAnsi" w:hAnsiTheme="majorHAnsi" w:cstheme="majorHAnsi"/>
          <w:color w:val="000000"/>
          <w:sz w:val="24"/>
          <w:szCs w:val="24"/>
          <w:lang w:val="ro-MD"/>
        </w:rPr>
        <w:t>ежегодно оценивает потребность в противотуберкулезных препаратах для обеспечения всех пациентов в стране, прогноз</w:t>
      </w:r>
      <w:r w:rsidR="00592558">
        <w:rPr>
          <w:rFonts w:asciiTheme="majorHAnsi" w:hAnsiTheme="majorHAnsi" w:cstheme="majorHAnsi"/>
          <w:color w:val="000000"/>
          <w:sz w:val="24"/>
          <w:szCs w:val="24"/>
          <w:lang w:val="ru-RU"/>
        </w:rPr>
        <w:t>ируемых</w:t>
      </w:r>
      <w:r w:rsidRPr="005204D1">
        <w:rPr>
          <w:rFonts w:asciiTheme="majorHAnsi" w:hAnsiTheme="majorHAnsi" w:cstheme="majorHAnsi"/>
          <w:color w:val="000000"/>
          <w:sz w:val="24"/>
          <w:szCs w:val="24"/>
          <w:lang w:val="ro-MD"/>
        </w:rPr>
        <w:t xml:space="preserve"> </w:t>
      </w:r>
      <w:r w:rsidR="006D0B43">
        <w:rPr>
          <w:rFonts w:asciiTheme="majorHAnsi" w:hAnsiTheme="majorHAnsi" w:cstheme="majorHAnsi"/>
          <w:color w:val="000000"/>
          <w:sz w:val="24"/>
          <w:szCs w:val="24"/>
          <w:lang w:val="ru-RU"/>
        </w:rPr>
        <w:t>для включения в</w:t>
      </w:r>
      <w:r w:rsidRPr="005204D1">
        <w:rPr>
          <w:rFonts w:asciiTheme="majorHAnsi" w:hAnsiTheme="majorHAnsi" w:cstheme="majorHAnsi"/>
          <w:color w:val="000000"/>
          <w:sz w:val="24"/>
          <w:szCs w:val="24"/>
          <w:lang w:val="ro-MD"/>
        </w:rPr>
        <w:t xml:space="preserve"> лечение, </w:t>
      </w:r>
      <w:r w:rsidR="006D0B43">
        <w:rPr>
          <w:rFonts w:asciiTheme="majorHAnsi" w:hAnsiTheme="majorHAnsi" w:cstheme="majorHAnsi"/>
          <w:color w:val="000000"/>
          <w:sz w:val="24"/>
          <w:szCs w:val="24"/>
          <w:lang w:val="ru-RU"/>
        </w:rPr>
        <w:t>закупаемых за счет средств</w:t>
      </w:r>
      <w:r w:rsidRPr="005204D1">
        <w:rPr>
          <w:rFonts w:asciiTheme="majorHAnsi" w:hAnsiTheme="majorHAnsi" w:cstheme="majorHAnsi"/>
          <w:color w:val="000000"/>
          <w:sz w:val="24"/>
          <w:szCs w:val="24"/>
          <w:lang w:val="ro-MD"/>
        </w:rPr>
        <w:t xml:space="preserve"> государственного бюджета в соответствии с планом закупок, утвержденным Министерством здравоохранения, </w:t>
      </w:r>
      <w:r w:rsidR="006D0B43">
        <w:rPr>
          <w:rFonts w:asciiTheme="majorHAnsi" w:hAnsiTheme="majorHAnsi" w:cstheme="majorHAnsi"/>
          <w:color w:val="000000"/>
          <w:sz w:val="24"/>
          <w:szCs w:val="24"/>
          <w:lang w:val="ru-RU"/>
        </w:rPr>
        <w:t>по</w:t>
      </w:r>
      <w:r w:rsidRPr="005204D1">
        <w:rPr>
          <w:rFonts w:asciiTheme="majorHAnsi" w:hAnsiTheme="majorHAnsi" w:cstheme="majorHAnsi"/>
          <w:color w:val="000000"/>
          <w:sz w:val="24"/>
          <w:szCs w:val="24"/>
          <w:lang w:val="ro-MD"/>
        </w:rPr>
        <w:t xml:space="preserve"> консульт</w:t>
      </w:r>
      <w:r w:rsidR="006D0B43">
        <w:rPr>
          <w:rFonts w:asciiTheme="majorHAnsi" w:hAnsiTheme="majorHAnsi" w:cstheme="majorHAnsi"/>
          <w:color w:val="000000"/>
          <w:sz w:val="24"/>
          <w:szCs w:val="24"/>
          <w:lang w:val="ru-RU"/>
        </w:rPr>
        <w:t>ированию</w:t>
      </w:r>
      <w:r w:rsidRPr="005204D1">
        <w:rPr>
          <w:rFonts w:asciiTheme="majorHAnsi" w:hAnsiTheme="majorHAnsi" w:cstheme="majorHAnsi"/>
          <w:color w:val="000000"/>
          <w:sz w:val="24"/>
          <w:szCs w:val="24"/>
          <w:lang w:val="ro-MD"/>
        </w:rPr>
        <w:t xml:space="preserve"> со </w:t>
      </w:r>
      <w:r w:rsidR="006D0B43">
        <w:rPr>
          <w:rFonts w:asciiTheme="majorHAnsi" w:hAnsiTheme="majorHAnsi" w:cstheme="majorHAnsi"/>
          <w:color w:val="000000"/>
          <w:sz w:val="24"/>
          <w:szCs w:val="24"/>
          <w:lang w:val="ru-RU"/>
        </w:rPr>
        <w:t>С</w:t>
      </w:r>
      <w:r w:rsidRPr="005204D1">
        <w:rPr>
          <w:rFonts w:asciiTheme="majorHAnsi" w:hAnsiTheme="majorHAnsi" w:cstheme="majorHAnsi"/>
          <w:color w:val="000000"/>
          <w:sz w:val="24"/>
          <w:szCs w:val="24"/>
          <w:lang w:val="ro-MD"/>
        </w:rPr>
        <w:t>пециализированной комиссией Министерства здравоохранения</w:t>
      </w:r>
      <w:r w:rsidR="000C6F18" w:rsidRPr="00B13B9A">
        <w:rPr>
          <w:rFonts w:asciiTheme="majorHAnsi" w:hAnsiTheme="majorHAnsi" w:cstheme="majorHAnsi"/>
          <w:color w:val="000000"/>
          <w:sz w:val="24"/>
          <w:szCs w:val="24"/>
          <w:lang w:val="ro-MD"/>
        </w:rPr>
        <w:t xml:space="preserve">. </w:t>
      </w:r>
    </w:p>
    <w:p w14:paraId="4AA79714" w14:textId="54B56CCB" w:rsidR="005204D1" w:rsidRPr="005204D1" w:rsidRDefault="005204D1" w:rsidP="005204D1">
      <w:pPr>
        <w:spacing w:before="240" w:after="0" w:line="276" w:lineRule="auto"/>
        <w:jc w:val="both"/>
        <w:rPr>
          <w:rFonts w:asciiTheme="majorHAnsi" w:hAnsiTheme="majorHAnsi" w:cstheme="majorHAnsi"/>
          <w:color w:val="000000"/>
          <w:sz w:val="24"/>
          <w:szCs w:val="24"/>
          <w:lang w:val="ro-MD"/>
        </w:rPr>
      </w:pPr>
      <w:r w:rsidRPr="005204D1">
        <w:rPr>
          <w:rFonts w:asciiTheme="majorHAnsi" w:hAnsiTheme="majorHAnsi" w:cstheme="majorHAnsi"/>
          <w:color w:val="000000"/>
          <w:sz w:val="24"/>
          <w:szCs w:val="24"/>
          <w:lang w:val="ro-MD"/>
        </w:rPr>
        <w:t xml:space="preserve">Количество противотуберкулезных препаратов оценивается путем приоритетного применения метода заболеваемости (на основе количества пациентов, ранее включенных в лечение, и предполагаемого количества пациентов, которые будут </w:t>
      </w:r>
      <w:r w:rsidR="006D0B43">
        <w:rPr>
          <w:rFonts w:asciiTheme="majorHAnsi" w:hAnsiTheme="majorHAnsi" w:cstheme="majorHAnsi"/>
          <w:color w:val="000000"/>
          <w:sz w:val="24"/>
          <w:szCs w:val="24"/>
          <w:lang w:val="ru-RU"/>
        </w:rPr>
        <w:t>включ</w:t>
      </w:r>
      <w:r w:rsidRPr="005204D1">
        <w:rPr>
          <w:rFonts w:asciiTheme="majorHAnsi" w:hAnsiTheme="majorHAnsi" w:cstheme="majorHAnsi"/>
          <w:color w:val="000000"/>
          <w:sz w:val="24"/>
          <w:szCs w:val="24"/>
          <w:lang w:val="ro-MD"/>
        </w:rPr>
        <w:t>ены)</w:t>
      </w:r>
      <w:r w:rsidR="006D0B43">
        <w:rPr>
          <w:rFonts w:asciiTheme="majorHAnsi" w:hAnsiTheme="majorHAnsi" w:cstheme="majorHAnsi"/>
          <w:color w:val="000000"/>
          <w:sz w:val="24"/>
          <w:szCs w:val="24"/>
          <w:lang w:val="ru-RU"/>
        </w:rPr>
        <w:t>,</w:t>
      </w:r>
      <w:r w:rsidRPr="005204D1">
        <w:rPr>
          <w:rFonts w:asciiTheme="majorHAnsi" w:hAnsiTheme="majorHAnsi" w:cstheme="majorHAnsi"/>
          <w:color w:val="000000"/>
          <w:sz w:val="24"/>
          <w:szCs w:val="24"/>
          <w:lang w:val="ro-MD"/>
        </w:rPr>
        <w:t xml:space="preserve"> с учетом </w:t>
      </w:r>
      <w:r w:rsidR="006D0B43" w:rsidRPr="005204D1">
        <w:rPr>
          <w:rFonts w:asciiTheme="majorHAnsi" w:hAnsiTheme="majorHAnsi" w:cstheme="majorHAnsi"/>
          <w:color w:val="000000"/>
          <w:sz w:val="24"/>
          <w:szCs w:val="24"/>
          <w:lang w:val="ro-MD"/>
        </w:rPr>
        <w:t xml:space="preserve">полученных </w:t>
      </w:r>
      <w:r w:rsidRPr="005204D1">
        <w:rPr>
          <w:rFonts w:asciiTheme="majorHAnsi" w:hAnsiTheme="majorHAnsi" w:cstheme="majorHAnsi"/>
          <w:color w:val="000000"/>
          <w:sz w:val="24"/>
          <w:szCs w:val="24"/>
          <w:lang w:val="ro-MD"/>
        </w:rPr>
        <w:t xml:space="preserve">результатов от потребления </w:t>
      </w:r>
      <w:r w:rsidR="006D0B43">
        <w:rPr>
          <w:rFonts w:asciiTheme="majorHAnsi" w:hAnsiTheme="majorHAnsi" w:cstheme="majorHAnsi"/>
          <w:color w:val="000000"/>
          <w:sz w:val="24"/>
          <w:szCs w:val="24"/>
          <w:lang w:val="ru-RU"/>
        </w:rPr>
        <w:t>за</w:t>
      </w:r>
      <w:r w:rsidRPr="005204D1">
        <w:rPr>
          <w:rFonts w:asciiTheme="majorHAnsi" w:hAnsiTheme="majorHAnsi" w:cstheme="majorHAnsi"/>
          <w:color w:val="000000"/>
          <w:sz w:val="24"/>
          <w:szCs w:val="24"/>
          <w:lang w:val="ro-MD"/>
        </w:rPr>
        <w:t xml:space="preserve"> предыдущие годы. </w:t>
      </w:r>
    </w:p>
    <w:p w14:paraId="1A5BBF7F" w14:textId="16AB4C2E" w:rsidR="005204D1" w:rsidRPr="005204D1" w:rsidRDefault="005204D1" w:rsidP="005204D1">
      <w:pPr>
        <w:spacing w:after="0" w:line="276" w:lineRule="auto"/>
        <w:jc w:val="both"/>
        <w:rPr>
          <w:rFonts w:asciiTheme="majorHAnsi" w:hAnsiTheme="majorHAnsi" w:cstheme="majorHAnsi"/>
          <w:color w:val="000000"/>
          <w:sz w:val="24"/>
          <w:szCs w:val="24"/>
          <w:lang w:val="ro-MD"/>
        </w:rPr>
      </w:pPr>
      <w:r w:rsidRPr="005204D1">
        <w:rPr>
          <w:rFonts w:asciiTheme="majorHAnsi" w:hAnsiTheme="majorHAnsi" w:cstheme="majorHAnsi"/>
          <w:color w:val="000000"/>
          <w:sz w:val="24"/>
          <w:szCs w:val="24"/>
          <w:lang w:val="ro-MD"/>
        </w:rPr>
        <w:t xml:space="preserve"> Национальный фармацевтический склад хранит лекарства, полученные </w:t>
      </w:r>
      <w:r w:rsidR="006D0B43">
        <w:rPr>
          <w:rFonts w:asciiTheme="majorHAnsi" w:hAnsiTheme="majorHAnsi" w:cstheme="majorHAnsi"/>
          <w:color w:val="000000"/>
          <w:sz w:val="24"/>
          <w:szCs w:val="24"/>
          <w:lang w:val="ru-RU"/>
        </w:rPr>
        <w:t>через Н</w:t>
      </w:r>
      <w:r w:rsidRPr="005204D1">
        <w:rPr>
          <w:rFonts w:asciiTheme="majorHAnsi" w:hAnsiTheme="majorHAnsi" w:cstheme="majorHAnsi"/>
          <w:color w:val="000000"/>
          <w:sz w:val="24"/>
          <w:szCs w:val="24"/>
          <w:lang w:val="ro-MD"/>
        </w:rPr>
        <w:t>ациональн</w:t>
      </w:r>
      <w:r w:rsidR="006D0B43">
        <w:rPr>
          <w:rFonts w:asciiTheme="majorHAnsi" w:hAnsiTheme="majorHAnsi" w:cstheme="majorHAnsi"/>
          <w:color w:val="000000"/>
          <w:sz w:val="24"/>
          <w:szCs w:val="24"/>
          <w:lang w:val="ru-RU"/>
        </w:rPr>
        <w:t>ую</w:t>
      </w:r>
      <w:r w:rsidRPr="005204D1">
        <w:rPr>
          <w:rFonts w:asciiTheme="majorHAnsi" w:hAnsiTheme="majorHAnsi" w:cstheme="majorHAnsi"/>
          <w:color w:val="000000"/>
          <w:sz w:val="24"/>
          <w:szCs w:val="24"/>
          <w:lang w:val="ro-MD"/>
        </w:rPr>
        <w:t xml:space="preserve"> программ</w:t>
      </w:r>
      <w:r w:rsidR="006D0B43">
        <w:rPr>
          <w:rFonts w:asciiTheme="majorHAnsi" w:hAnsiTheme="majorHAnsi" w:cstheme="majorHAnsi"/>
          <w:color w:val="000000"/>
          <w:sz w:val="24"/>
          <w:szCs w:val="24"/>
          <w:lang w:val="ru-RU"/>
        </w:rPr>
        <w:t>у</w:t>
      </w:r>
      <w:r w:rsidRPr="005204D1">
        <w:rPr>
          <w:rFonts w:asciiTheme="majorHAnsi" w:hAnsiTheme="majorHAnsi" w:cstheme="majorHAnsi"/>
          <w:color w:val="000000"/>
          <w:sz w:val="24"/>
          <w:szCs w:val="24"/>
          <w:lang w:val="ro-MD"/>
        </w:rPr>
        <w:t>, и выдает их</w:t>
      </w:r>
      <w:r w:rsidR="006D0B43">
        <w:rPr>
          <w:rFonts w:asciiTheme="majorHAnsi" w:hAnsiTheme="majorHAnsi" w:cstheme="majorHAnsi"/>
          <w:color w:val="000000"/>
          <w:sz w:val="24"/>
          <w:szCs w:val="24"/>
          <w:lang w:val="ru-RU"/>
        </w:rPr>
        <w:t>,</w:t>
      </w:r>
      <w:r w:rsidRPr="005204D1">
        <w:rPr>
          <w:rFonts w:asciiTheme="majorHAnsi" w:hAnsiTheme="majorHAnsi" w:cstheme="majorHAnsi"/>
          <w:color w:val="000000"/>
          <w:sz w:val="24"/>
          <w:szCs w:val="24"/>
          <w:lang w:val="ro-MD"/>
        </w:rPr>
        <w:t xml:space="preserve"> для лечения чувствительного туберкулеза</w:t>
      </w:r>
      <w:r w:rsidR="006D0B43">
        <w:rPr>
          <w:rFonts w:asciiTheme="majorHAnsi" w:hAnsiTheme="majorHAnsi" w:cstheme="majorHAnsi"/>
          <w:color w:val="000000"/>
          <w:sz w:val="24"/>
          <w:szCs w:val="24"/>
          <w:lang w:val="ru-RU"/>
        </w:rPr>
        <w:t>,</w:t>
      </w:r>
      <w:r w:rsidRPr="005204D1">
        <w:rPr>
          <w:rFonts w:asciiTheme="majorHAnsi" w:hAnsiTheme="majorHAnsi" w:cstheme="majorHAnsi"/>
          <w:color w:val="000000"/>
          <w:sz w:val="24"/>
          <w:szCs w:val="24"/>
          <w:lang w:val="ro-MD"/>
        </w:rPr>
        <w:t xml:space="preserve"> </w:t>
      </w:r>
      <w:r w:rsidR="00C721F6">
        <w:rPr>
          <w:rFonts w:asciiTheme="majorHAnsi" w:hAnsiTheme="majorHAnsi" w:cstheme="majorHAnsi"/>
          <w:color w:val="000000"/>
          <w:sz w:val="24"/>
          <w:szCs w:val="24"/>
          <w:lang w:val="ro-MD"/>
        </w:rPr>
        <w:t>ПМСУ</w:t>
      </w:r>
      <w:r w:rsidRPr="005204D1">
        <w:rPr>
          <w:rFonts w:asciiTheme="majorHAnsi" w:hAnsiTheme="majorHAnsi" w:cstheme="majorHAnsi"/>
          <w:color w:val="000000"/>
          <w:sz w:val="24"/>
          <w:szCs w:val="24"/>
          <w:lang w:val="ro-MD"/>
        </w:rPr>
        <w:t xml:space="preserve"> </w:t>
      </w:r>
      <w:r w:rsidR="006D0B43">
        <w:rPr>
          <w:rFonts w:asciiTheme="majorHAnsi" w:hAnsiTheme="majorHAnsi" w:cstheme="majorHAnsi"/>
          <w:color w:val="000000"/>
          <w:sz w:val="24"/>
          <w:szCs w:val="24"/>
          <w:lang w:val="ru-RU"/>
        </w:rPr>
        <w:t>ц</w:t>
      </w:r>
      <w:r w:rsidRPr="005204D1">
        <w:rPr>
          <w:rFonts w:asciiTheme="majorHAnsi" w:hAnsiTheme="majorHAnsi" w:cstheme="majorHAnsi"/>
          <w:color w:val="000000"/>
          <w:sz w:val="24"/>
          <w:szCs w:val="24"/>
          <w:lang w:val="ro-MD"/>
        </w:rPr>
        <w:t xml:space="preserve">ентрального, муниципального и районного уровня. </w:t>
      </w:r>
    </w:p>
    <w:p w14:paraId="471D321A" w14:textId="66027C39" w:rsidR="00B37661" w:rsidRPr="003B2861" w:rsidRDefault="005204D1" w:rsidP="003B2861">
      <w:pPr>
        <w:spacing w:after="0" w:line="276" w:lineRule="auto"/>
        <w:jc w:val="both"/>
        <w:rPr>
          <w:rFonts w:asciiTheme="majorHAnsi" w:hAnsiTheme="majorHAnsi" w:cstheme="majorHAnsi"/>
          <w:color w:val="000000"/>
          <w:sz w:val="24"/>
          <w:szCs w:val="24"/>
          <w:lang w:val="ru-RU"/>
        </w:rPr>
      </w:pPr>
      <w:r w:rsidRPr="005204D1">
        <w:rPr>
          <w:rFonts w:asciiTheme="majorHAnsi" w:hAnsiTheme="majorHAnsi" w:cstheme="majorHAnsi"/>
          <w:color w:val="000000"/>
          <w:sz w:val="24"/>
          <w:szCs w:val="24"/>
          <w:lang w:val="ro-MD"/>
        </w:rPr>
        <w:t>За ауди</w:t>
      </w:r>
      <w:r>
        <w:rPr>
          <w:rFonts w:asciiTheme="majorHAnsi" w:hAnsiTheme="majorHAnsi" w:cstheme="majorHAnsi"/>
          <w:color w:val="000000"/>
          <w:sz w:val="24"/>
          <w:szCs w:val="24"/>
          <w:lang w:val="ru-RU"/>
        </w:rPr>
        <w:t>руемый</w:t>
      </w:r>
      <w:r w:rsidRPr="005204D1">
        <w:rPr>
          <w:rFonts w:asciiTheme="majorHAnsi" w:hAnsiTheme="majorHAnsi" w:cstheme="majorHAnsi"/>
          <w:color w:val="000000"/>
          <w:sz w:val="24"/>
          <w:szCs w:val="24"/>
          <w:lang w:val="ro-MD"/>
        </w:rPr>
        <w:t xml:space="preserve"> период были приобретены лекарства на сумму: в 2021 году – 34 446,7 тыс. леев, в 2022 году – 32 993,0 тыс. леев, </w:t>
      </w:r>
      <w:r w:rsidR="006D0B43">
        <w:rPr>
          <w:rFonts w:asciiTheme="majorHAnsi" w:hAnsiTheme="majorHAnsi" w:cstheme="majorHAnsi"/>
          <w:color w:val="000000"/>
          <w:sz w:val="24"/>
          <w:szCs w:val="24"/>
          <w:lang w:val="ru-RU"/>
        </w:rPr>
        <w:t>и</w:t>
      </w:r>
      <w:r w:rsidRPr="005204D1">
        <w:rPr>
          <w:rFonts w:asciiTheme="majorHAnsi" w:hAnsiTheme="majorHAnsi" w:cstheme="majorHAnsi"/>
          <w:color w:val="000000"/>
          <w:sz w:val="24"/>
          <w:szCs w:val="24"/>
          <w:lang w:val="ro-MD"/>
        </w:rPr>
        <w:t xml:space="preserve"> в 2023 году (6 месяцев) - 17 132,2 тыс. леев, процедуры закупок осуществля</w:t>
      </w:r>
      <w:r w:rsidR="006D0B43">
        <w:rPr>
          <w:rFonts w:asciiTheme="majorHAnsi" w:hAnsiTheme="majorHAnsi" w:cstheme="majorHAnsi"/>
          <w:color w:val="000000"/>
          <w:sz w:val="24"/>
          <w:szCs w:val="24"/>
          <w:lang w:val="ru-RU"/>
        </w:rPr>
        <w:t>лись</w:t>
      </w:r>
      <w:r w:rsidRPr="005204D1">
        <w:rPr>
          <w:rFonts w:asciiTheme="majorHAnsi" w:hAnsiTheme="majorHAnsi" w:cstheme="majorHAnsi"/>
          <w:color w:val="000000"/>
          <w:sz w:val="24"/>
          <w:szCs w:val="24"/>
          <w:lang w:val="ro-MD"/>
        </w:rPr>
        <w:t xml:space="preserve"> через </w:t>
      </w:r>
      <w:r w:rsidR="003B2861">
        <w:rPr>
          <w:rFonts w:asciiTheme="majorHAnsi" w:hAnsiTheme="majorHAnsi" w:cstheme="majorHAnsi"/>
          <w:color w:val="000000"/>
          <w:sz w:val="24"/>
          <w:szCs w:val="24"/>
          <w:lang w:val="ru-RU"/>
        </w:rPr>
        <w:t>ЦЦГЗЗ</w:t>
      </w:r>
      <w:r w:rsidR="00B37661" w:rsidRPr="00B13B9A">
        <w:rPr>
          <w:rFonts w:asciiTheme="majorHAnsi" w:hAnsiTheme="majorHAnsi" w:cstheme="majorHAnsi"/>
          <w:sz w:val="24"/>
          <w:szCs w:val="24"/>
          <w:lang w:val="ro-MD"/>
        </w:rPr>
        <w:t>.</w:t>
      </w:r>
    </w:p>
    <w:p w14:paraId="4617E0AB" w14:textId="744BDB30" w:rsidR="00D37D8A" w:rsidRPr="00B13B9A" w:rsidRDefault="003B2861" w:rsidP="00D37D8A">
      <w:pPr>
        <w:pStyle w:val="cn"/>
        <w:spacing w:line="276" w:lineRule="auto"/>
        <w:ind w:right="71"/>
        <w:jc w:val="right"/>
        <w:rPr>
          <w:rFonts w:asciiTheme="majorHAnsi" w:hAnsiTheme="majorHAnsi" w:cstheme="majorHAnsi"/>
          <w:color w:val="333333"/>
          <w:shd w:val="clear" w:color="auto" w:fill="FFFFFF"/>
          <w:lang w:val="ro-MD"/>
        </w:rPr>
      </w:pPr>
      <w:r>
        <w:rPr>
          <w:rFonts w:asciiTheme="majorHAnsi" w:hAnsiTheme="majorHAnsi" w:cstheme="majorHAnsi"/>
          <w:color w:val="333333"/>
          <w:shd w:val="clear" w:color="auto" w:fill="FFFFFF"/>
        </w:rPr>
        <w:t>Таблица №</w:t>
      </w:r>
      <w:r w:rsidR="00D37D8A" w:rsidRPr="00B13B9A">
        <w:rPr>
          <w:rFonts w:asciiTheme="majorHAnsi" w:hAnsiTheme="majorHAnsi" w:cstheme="majorHAnsi"/>
          <w:color w:val="333333"/>
          <w:shd w:val="clear" w:color="auto" w:fill="FFFFFF"/>
          <w:lang w:val="ro-MD"/>
        </w:rPr>
        <w:t>7</w:t>
      </w:r>
    </w:p>
    <w:p w14:paraId="1D12D611" w14:textId="25A731DA" w:rsidR="00230444" w:rsidRPr="00B13B9A" w:rsidRDefault="003B2861" w:rsidP="00D37D8A">
      <w:pPr>
        <w:pStyle w:val="a7"/>
        <w:spacing w:after="0" w:line="276" w:lineRule="auto"/>
        <w:ind w:left="0"/>
        <w:jc w:val="center"/>
        <w:rPr>
          <w:rFonts w:asciiTheme="majorHAnsi" w:hAnsiTheme="majorHAnsi" w:cstheme="majorHAnsi"/>
          <w:b/>
          <w:sz w:val="24"/>
          <w:szCs w:val="24"/>
          <w:lang w:val="ro-MD"/>
        </w:rPr>
      </w:pPr>
      <w:r w:rsidRPr="003B2861">
        <w:rPr>
          <w:rFonts w:asciiTheme="majorHAnsi" w:hAnsiTheme="majorHAnsi" w:cstheme="majorHAnsi"/>
          <w:b/>
          <w:sz w:val="24"/>
          <w:szCs w:val="24"/>
          <w:lang w:val="ro-MD"/>
        </w:rPr>
        <w:t>Информация о поступлениях и распределении противотуберкулезных препаратов, тыс. леев</w:t>
      </w:r>
    </w:p>
    <w:tbl>
      <w:tblPr>
        <w:tblW w:w="9582" w:type="dxa"/>
        <w:tblLook w:val="04A0" w:firstRow="1" w:lastRow="0" w:firstColumn="1" w:lastColumn="0" w:noHBand="0" w:noVBand="1"/>
      </w:tblPr>
      <w:tblGrid>
        <w:gridCol w:w="1682"/>
        <w:gridCol w:w="1628"/>
        <w:gridCol w:w="1623"/>
        <w:gridCol w:w="1261"/>
        <w:gridCol w:w="1805"/>
        <w:gridCol w:w="1583"/>
      </w:tblGrid>
      <w:tr w:rsidR="001179CC" w:rsidRPr="00B13B9A" w14:paraId="74953880" w14:textId="77777777" w:rsidTr="006B5722">
        <w:trPr>
          <w:trHeight w:val="263"/>
        </w:trPr>
        <w:tc>
          <w:tcPr>
            <w:tcW w:w="1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AB0AC3" w14:textId="66FD1CE5" w:rsidR="001179CC" w:rsidRPr="003B2861" w:rsidRDefault="003B2861" w:rsidP="00230444">
            <w:pPr>
              <w:spacing w:after="0" w:line="240" w:lineRule="auto"/>
              <w:jc w:val="center"/>
              <w:rPr>
                <w:rFonts w:asciiTheme="majorHAnsi" w:eastAsia="Times New Roman" w:hAnsiTheme="majorHAnsi" w:cstheme="majorHAnsi"/>
                <w:b/>
                <w:bCs/>
                <w:color w:val="000000"/>
                <w:sz w:val="20"/>
                <w:szCs w:val="20"/>
                <w:lang w:val="ru-RU"/>
              </w:rPr>
            </w:pPr>
            <w:r>
              <w:rPr>
                <w:rFonts w:asciiTheme="majorHAnsi" w:eastAsia="Times New Roman" w:hAnsiTheme="majorHAnsi" w:cstheme="majorHAnsi"/>
                <w:b/>
                <w:bCs/>
                <w:color w:val="000000"/>
                <w:sz w:val="20"/>
                <w:szCs w:val="20"/>
                <w:lang w:val="ru-RU"/>
              </w:rPr>
              <w:t xml:space="preserve">Год </w:t>
            </w:r>
          </w:p>
        </w:tc>
        <w:tc>
          <w:tcPr>
            <w:tcW w:w="1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C8CAB6" w14:textId="45CC29EB" w:rsidR="001179CC" w:rsidRPr="003B2861" w:rsidRDefault="003B2861" w:rsidP="00230444">
            <w:pPr>
              <w:spacing w:after="0" w:line="240" w:lineRule="auto"/>
              <w:jc w:val="center"/>
              <w:rPr>
                <w:rFonts w:asciiTheme="majorHAnsi" w:eastAsia="Times New Roman" w:hAnsiTheme="majorHAnsi" w:cstheme="majorHAnsi"/>
                <w:b/>
                <w:bCs/>
                <w:color w:val="000000"/>
                <w:sz w:val="20"/>
                <w:szCs w:val="20"/>
                <w:lang w:val="ru-RU"/>
              </w:rPr>
            </w:pPr>
            <w:r>
              <w:rPr>
                <w:rFonts w:asciiTheme="majorHAnsi" w:eastAsia="Times New Roman" w:hAnsiTheme="majorHAnsi" w:cstheme="majorHAnsi"/>
                <w:b/>
                <w:bCs/>
                <w:color w:val="000000"/>
                <w:sz w:val="20"/>
                <w:szCs w:val="20"/>
                <w:lang w:val="ru-RU"/>
              </w:rPr>
              <w:t>Поступления</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562F0" w14:textId="6D7E6D55" w:rsidR="001179CC" w:rsidRPr="003B2861" w:rsidRDefault="003B2861" w:rsidP="00230444">
            <w:pPr>
              <w:spacing w:after="0" w:line="240" w:lineRule="auto"/>
              <w:jc w:val="center"/>
              <w:rPr>
                <w:rFonts w:asciiTheme="majorHAnsi" w:eastAsia="Times New Roman" w:hAnsiTheme="majorHAnsi" w:cstheme="majorHAnsi"/>
                <w:b/>
                <w:bCs/>
                <w:color w:val="000000"/>
                <w:sz w:val="20"/>
                <w:szCs w:val="20"/>
                <w:lang w:val="ru-RU"/>
              </w:rPr>
            </w:pPr>
            <w:r>
              <w:rPr>
                <w:rFonts w:asciiTheme="majorHAnsi" w:eastAsia="Times New Roman" w:hAnsiTheme="majorHAnsi" w:cstheme="majorHAnsi"/>
                <w:b/>
                <w:bCs/>
                <w:color w:val="000000"/>
                <w:sz w:val="20"/>
                <w:szCs w:val="20"/>
                <w:lang w:val="ru-RU"/>
              </w:rPr>
              <w:t>Распределение</w:t>
            </w:r>
          </w:p>
        </w:tc>
        <w:tc>
          <w:tcPr>
            <w:tcW w:w="4649" w:type="dxa"/>
            <w:gridSpan w:val="3"/>
            <w:tcBorders>
              <w:top w:val="single" w:sz="4" w:space="0" w:color="auto"/>
              <w:left w:val="nil"/>
              <w:bottom w:val="single" w:sz="4" w:space="0" w:color="auto"/>
              <w:right w:val="single" w:sz="4" w:space="0" w:color="auto"/>
            </w:tcBorders>
            <w:shd w:val="clear" w:color="auto" w:fill="auto"/>
            <w:noWrap/>
            <w:vAlign w:val="center"/>
            <w:hideMark/>
          </w:tcPr>
          <w:p w14:paraId="63815B37" w14:textId="4C5B0EB0" w:rsidR="001179CC" w:rsidRPr="00B13B9A" w:rsidRDefault="003B2861" w:rsidP="00230444">
            <w:pPr>
              <w:spacing w:after="0" w:line="240" w:lineRule="auto"/>
              <w:jc w:val="center"/>
              <w:rPr>
                <w:rFonts w:asciiTheme="majorHAnsi" w:eastAsia="Times New Roman" w:hAnsiTheme="majorHAnsi" w:cstheme="majorHAnsi"/>
                <w:b/>
                <w:bCs/>
                <w:color w:val="000000"/>
                <w:sz w:val="20"/>
                <w:szCs w:val="20"/>
                <w:lang w:val="ro-MD"/>
              </w:rPr>
            </w:pPr>
            <w:r>
              <w:rPr>
                <w:rFonts w:asciiTheme="majorHAnsi" w:eastAsia="Times New Roman" w:hAnsiTheme="majorHAnsi" w:cstheme="majorHAnsi"/>
                <w:b/>
                <w:bCs/>
                <w:color w:val="000000"/>
                <w:sz w:val="20"/>
                <w:szCs w:val="20"/>
                <w:lang w:val="ru-RU"/>
              </w:rPr>
              <w:t>Включая</w:t>
            </w:r>
            <w:r w:rsidR="001179CC" w:rsidRPr="00B13B9A">
              <w:rPr>
                <w:rFonts w:asciiTheme="majorHAnsi" w:eastAsia="Times New Roman" w:hAnsiTheme="majorHAnsi" w:cstheme="majorHAnsi"/>
                <w:b/>
                <w:bCs/>
                <w:color w:val="000000"/>
                <w:sz w:val="20"/>
                <w:szCs w:val="20"/>
                <w:lang w:val="ro-MD"/>
              </w:rPr>
              <w:t>:</w:t>
            </w:r>
          </w:p>
        </w:tc>
      </w:tr>
      <w:tr w:rsidR="00230444" w:rsidRPr="00B13B9A" w14:paraId="3F671A4C" w14:textId="77777777" w:rsidTr="00230444">
        <w:trPr>
          <w:trHeight w:val="526"/>
        </w:trPr>
        <w:tc>
          <w:tcPr>
            <w:tcW w:w="1682" w:type="dxa"/>
            <w:vMerge/>
            <w:tcBorders>
              <w:top w:val="single" w:sz="4" w:space="0" w:color="auto"/>
              <w:left w:val="single" w:sz="4" w:space="0" w:color="auto"/>
              <w:bottom w:val="single" w:sz="4" w:space="0" w:color="auto"/>
              <w:right w:val="single" w:sz="4" w:space="0" w:color="auto"/>
            </w:tcBorders>
            <w:vAlign w:val="center"/>
            <w:hideMark/>
          </w:tcPr>
          <w:p w14:paraId="1BA57971" w14:textId="77777777" w:rsidR="00230444" w:rsidRPr="00B13B9A" w:rsidRDefault="00230444" w:rsidP="00230444">
            <w:pPr>
              <w:spacing w:after="0" w:line="240" w:lineRule="auto"/>
              <w:jc w:val="center"/>
              <w:rPr>
                <w:rFonts w:asciiTheme="majorHAnsi" w:eastAsia="Times New Roman" w:hAnsiTheme="majorHAnsi" w:cstheme="majorHAnsi"/>
                <w:b/>
                <w:bCs/>
                <w:color w:val="000000"/>
                <w:sz w:val="20"/>
                <w:szCs w:val="20"/>
                <w:lang w:val="ro-MD"/>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3630B01B" w14:textId="77777777" w:rsidR="00230444" w:rsidRPr="00B13B9A" w:rsidRDefault="00230444" w:rsidP="00230444">
            <w:pPr>
              <w:spacing w:after="0" w:line="240" w:lineRule="auto"/>
              <w:jc w:val="center"/>
              <w:rPr>
                <w:rFonts w:asciiTheme="majorHAnsi" w:eastAsia="Times New Roman" w:hAnsiTheme="majorHAnsi" w:cstheme="majorHAnsi"/>
                <w:b/>
                <w:bCs/>
                <w:color w:val="000000"/>
                <w:sz w:val="20"/>
                <w:szCs w:val="20"/>
                <w:lang w:val="ro-MD"/>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14:paraId="04E0BD4D" w14:textId="77777777" w:rsidR="00230444" w:rsidRPr="00B13B9A" w:rsidRDefault="00230444" w:rsidP="00230444">
            <w:pPr>
              <w:spacing w:after="0" w:line="240" w:lineRule="auto"/>
              <w:jc w:val="center"/>
              <w:rPr>
                <w:rFonts w:asciiTheme="majorHAnsi" w:eastAsia="Times New Roman" w:hAnsiTheme="majorHAnsi" w:cstheme="majorHAnsi"/>
                <w:b/>
                <w:bCs/>
                <w:color w:val="000000"/>
                <w:sz w:val="20"/>
                <w:szCs w:val="20"/>
                <w:lang w:val="ro-MD"/>
              </w:rPr>
            </w:pPr>
          </w:p>
        </w:tc>
        <w:tc>
          <w:tcPr>
            <w:tcW w:w="1261" w:type="dxa"/>
            <w:tcBorders>
              <w:top w:val="nil"/>
              <w:left w:val="nil"/>
              <w:bottom w:val="single" w:sz="4" w:space="0" w:color="auto"/>
              <w:right w:val="single" w:sz="4" w:space="0" w:color="auto"/>
            </w:tcBorders>
            <w:shd w:val="clear" w:color="auto" w:fill="auto"/>
            <w:noWrap/>
            <w:vAlign w:val="center"/>
            <w:hideMark/>
          </w:tcPr>
          <w:p w14:paraId="3CCADD02" w14:textId="515451D0" w:rsidR="00230444" w:rsidRPr="003B2861" w:rsidRDefault="003B2861" w:rsidP="00230444">
            <w:pPr>
              <w:spacing w:after="0" w:line="240" w:lineRule="auto"/>
              <w:jc w:val="center"/>
              <w:rPr>
                <w:rFonts w:asciiTheme="majorHAnsi" w:eastAsia="Times New Roman" w:hAnsiTheme="majorHAnsi" w:cstheme="majorHAnsi"/>
                <w:b/>
                <w:bCs/>
                <w:color w:val="000000"/>
                <w:sz w:val="20"/>
                <w:szCs w:val="20"/>
                <w:lang w:val="ru-RU"/>
              </w:rPr>
            </w:pPr>
            <w:r>
              <w:rPr>
                <w:rFonts w:asciiTheme="majorHAnsi" w:eastAsia="Times New Roman" w:hAnsiTheme="majorHAnsi" w:cstheme="majorHAnsi"/>
                <w:b/>
                <w:bCs/>
                <w:color w:val="000000"/>
                <w:sz w:val="20"/>
                <w:szCs w:val="20"/>
                <w:lang w:val="ru-RU"/>
              </w:rPr>
              <w:t>Бендер</w:t>
            </w:r>
          </w:p>
        </w:tc>
        <w:tc>
          <w:tcPr>
            <w:tcW w:w="1805" w:type="dxa"/>
            <w:tcBorders>
              <w:top w:val="nil"/>
              <w:left w:val="nil"/>
              <w:bottom w:val="single" w:sz="4" w:space="0" w:color="auto"/>
              <w:right w:val="single" w:sz="4" w:space="0" w:color="auto"/>
            </w:tcBorders>
            <w:shd w:val="clear" w:color="auto" w:fill="auto"/>
            <w:noWrap/>
            <w:vAlign w:val="center"/>
            <w:hideMark/>
          </w:tcPr>
          <w:p w14:paraId="4D8D6BBE" w14:textId="2CBA877F" w:rsidR="00230444" w:rsidRPr="003B2861" w:rsidRDefault="003B2861" w:rsidP="00230444">
            <w:pPr>
              <w:spacing w:after="0" w:line="240" w:lineRule="auto"/>
              <w:jc w:val="center"/>
              <w:rPr>
                <w:rFonts w:asciiTheme="majorHAnsi" w:eastAsia="Times New Roman" w:hAnsiTheme="majorHAnsi" w:cstheme="majorHAnsi"/>
                <w:b/>
                <w:bCs/>
                <w:color w:val="000000"/>
                <w:sz w:val="20"/>
                <w:szCs w:val="20"/>
                <w:lang w:val="ru-RU"/>
              </w:rPr>
            </w:pPr>
            <w:r>
              <w:rPr>
                <w:rFonts w:asciiTheme="majorHAnsi" w:eastAsia="Times New Roman" w:hAnsiTheme="majorHAnsi" w:cstheme="majorHAnsi"/>
                <w:b/>
                <w:bCs/>
                <w:color w:val="000000"/>
                <w:sz w:val="20"/>
                <w:szCs w:val="20"/>
                <w:lang w:val="ru-RU"/>
              </w:rPr>
              <w:t>Пенитенциар</w:t>
            </w:r>
          </w:p>
        </w:tc>
        <w:tc>
          <w:tcPr>
            <w:tcW w:w="1583" w:type="dxa"/>
            <w:tcBorders>
              <w:top w:val="nil"/>
              <w:left w:val="nil"/>
              <w:bottom w:val="single" w:sz="4" w:space="0" w:color="auto"/>
              <w:right w:val="single" w:sz="4" w:space="0" w:color="auto"/>
            </w:tcBorders>
            <w:shd w:val="clear" w:color="auto" w:fill="auto"/>
            <w:vAlign w:val="center"/>
            <w:hideMark/>
          </w:tcPr>
          <w:p w14:paraId="456B45F1" w14:textId="5A042A9D" w:rsidR="00230444" w:rsidRPr="003B2861" w:rsidRDefault="003B2861" w:rsidP="00230444">
            <w:pPr>
              <w:spacing w:after="0" w:line="240" w:lineRule="auto"/>
              <w:jc w:val="center"/>
              <w:rPr>
                <w:rFonts w:asciiTheme="majorHAnsi" w:eastAsia="Times New Roman" w:hAnsiTheme="majorHAnsi" w:cstheme="majorHAnsi"/>
                <w:b/>
                <w:bCs/>
                <w:color w:val="000000"/>
                <w:sz w:val="20"/>
                <w:szCs w:val="20"/>
                <w:lang w:val="ru-RU"/>
              </w:rPr>
            </w:pPr>
            <w:r>
              <w:rPr>
                <w:rFonts w:asciiTheme="majorHAnsi" w:eastAsia="Times New Roman" w:hAnsiTheme="majorHAnsi" w:cstheme="majorHAnsi"/>
                <w:b/>
                <w:bCs/>
                <w:color w:val="000000"/>
                <w:sz w:val="20"/>
                <w:szCs w:val="20"/>
                <w:lang w:val="ru-RU"/>
              </w:rPr>
              <w:t>Частные субъекты</w:t>
            </w:r>
          </w:p>
        </w:tc>
      </w:tr>
      <w:tr w:rsidR="00230444" w:rsidRPr="00B13B9A" w14:paraId="229D2A3C" w14:textId="77777777" w:rsidTr="00230444">
        <w:trPr>
          <w:trHeight w:val="263"/>
        </w:trPr>
        <w:tc>
          <w:tcPr>
            <w:tcW w:w="1682" w:type="dxa"/>
            <w:tcBorders>
              <w:top w:val="nil"/>
              <w:left w:val="single" w:sz="4" w:space="0" w:color="auto"/>
              <w:bottom w:val="single" w:sz="4" w:space="0" w:color="auto"/>
              <w:right w:val="single" w:sz="4" w:space="0" w:color="auto"/>
            </w:tcBorders>
            <w:shd w:val="clear" w:color="auto" w:fill="auto"/>
            <w:noWrap/>
            <w:vAlign w:val="bottom"/>
            <w:hideMark/>
          </w:tcPr>
          <w:p w14:paraId="7168B717" w14:textId="77777777" w:rsidR="00230444" w:rsidRPr="00B13B9A" w:rsidRDefault="00230444" w:rsidP="00230444">
            <w:pPr>
              <w:spacing w:after="0" w:line="240" w:lineRule="auto"/>
              <w:jc w:val="right"/>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2021</w:t>
            </w:r>
          </w:p>
        </w:tc>
        <w:tc>
          <w:tcPr>
            <w:tcW w:w="1628" w:type="dxa"/>
            <w:tcBorders>
              <w:top w:val="nil"/>
              <w:left w:val="nil"/>
              <w:bottom w:val="single" w:sz="4" w:space="0" w:color="auto"/>
              <w:right w:val="single" w:sz="4" w:space="0" w:color="auto"/>
            </w:tcBorders>
            <w:shd w:val="clear" w:color="auto" w:fill="auto"/>
            <w:noWrap/>
            <w:vAlign w:val="bottom"/>
            <w:hideMark/>
          </w:tcPr>
          <w:p w14:paraId="5944D342" w14:textId="546F6163" w:rsidR="00230444" w:rsidRPr="00B13B9A" w:rsidRDefault="00230444" w:rsidP="00B51658">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37 837</w:t>
            </w:r>
            <w:r w:rsidR="00B51658" w:rsidRPr="00B13B9A">
              <w:rPr>
                <w:rFonts w:asciiTheme="majorHAnsi" w:eastAsia="Times New Roman" w:hAnsiTheme="majorHAnsi" w:cstheme="majorHAnsi"/>
                <w:color w:val="000000"/>
                <w:sz w:val="20"/>
                <w:szCs w:val="20"/>
                <w:lang w:val="ro-MD"/>
              </w:rPr>
              <w:t>,</w:t>
            </w:r>
            <w:r w:rsidRPr="00B13B9A">
              <w:rPr>
                <w:rFonts w:asciiTheme="majorHAnsi" w:eastAsia="Times New Roman" w:hAnsiTheme="majorHAnsi" w:cstheme="majorHAnsi"/>
                <w:color w:val="000000"/>
                <w:sz w:val="20"/>
                <w:szCs w:val="20"/>
                <w:lang w:val="ro-MD"/>
              </w:rPr>
              <w:t>5</w:t>
            </w:r>
          </w:p>
        </w:tc>
        <w:tc>
          <w:tcPr>
            <w:tcW w:w="1623" w:type="dxa"/>
            <w:tcBorders>
              <w:top w:val="nil"/>
              <w:left w:val="nil"/>
              <w:bottom w:val="single" w:sz="4" w:space="0" w:color="auto"/>
              <w:right w:val="single" w:sz="4" w:space="0" w:color="auto"/>
            </w:tcBorders>
            <w:shd w:val="clear" w:color="auto" w:fill="auto"/>
            <w:noWrap/>
            <w:vAlign w:val="bottom"/>
            <w:hideMark/>
          </w:tcPr>
          <w:p w14:paraId="40696604" w14:textId="4FF7FCC3" w:rsidR="00230444" w:rsidRPr="00B13B9A" w:rsidRDefault="00230444" w:rsidP="00B51658">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27 005</w:t>
            </w:r>
            <w:r w:rsidR="00B51658" w:rsidRPr="00B13B9A">
              <w:rPr>
                <w:rFonts w:asciiTheme="majorHAnsi" w:eastAsia="Times New Roman" w:hAnsiTheme="majorHAnsi" w:cstheme="majorHAnsi"/>
                <w:color w:val="000000"/>
                <w:sz w:val="20"/>
                <w:szCs w:val="20"/>
                <w:lang w:val="ro-MD"/>
              </w:rPr>
              <w:t>,</w:t>
            </w:r>
            <w:r w:rsidRPr="00B13B9A">
              <w:rPr>
                <w:rFonts w:asciiTheme="majorHAnsi" w:eastAsia="Times New Roman" w:hAnsiTheme="majorHAnsi" w:cstheme="majorHAnsi"/>
                <w:color w:val="000000"/>
                <w:sz w:val="20"/>
                <w:szCs w:val="20"/>
                <w:lang w:val="ro-MD"/>
              </w:rPr>
              <w:t>7</w:t>
            </w:r>
          </w:p>
        </w:tc>
        <w:tc>
          <w:tcPr>
            <w:tcW w:w="1261" w:type="dxa"/>
            <w:tcBorders>
              <w:top w:val="nil"/>
              <w:left w:val="nil"/>
              <w:bottom w:val="single" w:sz="4" w:space="0" w:color="auto"/>
              <w:right w:val="single" w:sz="4" w:space="0" w:color="auto"/>
            </w:tcBorders>
            <w:shd w:val="clear" w:color="auto" w:fill="auto"/>
            <w:noWrap/>
            <w:vAlign w:val="bottom"/>
            <w:hideMark/>
          </w:tcPr>
          <w:p w14:paraId="267B7588" w14:textId="77A8B0F5" w:rsidR="00230444" w:rsidRPr="00B13B9A" w:rsidRDefault="00230444" w:rsidP="00B51658">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6 640</w:t>
            </w:r>
            <w:r w:rsidR="00B51658" w:rsidRPr="00B13B9A">
              <w:rPr>
                <w:rFonts w:asciiTheme="majorHAnsi" w:eastAsia="Times New Roman" w:hAnsiTheme="majorHAnsi" w:cstheme="majorHAnsi"/>
                <w:color w:val="000000"/>
                <w:sz w:val="20"/>
                <w:szCs w:val="20"/>
                <w:lang w:val="ro-MD"/>
              </w:rPr>
              <w:t>,</w:t>
            </w:r>
            <w:r w:rsidRPr="00B13B9A">
              <w:rPr>
                <w:rFonts w:asciiTheme="majorHAnsi" w:eastAsia="Times New Roman" w:hAnsiTheme="majorHAnsi" w:cstheme="majorHAnsi"/>
                <w:color w:val="000000"/>
                <w:sz w:val="20"/>
                <w:szCs w:val="20"/>
                <w:lang w:val="ro-MD"/>
              </w:rPr>
              <w:t>7</w:t>
            </w:r>
          </w:p>
        </w:tc>
        <w:tc>
          <w:tcPr>
            <w:tcW w:w="1805" w:type="dxa"/>
            <w:tcBorders>
              <w:top w:val="nil"/>
              <w:left w:val="nil"/>
              <w:bottom w:val="single" w:sz="4" w:space="0" w:color="auto"/>
              <w:right w:val="single" w:sz="4" w:space="0" w:color="auto"/>
            </w:tcBorders>
            <w:shd w:val="clear" w:color="auto" w:fill="auto"/>
            <w:noWrap/>
            <w:vAlign w:val="bottom"/>
            <w:hideMark/>
          </w:tcPr>
          <w:p w14:paraId="6958A038" w14:textId="77777777" w:rsidR="00230444" w:rsidRPr="00B13B9A" w:rsidRDefault="00230444" w:rsidP="00230444">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798,6</w:t>
            </w:r>
          </w:p>
        </w:tc>
        <w:tc>
          <w:tcPr>
            <w:tcW w:w="1583" w:type="dxa"/>
            <w:tcBorders>
              <w:top w:val="nil"/>
              <w:left w:val="nil"/>
              <w:bottom w:val="single" w:sz="4" w:space="0" w:color="auto"/>
              <w:right w:val="single" w:sz="4" w:space="0" w:color="auto"/>
            </w:tcBorders>
            <w:shd w:val="clear" w:color="auto" w:fill="auto"/>
            <w:noWrap/>
            <w:vAlign w:val="bottom"/>
            <w:hideMark/>
          </w:tcPr>
          <w:p w14:paraId="08077EEE" w14:textId="77777777" w:rsidR="00230444" w:rsidRPr="00B13B9A" w:rsidRDefault="00230444" w:rsidP="00230444">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82,4</w:t>
            </w:r>
          </w:p>
        </w:tc>
      </w:tr>
      <w:tr w:rsidR="00230444" w:rsidRPr="00B13B9A" w14:paraId="2C941BE3" w14:textId="77777777" w:rsidTr="00230444">
        <w:trPr>
          <w:trHeight w:val="263"/>
        </w:trPr>
        <w:tc>
          <w:tcPr>
            <w:tcW w:w="1682" w:type="dxa"/>
            <w:tcBorders>
              <w:top w:val="nil"/>
              <w:left w:val="single" w:sz="4" w:space="0" w:color="auto"/>
              <w:bottom w:val="single" w:sz="4" w:space="0" w:color="auto"/>
              <w:right w:val="single" w:sz="4" w:space="0" w:color="auto"/>
            </w:tcBorders>
            <w:shd w:val="clear" w:color="auto" w:fill="auto"/>
            <w:noWrap/>
            <w:vAlign w:val="bottom"/>
            <w:hideMark/>
          </w:tcPr>
          <w:p w14:paraId="0269F500" w14:textId="77777777" w:rsidR="00230444" w:rsidRPr="00B13B9A" w:rsidRDefault="00230444" w:rsidP="00230444">
            <w:pPr>
              <w:spacing w:after="0" w:line="240" w:lineRule="auto"/>
              <w:jc w:val="right"/>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2022</w:t>
            </w:r>
          </w:p>
        </w:tc>
        <w:tc>
          <w:tcPr>
            <w:tcW w:w="1628" w:type="dxa"/>
            <w:tcBorders>
              <w:top w:val="nil"/>
              <w:left w:val="nil"/>
              <w:bottom w:val="single" w:sz="4" w:space="0" w:color="auto"/>
              <w:right w:val="single" w:sz="4" w:space="0" w:color="auto"/>
            </w:tcBorders>
            <w:shd w:val="clear" w:color="auto" w:fill="auto"/>
            <w:noWrap/>
            <w:vAlign w:val="bottom"/>
            <w:hideMark/>
          </w:tcPr>
          <w:p w14:paraId="35E8B321" w14:textId="1D99AB54" w:rsidR="00230444" w:rsidRPr="00B13B9A" w:rsidRDefault="00230444" w:rsidP="00B51658">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41 324</w:t>
            </w:r>
            <w:r w:rsidR="00B51658" w:rsidRPr="00B13B9A">
              <w:rPr>
                <w:rFonts w:asciiTheme="majorHAnsi" w:eastAsia="Times New Roman" w:hAnsiTheme="majorHAnsi" w:cstheme="majorHAnsi"/>
                <w:color w:val="000000"/>
                <w:sz w:val="20"/>
                <w:szCs w:val="20"/>
                <w:lang w:val="ro-MD"/>
              </w:rPr>
              <w:t>,</w:t>
            </w:r>
            <w:r w:rsidRPr="00B13B9A">
              <w:rPr>
                <w:rFonts w:asciiTheme="majorHAnsi" w:eastAsia="Times New Roman" w:hAnsiTheme="majorHAnsi" w:cstheme="majorHAnsi"/>
                <w:color w:val="000000"/>
                <w:sz w:val="20"/>
                <w:szCs w:val="20"/>
                <w:lang w:val="ro-MD"/>
              </w:rPr>
              <w:t>6</w:t>
            </w:r>
          </w:p>
        </w:tc>
        <w:tc>
          <w:tcPr>
            <w:tcW w:w="1623" w:type="dxa"/>
            <w:tcBorders>
              <w:top w:val="nil"/>
              <w:left w:val="nil"/>
              <w:bottom w:val="single" w:sz="4" w:space="0" w:color="auto"/>
              <w:right w:val="single" w:sz="4" w:space="0" w:color="auto"/>
            </w:tcBorders>
            <w:shd w:val="clear" w:color="auto" w:fill="auto"/>
            <w:noWrap/>
            <w:vAlign w:val="bottom"/>
            <w:hideMark/>
          </w:tcPr>
          <w:p w14:paraId="3B2CC053" w14:textId="2B4E86F7" w:rsidR="00230444" w:rsidRPr="00B13B9A" w:rsidRDefault="00230444" w:rsidP="00230444">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24 623</w:t>
            </w:r>
            <w:r w:rsidR="00B51658" w:rsidRPr="00B13B9A">
              <w:rPr>
                <w:rFonts w:asciiTheme="majorHAnsi" w:eastAsia="Times New Roman" w:hAnsiTheme="majorHAnsi" w:cstheme="majorHAnsi"/>
                <w:color w:val="000000"/>
                <w:sz w:val="20"/>
                <w:szCs w:val="20"/>
                <w:lang w:val="ro-MD"/>
              </w:rPr>
              <w:t>,</w:t>
            </w:r>
            <w:r w:rsidRPr="00B13B9A">
              <w:rPr>
                <w:rFonts w:asciiTheme="majorHAnsi" w:eastAsia="Times New Roman" w:hAnsiTheme="majorHAnsi" w:cstheme="majorHAnsi"/>
                <w:color w:val="000000"/>
                <w:sz w:val="20"/>
                <w:szCs w:val="20"/>
                <w:lang w:val="ro-MD"/>
              </w:rPr>
              <w:t>8</w:t>
            </w:r>
          </w:p>
        </w:tc>
        <w:tc>
          <w:tcPr>
            <w:tcW w:w="1261" w:type="dxa"/>
            <w:tcBorders>
              <w:top w:val="nil"/>
              <w:left w:val="nil"/>
              <w:bottom w:val="single" w:sz="4" w:space="0" w:color="auto"/>
              <w:right w:val="single" w:sz="4" w:space="0" w:color="auto"/>
            </w:tcBorders>
            <w:shd w:val="clear" w:color="auto" w:fill="auto"/>
            <w:noWrap/>
            <w:vAlign w:val="bottom"/>
            <w:hideMark/>
          </w:tcPr>
          <w:p w14:paraId="3EDAF7A2" w14:textId="7E9C7636" w:rsidR="00230444" w:rsidRPr="00B13B9A" w:rsidRDefault="00230444" w:rsidP="00B51658">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5 460</w:t>
            </w:r>
            <w:r w:rsidR="00B51658" w:rsidRPr="00B13B9A">
              <w:rPr>
                <w:rFonts w:asciiTheme="majorHAnsi" w:eastAsia="Times New Roman" w:hAnsiTheme="majorHAnsi" w:cstheme="majorHAnsi"/>
                <w:color w:val="000000"/>
                <w:sz w:val="20"/>
                <w:szCs w:val="20"/>
                <w:lang w:val="ro-MD"/>
              </w:rPr>
              <w:t>,</w:t>
            </w:r>
            <w:r w:rsidRPr="00B13B9A">
              <w:rPr>
                <w:rFonts w:asciiTheme="majorHAnsi" w:eastAsia="Times New Roman" w:hAnsiTheme="majorHAnsi" w:cstheme="majorHAnsi"/>
                <w:color w:val="000000"/>
                <w:sz w:val="20"/>
                <w:szCs w:val="20"/>
                <w:lang w:val="ro-MD"/>
              </w:rPr>
              <w:t>3</w:t>
            </w:r>
          </w:p>
        </w:tc>
        <w:tc>
          <w:tcPr>
            <w:tcW w:w="1805" w:type="dxa"/>
            <w:tcBorders>
              <w:top w:val="nil"/>
              <w:left w:val="nil"/>
              <w:bottom w:val="single" w:sz="4" w:space="0" w:color="auto"/>
              <w:right w:val="single" w:sz="4" w:space="0" w:color="auto"/>
            </w:tcBorders>
            <w:shd w:val="clear" w:color="auto" w:fill="auto"/>
            <w:noWrap/>
            <w:vAlign w:val="bottom"/>
            <w:hideMark/>
          </w:tcPr>
          <w:p w14:paraId="715AE6A1" w14:textId="77777777" w:rsidR="00230444" w:rsidRPr="00B13B9A" w:rsidRDefault="00230444" w:rsidP="00230444">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611,8</w:t>
            </w:r>
          </w:p>
        </w:tc>
        <w:tc>
          <w:tcPr>
            <w:tcW w:w="1583" w:type="dxa"/>
            <w:tcBorders>
              <w:top w:val="nil"/>
              <w:left w:val="nil"/>
              <w:bottom w:val="single" w:sz="4" w:space="0" w:color="auto"/>
              <w:right w:val="single" w:sz="4" w:space="0" w:color="auto"/>
            </w:tcBorders>
            <w:shd w:val="clear" w:color="auto" w:fill="auto"/>
            <w:noWrap/>
            <w:vAlign w:val="bottom"/>
            <w:hideMark/>
          </w:tcPr>
          <w:p w14:paraId="474E9417" w14:textId="77777777" w:rsidR="00230444" w:rsidRPr="00B13B9A" w:rsidRDefault="00230444" w:rsidP="00230444">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6,5</w:t>
            </w:r>
          </w:p>
        </w:tc>
      </w:tr>
      <w:tr w:rsidR="00230444" w:rsidRPr="00B13B9A" w14:paraId="0BA80F42" w14:textId="77777777" w:rsidTr="00230444">
        <w:trPr>
          <w:trHeight w:val="263"/>
        </w:trPr>
        <w:tc>
          <w:tcPr>
            <w:tcW w:w="1682" w:type="dxa"/>
            <w:tcBorders>
              <w:top w:val="nil"/>
              <w:left w:val="single" w:sz="4" w:space="0" w:color="auto"/>
              <w:bottom w:val="single" w:sz="4" w:space="0" w:color="auto"/>
              <w:right w:val="single" w:sz="4" w:space="0" w:color="auto"/>
            </w:tcBorders>
            <w:shd w:val="clear" w:color="auto" w:fill="auto"/>
            <w:noWrap/>
            <w:vAlign w:val="bottom"/>
            <w:hideMark/>
          </w:tcPr>
          <w:p w14:paraId="48FE8BA9" w14:textId="36D26933" w:rsidR="00230444" w:rsidRPr="00B13B9A" w:rsidRDefault="00230444" w:rsidP="003B2861">
            <w:pPr>
              <w:spacing w:after="0" w:line="240" w:lineRule="auto"/>
              <w:jc w:val="right"/>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 xml:space="preserve">2023 (6 </w:t>
            </w:r>
            <w:r w:rsidR="003B2861">
              <w:rPr>
                <w:rFonts w:asciiTheme="majorHAnsi" w:eastAsia="Times New Roman" w:hAnsiTheme="majorHAnsi" w:cstheme="majorHAnsi"/>
                <w:b/>
                <w:bCs/>
                <w:color w:val="000000"/>
                <w:sz w:val="20"/>
                <w:szCs w:val="20"/>
                <w:lang w:val="ru-RU"/>
              </w:rPr>
              <w:t>месяцев</w:t>
            </w:r>
            <w:r w:rsidRPr="00B13B9A">
              <w:rPr>
                <w:rFonts w:asciiTheme="majorHAnsi" w:eastAsia="Times New Roman" w:hAnsiTheme="majorHAnsi" w:cstheme="majorHAnsi"/>
                <w:b/>
                <w:bCs/>
                <w:color w:val="000000"/>
                <w:sz w:val="20"/>
                <w:szCs w:val="20"/>
                <w:lang w:val="ro-MD"/>
              </w:rPr>
              <w:t>)</w:t>
            </w:r>
          </w:p>
        </w:tc>
        <w:tc>
          <w:tcPr>
            <w:tcW w:w="1628" w:type="dxa"/>
            <w:tcBorders>
              <w:top w:val="nil"/>
              <w:left w:val="nil"/>
              <w:bottom w:val="single" w:sz="4" w:space="0" w:color="auto"/>
              <w:right w:val="single" w:sz="4" w:space="0" w:color="auto"/>
            </w:tcBorders>
            <w:shd w:val="clear" w:color="auto" w:fill="auto"/>
            <w:noWrap/>
            <w:vAlign w:val="bottom"/>
            <w:hideMark/>
          </w:tcPr>
          <w:p w14:paraId="6840B513" w14:textId="536FF691" w:rsidR="00230444" w:rsidRPr="00B13B9A" w:rsidRDefault="00230444" w:rsidP="00B51658">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20 292</w:t>
            </w:r>
            <w:r w:rsidR="00B51658" w:rsidRPr="00B13B9A">
              <w:rPr>
                <w:rFonts w:asciiTheme="majorHAnsi" w:eastAsia="Times New Roman" w:hAnsiTheme="majorHAnsi" w:cstheme="majorHAnsi"/>
                <w:color w:val="000000"/>
                <w:sz w:val="20"/>
                <w:szCs w:val="20"/>
                <w:lang w:val="ro-MD"/>
              </w:rPr>
              <w:t>,</w:t>
            </w:r>
            <w:r w:rsidRPr="00B13B9A">
              <w:rPr>
                <w:rFonts w:asciiTheme="majorHAnsi" w:eastAsia="Times New Roman" w:hAnsiTheme="majorHAnsi" w:cstheme="majorHAnsi"/>
                <w:color w:val="000000"/>
                <w:sz w:val="20"/>
                <w:szCs w:val="20"/>
                <w:lang w:val="ro-MD"/>
              </w:rPr>
              <w:t>0</w:t>
            </w:r>
          </w:p>
        </w:tc>
        <w:tc>
          <w:tcPr>
            <w:tcW w:w="1623" w:type="dxa"/>
            <w:tcBorders>
              <w:top w:val="nil"/>
              <w:left w:val="nil"/>
              <w:bottom w:val="single" w:sz="4" w:space="0" w:color="auto"/>
              <w:right w:val="single" w:sz="4" w:space="0" w:color="auto"/>
            </w:tcBorders>
            <w:shd w:val="clear" w:color="auto" w:fill="auto"/>
            <w:noWrap/>
            <w:vAlign w:val="bottom"/>
            <w:hideMark/>
          </w:tcPr>
          <w:p w14:paraId="156F7C36" w14:textId="095309BF" w:rsidR="00230444" w:rsidRPr="00B13B9A" w:rsidRDefault="00230444" w:rsidP="00B51658">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10 574</w:t>
            </w:r>
            <w:r w:rsidR="00B51658" w:rsidRPr="00B13B9A">
              <w:rPr>
                <w:rFonts w:asciiTheme="majorHAnsi" w:eastAsia="Times New Roman" w:hAnsiTheme="majorHAnsi" w:cstheme="majorHAnsi"/>
                <w:color w:val="000000"/>
                <w:sz w:val="20"/>
                <w:szCs w:val="20"/>
                <w:lang w:val="ro-MD"/>
              </w:rPr>
              <w:t>,</w:t>
            </w:r>
            <w:r w:rsidRPr="00B13B9A">
              <w:rPr>
                <w:rFonts w:asciiTheme="majorHAnsi" w:eastAsia="Times New Roman" w:hAnsiTheme="majorHAnsi" w:cstheme="majorHAnsi"/>
                <w:color w:val="000000"/>
                <w:sz w:val="20"/>
                <w:szCs w:val="20"/>
                <w:lang w:val="ro-MD"/>
              </w:rPr>
              <w:t>0</w:t>
            </w:r>
          </w:p>
        </w:tc>
        <w:tc>
          <w:tcPr>
            <w:tcW w:w="1261" w:type="dxa"/>
            <w:tcBorders>
              <w:top w:val="nil"/>
              <w:left w:val="nil"/>
              <w:bottom w:val="single" w:sz="4" w:space="0" w:color="auto"/>
              <w:right w:val="single" w:sz="4" w:space="0" w:color="auto"/>
            </w:tcBorders>
            <w:shd w:val="clear" w:color="auto" w:fill="auto"/>
            <w:noWrap/>
            <w:vAlign w:val="bottom"/>
            <w:hideMark/>
          </w:tcPr>
          <w:p w14:paraId="70FCE314" w14:textId="51A99B88" w:rsidR="00230444" w:rsidRPr="00B13B9A" w:rsidRDefault="00230444" w:rsidP="00B51658">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3 071</w:t>
            </w:r>
            <w:r w:rsidR="00B51658" w:rsidRPr="00B13B9A">
              <w:rPr>
                <w:rFonts w:asciiTheme="majorHAnsi" w:eastAsia="Times New Roman" w:hAnsiTheme="majorHAnsi" w:cstheme="majorHAnsi"/>
                <w:color w:val="000000"/>
                <w:sz w:val="20"/>
                <w:szCs w:val="20"/>
                <w:lang w:val="ro-MD"/>
              </w:rPr>
              <w:t>,</w:t>
            </w:r>
            <w:r w:rsidRPr="00B13B9A">
              <w:rPr>
                <w:rFonts w:asciiTheme="majorHAnsi" w:eastAsia="Times New Roman" w:hAnsiTheme="majorHAnsi" w:cstheme="majorHAnsi"/>
                <w:color w:val="000000"/>
                <w:sz w:val="20"/>
                <w:szCs w:val="20"/>
                <w:lang w:val="ro-MD"/>
              </w:rPr>
              <w:t>4</w:t>
            </w:r>
          </w:p>
        </w:tc>
        <w:tc>
          <w:tcPr>
            <w:tcW w:w="1805" w:type="dxa"/>
            <w:tcBorders>
              <w:top w:val="nil"/>
              <w:left w:val="nil"/>
              <w:bottom w:val="single" w:sz="4" w:space="0" w:color="auto"/>
              <w:right w:val="single" w:sz="4" w:space="0" w:color="auto"/>
            </w:tcBorders>
            <w:shd w:val="clear" w:color="auto" w:fill="auto"/>
            <w:noWrap/>
            <w:vAlign w:val="bottom"/>
            <w:hideMark/>
          </w:tcPr>
          <w:p w14:paraId="30A070B3" w14:textId="77777777" w:rsidR="00230444" w:rsidRPr="00B13B9A" w:rsidRDefault="00230444" w:rsidP="00230444">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310,4</w:t>
            </w:r>
          </w:p>
        </w:tc>
        <w:tc>
          <w:tcPr>
            <w:tcW w:w="1583" w:type="dxa"/>
            <w:tcBorders>
              <w:top w:val="nil"/>
              <w:left w:val="nil"/>
              <w:bottom w:val="single" w:sz="4" w:space="0" w:color="auto"/>
              <w:right w:val="single" w:sz="4" w:space="0" w:color="auto"/>
            </w:tcBorders>
            <w:shd w:val="clear" w:color="auto" w:fill="auto"/>
            <w:noWrap/>
            <w:vAlign w:val="bottom"/>
            <w:hideMark/>
          </w:tcPr>
          <w:p w14:paraId="16105560" w14:textId="77777777" w:rsidR="00230444" w:rsidRPr="00B13B9A" w:rsidRDefault="00230444" w:rsidP="00230444">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12,5</w:t>
            </w:r>
          </w:p>
        </w:tc>
      </w:tr>
    </w:tbl>
    <w:p w14:paraId="495E001D" w14:textId="3895A16D" w:rsidR="00230444" w:rsidRPr="003B2861" w:rsidRDefault="00FE6601" w:rsidP="00230444">
      <w:pPr>
        <w:pStyle w:val="a7"/>
        <w:spacing w:after="0" w:line="276" w:lineRule="auto"/>
        <w:ind w:left="0"/>
        <w:jc w:val="both"/>
        <w:rPr>
          <w:rFonts w:asciiTheme="majorHAnsi" w:hAnsiTheme="majorHAnsi" w:cstheme="majorHAnsi"/>
          <w:i/>
          <w:sz w:val="20"/>
          <w:szCs w:val="20"/>
          <w:lang w:val="ru-RU"/>
        </w:rPr>
      </w:pPr>
      <w:r>
        <w:rPr>
          <w:rFonts w:asciiTheme="majorHAnsi" w:hAnsiTheme="majorHAnsi" w:cstheme="majorHAnsi"/>
          <w:b/>
          <w:i/>
          <w:sz w:val="20"/>
          <w:szCs w:val="20"/>
          <w:lang w:val="ro-MD"/>
        </w:rPr>
        <w:t>Источник</w:t>
      </w:r>
      <w:r w:rsidR="00ED7321" w:rsidRPr="00B13B9A">
        <w:rPr>
          <w:rFonts w:asciiTheme="majorHAnsi" w:hAnsiTheme="majorHAnsi" w:cstheme="majorHAnsi"/>
          <w:b/>
          <w:i/>
          <w:sz w:val="20"/>
          <w:szCs w:val="20"/>
          <w:lang w:val="ro-MD"/>
        </w:rPr>
        <w:t>:</w:t>
      </w:r>
      <w:r w:rsidR="00ED7321" w:rsidRPr="00B13B9A">
        <w:rPr>
          <w:rFonts w:asciiTheme="majorHAnsi" w:hAnsiTheme="majorHAnsi" w:cstheme="majorHAnsi"/>
          <w:i/>
          <w:sz w:val="20"/>
          <w:szCs w:val="20"/>
          <w:lang w:val="ro-MD"/>
        </w:rPr>
        <w:t xml:space="preserve"> </w:t>
      </w:r>
      <w:r w:rsidR="003B2861" w:rsidRPr="003B2861">
        <w:rPr>
          <w:rFonts w:asciiTheme="majorHAnsi" w:hAnsiTheme="majorHAnsi" w:cstheme="majorHAnsi"/>
          <w:i/>
          <w:sz w:val="20"/>
          <w:szCs w:val="20"/>
          <w:lang w:val="ro-MD"/>
        </w:rPr>
        <w:t>Разработано на основе бухгалтерского учета</w:t>
      </w:r>
      <w:r w:rsidR="003B2861">
        <w:rPr>
          <w:rFonts w:asciiTheme="majorHAnsi" w:hAnsiTheme="majorHAnsi" w:cstheme="majorHAnsi"/>
          <w:i/>
          <w:sz w:val="20"/>
          <w:szCs w:val="20"/>
          <w:lang w:val="ru-RU"/>
        </w:rPr>
        <w:t>.</w:t>
      </w:r>
    </w:p>
    <w:p w14:paraId="363727A9" w14:textId="77777777" w:rsidR="00ED7321" w:rsidRPr="00B13B9A" w:rsidRDefault="00ED7321" w:rsidP="00230444">
      <w:pPr>
        <w:pStyle w:val="a7"/>
        <w:spacing w:after="0" w:line="276" w:lineRule="auto"/>
        <w:ind w:left="0"/>
        <w:jc w:val="both"/>
        <w:rPr>
          <w:rFonts w:asciiTheme="majorHAnsi" w:hAnsiTheme="majorHAnsi" w:cstheme="majorHAnsi"/>
          <w:sz w:val="24"/>
          <w:szCs w:val="24"/>
          <w:lang w:val="ro-MD"/>
        </w:rPr>
      </w:pPr>
    </w:p>
    <w:p w14:paraId="03EB1885" w14:textId="15E8C319" w:rsidR="005204D1" w:rsidRPr="005204D1" w:rsidRDefault="005204D1" w:rsidP="005204D1">
      <w:pPr>
        <w:pStyle w:val="a7"/>
        <w:spacing w:after="0" w:line="276" w:lineRule="auto"/>
        <w:ind w:left="0"/>
        <w:jc w:val="both"/>
        <w:rPr>
          <w:rFonts w:asciiTheme="majorHAnsi" w:hAnsiTheme="majorHAnsi" w:cstheme="majorHAnsi"/>
          <w:sz w:val="24"/>
          <w:szCs w:val="24"/>
          <w:lang w:val="ro-MD"/>
        </w:rPr>
      </w:pPr>
      <w:r w:rsidRPr="005204D1">
        <w:rPr>
          <w:rFonts w:asciiTheme="majorHAnsi" w:hAnsiTheme="majorHAnsi" w:cstheme="majorHAnsi"/>
          <w:sz w:val="24"/>
          <w:szCs w:val="24"/>
          <w:lang w:val="ro-MD"/>
        </w:rPr>
        <w:t>Аудиторский анализ показ</w:t>
      </w:r>
      <w:r w:rsidR="0056408F">
        <w:rPr>
          <w:rFonts w:asciiTheme="majorHAnsi" w:hAnsiTheme="majorHAnsi" w:cstheme="majorHAnsi"/>
          <w:sz w:val="24"/>
          <w:szCs w:val="24"/>
          <w:lang w:val="ru-RU"/>
        </w:rPr>
        <w:t>ал</w:t>
      </w:r>
      <w:r w:rsidRPr="005204D1">
        <w:rPr>
          <w:rFonts w:asciiTheme="majorHAnsi" w:hAnsiTheme="majorHAnsi" w:cstheme="majorHAnsi"/>
          <w:sz w:val="24"/>
          <w:szCs w:val="24"/>
          <w:lang w:val="ro-MD"/>
        </w:rPr>
        <w:t xml:space="preserve">, что </w:t>
      </w:r>
      <w:r w:rsidR="0056408F">
        <w:rPr>
          <w:rFonts w:asciiTheme="majorHAnsi" w:hAnsiTheme="majorHAnsi" w:cstheme="majorHAnsi"/>
          <w:sz w:val="24"/>
          <w:szCs w:val="24"/>
          <w:lang w:val="ru-RU"/>
        </w:rPr>
        <w:t>на</w:t>
      </w:r>
      <w:r w:rsidRPr="005204D1">
        <w:rPr>
          <w:rFonts w:asciiTheme="majorHAnsi" w:hAnsiTheme="majorHAnsi" w:cstheme="majorHAnsi"/>
          <w:sz w:val="24"/>
          <w:szCs w:val="24"/>
          <w:lang w:val="ro-MD"/>
        </w:rPr>
        <w:t xml:space="preserve"> </w:t>
      </w:r>
      <w:r w:rsidR="0056408F">
        <w:rPr>
          <w:rFonts w:asciiTheme="majorHAnsi" w:hAnsiTheme="majorHAnsi" w:cstheme="majorHAnsi"/>
          <w:sz w:val="24"/>
          <w:szCs w:val="24"/>
          <w:lang w:val="ru-RU"/>
        </w:rPr>
        <w:t>НФС</w:t>
      </w:r>
      <w:r w:rsidRPr="005204D1">
        <w:rPr>
          <w:rFonts w:asciiTheme="majorHAnsi" w:hAnsiTheme="majorHAnsi" w:cstheme="majorHAnsi"/>
          <w:sz w:val="24"/>
          <w:szCs w:val="24"/>
          <w:lang w:val="ro-MD"/>
        </w:rPr>
        <w:t xml:space="preserve"> лекарства хранятся в соответствии с правилами </w:t>
      </w:r>
      <w:r w:rsidR="0056408F">
        <w:rPr>
          <w:rFonts w:asciiTheme="majorHAnsi" w:hAnsiTheme="majorHAnsi" w:cstheme="majorHAnsi"/>
          <w:sz w:val="24"/>
          <w:szCs w:val="24"/>
          <w:lang w:val="ru-RU"/>
        </w:rPr>
        <w:t xml:space="preserve">их </w:t>
      </w:r>
      <w:r w:rsidRPr="005204D1">
        <w:rPr>
          <w:rFonts w:asciiTheme="majorHAnsi" w:hAnsiTheme="majorHAnsi" w:cstheme="majorHAnsi"/>
          <w:sz w:val="24"/>
          <w:szCs w:val="24"/>
          <w:lang w:val="ro-MD"/>
        </w:rPr>
        <w:t>хранения</w:t>
      </w:r>
      <w:r w:rsidR="0056408F" w:rsidRPr="00B13B9A">
        <w:rPr>
          <w:rStyle w:val="a9"/>
          <w:rFonts w:asciiTheme="majorHAnsi" w:hAnsiTheme="majorHAnsi" w:cstheme="majorHAnsi"/>
          <w:sz w:val="24"/>
          <w:szCs w:val="24"/>
          <w:lang w:val="ro-MD"/>
        </w:rPr>
        <w:footnoteReference w:id="75"/>
      </w:r>
      <w:r w:rsidRPr="005204D1">
        <w:rPr>
          <w:rFonts w:asciiTheme="majorHAnsi" w:hAnsiTheme="majorHAnsi" w:cstheme="majorHAnsi"/>
          <w:sz w:val="24"/>
          <w:szCs w:val="24"/>
          <w:lang w:val="ro-MD"/>
        </w:rPr>
        <w:t xml:space="preserve">. </w:t>
      </w:r>
      <w:r w:rsidR="0056408F">
        <w:rPr>
          <w:rFonts w:asciiTheme="majorHAnsi" w:hAnsiTheme="majorHAnsi" w:cstheme="majorHAnsi"/>
          <w:sz w:val="24"/>
          <w:szCs w:val="24"/>
          <w:lang w:val="ru-RU"/>
        </w:rPr>
        <w:t>Кроме того,</w:t>
      </w:r>
      <w:r w:rsidRPr="005204D1">
        <w:rPr>
          <w:rFonts w:asciiTheme="majorHAnsi" w:hAnsiTheme="majorHAnsi" w:cstheme="majorHAnsi"/>
          <w:sz w:val="24"/>
          <w:szCs w:val="24"/>
          <w:lang w:val="ro-MD"/>
        </w:rPr>
        <w:t xml:space="preserve"> при приеме </w:t>
      </w:r>
      <w:r w:rsidR="0056408F">
        <w:rPr>
          <w:rFonts w:asciiTheme="majorHAnsi" w:hAnsiTheme="majorHAnsi" w:cstheme="majorHAnsi"/>
          <w:sz w:val="24"/>
          <w:szCs w:val="24"/>
          <w:lang w:val="ru-RU"/>
        </w:rPr>
        <w:t>медикаментов</w:t>
      </w:r>
      <w:r w:rsidRPr="005204D1">
        <w:rPr>
          <w:rFonts w:asciiTheme="majorHAnsi" w:hAnsiTheme="majorHAnsi" w:cstheme="majorHAnsi"/>
          <w:sz w:val="24"/>
          <w:szCs w:val="24"/>
          <w:lang w:val="ro-MD"/>
        </w:rPr>
        <w:t xml:space="preserve"> рассчитывается </w:t>
      </w:r>
      <w:r w:rsidR="0056408F">
        <w:rPr>
          <w:rFonts w:asciiTheme="majorHAnsi" w:hAnsiTheme="majorHAnsi" w:cstheme="majorHAnsi"/>
          <w:sz w:val="24"/>
          <w:szCs w:val="24"/>
          <w:lang w:val="ru-RU"/>
        </w:rPr>
        <w:t>остаточ</w:t>
      </w:r>
      <w:r w:rsidRPr="005204D1">
        <w:rPr>
          <w:rFonts w:asciiTheme="majorHAnsi" w:hAnsiTheme="majorHAnsi" w:cstheme="majorHAnsi"/>
          <w:sz w:val="24"/>
          <w:szCs w:val="24"/>
          <w:lang w:val="ro-MD"/>
        </w:rPr>
        <w:t>ный срок годности, который составляет не менее 80% от общего срока годности. Впоследствии</w:t>
      </w:r>
      <w:r w:rsidR="0056408F">
        <w:rPr>
          <w:rFonts w:asciiTheme="majorHAnsi" w:hAnsiTheme="majorHAnsi" w:cstheme="majorHAnsi"/>
          <w:sz w:val="24"/>
          <w:szCs w:val="24"/>
          <w:lang w:val="ru-RU"/>
        </w:rPr>
        <w:t>,</w:t>
      </w:r>
      <w:r w:rsidRPr="005204D1">
        <w:rPr>
          <w:rFonts w:asciiTheme="majorHAnsi" w:hAnsiTheme="majorHAnsi" w:cstheme="majorHAnsi"/>
          <w:sz w:val="24"/>
          <w:szCs w:val="24"/>
          <w:lang w:val="ro-MD"/>
        </w:rPr>
        <w:t xml:space="preserve"> распр</w:t>
      </w:r>
      <w:r w:rsidR="0056408F">
        <w:rPr>
          <w:rFonts w:asciiTheme="majorHAnsi" w:hAnsiTheme="majorHAnsi" w:cstheme="majorHAnsi"/>
          <w:sz w:val="24"/>
          <w:szCs w:val="24"/>
          <w:lang w:val="ru-RU"/>
        </w:rPr>
        <w:t>едел</w:t>
      </w:r>
      <w:r w:rsidRPr="005204D1">
        <w:rPr>
          <w:rFonts w:asciiTheme="majorHAnsi" w:hAnsiTheme="majorHAnsi" w:cstheme="majorHAnsi"/>
          <w:sz w:val="24"/>
          <w:szCs w:val="24"/>
          <w:lang w:val="ro-MD"/>
        </w:rPr>
        <w:t>ение лекарств происходит ежеквартально</w:t>
      </w:r>
      <w:r w:rsidR="0056408F">
        <w:rPr>
          <w:rFonts w:asciiTheme="majorHAnsi" w:hAnsiTheme="majorHAnsi" w:cstheme="majorHAnsi"/>
          <w:sz w:val="24"/>
          <w:szCs w:val="24"/>
          <w:lang w:val="ru-RU"/>
        </w:rPr>
        <w:t>,</w:t>
      </w:r>
      <w:r w:rsidRPr="005204D1">
        <w:rPr>
          <w:rFonts w:asciiTheme="majorHAnsi" w:hAnsiTheme="majorHAnsi" w:cstheme="majorHAnsi"/>
          <w:sz w:val="24"/>
          <w:szCs w:val="24"/>
          <w:lang w:val="ro-MD"/>
        </w:rPr>
        <w:t xml:space="preserve"> в соответствии с планом распределения, разработанным Координационным </w:t>
      </w:r>
      <w:r w:rsidR="0056408F">
        <w:rPr>
          <w:rFonts w:asciiTheme="majorHAnsi" w:hAnsiTheme="majorHAnsi" w:cstheme="majorHAnsi"/>
          <w:sz w:val="24"/>
          <w:szCs w:val="24"/>
          <w:lang w:val="ru-RU"/>
        </w:rPr>
        <w:t>департамент</w:t>
      </w:r>
      <w:r w:rsidRPr="005204D1">
        <w:rPr>
          <w:rFonts w:asciiTheme="majorHAnsi" w:hAnsiTheme="majorHAnsi" w:cstheme="majorHAnsi"/>
          <w:sz w:val="24"/>
          <w:szCs w:val="24"/>
          <w:lang w:val="ro-MD"/>
        </w:rPr>
        <w:t xml:space="preserve">ом </w:t>
      </w:r>
      <w:r w:rsidR="00592558">
        <w:rPr>
          <w:rFonts w:asciiTheme="majorHAnsi" w:hAnsiTheme="majorHAnsi" w:cstheme="majorHAnsi"/>
          <w:sz w:val="24"/>
          <w:szCs w:val="24"/>
          <w:lang w:val="ro-MD"/>
        </w:rPr>
        <w:t>НПБТ</w:t>
      </w:r>
      <w:r w:rsidRPr="005204D1">
        <w:rPr>
          <w:rFonts w:asciiTheme="majorHAnsi" w:hAnsiTheme="majorHAnsi" w:cstheme="majorHAnsi"/>
          <w:sz w:val="24"/>
          <w:szCs w:val="24"/>
          <w:lang w:val="ro-MD"/>
        </w:rPr>
        <w:t xml:space="preserve"> и одобренным Министерством здравоохранения. При этом</w:t>
      </w:r>
      <w:r w:rsidR="0056408F">
        <w:rPr>
          <w:rFonts w:asciiTheme="majorHAnsi" w:hAnsiTheme="majorHAnsi" w:cstheme="majorHAnsi"/>
          <w:sz w:val="24"/>
          <w:szCs w:val="24"/>
          <w:lang w:val="ru-RU"/>
        </w:rPr>
        <w:t>,</w:t>
      </w:r>
      <w:r w:rsidRPr="005204D1">
        <w:rPr>
          <w:rFonts w:asciiTheme="majorHAnsi" w:hAnsiTheme="majorHAnsi" w:cstheme="majorHAnsi"/>
          <w:sz w:val="24"/>
          <w:szCs w:val="24"/>
          <w:lang w:val="ro-MD"/>
        </w:rPr>
        <w:t xml:space="preserve"> минимальный запас и максимально рекомендуемый запас для </w:t>
      </w:r>
      <w:r w:rsidR="0056408F">
        <w:rPr>
          <w:rFonts w:asciiTheme="majorHAnsi" w:hAnsiTheme="majorHAnsi" w:cstheme="majorHAnsi"/>
          <w:sz w:val="24"/>
          <w:szCs w:val="24"/>
          <w:lang w:val="ru-RU"/>
        </w:rPr>
        <w:t>надлежаще</w:t>
      </w:r>
      <w:r w:rsidRPr="005204D1">
        <w:rPr>
          <w:rFonts w:asciiTheme="majorHAnsi" w:hAnsiTheme="majorHAnsi" w:cstheme="majorHAnsi"/>
          <w:sz w:val="24"/>
          <w:szCs w:val="24"/>
          <w:lang w:val="ro-MD"/>
        </w:rPr>
        <w:t>го функционирования системы снабжения составляют</w:t>
      </w:r>
      <w:r w:rsidR="0056408F">
        <w:rPr>
          <w:rFonts w:asciiTheme="majorHAnsi" w:hAnsiTheme="majorHAnsi" w:cstheme="majorHAnsi"/>
          <w:sz w:val="24"/>
          <w:szCs w:val="24"/>
          <w:lang w:val="ru-RU"/>
        </w:rPr>
        <w:t>,</w:t>
      </w:r>
      <w:r w:rsidRPr="005204D1">
        <w:rPr>
          <w:rFonts w:asciiTheme="majorHAnsi" w:hAnsiTheme="majorHAnsi" w:cstheme="majorHAnsi"/>
          <w:sz w:val="24"/>
          <w:szCs w:val="24"/>
          <w:lang w:val="ro-MD"/>
        </w:rPr>
        <w:t xml:space="preserve"> соответственно</w:t>
      </w:r>
      <w:r w:rsidR="0056408F">
        <w:rPr>
          <w:rFonts w:asciiTheme="majorHAnsi" w:hAnsiTheme="majorHAnsi" w:cstheme="majorHAnsi"/>
          <w:sz w:val="24"/>
          <w:szCs w:val="24"/>
          <w:lang w:val="ru-RU"/>
        </w:rPr>
        <w:t>,</w:t>
      </w:r>
      <w:r w:rsidRPr="005204D1">
        <w:rPr>
          <w:rFonts w:asciiTheme="majorHAnsi" w:hAnsiTheme="majorHAnsi" w:cstheme="majorHAnsi"/>
          <w:sz w:val="24"/>
          <w:szCs w:val="24"/>
          <w:lang w:val="ro-MD"/>
        </w:rPr>
        <w:t xml:space="preserve"> 6 и 9 месяцев</w:t>
      </w:r>
      <w:r w:rsidR="0056408F" w:rsidRPr="00B13B9A">
        <w:rPr>
          <w:rStyle w:val="a9"/>
          <w:rFonts w:asciiTheme="majorHAnsi" w:hAnsiTheme="majorHAnsi" w:cstheme="majorHAnsi"/>
          <w:sz w:val="24"/>
          <w:szCs w:val="24"/>
          <w:lang w:val="ro-MD"/>
        </w:rPr>
        <w:footnoteReference w:id="76"/>
      </w:r>
      <w:r w:rsidRPr="005204D1">
        <w:rPr>
          <w:rFonts w:asciiTheme="majorHAnsi" w:hAnsiTheme="majorHAnsi" w:cstheme="majorHAnsi"/>
          <w:sz w:val="24"/>
          <w:szCs w:val="24"/>
          <w:lang w:val="ro-MD"/>
        </w:rPr>
        <w:t xml:space="preserve">, запас противотуберкулезных препаратов по состоянию на 30.06.2023 составил 20 463,0 тыс. леев. </w:t>
      </w:r>
    </w:p>
    <w:p w14:paraId="03A6D3E3" w14:textId="78ABFB45" w:rsidR="00B37661" w:rsidRPr="00B13B9A" w:rsidRDefault="0056408F" w:rsidP="00B37661">
      <w:pPr>
        <w:pStyle w:val="a7"/>
        <w:spacing w:after="0" w:line="276" w:lineRule="auto"/>
        <w:ind w:left="0"/>
        <w:jc w:val="both"/>
        <w:rPr>
          <w:rFonts w:asciiTheme="majorHAnsi" w:hAnsiTheme="majorHAnsi" w:cstheme="majorHAnsi"/>
          <w:sz w:val="24"/>
          <w:szCs w:val="24"/>
          <w:lang w:val="ro-MD"/>
        </w:rPr>
      </w:pPr>
      <w:r>
        <w:rPr>
          <w:rFonts w:asciiTheme="majorHAnsi" w:hAnsiTheme="majorHAnsi" w:cstheme="majorHAnsi"/>
          <w:sz w:val="24"/>
          <w:szCs w:val="24"/>
          <w:lang w:val="ru-RU"/>
        </w:rPr>
        <w:t>А</w:t>
      </w:r>
      <w:r w:rsidR="005204D1" w:rsidRPr="005204D1">
        <w:rPr>
          <w:rFonts w:asciiTheme="majorHAnsi" w:hAnsiTheme="majorHAnsi" w:cstheme="majorHAnsi"/>
          <w:sz w:val="24"/>
          <w:szCs w:val="24"/>
          <w:lang w:val="ro-MD"/>
        </w:rPr>
        <w:t>удит</w:t>
      </w:r>
      <w:r>
        <w:rPr>
          <w:rFonts w:asciiTheme="majorHAnsi" w:hAnsiTheme="majorHAnsi" w:cstheme="majorHAnsi"/>
          <w:sz w:val="24"/>
          <w:szCs w:val="24"/>
          <w:lang w:val="ru-RU"/>
        </w:rPr>
        <w:t>орские п</w:t>
      </w:r>
      <w:r w:rsidRPr="005204D1">
        <w:rPr>
          <w:rFonts w:asciiTheme="majorHAnsi" w:hAnsiTheme="majorHAnsi" w:cstheme="majorHAnsi"/>
          <w:sz w:val="24"/>
          <w:szCs w:val="24"/>
          <w:lang w:val="ro-MD"/>
        </w:rPr>
        <w:t xml:space="preserve">роверки </w:t>
      </w:r>
      <w:r>
        <w:rPr>
          <w:rFonts w:asciiTheme="majorHAnsi" w:hAnsiTheme="majorHAnsi" w:cstheme="majorHAnsi"/>
          <w:sz w:val="24"/>
          <w:szCs w:val="24"/>
          <w:lang w:val="ru-RU"/>
        </w:rPr>
        <w:t>путем</w:t>
      </w:r>
      <w:r w:rsidR="005204D1" w:rsidRPr="005204D1">
        <w:rPr>
          <w:rFonts w:asciiTheme="majorHAnsi" w:hAnsiTheme="majorHAnsi" w:cstheme="majorHAnsi"/>
          <w:sz w:val="24"/>
          <w:szCs w:val="24"/>
          <w:lang w:val="ro-MD"/>
        </w:rPr>
        <w:t xml:space="preserve"> анализа, сопоставления информации и проведения инвентаризации на месте</w:t>
      </w:r>
      <w:r>
        <w:rPr>
          <w:rFonts w:asciiTheme="majorHAnsi" w:hAnsiTheme="majorHAnsi" w:cstheme="majorHAnsi"/>
          <w:sz w:val="24"/>
          <w:szCs w:val="24"/>
          <w:lang w:val="ru-RU"/>
        </w:rPr>
        <w:t>,</w:t>
      </w:r>
      <w:r w:rsidR="005204D1" w:rsidRPr="005204D1">
        <w:rPr>
          <w:rFonts w:asciiTheme="majorHAnsi" w:hAnsiTheme="majorHAnsi" w:cstheme="majorHAnsi"/>
          <w:sz w:val="24"/>
          <w:szCs w:val="24"/>
          <w:lang w:val="ro-MD"/>
        </w:rPr>
        <w:t xml:space="preserve"> не выявили несоответствий</w:t>
      </w:r>
      <w:r w:rsidR="00B37661" w:rsidRPr="00B13B9A">
        <w:rPr>
          <w:rFonts w:asciiTheme="majorHAnsi" w:hAnsiTheme="majorHAnsi" w:cstheme="majorHAnsi"/>
          <w:sz w:val="24"/>
          <w:szCs w:val="24"/>
          <w:lang w:val="ro-MD"/>
        </w:rPr>
        <w:t xml:space="preserve">. </w:t>
      </w:r>
    </w:p>
    <w:p w14:paraId="321B6AA1" w14:textId="4E2FC023" w:rsidR="00B37661" w:rsidRPr="00B13B9A" w:rsidRDefault="005204D1" w:rsidP="00591955">
      <w:pPr>
        <w:pStyle w:val="a7"/>
        <w:spacing w:after="0" w:line="276" w:lineRule="auto"/>
        <w:ind w:left="0"/>
        <w:jc w:val="both"/>
        <w:rPr>
          <w:rFonts w:asciiTheme="majorHAnsi" w:eastAsia="Times New Roman" w:hAnsiTheme="majorHAnsi" w:cstheme="majorHAnsi"/>
          <w:color w:val="000000"/>
          <w:sz w:val="24"/>
          <w:szCs w:val="24"/>
          <w:lang w:val="ro-MD"/>
        </w:rPr>
      </w:pPr>
      <w:r w:rsidRPr="005204D1">
        <w:rPr>
          <w:rFonts w:asciiTheme="majorHAnsi" w:hAnsiTheme="majorHAnsi" w:cstheme="majorHAnsi"/>
          <w:sz w:val="24"/>
          <w:szCs w:val="24"/>
          <w:lang w:val="ro-MD"/>
        </w:rPr>
        <w:t>Что касается лекарств</w:t>
      </w:r>
      <w:r w:rsidR="00540490">
        <w:rPr>
          <w:rFonts w:asciiTheme="majorHAnsi" w:hAnsiTheme="majorHAnsi" w:cstheme="majorHAnsi"/>
          <w:sz w:val="24"/>
          <w:szCs w:val="24"/>
          <w:lang w:val="ru-RU"/>
        </w:rPr>
        <w:t>енных препаратов</w:t>
      </w:r>
      <w:r w:rsidRPr="005204D1">
        <w:rPr>
          <w:rFonts w:asciiTheme="majorHAnsi" w:hAnsiTheme="majorHAnsi" w:cstheme="majorHAnsi"/>
          <w:sz w:val="24"/>
          <w:szCs w:val="24"/>
          <w:lang w:val="ro-MD"/>
        </w:rPr>
        <w:t>,</w:t>
      </w:r>
      <w:r w:rsidR="00540490">
        <w:rPr>
          <w:rFonts w:asciiTheme="majorHAnsi" w:hAnsiTheme="majorHAnsi" w:cstheme="majorHAnsi"/>
          <w:sz w:val="24"/>
          <w:szCs w:val="24"/>
          <w:lang w:val="ru-RU"/>
        </w:rPr>
        <w:t xml:space="preserve"> необходимых </w:t>
      </w:r>
      <w:r w:rsidR="00BF154B">
        <w:rPr>
          <w:rFonts w:asciiTheme="majorHAnsi" w:hAnsiTheme="majorHAnsi" w:cstheme="majorHAnsi"/>
          <w:sz w:val="24"/>
          <w:szCs w:val="24"/>
          <w:lang w:val="ru-RU"/>
        </w:rPr>
        <w:t>на</w:t>
      </w:r>
      <w:r w:rsidR="00540490">
        <w:rPr>
          <w:rFonts w:asciiTheme="majorHAnsi" w:hAnsiTheme="majorHAnsi" w:cstheme="majorHAnsi"/>
          <w:sz w:val="24"/>
          <w:szCs w:val="24"/>
          <w:lang w:val="ru-RU"/>
        </w:rPr>
        <w:t xml:space="preserve"> </w:t>
      </w:r>
      <w:r w:rsidR="00BF154B">
        <w:rPr>
          <w:rFonts w:asciiTheme="majorHAnsi" w:hAnsiTheme="majorHAnsi" w:cstheme="majorHAnsi"/>
          <w:sz w:val="24"/>
          <w:szCs w:val="24"/>
          <w:lang w:val="ro-MD"/>
        </w:rPr>
        <w:t>ФСУ</w:t>
      </w:r>
      <w:r w:rsidR="00540490">
        <w:rPr>
          <w:rFonts w:asciiTheme="majorHAnsi" w:hAnsiTheme="majorHAnsi" w:cstheme="majorHAnsi"/>
          <w:sz w:val="24"/>
          <w:szCs w:val="24"/>
          <w:lang w:val="ru-RU"/>
        </w:rPr>
        <w:t>,</w:t>
      </w:r>
      <w:r w:rsidRPr="005204D1">
        <w:rPr>
          <w:rFonts w:asciiTheme="majorHAnsi" w:hAnsiTheme="majorHAnsi" w:cstheme="majorHAnsi"/>
          <w:sz w:val="24"/>
          <w:szCs w:val="24"/>
          <w:lang w:val="ro-MD"/>
        </w:rPr>
        <w:t xml:space="preserve"> аудит </w:t>
      </w:r>
      <w:r w:rsidR="00540490">
        <w:rPr>
          <w:rFonts w:asciiTheme="majorHAnsi" w:hAnsiTheme="majorHAnsi" w:cstheme="majorHAnsi"/>
          <w:sz w:val="24"/>
          <w:szCs w:val="24"/>
          <w:lang w:val="ru-RU"/>
        </w:rPr>
        <w:t>отмеч</w:t>
      </w:r>
      <w:r w:rsidRPr="005204D1">
        <w:rPr>
          <w:rFonts w:asciiTheme="majorHAnsi" w:hAnsiTheme="majorHAnsi" w:cstheme="majorHAnsi"/>
          <w:sz w:val="24"/>
          <w:szCs w:val="24"/>
          <w:lang w:val="ro-MD"/>
        </w:rPr>
        <w:t xml:space="preserve">ает, что они предназначены для обеспечения внутренних потребностей в лекарствах. Так, для приобретения </w:t>
      </w:r>
      <w:r w:rsidR="00540490" w:rsidRPr="005204D1">
        <w:rPr>
          <w:rFonts w:asciiTheme="majorHAnsi" w:hAnsiTheme="majorHAnsi" w:cstheme="majorHAnsi"/>
          <w:sz w:val="24"/>
          <w:szCs w:val="24"/>
          <w:lang w:val="ro-MD"/>
        </w:rPr>
        <w:t>лекарств</w:t>
      </w:r>
      <w:r w:rsidR="00540490">
        <w:rPr>
          <w:rFonts w:asciiTheme="majorHAnsi" w:hAnsiTheme="majorHAnsi" w:cstheme="majorHAnsi"/>
          <w:sz w:val="24"/>
          <w:szCs w:val="24"/>
          <w:lang w:val="ru-RU"/>
        </w:rPr>
        <w:t>,</w:t>
      </w:r>
      <w:r w:rsidR="00540490" w:rsidRPr="005204D1">
        <w:rPr>
          <w:rFonts w:asciiTheme="majorHAnsi" w:hAnsiTheme="majorHAnsi" w:cstheme="majorHAnsi"/>
          <w:sz w:val="24"/>
          <w:szCs w:val="24"/>
          <w:lang w:val="ro-MD"/>
        </w:rPr>
        <w:t xml:space="preserve"> </w:t>
      </w:r>
      <w:r w:rsidRPr="005204D1">
        <w:rPr>
          <w:rFonts w:asciiTheme="majorHAnsi" w:hAnsiTheme="majorHAnsi" w:cstheme="majorHAnsi"/>
          <w:sz w:val="24"/>
          <w:szCs w:val="24"/>
          <w:lang w:val="ro-MD"/>
        </w:rPr>
        <w:t xml:space="preserve">необходимых в </w:t>
      </w:r>
      <w:r w:rsidR="00BF154B">
        <w:rPr>
          <w:rFonts w:asciiTheme="majorHAnsi" w:hAnsiTheme="majorHAnsi" w:cstheme="majorHAnsi"/>
          <w:sz w:val="24"/>
          <w:szCs w:val="24"/>
          <w:lang w:val="ro-MD"/>
        </w:rPr>
        <w:t>ФСУ</w:t>
      </w:r>
      <w:r w:rsidR="00540490">
        <w:rPr>
          <w:rFonts w:asciiTheme="majorHAnsi" w:hAnsiTheme="majorHAnsi" w:cstheme="majorHAnsi"/>
          <w:sz w:val="24"/>
          <w:szCs w:val="24"/>
          <w:lang w:val="ru-RU"/>
        </w:rPr>
        <w:t>,</w:t>
      </w:r>
      <w:r w:rsidRPr="005204D1">
        <w:rPr>
          <w:rFonts w:asciiTheme="majorHAnsi" w:hAnsiTheme="majorHAnsi" w:cstheme="majorHAnsi"/>
          <w:sz w:val="24"/>
          <w:szCs w:val="24"/>
          <w:lang w:val="ro-MD"/>
        </w:rPr>
        <w:t xml:space="preserve"> использовались следующие финансовые средства: </w:t>
      </w:r>
      <w:r w:rsidRPr="00540490">
        <w:rPr>
          <w:rFonts w:asciiTheme="majorHAnsi" w:hAnsiTheme="majorHAnsi" w:cstheme="majorHAnsi"/>
          <w:i/>
          <w:sz w:val="24"/>
          <w:szCs w:val="24"/>
          <w:lang w:val="ro-MD"/>
        </w:rPr>
        <w:t>в 2021 году</w:t>
      </w:r>
      <w:r w:rsidR="00540490" w:rsidRPr="00540490">
        <w:rPr>
          <w:rFonts w:asciiTheme="majorHAnsi" w:hAnsiTheme="majorHAnsi" w:cstheme="majorHAnsi"/>
          <w:i/>
          <w:sz w:val="24"/>
          <w:szCs w:val="24"/>
          <w:lang w:val="ru-RU"/>
        </w:rPr>
        <w:t xml:space="preserve"> </w:t>
      </w:r>
      <w:r w:rsidRPr="00540490">
        <w:rPr>
          <w:rFonts w:asciiTheme="majorHAnsi" w:hAnsiTheme="majorHAnsi" w:cstheme="majorHAnsi"/>
          <w:i/>
          <w:sz w:val="24"/>
          <w:szCs w:val="24"/>
          <w:lang w:val="ro-MD"/>
        </w:rPr>
        <w:t>-</w:t>
      </w:r>
      <w:r w:rsidR="00540490" w:rsidRPr="00540490">
        <w:rPr>
          <w:rFonts w:asciiTheme="majorHAnsi" w:hAnsiTheme="majorHAnsi" w:cstheme="majorHAnsi"/>
          <w:i/>
          <w:sz w:val="24"/>
          <w:szCs w:val="24"/>
          <w:lang w:val="ru-RU"/>
        </w:rPr>
        <w:t xml:space="preserve"> </w:t>
      </w:r>
      <w:r w:rsidRPr="00540490">
        <w:rPr>
          <w:rFonts w:asciiTheme="majorHAnsi" w:hAnsiTheme="majorHAnsi" w:cstheme="majorHAnsi"/>
          <w:i/>
          <w:sz w:val="24"/>
          <w:szCs w:val="24"/>
          <w:lang w:val="ro-MD"/>
        </w:rPr>
        <w:t xml:space="preserve">5 319,3 тыс. леев; в 2022 году – 3 391,5 тыс. леев, </w:t>
      </w:r>
      <w:r w:rsidR="00540490">
        <w:rPr>
          <w:rFonts w:asciiTheme="majorHAnsi" w:hAnsiTheme="majorHAnsi" w:cstheme="majorHAnsi"/>
          <w:i/>
          <w:sz w:val="24"/>
          <w:szCs w:val="24"/>
          <w:lang w:val="ru-RU"/>
        </w:rPr>
        <w:t>и</w:t>
      </w:r>
      <w:r w:rsidRPr="00540490">
        <w:rPr>
          <w:rFonts w:asciiTheme="majorHAnsi" w:hAnsiTheme="majorHAnsi" w:cstheme="majorHAnsi"/>
          <w:i/>
          <w:sz w:val="24"/>
          <w:szCs w:val="24"/>
          <w:lang w:val="ro-MD"/>
        </w:rPr>
        <w:t xml:space="preserve"> в 2023 году (6 месяцев) – 1 907,7 тыс. леев</w:t>
      </w:r>
      <w:r w:rsidRPr="005204D1">
        <w:rPr>
          <w:rFonts w:asciiTheme="majorHAnsi" w:hAnsiTheme="majorHAnsi" w:cstheme="majorHAnsi"/>
          <w:sz w:val="24"/>
          <w:szCs w:val="24"/>
          <w:lang w:val="ro-MD"/>
        </w:rPr>
        <w:t xml:space="preserve">. В течение 2022 года для </w:t>
      </w:r>
      <w:r w:rsidR="00540490">
        <w:rPr>
          <w:rFonts w:asciiTheme="majorHAnsi" w:hAnsiTheme="majorHAnsi" w:cstheme="majorHAnsi"/>
          <w:sz w:val="24"/>
          <w:szCs w:val="24"/>
          <w:lang w:val="ru-RU"/>
        </w:rPr>
        <w:t>по</w:t>
      </w:r>
      <w:r w:rsidRPr="005204D1">
        <w:rPr>
          <w:rFonts w:asciiTheme="majorHAnsi" w:hAnsiTheme="majorHAnsi" w:cstheme="majorHAnsi"/>
          <w:sz w:val="24"/>
          <w:szCs w:val="24"/>
          <w:lang w:val="ro-MD"/>
        </w:rPr>
        <w:t xml:space="preserve">полнения потребности в лекарствах </w:t>
      </w:r>
      <w:r w:rsidR="00BF154B">
        <w:rPr>
          <w:rFonts w:asciiTheme="majorHAnsi" w:hAnsiTheme="majorHAnsi" w:cstheme="majorHAnsi"/>
          <w:sz w:val="24"/>
          <w:szCs w:val="24"/>
          <w:lang w:val="ru-RU"/>
        </w:rPr>
        <w:t>на</w:t>
      </w:r>
      <w:r w:rsidRPr="005204D1">
        <w:rPr>
          <w:rFonts w:asciiTheme="majorHAnsi" w:hAnsiTheme="majorHAnsi" w:cstheme="majorHAnsi"/>
          <w:sz w:val="24"/>
          <w:szCs w:val="24"/>
          <w:lang w:val="ro-MD"/>
        </w:rPr>
        <w:t xml:space="preserve"> </w:t>
      </w:r>
      <w:r w:rsidR="00BF154B">
        <w:rPr>
          <w:rFonts w:asciiTheme="majorHAnsi" w:hAnsiTheme="majorHAnsi" w:cstheme="majorHAnsi"/>
          <w:sz w:val="24"/>
          <w:szCs w:val="24"/>
          <w:lang w:val="ro-MD"/>
        </w:rPr>
        <w:t>ФСУ</w:t>
      </w:r>
      <w:r w:rsidR="00540490">
        <w:rPr>
          <w:rFonts w:asciiTheme="majorHAnsi" w:hAnsiTheme="majorHAnsi" w:cstheme="majorHAnsi"/>
          <w:sz w:val="24"/>
          <w:szCs w:val="24"/>
          <w:lang w:val="ru-RU"/>
        </w:rPr>
        <w:t>,</w:t>
      </w:r>
      <w:r w:rsidRPr="005204D1">
        <w:rPr>
          <w:rFonts w:asciiTheme="majorHAnsi" w:hAnsiTheme="majorHAnsi" w:cstheme="majorHAnsi"/>
          <w:sz w:val="24"/>
          <w:szCs w:val="24"/>
          <w:lang w:val="ro-MD"/>
        </w:rPr>
        <w:t xml:space="preserve"> было заключено 45 </w:t>
      </w:r>
      <w:r w:rsidR="00F93C47">
        <w:rPr>
          <w:rFonts w:asciiTheme="majorHAnsi" w:hAnsiTheme="majorHAnsi" w:cstheme="majorHAnsi"/>
          <w:sz w:val="24"/>
          <w:szCs w:val="24"/>
          <w:lang w:val="ro-MD"/>
        </w:rPr>
        <w:t>договор</w:t>
      </w:r>
      <w:r w:rsidRPr="005204D1">
        <w:rPr>
          <w:rFonts w:asciiTheme="majorHAnsi" w:hAnsiTheme="majorHAnsi" w:cstheme="majorHAnsi"/>
          <w:sz w:val="24"/>
          <w:szCs w:val="24"/>
          <w:lang w:val="ro-MD"/>
        </w:rPr>
        <w:t xml:space="preserve">ов с 10 экономическими агентами. Таким образом, </w:t>
      </w:r>
      <w:r w:rsidR="00540490">
        <w:rPr>
          <w:rFonts w:asciiTheme="majorHAnsi" w:hAnsiTheme="majorHAnsi" w:cstheme="majorHAnsi"/>
          <w:sz w:val="24"/>
          <w:szCs w:val="24"/>
          <w:lang w:val="ru-RU"/>
        </w:rPr>
        <w:t>отмечается</w:t>
      </w:r>
      <w:r w:rsidRPr="005204D1">
        <w:rPr>
          <w:rFonts w:asciiTheme="majorHAnsi" w:hAnsiTheme="majorHAnsi" w:cstheme="majorHAnsi"/>
          <w:sz w:val="24"/>
          <w:szCs w:val="24"/>
          <w:lang w:val="ro-MD"/>
        </w:rPr>
        <w:t xml:space="preserve">, что из 45 </w:t>
      </w:r>
      <w:r w:rsidR="00F93C47">
        <w:rPr>
          <w:rFonts w:asciiTheme="majorHAnsi" w:hAnsiTheme="majorHAnsi" w:cstheme="majorHAnsi"/>
          <w:sz w:val="24"/>
          <w:szCs w:val="24"/>
          <w:lang w:val="ro-MD"/>
        </w:rPr>
        <w:t>договор</w:t>
      </w:r>
      <w:r w:rsidRPr="005204D1">
        <w:rPr>
          <w:rFonts w:asciiTheme="majorHAnsi" w:hAnsiTheme="majorHAnsi" w:cstheme="majorHAnsi"/>
          <w:sz w:val="24"/>
          <w:szCs w:val="24"/>
          <w:lang w:val="ro-MD"/>
        </w:rPr>
        <w:t xml:space="preserve">ов только 16 были </w:t>
      </w:r>
      <w:r w:rsidR="00540490">
        <w:rPr>
          <w:rFonts w:asciiTheme="majorHAnsi" w:hAnsiTheme="majorHAnsi" w:cstheme="majorHAnsi"/>
          <w:sz w:val="24"/>
          <w:szCs w:val="24"/>
          <w:lang w:val="ru-RU"/>
        </w:rPr>
        <w:t>ис</w:t>
      </w:r>
      <w:r w:rsidRPr="005204D1">
        <w:rPr>
          <w:rFonts w:asciiTheme="majorHAnsi" w:hAnsiTheme="majorHAnsi" w:cstheme="majorHAnsi"/>
          <w:sz w:val="24"/>
          <w:szCs w:val="24"/>
          <w:lang w:val="ro-MD"/>
        </w:rPr>
        <w:t xml:space="preserve">полнены на </w:t>
      </w:r>
      <w:r w:rsidR="00540490" w:rsidRPr="005204D1">
        <w:rPr>
          <w:rFonts w:asciiTheme="majorHAnsi" w:hAnsiTheme="majorHAnsi" w:cstheme="majorHAnsi"/>
          <w:sz w:val="24"/>
          <w:szCs w:val="24"/>
          <w:lang w:val="ro-MD"/>
        </w:rPr>
        <w:t>100%</w:t>
      </w:r>
      <w:r w:rsidR="00540490">
        <w:rPr>
          <w:rFonts w:asciiTheme="majorHAnsi" w:hAnsiTheme="majorHAnsi" w:cstheme="majorHAnsi"/>
          <w:sz w:val="24"/>
          <w:szCs w:val="24"/>
          <w:lang w:val="ru-RU"/>
        </w:rPr>
        <w:t xml:space="preserve"> </w:t>
      </w:r>
      <w:r w:rsidRPr="005204D1">
        <w:rPr>
          <w:rFonts w:asciiTheme="majorHAnsi" w:hAnsiTheme="majorHAnsi" w:cstheme="majorHAnsi"/>
          <w:sz w:val="24"/>
          <w:szCs w:val="24"/>
          <w:lang w:val="ro-MD"/>
        </w:rPr>
        <w:t xml:space="preserve">уровне, 5 не были выполнены, а другие 24 были выполнены на уровне от 5% до 95%. </w:t>
      </w:r>
      <w:r w:rsidR="00C10BD2">
        <w:rPr>
          <w:rFonts w:asciiTheme="majorHAnsi" w:hAnsiTheme="majorHAnsi" w:cstheme="majorHAnsi"/>
          <w:sz w:val="24"/>
          <w:szCs w:val="24"/>
          <w:lang w:val="ro-MD"/>
        </w:rPr>
        <w:t>Субъект</w:t>
      </w:r>
      <w:r w:rsidRPr="005204D1">
        <w:rPr>
          <w:rFonts w:asciiTheme="majorHAnsi" w:hAnsiTheme="majorHAnsi" w:cstheme="majorHAnsi"/>
          <w:sz w:val="24"/>
          <w:szCs w:val="24"/>
          <w:lang w:val="ro-MD"/>
        </w:rPr>
        <w:t xml:space="preserve"> мотивировал не</w:t>
      </w:r>
      <w:r w:rsidR="009A0FD3" w:rsidRPr="009A0FD3">
        <w:rPr>
          <w:rFonts w:asciiTheme="majorHAnsi" w:hAnsiTheme="majorHAnsi" w:cstheme="majorHAnsi"/>
          <w:sz w:val="24"/>
          <w:szCs w:val="24"/>
          <w:lang w:val="ro-MD"/>
        </w:rPr>
        <w:t>ис</w:t>
      </w:r>
      <w:r w:rsidRPr="005204D1">
        <w:rPr>
          <w:rFonts w:asciiTheme="majorHAnsi" w:hAnsiTheme="majorHAnsi" w:cstheme="majorHAnsi"/>
          <w:sz w:val="24"/>
          <w:szCs w:val="24"/>
          <w:lang w:val="ro-MD"/>
        </w:rPr>
        <w:t xml:space="preserve">полнение </w:t>
      </w:r>
      <w:r w:rsidR="00F93C47">
        <w:rPr>
          <w:rFonts w:asciiTheme="majorHAnsi" w:hAnsiTheme="majorHAnsi" w:cstheme="majorHAnsi"/>
          <w:sz w:val="24"/>
          <w:szCs w:val="24"/>
          <w:lang w:val="ro-MD"/>
        </w:rPr>
        <w:t>договор</w:t>
      </w:r>
      <w:r w:rsidRPr="005204D1">
        <w:rPr>
          <w:rFonts w:asciiTheme="majorHAnsi" w:hAnsiTheme="majorHAnsi" w:cstheme="majorHAnsi"/>
          <w:sz w:val="24"/>
          <w:szCs w:val="24"/>
          <w:lang w:val="ro-MD"/>
        </w:rPr>
        <w:t>ов</w:t>
      </w:r>
      <w:r w:rsidR="009A0FD3" w:rsidRPr="009A0FD3">
        <w:rPr>
          <w:rFonts w:asciiTheme="majorHAnsi" w:hAnsiTheme="majorHAnsi" w:cstheme="majorHAnsi"/>
          <w:sz w:val="24"/>
          <w:szCs w:val="24"/>
          <w:lang w:val="ro-MD"/>
        </w:rPr>
        <w:t xml:space="preserve"> возникновением чрезвычайной </w:t>
      </w:r>
      <w:r w:rsidRPr="005204D1">
        <w:rPr>
          <w:rFonts w:asciiTheme="majorHAnsi" w:hAnsiTheme="majorHAnsi" w:cstheme="majorHAnsi"/>
          <w:sz w:val="24"/>
          <w:szCs w:val="24"/>
          <w:lang w:val="ro-MD"/>
        </w:rPr>
        <w:t>ситуаци</w:t>
      </w:r>
      <w:r w:rsidR="009A0FD3" w:rsidRPr="009A0FD3">
        <w:rPr>
          <w:rFonts w:asciiTheme="majorHAnsi" w:hAnsiTheme="majorHAnsi" w:cstheme="majorHAnsi"/>
          <w:sz w:val="24"/>
          <w:szCs w:val="24"/>
          <w:lang w:val="ro-MD"/>
        </w:rPr>
        <w:t>и</w:t>
      </w:r>
      <w:r w:rsidRPr="005204D1">
        <w:rPr>
          <w:rFonts w:asciiTheme="majorHAnsi" w:hAnsiTheme="majorHAnsi" w:cstheme="majorHAnsi"/>
          <w:sz w:val="24"/>
          <w:szCs w:val="24"/>
          <w:lang w:val="ro-MD"/>
        </w:rPr>
        <w:t xml:space="preserve"> в Украине, отметив при этом, что </w:t>
      </w:r>
      <w:r w:rsidR="009A0FD3">
        <w:rPr>
          <w:rFonts w:asciiTheme="majorHAnsi" w:hAnsiTheme="majorHAnsi" w:cstheme="majorHAnsi"/>
          <w:sz w:val="24"/>
          <w:szCs w:val="24"/>
          <w:lang w:val="ru-RU"/>
        </w:rPr>
        <w:t xml:space="preserve">это не повлияло на </w:t>
      </w:r>
      <w:r w:rsidRPr="005204D1">
        <w:rPr>
          <w:rFonts w:asciiTheme="majorHAnsi" w:hAnsiTheme="majorHAnsi" w:cstheme="majorHAnsi"/>
          <w:sz w:val="24"/>
          <w:szCs w:val="24"/>
          <w:lang w:val="ro-MD"/>
        </w:rPr>
        <w:t>процесс лечения</w:t>
      </w:r>
      <w:r w:rsidR="00B37661" w:rsidRPr="00B13B9A">
        <w:rPr>
          <w:rFonts w:asciiTheme="majorHAnsi" w:eastAsia="Times New Roman" w:hAnsiTheme="majorHAnsi" w:cstheme="majorHAnsi"/>
          <w:color w:val="000000"/>
          <w:sz w:val="24"/>
          <w:szCs w:val="24"/>
          <w:lang w:val="ro-MD"/>
        </w:rPr>
        <w:t xml:space="preserve">. </w:t>
      </w:r>
    </w:p>
    <w:p w14:paraId="60D6810C" w14:textId="0FC624E0" w:rsidR="00B37661" w:rsidRPr="00B13B9A" w:rsidRDefault="009A0FD3" w:rsidP="00B37661">
      <w:pPr>
        <w:spacing w:after="0" w:line="276" w:lineRule="auto"/>
        <w:ind w:right="-157"/>
        <w:jc w:val="both"/>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u-RU"/>
        </w:rPr>
        <w:t>В этом же контексте отмечается</w:t>
      </w:r>
      <w:r w:rsidR="005204D1" w:rsidRPr="005204D1">
        <w:rPr>
          <w:rFonts w:asciiTheme="majorHAnsi" w:eastAsia="Times New Roman" w:hAnsiTheme="majorHAnsi" w:cstheme="majorHAnsi"/>
          <w:color w:val="000000"/>
          <w:sz w:val="24"/>
          <w:szCs w:val="24"/>
          <w:lang w:val="ro-MD"/>
        </w:rPr>
        <w:t xml:space="preserve">, что договорные положения предусматривают </w:t>
      </w:r>
      <w:r>
        <w:rPr>
          <w:rFonts w:asciiTheme="majorHAnsi" w:eastAsia="Times New Roman" w:hAnsiTheme="majorHAnsi" w:cstheme="majorHAnsi"/>
          <w:color w:val="000000"/>
          <w:sz w:val="24"/>
          <w:szCs w:val="24"/>
          <w:lang w:val="ru-RU"/>
        </w:rPr>
        <w:t>п</w:t>
      </w:r>
      <w:r w:rsidR="005204D1" w:rsidRPr="005204D1">
        <w:rPr>
          <w:rFonts w:asciiTheme="majorHAnsi" w:eastAsia="Times New Roman" w:hAnsiTheme="majorHAnsi" w:cstheme="majorHAnsi"/>
          <w:color w:val="000000"/>
          <w:sz w:val="24"/>
          <w:szCs w:val="24"/>
          <w:lang w:val="ro-MD"/>
        </w:rPr>
        <w:t>оставку и прием лекарств с не</w:t>
      </w:r>
      <w:r>
        <w:rPr>
          <w:rFonts w:asciiTheme="majorHAnsi" w:eastAsia="Times New Roman" w:hAnsiTheme="majorHAnsi" w:cstheme="majorHAnsi"/>
          <w:color w:val="000000"/>
          <w:sz w:val="24"/>
          <w:szCs w:val="24"/>
          <w:lang w:val="ru-RU"/>
        </w:rPr>
        <w:t>истекши</w:t>
      </w:r>
      <w:r w:rsidR="005204D1" w:rsidRPr="005204D1">
        <w:rPr>
          <w:rFonts w:asciiTheme="majorHAnsi" w:eastAsia="Times New Roman" w:hAnsiTheme="majorHAnsi" w:cstheme="majorHAnsi"/>
          <w:color w:val="000000"/>
          <w:sz w:val="24"/>
          <w:szCs w:val="24"/>
          <w:lang w:val="ro-MD"/>
        </w:rPr>
        <w:t>м сроком годности не менее 60% от первоначального срока годности, для товаров со сроком годности 2 года</w:t>
      </w:r>
      <w:r>
        <w:rPr>
          <w:rFonts w:asciiTheme="majorHAnsi" w:eastAsia="Times New Roman" w:hAnsiTheme="majorHAnsi" w:cstheme="majorHAnsi"/>
          <w:color w:val="000000"/>
          <w:sz w:val="24"/>
          <w:szCs w:val="24"/>
          <w:lang w:val="ru-RU"/>
        </w:rPr>
        <w:t>,</w:t>
      </w:r>
      <w:r w:rsidR="005204D1" w:rsidRPr="005204D1">
        <w:rPr>
          <w:rFonts w:asciiTheme="majorHAnsi" w:eastAsia="Times New Roman" w:hAnsiTheme="majorHAnsi" w:cstheme="majorHAnsi"/>
          <w:color w:val="000000"/>
          <w:sz w:val="24"/>
          <w:szCs w:val="24"/>
          <w:lang w:val="ro-MD"/>
        </w:rPr>
        <w:t xml:space="preserve"> и более 80% от первоначального срока годности, для товаров со сроком годности до 2 лет. Следовательно, это означает, что в </w:t>
      </w:r>
      <w:r w:rsidRPr="009A0FD3">
        <w:rPr>
          <w:rFonts w:asciiTheme="majorHAnsi" w:eastAsia="Times New Roman" w:hAnsiTheme="majorHAnsi" w:cstheme="majorHAnsi"/>
          <w:color w:val="000000"/>
          <w:sz w:val="24"/>
          <w:szCs w:val="24"/>
          <w:lang w:val="ro-MD"/>
        </w:rPr>
        <w:t xml:space="preserve">рамках </w:t>
      </w:r>
      <w:r w:rsidR="00BF154B">
        <w:rPr>
          <w:rFonts w:asciiTheme="majorHAnsi" w:eastAsia="Times New Roman" w:hAnsiTheme="majorHAnsi" w:cstheme="majorHAnsi"/>
          <w:color w:val="000000"/>
          <w:sz w:val="24"/>
          <w:szCs w:val="24"/>
          <w:lang w:val="ro-MD"/>
        </w:rPr>
        <w:t>ФСУ</w:t>
      </w:r>
      <w:r w:rsidR="005204D1" w:rsidRPr="005204D1">
        <w:rPr>
          <w:rFonts w:asciiTheme="majorHAnsi" w:eastAsia="Times New Roman" w:hAnsiTheme="majorHAnsi" w:cstheme="majorHAnsi"/>
          <w:color w:val="000000"/>
          <w:sz w:val="24"/>
          <w:szCs w:val="24"/>
          <w:lang w:val="ro-MD"/>
        </w:rPr>
        <w:t xml:space="preserve"> не ведется учет не</w:t>
      </w:r>
      <w:r w:rsidRPr="009A0FD3">
        <w:rPr>
          <w:rFonts w:asciiTheme="majorHAnsi" w:eastAsia="Times New Roman" w:hAnsiTheme="majorHAnsi" w:cstheme="majorHAnsi"/>
          <w:color w:val="000000"/>
          <w:sz w:val="24"/>
          <w:szCs w:val="24"/>
          <w:lang w:val="ro-MD"/>
        </w:rPr>
        <w:t>истекше</w:t>
      </w:r>
      <w:r w:rsidR="005204D1" w:rsidRPr="005204D1">
        <w:rPr>
          <w:rFonts w:asciiTheme="majorHAnsi" w:eastAsia="Times New Roman" w:hAnsiTheme="majorHAnsi" w:cstheme="majorHAnsi"/>
          <w:color w:val="000000"/>
          <w:sz w:val="24"/>
          <w:szCs w:val="24"/>
          <w:lang w:val="ro-MD"/>
        </w:rPr>
        <w:t>го срока годности при приеме лекарств</w:t>
      </w:r>
      <w:r w:rsidRPr="009A0FD3">
        <w:rPr>
          <w:rFonts w:asciiTheme="majorHAnsi" w:eastAsia="Times New Roman" w:hAnsiTheme="majorHAnsi" w:cstheme="majorHAnsi"/>
          <w:color w:val="000000"/>
          <w:sz w:val="24"/>
          <w:szCs w:val="24"/>
          <w:lang w:val="ro-MD"/>
        </w:rPr>
        <w:t>енных препаратов</w:t>
      </w:r>
      <w:r w:rsidR="00B37661" w:rsidRPr="00B13B9A">
        <w:rPr>
          <w:rFonts w:asciiTheme="majorHAnsi" w:eastAsia="Times New Roman" w:hAnsiTheme="majorHAnsi" w:cstheme="majorHAnsi"/>
          <w:color w:val="000000"/>
          <w:sz w:val="24"/>
          <w:szCs w:val="24"/>
          <w:lang w:val="ro-MD"/>
        </w:rPr>
        <w:t xml:space="preserve">. </w:t>
      </w:r>
    </w:p>
    <w:p w14:paraId="2CA7C277" w14:textId="0231627B" w:rsidR="005204D1" w:rsidRPr="005204D1" w:rsidRDefault="005204D1" w:rsidP="005204D1">
      <w:pPr>
        <w:spacing w:after="0" w:line="276" w:lineRule="auto"/>
        <w:ind w:right="-157"/>
        <w:jc w:val="both"/>
        <w:rPr>
          <w:rFonts w:asciiTheme="majorHAnsi" w:eastAsia="Times New Roman" w:hAnsiTheme="majorHAnsi" w:cstheme="majorHAnsi"/>
          <w:color w:val="000000"/>
          <w:sz w:val="24"/>
          <w:szCs w:val="24"/>
          <w:lang w:val="ro-MD"/>
        </w:rPr>
      </w:pPr>
      <w:r w:rsidRPr="005204D1">
        <w:rPr>
          <w:rFonts w:asciiTheme="majorHAnsi" w:eastAsia="Times New Roman" w:hAnsiTheme="majorHAnsi" w:cstheme="majorHAnsi"/>
          <w:color w:val="000000"/>
          <w:sz w:val="24"/>
          <w:szCs w:val="24"/>
          <w:lang w:val="ro-MD"/>
        </w:rPr>
        <w:t>В это</w:t>
      </w:r>
      <w:r w:rsidR="009A0FD3">
        <w:rPr>
          <w:rFonts w:asciiTheme="majorHAnsi" w:eastAsia="Times New Roman" w:hAnsiTheme="majorHAnsi" w:cstheme="majorHAnsi"/>
          <w:color w:val="000000"/>
          <w:sz w:val="24"/>
          <w:szCs w:val="24"/>
          <w:lang w:val="ru-RU"/>
        </w:rPr>
        <w:t>й связи</w:t>
      </w:r>
      <w:r w:rsidRPr="005204D1">
        <w:rPr>
          <w:rFonts w:asciiTheme="majorHAnsi" w:eastAsia="Times New Roman" w:hAnsiTheme="majorHAnsi" w:cstheme="majorHAnsi"/>
          <w:color w:val="000000"/>
          <w:sz w:val="24"/>
          <w:szCs w:val="24"/>
          <w:lang w:val="ro-MD"/>
        </w:rPr>
        <w:t xml:space="preserve"> аудиторские проверки на выборке из 13 наименований лекарств установили прием с не</w:t>
      </w:r>
      <w:r w:rsidR="009A0FD3">
        <w:rPr>
          <w:rFonts w:asciiTheme="majorHAnsi" w:eastAsia="Times New Roman" w:hAnsiTheme="majorHAnsi" w:cstheme="majorHAnsi"/>
          <w:color w:val="000000"/>
          <w:sz w:val="24"/>
          <w:szCs w:val="24"/>
          <w:lang w:val="ru-RU"/>
        </w:rPr>
        <w:t>истекши</w:t>
      </w:r>
      <w:r w:rsidRPr="005204D1">
        <w:rPr>
          <w:rFonts w:asciiTheme="majorHAnsi" w:eastAsia="Times New Roman" w:hAnsiTheme="majorHAnsi" w:cstheme="majorHAnsi"/>
          <w:color w:val="000000"/>
          <w:sz w:val="24"/>
          <w:szCs w:val="24"/>
          <w:lang w:val="ro-MD"/>
        </w:rPr>
        <w:t>м сроком 50% и 52,3%</w:t>
      </w:r>
      <w:r w:rsidR="009A0FD3">
        <w:rPr>
          <w:rFonts w:asciiTheme="majorHAnsi" w:eastAsia="Times New Roman" w:hAnsiTheme="majorHAnsi" w:cstheme="majorHAnsi"/>
          <w:color w:val="000000"/>
          <w:sz w:val="24"/>
          <w:szCs w:val="24"/>
          <w:lang w:val="ru-RU"/>
        </w:rPr>
        <w:t>,</w:t>
      </w:r>
      <w:r w:rsidRPr="005204D1">
        <w:rPr>
          <w:rFonts w:asciiTheme="majorHAnsi" w:eastAsia="Times New Roman" w:hAnsiTheme="majorHAnsi" w:cstheme="majorHAnsi"/>
          <w:color w:val="000000"/>
          <w:sz w:val="24"/>
          <w:szCs w:val="24"/>
          <w:lang w:val="ro-MD"/>
        </w:rPr>
        <w:t xml:space="preserve"> для 2 из них. В результате</w:t>
      </w:r>
      <w:r w:rsidR="009A0FD3">
        <w:rPr>
          <w:rFonts w:asciiTheme="majorHAnsi" w:eastAsia="Times New Roman" w:hAnsiTheme="majorHAnsi" w:cstheme="majorHAnsi"/>
          <w:color w:val="000000"/>
          <w:sz w:val="24"/>
          <w:szCs w:val="24"/>
          <w:lang w:val="ru-RU"/>
        </w:rPr>
        <w:t>,</w:t>
      </w:r>
      <w:r w:rsidRPr="005204D1">
        <w:rPr>
          <w:rFonts w:asciiTheme="majorHAnsi" w:eastAsia="Times New Roman" w:hAnsiTheme="majorHAnsi" w:cstheme="majorHAnsi"/>
          <w:color w:val="000000"/>
          <w:sz w:val="24"/>
          <w:szCs w:val="24"/>
          <w:lang w:val="ro-MD"/>
        </w:rPr>
        <w:t xml:space="preserve"> отсутствие информации о не</w:t>
      </w:r>
      <w:r w:rsidR="009A0FD3">
        <w:rPr>
          <w:rFonts w:asciiTheme="majorHAnsi" w:eastAsia="Times New Roman" w:hAnsiTheme="majorHAnsi" w:cstheme="majorHAnsi"/>
          <w:color w:val="000000"/>
          <w:sz w:val="24"/>
          <w:szCs w:val="24"/>
          <w:lang w:val="ru-RU"/>
        </w:rPr>
        <w:t>истекше</w:t>
      </w:r>
      <w:r w:rsidRPr="005204D1">
        <w:rPr>
          <w:rFonts w:asciiTheme="majorHAnsi" w:eastAsia="Times New Roman" w:hAnsiTheme="majorHAnsi" w:cstheme="majorHAnsi"/>
          <w:color w:val="000000"/>
          <w:sz w:val="24"/>
          <w:szCs w:val="24"/>
          <w:lang w:val="ro-MD"/>
        </w:rPr>
        <w:t>м сроке годности лекарств не обеспечивает их надлежащ</w:t>
      </w:r>
      <w:r w:rsidR="009A0FD3">
        <w:rPr>
          <w:rFonts w:asciiTheme="majorHAnsi" w:eastAsia="Times New Roman" w:hAnsiTheme="majorHAnsi" w:cstheme="majorHAnsi"/>
          <w:color w:val="000000"/>
          <w:sz w:val="24"/>
          <w:szCs w:val="24"/>
          <w:lang w:val="ru-RU"/>
        </w:rPr>
        <w:t>ий</w:t>
      </w:r>
      <w:r w:rsidRPr="005204D1">
        <w:rPr>
          <w:rFonts w:asciiTheme="majorHAnsi" w:eastAsia="Times New Roman" w:hAnsiTheme="majorHAnsi" w:cstheme="majorHAnsi"/>
          <w:color w:val="000000"/>
          <w:sz w:val="24"/>
          <w:szCs w:val="24"/>
          <w:lang w:val="ro-MD"/>
        </w:rPr>
        <w:t xml:space="preserve"> учет.</w:t>
      </w:r>
    </w:p>
    <w:p w14:paraId="42063DF0" w14:textId="32EFBAE9" w:rsidR="00A47D13" w:rsidRPr="009A0FD3" w:rsidRDefault="005204D1" w:rsidP="00B37661">
      <w:pPr>
        <w:spacing w:after="0" w:line="276" w:lineRule="auto"/>
        <w:ind w:right="-157"/>
        <w:jc w:val="both"/>
        <w:rPr>
          <w:rFonts w:asciiTheme="majorHAnsi" w:eastAsia="Times New Roman" w:hAnsiTheme="majorHAnsi" w:cstheme="majorHAnsi"/>
          <w:color w:val="000000"/>
          <w:sz w:val="24"/>
          <w:szCs w:val="24"/>
          <w:lang w:val="ro-MD"/>
        </w:rPr>
      </w:pPr>
      <w:r w:rsidRPr="005204D1">
        <w:rPr>
          <w:rFonts w:asciiTheme="majorHAnsi" w:eastAsia="Times New Roman" w:hAnsiTheme="majorHAnsi" w:cstheme="majorHAnsi"/>
          <w:color w:val="000000"/>
          <w:sz w:val="24"/>
          <w:szCs w:val="24"/>
          <w:lang w:val="ro-MD"/>
        </w:rPr>
        <w:t xml:space="preserve">*Справка: </w:t>
      </w:r>
      <w:r w:rsidR="009A0FD3" w:rsidRPr="009A0FD3">
        <w:rPr>
          <w:rFonts w:asciiTheme="majorHAnsi" w:eastAsia="Times New Roman" w:hAnsiTheme="majorHAnsi" w:cstheme="majorHAnsi"/>
          <w:i/>
          <w:color w:val="000000"/>
          <w:sz w:val="24"/>
          <w:szCs w:val="24"/>
          <w:lang w:val="ru-RU"/>
        </w:rPr>
        <w:t xml:space="preserve">Что касается </w:t>
      </w:r>
      <w:r w:rsidRPr="009A0FD3">
        <w:rPr>
          <w:rFonts w:asciiTheme="majorHAnsi" w:eastAsia="Times New Roman" w:hAnsiTheme="majorHAnsi" w:cstheme="majorHAnsi"/>
          <w:i/>
          <w:color w:val="000000"/>
          <w:sz w:val="24"/>
          <w:szCs w:val="24"/>
          <w:lang w:val="ro-MD"/>
        </w:rPr>
        <w:t>более низк</w:t>
      </w:r>
      <w:r w:rsidR="009A0FD3" w:rsidRPr="009A0FD3">
        <w:rPr>
          <w:rFonts w:asciiTheme="majorHAnsi" w:eastAsia="Times New Roman" w:hAnsiTheme="majorHAnsi" w:cstheme="majorHAnsi"/>
          <w:i/>
          <w:color w:val="000000"/>
          <w:sz w:val="24"/>
          <w:szCs w:val="24"/>
          <w:lang w:val="ru-RU"/>
        </w:rPr>
        <w:t>ого</w:t>
      </w:r>
      <w:r w:rsidRPr="009A0FD3">
        <w:rPr>
          <w:rFonts w:asciiTheme="majorHAnsi" w:eastAsia="Times New Roman" w:hAnsiTheme="majorHAnsi" w:cstheme="majorHAnsi"/>
          <w:i/>
          <w:color w:val="000000"/>
          <w:sz w:val="24"/>
          <w:szCs w:val="24"/>
          <w:lang w:val="ro-MD"/>
        </w:rPr>
        <w:t xml:space="preserve"> не</w:t>
      </w:r>
      <w:r w:rsidR="009A0FD3" w:rsidRPr="009A0FD3">
        <w:rPr>
          <w:rFonts w:asciiTheme="majorHAnsi" w:eastAsia="Times New Roman" w:hAnsiTheme="majorHAnsi" w:cstheme="majorHAnsi"/>
          <w:i/>
          <w:color w:val="000000"/>
          <w:sz w:val="24"/>
          <w:szCs w:val="24"/>
          <w:lang w:val="ru-RU"/>
        </w:rPr>
        <w:t>истекшего срока,</w:t>
      </w:r>
      <w:r w:rsidRPr="009A0FD3">
        <w:rPr>
          <w:rFonts w:asciiTheme="majorHAnsi" w:eastAsia="Times New Roman" w:hAnsiTheme="majorHAnsi" w:cstheme="majorHAnsi"/>
          <w:i/>
          <w:color w:val="000000"/>
          <w:sz w:val="24"/>
          <w:szCs w:val="24"/>
          <w:lang w:val="ro-MD"/>
        </w:rPr>
        <w:t xml:space="preserve"> </w:t>
      </w:r>
      <w:r w:rsidR="00C10BD2" w:rsidRPr="009A0FD3">
        <w:rPr>
          <w:rFonts w:asciiTheme="majorHAnsi" w:eastAsia="Times New Roman" w:hAnsiTheme="majorHAnsi" w:cstheme="majorHAnsi"/>
          <w:i/>
          <w:color w:val="000000"/>
          <w:sz w:val="24"/>
          <w:szCs w:val="24"/>
          <w:lang w:val="ro-MD"/>
        </w:rPr>
        <w:t>субъект</w:t>
      </w:r>
      <w:r w:rsidRPr="009A0FD3">
        <w:rPr>
          <w:rFonts w:asciiTheme="majorHAnsi" w:eastAsia="Times New Roman" w:hAnsiTheme="majorHAnsi" w:cstheme="majorHAnsi"/>
          <w:i/>
          <w:color w:val="000000"/>
          <w:sz w:val="24"/>
          <w:szCs w:val="24"/>
          <w:lang w:val="ro-MD"/>
        </w:rPr>
        <w:t xml:space="preserve"> мотивировал прием лекарств в результате чрезвычайной ситуации в соседней стране, </w:t>
      </w:r>
      <w:r w:rsidR="009A0FD3" w:rsidRPr="009A0FD3">
        <w:rPr>
          <w:rFonts w:asciiTheme="majorHAnsi" w:eastAsia="Times New Roman" w:hAnsiTheme="majorHAnsi" w:cstheme="majorHAnsi"/>
          <w:i/>
          <w:color w:val="000000"/>
          <w:sz w:val="24"/>
          <w:szCs w:val="24"/>
          <w:lang w:val="ru-RU"/>
        </w:rPr>
        <w:t>поскольку</w:t>
      </w:r>
      <w:r w:rsidRPr="009A0FD3">
        <w:rPr>
          <w:rFonts w:asciiTheme="majorHAnsi" w:eastAsia="Times New Roman" w:hAnsiTheme="majorHAnsi" w:cstheme="majorHAnsi"/>
          <w:i/>
          <w:color w:val="000000"/>
          <w:sz w:val="24"/>
          <w:szCs w:val="24"/>
          <w:lang w:val="ro-MD"/>
        </w:rPr>
        <w:t xml:space="preserve"> они не были </w:t>
      </w:r>
      <w:r w:rsidR="009A0FD3" w:rsidRPr="009A0FD3">
        <w:rPr>
          <w:rFonts w:asciiTheme="majorHAnsi" w:eastAsia="Times New Roman" w:hAnsiTheme="majorHAnsi" w:cstheme="majorHAnsi"/>
          <w:i/>
          <w:color w:val="000000"/>
          <w:sz w:val="24"/>
          <w:szCs w:val="24"/>
          <w:lang w:val="ru-RU"/>
        </w:rPr>
        <w:t>п</w:t>
      </w:r>
      <w:r w:rsidRPr="009A0FD3">
        <w:rPr>
          <w:rFonts w:asciiTheme="majorHAnsi" w:eastAsia="Times New Roman" w:hAnsiTheme="majorHAnsi" w:cstheme="majorHAnsi"/>
          <w:i/>
          <w:color w:val="000000"/>
          <w:sz w:val="24"/>
          <w:szCs w:val="24"/>
          <w:lang w:val="ro-MD"/>
        </w:rPr>
        <w:t xml:space="preserve">оставлены в установленные сроки. </w:t>
      </w:r>
      <w:r w:rsidR="009A0FD3" w:rsidRPr="009A0FD3">
        <w:rPr>
          <w:rFonts w:asciiTheme="majorHAnsi" w:eastAsia="Times New Roman" w:hAnsiTheme="majorHAnsi" w:cstheme="majorHAnsi"/>
          <w:i/>
          <w:color w:val="000000"/>
          <w:sz w:val="24"/>
          <w:szCs w:val="24"/>
          <w:lang w:val="ru-RU"/>
        </w:rPr>
        <w:t>Тем не менее,</w:t>
      </w:r>
      <w:r w:rsidRPr="009A0FD3">
        <w:rPr>
          <w:rFonts w:asciiTheme="majorHAnsi" w:eastAsia="Times New Roman" w:hAnsiTheme="majorHAnsi" w:cstheme="majorHAnsi"/>
          <w:i/>
          <w:color w:val="000000"/>
          <w:sz w:val="24"/>
          <w:szCs w:val="24"/>
          <w:lang w:val="ro-MD"/>
        </w:rPr>
        <w:t xml:space="preserve"> аудит </w:t>
      </w:r>
      <w:r w:rsidR="009A0FD3" w:rsidRPr="009A0FD3">
        <w:rPr>
          <w:rFonts w:asciiTheme="majorHAnsi" w:eastAsia="Times New Roman" w:hAnsiTheme="majorHAnsi" w:cstheme="majorHAnsi"/>
          <w:i/>
          <w:color w:val="000000"/>
          <w:sz w:val="24"/>
          <w:szCs w:val="24"/>
          <w:lang w:val="ru-RU"/>
        </w:rPr>
        <w:t>указывает на</w:t>
      </w:r>
      <w:r w:rsidRPr="009A0FD3">
        <w:rPr>
          <w:rFonts w:asciiTheme="majorHAnsi" w:eastAsia="Times New Roman" w:hAnsiTheme="majorHAnsi" w:cstheme="majorHAnsi"/>
          <w:i/>
          <w:color w:val="000000"/>
          <w:sz w:val="24"/>
          <w:szCs w:val="24"/>
          <w:lang w:val="ro-MD"/>
        </w:rPr>
        <w:t xml:space="preserve"> необходимост</w:t>
      </w:r>
      <w:r w:rsidR="009A0FD3" w:rsidRPr="009A0FD3">
        <w:rPr>
          <w:rFonts w:asciiTheme="majorHAnsi" w:eastAsia="Times New Roman" w:hAnsiTheme="majorHAnsi" w:cstheme="majorHAnsi"/>
          <w:i/>
          <w:color w:val="000000"/>
          <w:sz w:val="24"/>
          <w:szCs w:val="24"/>
          <w:lang w:val="ru-RU"/>
        </w:rPr>
        <w:t>ь</w:t>
      </w:r>
      <w:r w:rsidRPr="009A0FD3">
        <w:rPr>
          <w:rFonts w:asciiTheme="majorHAnsi" w:eastAsia="Times New Roman" w:hAnsiTheme="majorHAnsi" w:cstheme="majorHAnsi"/>
          <w:i/>
          <w:color w:val="000000"/>
          <w:sz w:val="24"/>
          <w:szCs w:val="24"/>
          <w:lang w:val="ro-MD"/>
        </w:rPr>
        <w:t xml:space="preserve"> </w:t>
      </w:r>
      <w:r w:rsidR="009A0FD3">
        <w:rPr>
          <w:rFonts w:asciiTheme="majorHAnsi" w:eastAsia="Times New Roman" w:hAnsiTheme="majorHAnsi" w:cstheme="majorHAnsi"/>
          <w:i/>
          <w:color w:val="000000"/>
          <w:sz w:val="24"/>
          <w:szCs w:val="24"/>
          <w:lang w:val="ru-RU"/>
        </w:rPr>
        <w:t>у</w:t>
      </w:r>
      <w:r w:rsidRPr="009A0FD3">
        <w:rPr>
          <w:rFonts w:asciiTheme="majorHAnsi" w:eastAsia="Times New Roman" w:hAnsiTheme="majorHAnsi" w:cstheme="majorHAnsi"/>
          <w:i/>
          <w:color w:val="000000"/>
          <w:sz w:val="24"/>
          <w:szCs w:val="24"/>
          <w:lang w:val="ro-MD"/>
        </w:rPr>
        <w:t>чета не</w:t>
      </w:r>
      <w:r w:rsidR="009A0FD3" w:rsidRPr="009A0FD3">
        <w:rPr>
          <w:rFonts w:asciiTheme="majorHAnsi" w:eastAsia="Times New Roman" w:hAnsiTheme="majorHAnsi" w:cstheme="majorHAnsi"/>
          <w:i/>
          <w:color w:val="000000"/>
          <w:sz w:val="24"/>
          <w:szCs w:val="24"/>
          <w:lang w:val="ru-RU"/>
        </w:rPr>
        <w:t>истекше</w:t>
      </w:r>
      <w:r w:rsidRPr="009A0FD3">
        <w:rPr>
          <w:rFonts w:asciiTheme="majorHAnsi" w:eastAsia="Times New Roman" w:hAnsiTheme="majorHAnsi" w:cstheme="majorHAnsi"/>
          <w:i/>
          <w:color w:val="000000"/>
          <w:sz w:val="24"/>
          <w:szCs w:val="24"/>
          <w:lang w:val="ro-MD"/>
        </w:rPr>
        <w:t>го срока</w:t>
      </w:r>
      <w:r w:rsidR="001E452A" w:rsidRPr="00B13B9A">
        <w:rPr>
          <w:rFonts w:asciiTheme="majorHAnsi" w:hAnsiTheme="majorHAnsi" w:cstheme="majorHAnsi"/>
          <w:i/>
          <w:sz w:val="24"/>
          <w:szCs w:val="24"/>
          <w:lang w:val="ro-MD"/>
        </w:rPr>
        <w:t>.</w:t>
      </w:r>
    </w:p>
    <w:p w14:paraId="04830605" w14:textId="3062B6D0" w:rsidR="00B37661" w:rsidRPr="00B13B9A" w:rsidRDefault="00471469" w:rsidP="00B37661">
      <w:pPr>
        <w:spacing w:after="0" w:line="276" w:lineRule="auto"/>
        <w:ind w:right="-157"/>
        <w:jc w:val="both"/>
        <w:rPr>
          <w:rFonts w:asciiTheme="majorHAnsi" w:hAnsiTheme="majorHAnsi" w:cstheme="majorHAnsi"/>
          <w:sz w:val="24"/>
          <w:szCs w:val="24"/>
          <w:lang w:val="ro-MD"/>
        </w:rPr>
      </w:pPr>
      <w:r>
        <w:rPr>
          <w:rFonts w:asciiTheme="majorHAnsi" w:hAnsiTheme="majorHAnsi" w:cstheme="majorHAnsi"/>
          <w:sz w:val="24"/>
          <w:szCs w:val="24"/>
          <w:lang w:val="ru-RU"/>
        </w:rPr>
        <w:t>Относительно</w:t>
      </w:r>
      <w:r w:rsidR="00740A80" w:rsidRPr="00740A80">
        <w:rPr>
          <w:rFonts w:asciiTheme="majorHAnsi" w:hAnsiTheme="majorHAnsi" w:cstheme="majorHAnsi"/>
          <w:sz w:val="24"/>
          <w:szCs w:val="24"/>
          <w:lang w:val="ro-MD"/>
        </w:rPr>
        <w:t xml:space="preserve"> </w:t>
      </w:r>
      <w:r>
        <w:rPr>
          <w:rFonts w:asciiTheme="majorHAnsi" w:hAnsiTheme="majorHAnsi" w:cstheme="majorHAnsi"/>
          <w:sz w:val="24"/>
          <w:szCs w:val="24"/>
          <w:lang w:val="ru-RU"/>
        </w:rPr>
        <w:t>списания</w:t>
      </w:r>
      <w:r w:rsidR="00740A80" w:rsidRPr="00740A80">
        <w:rPr>
          <w:rFonts w:asciiTheme="majorHAnsi" w:hAnsiTheme="majorHAnsi" w:cstheme="majorHAnsi"/>
          <w:sz w:val="24"/>
          <w:szCs w:val="24"/>
          <w:lang w:val="ro-MD"/>
        </w:rPr>
        <w:t xml:space="preserve"> лекарственны</w:t>
      </w:r>
      <w:r>
        <w:rPr>
          <w:rFonts w:asciiTheme="majorHAnsi" w:hAnsiTheme="majorHAnsi" w:cstheme="majorHAnsi"/>
          <w:sz w:val="24"/>
          <w:szCs w:val="24"/>
          <w:lang w:val="ru-RU"/>
        </w:rPr>
        <w:t>х</w:t>
      </w:r>
      <w:r w:rsidR="00740A80" w:rsidRPr="00740A80">
        <w:rPr>
          <w:rFonts w:asciiTheme="majorHAnsi" w:hAnsiTheme="majorHAnsi" w:cstheme="majorHAnsi"/>
          <w:sz w:val="24"/>
          <w:szCs w:val="24"/>
          <w:lang w:val="ro-MD"/>
        </w:rPr>
        <w:t xml:space="preserve"> средств </w:t>
      </w:r>
      <w:r>
        <w:rPr>
          <w:rFonts w:asciiTheme="majorHAnsi" w:hAnsiTheme="majorHAnsi" w:cstheme="majorHAnsi"/>
          <w:sz w:val="24"/>
          <w:szCs w:val="24"/>
          <w:lang w:val="ru-RU"/>
        </w:rPr>
        <w:t>отмеча</w:t>
      </w:r>
      <w:r w:rsidR="00740A80" w:rsidRPr="00740A80">
        <w:rPr>
          <w:rFonts w:asciiTheme="majorHAnsi" w:hAnsiTheme="majorHAnsi" w:cstheme="majorHAnsi"/>
          <w:sz w:val="24"/>
          <w:szCs w:val="24"/>
          <w:lang w:val="ro-MD"/>
        </w:rPr>
        <w:t xml:space="preserve">ется, что в течение 2021-2022 годов </w:t>
      </w:r>
      <w:r w:rsidR="00C10BD2">
        <w:rPr>
          <w:rFonts w:asciiTheme="majorHAnsi" w:hAnsiTheme="majorHAnsi" w:cstheme="majorHAnsi"/>
          <w:sz w:val="24"/>
          <w:szCs w:val="24"/>
          <w:lang w:val="ro-MD"/>
        </w:rPr>
        <w:t>субъект</w:t>
      </w:r>
      <w:r w:rsidR="00740A80" w:rsidRPr="00740A80">
        <w:rPr>
          <w:rFonts w:asciiTheme="majorHAnsi" w:hAnsiTheme="majorHAnsi" w:cstheme="majorHAnsi"/>
          <w:sz w:val="24"/>
          <w:szCs w:val="24"/>
          <w:lang w:val="ro-MD"/>
        </w:rPr>
        <w:t xml:space="preserve"> </w:t>
      </w:r>
      <w:r w:rsidR="00633470">
        <w:rPr>
          <w:rFonts w:asciiTheme="majorHAnsi" w:hAnsiTheme="majorHAnsi" w:cstheme="majorHAnsi"/>
          <w:sz w:val="24"/>
          <w:szCs w:val="24"/>
          <w:lang w:val="ru-RU"/>
        </w:rPr>
        <w:t>относ</w:t>
      </w:r>
      <w:r w:rsidR="00740A80" w:rsidRPr="00740A80">
        <w:rPr>
          <w:rFonts w:asciiTheme="majorHAnsi" w:hAnsiTheme="majorHAnsi" w:cstheme="majorHAnsi"/>
          <w:sz w:val="24"/>
          <w:szCs w:val="24"/>
          <w:lang w:val="ro-MD"/>
        </w:rPr>
        <w:t>ил их на расходы по мере потребления</w:t>
      </w:r>
      <w:r w:rsidR="00633470">
        <w:rPr>
          <w:rFonts w:asciiTheme="majorHAnsi" w:hAnsiTheme="majorHAnsi" w:cstheme="majorHAnsi"/>
          <w:sz w:val="24"/>
          <w:szCs w:val="24"/>
          <w:lang w:val="ru-RU"/>
        </w:rPr>
        <w:t>,</w:t>
      </w:r>
      <w:r w:rsidR="00740A80" w:rsidRPr="00740A80">
        <w:rPr>
          <w:rFonts w:asciiTheme="majorHAnsi" w:hAnsiTheme="majorHAnsi" w:cstheme="majorHAnsi"/>
          <w:sz w:val="24"/>
          <w:szCs w:val="24"/>
          <w:lang w:val="ro-MD"/>
        </w:rPr>
        <w:t xml:space="preserve"> на основе ежемесячных отчетов об управлении</w:t>
      </w:r>
      <w:r w:rsidR="00633470">
        <w:rPr>
          <w:rFonts w:asciiTheme="majorHAnsi" w:hAnsiTheme="majorHAnsi" w:cstheme="majorHAnsi"/>
          <w:sz w:val="24"/>
          <w:szCs w:val="24"/>
          <w:lang w:val="ru-RU"/>
        </w:rPr>
        <w:t xml:space="preserve"> ими</w:t>
      </w:r>
      <w:r w:rsidR="00740A80" w:rsidRPr="00740A80">
        <w:rPr>
          <w:rFonts w:asciiTheme="majorHAnsi" w:hAnsiTheme="majorHAnsi" w:cstheme="majorHAnsi"/>
          <w:sz w:val="24"/>
          <w:szCs w:val="24"/>
          <w:lang w:val="ro-MD"/>
        </w:rPr>
        <w:t xml:space="preserve">. </w:t>
      </w:r>
      <w:r w:rsidR="00633470">
        <w:rPr>
          <w:rFonts w:asciiTheme="majorHAnsi" w:hAnsiTheme="majorHAnsi" w:cstheme="majorHAnsi"/>
          <w:sz w:val="24"/>
          <w:szCs w:val="24"/>
          <w:lang w:val="ru-RU"/>
        </w:rPr>
        <w:t>Одновременно,</w:t>
      </w:r>
      <w:r w:rsidR="00740A80" w:rsidRPr="00740A80">
        <w:rPr>
          <w:rFonts w:asciiTheme="majorHAnsi" w:hAnsiTheme="majorHAnsi" w:cstheme="majorHAnsi"/>
          <w:sz w:val="24"/>
          <w:szCs w:val="24"/>
          <w:lang w:val="ro-MD"/>
        </w:rPr>
        <w:t xml:space="preserve"> доходы от </w:t>
      </w:r>
      <w:r w:rsidR="00633470">
        <w:rPr>
          <w:rFonts w:asciiTheme="majorHAnsi" w:hAnsiTheme="majorHAnsi" w:cstheme="majorHAnsi"/>
          <w:sz w:val="24"/>
          <w:szCs w:val="24"/>
          <w:lang w:val="ru-RU"/>
        </w:rPr>
        <w:t>списания</w:t>
      </w:r>
      <w:r w:rsidR="00740A80" w:rsidRPr="00740A80">
        <w:rPr>
          <w:rFonts w:asciiTheme="majorHAnsi" w:hAnsiTheme="majorHAnsi" w:cstheme="majorHAnsi"/>
          <w:sz w:val="24"/>
          <w:szCs w:val="24"/>
          <w:lang w:val="ro-MD"/>
        </w:rPr>
        <w:t xml:space="preserve"> лекарств, полученные бесплатно, отражались ежеквартально путем корректировки текущего дохода в размере разницы между общей суммой текущ</w:t>
      </w:r>
      <w:r w:rsidR="00633470">
        <w:rPr>
          <w:rFonts w:asciiTheme="majorHAnsi" w:hAnsiTheme="majorHAnsi" w:cstheme="majorHAnsi"/>
          <w:sz w:val="24"/>
          <w:szCs w:val="24"/>
          <w:lang w:val="ru-RU"/>
        </w:rPr>
        <w:t>их</w:t>
      </w:r>
      <w:r w:rsidR="00740A80" w:rsidRPr="00740A80">
        <w:rPr>
          <w:rFonts w:asciiTheme="majorHAnsi" w:hAnsiTheme="majorHAnsi" w:cstheme="majorHAnsi"/>
          <w:sz w:val="24"/>
          <w:szCs w:val="24"/>
          <w:lang w:val="ro-MD"/>
        </w:rPr>
        <w:t xml:space="preserve"> доход</w:t>
      </w:r>
      <w:r w:rsidR="00633470">
        <w:rPr>
          <w:rFonts w:asciiTheme="majorHAnsi" w:hAnsiTheme="majorHAnsi" w:cstheme="majorHAnsi"/>
          <w:sz w:val="24"/>
          <w:szCs w:val="24"/>
          <w:lang w:val="ru-RU"/>
        </w:rPr>
        <w:t>ов</w:t>
      </w:r>
      <w:r w:rsidR="00740A80" w:rsidRPr="00740A80">
        <w:rPr>
          <w:rFonts w:asciiTheme="majorHAnsi" w:hAnsiTheme="majorHAnsi" w:cstheme="majorHAnsi"/>
          <w:sz w:val="24"/>
          <w:szCs w:val="24"/>
          <w:lang w:val="ro-MD"/>
        </w:rPr>
        <w:t xml:space="preserve"> и текущих расходов</w:t>
      </w:r>
      <w:r w:rsidR="00633470">
        <w:rPr>
          <w:rFonts w:asciiTheme="majorHAnsi" w:hAnsiTheme="majorHAnsi" w:cstheme="majorHAnsi"/>
          <w:sz w:val="24"/>
          <w:szCs w:val="24"/>
          <w:lang w:val="ru-RU"/>
        </w:rPr>
        <w:t>,</w:t>
      </w:r>
      <w:r w:rsidR="00740A80" w:rsidRPr="00740A80">
        <w:rPr>
          <w:rFonts w:asciiTheme="majorHAnsi" w:hAnsiTheme="majorHAnsi" w:cstheme="majorHAnsi"/>
          <w:sz w:val="24"/>
          <w:szCs w:val="24"/>
          <w:lang w:val="ro-MD"/>
        </w:rPr>
        <w:t xml:space="preserve"> </w:t>
      </w:r>
      <w:r w:rsidR="00633470">
        <w:rPr>
          <w:rFonts w:asciiTheme="majorHAnsi" w:hAnsiTheme="majorHAnsi" w:cstheme="majorHAnsi"/>
          <w:sz w:val="24"/>
          <w:szCs w:val="24"/>
          <w:lang w:val="ru-RU"/>
        </w:rPr>
        <w:t>в</w:t>
      </w:r>
      <w:r w:rsidR="00740A80" w:rsidRPr="00740A80">
        <w:rPr>
          <w:rFonts w:asciiTheme="majorHAnsi" w:hAnsiTheme="majorHAnsi" w:cstheme="majorHAnsi"/>
          <w:sz w:val="24"/>
          <w:szCs w:val="24"/>
          <w:lang w:val="ro-MD"/>
        </w:rPr>
        <w:t xml:space="preserve"> отсутстви</w:t>
      </w:r>
      <w:r w:rsidR="00633470">
        <w:rPr>
          <w:rFonts w:asciiTheme="majorHAnsi" w:hAnsiTheme="majorHAnsi" w:cstheme="majorHAnsi"/>
          <w:sz w:val="24"/>
          <w:szCs w:val="24"/>
          <w:lang w:val="ru-RU"/>
        </w:rPr>
        <w:t>е</w:t>
      </w:r>
      <w:r w:rsidR="00740A80" w:rsidRPr="00740A80">
        <w:rPr>
          <w:rFonts w:asciiTheme="majorHAnsi" w:hAnsiTheme="majorHAnsi" w:cstheme="majorHAnsi"/>
          <w:sz w:val="24"/>
          <w:szCs w:val="24"/>
          <w:lang w:val="ro-MD"/>
        </w:rPr>
        <w:t xml:space="preserve"> первичных документов. </w:t>
      </w:r>
      <w:r w:rsidR="00633470" w:rsidRPr="00633470">
        <w:rPr>
          <w:rFonts w:asciiTheme="majorHAnsi" w:hAnsiTheme="majorHAnsi" w:cstheme="majorHAnsi"/>
          <w:sz w:val="24"/>
          <w:szCs w:val="24"/>
          <w:lang w:val="ro-MD"/>
        </w:rPr>
        <w:t>Начиная с</w:t>
      </w:r>
      <w:r w:rsidR="00740A80" w:rsidRPr="00740A80">
        <w:rPr>
          <w:rFonts w:asciiTheme="majorHAnsi" w:hAnsiTheme="majorHAnsi" w:cstheme="majorHAnsi"/>
          <w:sz w:val="24"/>
          <w:szCs w:val="24"/>
          <w:lang w:val="ro-MD"/>
        </w:rPr>
        <w:t xml:space="preserve"> 2023 год</w:t>
      </w:r>
      <w:r w:rsidR="00633470" w:rsidRPr="00633470">
        <w:rPr>
          <w:rFonts w:asciiTheme="majorHAnsi" w:hAnsiTheme="majorHAnsi" w:cstheme="majorHAnsi"/>
          <w:sz w:val="24"/>
          <w:szCs w:val="24"/>
          <w:lang w:val="ro-MD"/>
        </w:rPr>
        <w:t>а,</w:t>
      </w:r>
      <w:r w:rsidR="00740A80" w:rsidRPr="00740A80">
        <w:rPr>
          <w:rFonts w:asciiTheme="majorHAnsi" w:hAnsiTheme="majorHAnsi" w:cstheme="majorHAnsi"/>
          <w:sz w:val="24"/>
          <w:szCs w:val="24"/>
          <w:lang w:val="ro-MD"/>
        </w:rPr>
        <w:t xml:space="preserve"> доходы от лекарств, полученных бесплатно, регистрируются с их </w:t>
      </w:r>
      <w:r w:rsidR="00633470" w:rsidRPr="00633470">
        <w:rPr>
          <w:rFonts w:asciiTheme="majorHAnsi" w:hAnsiTheme="majorHAnsi" w:cstheme="majorHAnsi"/>
          <w:sz w:val="24"/>
          <w:szCs w:val="24"/>
          <w:lang w:val="ro-MD"/>
        </w:rPr>
        <w:t>отнесением</w:t>
      </w:r>
      <w:r w:rsidR="00740A80" w:rsidRPr="00740A80">
        <w:rPr>
          <w:rFonts w:asciiTheme="majorHAnsi" w:hAnsiTheme="majorHAnsi" w:cstheme="majorHAnsi"/>
          <w:sz w:val="24"/>
          <w:szCs w:val="24"/>
          <w:lang w:val="ro-MD"/>
        </w:rPr>
        <w:t xml:space="preserve"> на расходы</w:t>
      </w:r>
      <w:r w:rsidR="00B37661" w:rsidRPr="00B13B9A">
        <w:rPr>
          <w:rFonts w:asciiTheme="majorHAnsi" w:hAnsiTheme="majorHAnsi" w:cstheme="majorHAnsi"/>
          <w:sz w:val="24"/>
          <w:szCs w:val="24"/>
          <w:lang w:val="ro-MD"/>
        </w:rPr>
        <w:t>.</w:t>
      </w:r>
    </w:p>
    <w:p w14:paraId="318A9B86" w14:textId="77777777" w:rsidR="001F1448" w:rsidRPr="00B13B9A" w:rsidRDefault="001F1448" w:rsidP="00B37661">
      <w:pPr>
        <w:spacing w:after="0" w:line="276" w:lineRule="auto"/>
        <w:ind w:right="-157"/>
        <w:jc w:val="both"/>
        <w:rPr>
          <w:rFonts w:asciiTheme="majorHAnsi" w:hAnsiTheme="majorHAnsi" w:cstheme="majorHAnsi"/>
          <w:sz w:val="24"/>
          <w:szCs w:val="24"/>
          <w:lang w:val="ro-MD"/>
        </w:rPr>
      </w:pPr>
    </w:p>
    <w:p w14:paraId="2D7D35E1" w14:textId="195FDD67" w:rsidR="001F1448" w:rsidRPr="00B13B9A" w:rsidRDefault="00740A80" w:rsidP="00740A80">
      <w:pPr>
        <w:pStyle w:val="a7"/>
        <w:numPr>
          <w:ilvl w:val="2"/>
          <w:numId w:val="10"/>
        </w:numPr>
        <w:spacing w:after="0" w:line="276" w:lineRule="auto"/>
        <w:ind w:right="-157"/>
        <w:jc w:val="both"/>
        <w:outlineLvl w:val="2"/>
        <w:rPr>
          <w:rFonts w:asciiTheme="majorHAnsi" w:hAnsiTheme="majorHAnsi" w:cstheme="majorHAnsi"/>
          <w:b/>
          <w:sz w:val="24"/>
          <w:szCs w:val="24"/>
          <w:lang w:val="ro-MD"/>
        </w:rPr>
      </w:pPr>
      <w:bookmarkStart w:id="49" w:name="_Toc158317251"/>
      <w:r w:rsidRPr="00740A80">
        <w:rPr>
          <w:rFonts w:asciiTheme="majorHAnsi" w:hAnsiTheme="majorHAnsi" w:cstheme="majorHAnsi"/>
          <w:b/>
          <w:sz w:val="24"/>
          <w:szCs w:val="24"/>
          <w:lang w:val="ro-MD"/>
        </w:rPr>
        <w:t>Рекомендации из Отчета аудита эффективности реализации Национальной программы по снижению бремени туберкулеза были реализованы</w:t>
      </w:r>
      <w:r w:rsidR="00C721C6" w:rsidRPr="00B13B9A">
        <w:rPr>
          <w:rFonts w:asciiTheme="majorHAnsi" w:hAnsiTheme="majorHAnsi" w:cstheme="majorHAnsi"/>
          <w:b/>
          <w:sz w:val="24"/>
          <w:szCs w:val="24"/>
          <w:lang w:val="ro-MD"/>
        </w:rPr>
        <w:t>.</w:t>
      </w:r>
      <w:bookmarkEnd w:id="49"/>
      <w:r w:rsidR="001F1448" w:rsidRPr="00B13B9A">
        <w:rPr>
          <w:rFonts w:asciiTheme="majorHAnsi" w:hAnsiTheme="majorHAnsi" w:cstheme="majorHAnsi"/>
          <w:b/>
          <w:sz w:val="24"/>
          <w:szCs w:val="24"/>
          <w:lang w:val="ro-MD"/>
        </w:rPr>
        <w:t xml:space="preserve"> </w:t>
      </w:r>
    </w:p>
    <w:p w14:paraId="3788B62E" w14:textId="57A63926" w:rsidR="00C202E3" w:rsidRPr="00B13B9A" w:rsidRDefault="00740A80" w:rsidP="00C202E3">
      <w:pPr>
        <w:spacing w:line="276" w:lineRule="auto"/>
        <w:jc w:val="both"/>
        <w:rPr>
          <w:rFonts w:asciiTheme="majorHAnsi" w:eastAsia="Times New Roman" w:hAnsiTheme="majorHAnsi" w:cstheme="majorHAnsi"/>
          <w:color w:val="212121"/>
          <w:sz w:val="24"/>
          <w:szCs w:val="24"/>
          <w:lang w:val="ro-MD"/>
        </w:rPr>
      </w:pPr>
      <w:r w:rsidRPr="00740A80">
        <w:rPr>
          <w:rFonts w:asciiTheme="majorHAnsi" w:eastAsia="Times New Roman" w:hAnsiTheme="majorHAnsi" w:cstheme="majorHAnsi"/>
          <w:color w:val="212121"/>
          <w:sz w:val="24"/>
          <w:szCs w:val="24"/>
          <w:lang w:val="ro-MD"/>
        </w:rPr>
        <w:t xml:space="preserve">В целях устранения недостатков и несоответствий, </w:t>
      </w:r>
      <w:r w:rsidR="000376A8">
        <w:rPr>
          <w:rFonts w:asciiTheme="majorHAnsi" w:eastAsia="Times New Roman" w:hAnsiTheme="majorHAnsi" w:cstheme="majorHAnsi"/>
          <w:color w:val="212121"/>
          <w:sz w:val="24"/>
          <w:szCs w:val="24"/>
          <w:lang w:val="ru-RU"/>
        </w:rPr>
        <w:t>установл</w:t>
      </w:r>
      <w:r w:rsidRPr="00740A80">
        <w:rPr>
          <w:rFonts w:asciiTheme="majorHAnsi" w:eastAsia="Times New Roman" w:hAnsiTheme="majorHAnsi" w:cstheme="majorHAnsi"/>
          <w:color w:val="212121"/>
          <w:sz w:val="24"/>
          <w:szCs w:val="24"/>
          <w:lang w:val="ro-MD"/>
        </w:rPr>
        <w:t xml:space="preserve">енных в </w:t>
      </w:r>
      <w:r w:rsidR="000376A8">
        <w:rPr>
          <w:rFonts w:asciiTheme="majorHAnsi" w:eastAsia="Times New Roman" w:hAnsiTheme="majorHAnsi" w:cstheme="majorHAnsi"/>
          <w:color w:val="212121"/>
          <w:sz w:val="24"/>
          <w:szCs w:val="24"/>
          <w:lang w:val="ru-RU"/>
        </w:rPr>
        <w:t xml:space="preserve">рамках </w:t>
      </w:r>
      <w:r w:rsidRPr="00740A80">
        <w:rPr>
          <w:rFonts w:asciiTheme="majorHAnsi" w:eastAsia="Times New Roman" w:hAnsiTheme="majorHAnsi" w:cstheme="majorHAnsi"/>
          <w:color w:val="212121"/>
          <w:sz w:val="24"/>
          <w:szCs w:val="24"/>
          <w:lang w:val="ro-MD"/>
        </w:rPr>
        <w:t xml:space="preserve">аудиторской миссии, утвержденной Счетной палатой </w:t>
      </w:r>
      <w:r w:rsidR="000376A8">
        <w:rPr>
          <w:rFonts w:asciiTheme="majorHAnsi" w:eastAsia="Times New Roman" w:hAnsiTheme="majorHAnsi" w:cstheme="majorHAnsi"/>
          <w:color w:val="212121"/>
          <w:sz w:val="24"/>
          <w:szCs w:val="24"/>
          <w:lang w:val="ru-RU"/>
        </w:rPr>
        <w:t>П</w:t>
      </w:r>
      <w:r w:rsidR="000376A8">
        <w:rPr>
          <w:rFonts w:asciiTheme="majorHAnsi" w:eastAsia="Times New Roman" w:hAnsiTheme="majorHAnsi" w:cstheme="majorHAnsi"/>
          <w:color w:val="212121"/>
          <w:sz w:val="24"/>
          <w:szCs w:val="24"/>
          <w:lang w:val="ro-MD"/>
        </w:rPr>
        <w:t>остановлением №</w:t>
      </w:r>
      <w:r w:rsidRPr="00740A80">
        <w:rPr>
          <w:rFonts w:asciiTheme="majorHAnsi" w:eastAsia="Times New Roman" w:hAnsiTheme="majorHAnsi" w:cstheme="majorHAnsi"/>
          <w:color w:val="212121"/>
          <w:sz w:val="24"/>
          <w:szCs w:val="24"/>
          <w:lang w:val="ro-MD"/>
        </w:rPr>
        <w:t xml:space="preserve">5 </w:t>
      </w:r>
      <w:r w:rsidR="000376A8">
        <w:rPr>
          <w:rFonts w:asciiTheme="majorHAnsi" w:eastAsia="Times New Roman" w:hAnsiTheme="majorHAnsi" w:cstheme="majorHAnsi"/>
          <w:color w:val="212121"/>
          <w:sz w:val="24"/>
          <w:szCs w:val="24"/>
          <w:lang w:val="ru-RU"/>
        </w:rPr>
        <w:t>от</w:t>
      </w:r>
      <w:r w:rsidRPr="00740A80">
        <w:rPr>
          <w:rFonts w:asciiTheme="majorHAnsi" w:eastAsia="Times New Roman" w:hAnsiTheme="majorHAnsi" w:cstheme="majorHAnsi"/>
          <w:color w:val="212121"/>
          <w:sz w:val="24"/>
          <w:szCs w:val="24"/>
          <w:lang w:val="ro-MD"/>
        </w:rPr>
        <w:t xml:space="preserve"> 30.01.2020 „</w:t>
      </w:r>
      <w:r w:rsidR="000376A8">
        <w:rPr>
          <w:rFonts w:asciiTheme="majorHAnsi" w:eastAsia="Times New Roman" w:hAnsiTheme="majorHAnsi" w:cstheme="majorHAnsi"/>
          <w:color w:val="212121"/>
          <w:sz w:val="24"/>
          <w:szCs w:val="24"/>
          <w:lang w:val="ru-RU"/>
        </w:rPr>
        <w:t>По</w:t>
      </w:r>
      <w:r w:rsidRPr="00740A80">
        <w:rPr>
          <w:rFonts w:asciiTheme="majorHAnsi" w:eastAsia="Times New Roman" w:hAnsiTheme="majorHAnsi" w:cstheme="majorHAnsi"/>
          <w:color w:val="212121"/>
          <w:sz w:val="24"/>
          <w:szCs w:val="24"/>
          <w:lang w:val="ro-MD"/>
        </w:rPr>
        <w:t xml:space="preserve"> </w:t>
      </w:r>
      <w:r w:rsidR="000376A8">
        <w:rPr>
          <w:rFonts w:asciiTheme="majorHAnsi" w:eastAsia="Times New Roman" w:hAnsiTheme="majorHAnsi" w:cstheme="majorHAnsi"/>
          <w:color w:val="212121"/>
          <w:sz w:val="24"/>
          <w:szCs w:val="24"/>
          <w:lang w:val="ru-RU"/>
        </w:rPr>
        <w:t>О</w:t>
      </w:r>
      <w:r w:rsidRPr="00740A80">
        <w:rPr>
          <w:rFonts w:asciiTheme="majorHAnsi" w:eastAsia="Times New Roman" w:hAnsiTheme="majorHAnsi" w:cstheme="majorHAnsi"/>
          <w:color w:val="212121"/>
          <w:sz w:val="24"/>
          <w:szCs w:val="24"/>
          <w:lang w:val="ro-MD"/>
        </w:rPr>
        <w:t>тчет</w:t>
      </w:r>
      <w:r w:rsidR="000376A8">
        <w:rPr>
          <w:rFonts w:asciiTheme="majorHAnsi" w:eastAsia="Times New Roman" w:hAnsiTheme="majorHAnsi" w:cstheme="majorHAnsi"/>
          <w:color w:val="212121"/>
          <w:sz w:val="24"/>
          <w:szCs w:val="24"/>
          <w:lang w:val="ru-RU"/>
        </w:rPr>
        <w:t>у</w:t>
      </w:r>
      <w:r w:rsidRPr="00740A80">
        <w:rPr>
          <w:rFonts w:asciiTheme="majorHAnsi" w:eastAsia="Times New Roman" w:hAnsiTheme="majorHAnsi" w:cstheme="majorHAnsi"/>
          <w:color w:val="212121"/>
          <w:sz w:val="24"/>
          <w:szCs w:val="24"/>
          <w:lang w:val="ro-MD"/>
        </w:rPr>
        <w:t xml:space="preserve"> аудита эффективности реализации Национальной программы по снижению бремени туберкулеза</w:t>
      </w:r>
      <w:r w:rsidR="000376A8" w:rsidRPr="00B13B9A">
        <w:rPr>
          <w:rFonts w:asciiTheme="majorHAnsi" w:eastAsia="Times New Roman" w:hAnsiTheme="majorHAnsi" w:cstheme="majorHAnsi"/>
          <w:iCs/>
          <w:color w:val="212121"/>
          <w:sz w:val="24"/>
          <w:szCs w:val="24"/>
          <w:lang w:val="ro-MD"/>
        </w:rPr>
        <w:t>”</w:t>
      </w:r>
      <w:r w:rsidR="000376A8">
        <w:rPr>
          <w:rFonts w:asciiTheme="majorHAnsi" w:eastAsia="Times New Roman" w:hAnsiTheme="majorHAnsi" w:cstheme="majorHAnsi"/>
          <w:iCs/>
          <w:color w:val="212121"/>
          <w:sz w:val="24"/>
          <w:szCs w:val="24"/>
          <w:lang w:val="ru-RU"/>
        </w:rPr>
        <w:t>,</w:t>
      </w:r>
      <w:r w:rsidRPr="00740A80">
        <w:rPr>
          <w:rFonts w:asciiTheme="majorHAnsi" w:eastAsia="Times New Roman" w:hAnsiTheme="majorHAnsi" w:cstheme="majorHAnsi"/>
          <w:color w:val="212121"/>
          <w:sz w:val="24"/>
          <w:szCs w:val="24"/>
          <w:lang w:val="ro-MD"/>
        </w:rPr>
        <w:t xml:space="preserve"> аудит </w:t>
      </w:r>
      <w:r w:rsidR="000376A8">
        <w:rPr>
          <w:rFonts w:asciiTheme="majorHAnsi" w:eastAsia="Times New Roman" w:hAnsiTheme="majorHAnsi" w:cstheme="majorHAnsi"/>
          <w:color w:val="212121"/>
          <w:sz w:val="24"/>
          <w:szCs w:val="24"/>
          <w:lang w:val="ru-RU"/>
        </w:rPr>
        <w:t>отмеч</w:t>
      </w:r>
      <w:r w:rsidRPr="00740A80">
        <w:rPr>
          <w:rFonts w:asciiTheme="majorHAnsi" w:eastAsia="Times New Roman" w:hAnsiTheme="majorHAnsi" w:cstheme="majorHAnsi"/>
          <w:color w:val="212121"/>
          <w:sz w:val="24"/>
          <w:szCs w:val="24"/>
          <w:lang w:val="ro-MD"/>
        </w:rPr>
        <w:t>ает, что было представлено 19 рекомендаций, которые были реализованы на уровне 94,7%. Министерств</w:t>
      </w:r>
      <w:r w:rsidR="000376A8">
        <w:rPr>
          <w:rFonts w:asciiTheme="majorHAnsi" w:eastAsia="Times New Roman" w:hAnsiTheme="majorHAnsi" w:cstheme="majorHAnsi"/>
          <w:color w:val="212121"/>
          <w:sz w:val="24"/>
          <w:szCs w:val="24"/>
          <w:lang w:val="ru-RU"/>
        </w:rPr>
        <w:t>у</w:t>
      </w:r>
      <w:r w:rsidRPr="00740A80">
        <w:rPr>
          <w:rFonts w:asciiTheme="majorHAnsi" w:eastAsia="Times New Roman" w:hAnsiTheme="majorHAnsi" w:cstheme="majorHAnsi"/>
          <w:color w:val="212121"/>
          <w:sz w:val="24"/>
          <w:szCs w:val="24"/>
          <w:lang w:val="ro-MD"/>
        </w:rPr>
        <w:t xml:space="preserve"> здравоохранения, труда и социальной защиты было </w:t>
      </w:r>
      <w:r w:rsidR="000376A8">
        <w:rPr>
          <w:rFonts w:asciiTheme="majorHAnsi" w:eastAsia="Times New Roman" w:hAnsiTheme="majorHAnsi" w:cstheme="majorHAnsi"/>
          <w:color w:val="212121"/>
          <w:sz w:val="24"/>
          <w:szCs w:val="24"/>
          <w:lang w:val="ru-RU"/>
        </w:rPr>
        <w:t>направлен</w:t>
      </w:r>
      <w:r w:rsidRPr="00740A80">
        <w:rPr>
          <w:rFonts w:asciiTheme="majorHAnsi" w:eastAsia="Times New Roman" w:hAnsiTheme="majorHAnsi" w:cstheme="majorHAnsi"/>
          <w:color w:val="212121"/>
          <w:sz w:val="24"/>
          <w:szCs w:val="24"/>
          <w:lang w:val="ro-MD"/>
        </w:rPr>
        <w:t>о 9 рекомендаций, Министерств</w:t>
      </w:r>
      <w:r w:rsidR="000376A8">
        <w:rPr>
          <w:rFonts w:asciiTheme="majorHAnsi" w:eastAsia="Times New Roman" w:hAnsiTheme="majorHAnsi" w:cstheme="majorHAnsi"/>
          <w:color w:val="212121"/>
          <w:sz w:val="24"/>
          <w:szCs w:val="24"/>
          <w:lang w:val="ru-RU"/>
        </w:rPr>
        <w:t>у</w:t>
      </w:r>
      <w:r w:rsidRPr="00740A80">
        <w:rPr>
          <w:rFonts w:asciiTheme="majorHAnsi" w:eastAsia="Times New Roman" w:hAnsiTheme="majorHAnsi" w:cstheme="majorHAnsi"/>
          <w:color w:val="212121"/>
          <w:sz w:val="24"/>
          <w:szCs w:val="24"/>
          <w:lang w:val="ro-MD"/>
        </w:rPr>
        <w:t xml:space="preserve"> юстиции</w:t>
      </w:r>
      <w:r w:rsidR="000376A8">
        <w:rPr>
          <w:rFonts w:asciiTheme="majorHAnsi" w:eastAsia="Times New Roman" w:hAnsiTheme="majorHAnsi" w:cstheme="majorHAnsi"/>
          <w:color w:val="212121"/>
          <w:sz w:val="24"/>
          <w:szCs w:val="24"/>
          <w:lang w:val="ru-RU"/>
        </w:rPr>
        <w:t xml:space="preserve"> </w:t>
      </w:r>
      <w:r w:rsidRPr="00740A80">
        <w:rPr>
          <w:rFonts w:asciiTheme="majorHAnsi" w:eastAsia="Times New Roman" w:hAnsiTheme="majorHAnsi" w:cstheme="majorHAnsi"/>
          <w:color w:val="212121"/>
          <w:sz w:val="24"/>
          <w:szCs w:val="24"/>
          <w:lang w:val="ro-MD"/>
        </w:rPr>
        <w:t>-</w:t>
      </w:r>
      <w:r w:rsidR="000376A8">
        <w:rPr>
          <w:rFonts w:asciiTheme="majorHAnsi" w:eastAsia="Times New Roman" w:hAnsiTheme="majorHAnsi" w:cstheme="majorHAnsi"/>
          <w:color w:val="212121"/>
          <w:sz w:val="24"/>
          <w:szCs w:val="24"/>
          <w:lang w:val="ru-RU"/>
        </w:rPr>
        <w:t xml:space="preserve"> </w:t>
      </w:r>
      <w:r w:rsidRPr="00740A80">
        <w:rPr>
          <w:rFonts w:asciiTheme="majorHAnsi" w:eastAsia="Times New Roman" w:hAnsiTheme="majorHAnsi" w:cstheme="majorHAnsi"/>
          <w:color w:val="212121"/>
          <w:sz w:val="24"/>
          <w:szCs w:val="24"/>
          <w:lang w:val="ro-MD"/>
        </w:rPr>
        <w:t>5 рекомендаций, Национальн</w:t>
      </w:r>
      <w:r w:rsidR="000376A8">
        <w:rPr>
          <w:rFonts w:asciiTheme="majorHAnsi" w:eastAsia="Times New Roman" w:hAnsiTheme="majorHAnsi" w:cstheme="majorHAnsi"/>
          <w:color w:val="212121"/>
          <w:sz w:val="24"/>
          <w:szCs w:val="24"/>
          <w:lang w:val="ru-RU"/>
        </w:rPr>
        <w:t>ой</w:t>
      </w:r>
      <w:r w:rsidRPr="00740A80">
        <w:rPr>
          <w:rFonts w:asciiTheme="majorHAnsi" w:eastAsia="Times New Roman" w:hAnsiTheme="majorHAnsi" w:cstheme="majorHAnsi"/>
          <w:color w:val="212121"/>
          <w:sz w:val="24"/>
          <w:szCs w:val="24"/>
          <w:lang w:val="ro-MD"/>
        </w:rPr>
        <w:t xml:space="preserve"> медицинск</w:t>
      </w:r>
      <w:r w:rsidR="000376A8">
        <w:rPr>
          <w:rFonts w:asciiTheme="majorHAnsi" w:eastAsia="Times New Roman" w:hAnsiTheme="majorHAnsi" w:cstheme="majorHAnsi"/>
          <w:color w:val="212121"/>
          <w:sz w:val="24"/>
          <w:szCs w:val="24"/>
          <w:lang w:val="ru-RU"/>
        </w:rPr>
        <w:t>ой</w:t>
      </w:r>
      <w:r w:rsidRPr="00740A80">
        <w:rPr>
          <w:rFonts w:asciiTheme="majorHAnsi" w:eastAsia="Times New Roman" w:hAnsiTheme="majorHAnsi" w:cstheme="majorHAnsi"/>
          <w:color w:val="212121"/>
          <w:sz w:val="24"/>
          <w:szCs w:val="24"/>
          <w:lang w:val="ro-MD"/>
        </w:rPr>
        <w:t xml:space="preserve"> страхов</w:t>
      </w:r>
      <w:r w:rsidR="000376A8">
        <w:rPr>
          <w:rFonts w:asciiTheme="majorHAnsi" w:eastAsia="Times New Roman" w:hAnsiTheme="majorHAnsi" w:cstheme="majorHAnsi"/>
          <w:color w:val="212121"/>
          <w:sz w:val="24"/>
          <w:szCs w:val="24"/>
          <w:lang w:val="ru-RU"/>
        </w:rPr>
        <w:t>ой</w:t>
      </w:r>
      <w:r w:rsidRPr="00740A80">
        <w:rPr>
          <w:rFonts w:asciiTheme="majorHAnsi" w:eastAsia="Times New Roman" w:hAnsiTheme="majorHAnsi" w:cstheme="majorHAnsi"/>
          <w:color w:val="212121"/>
          <w:sz w:val="24"/>
          <w:szCs w:val="24"/>
          <w:lang w:val="ro-MD"/>
        </w:rPr>
        <w:t xml:space="preserve"> компани</w:t>
      </w:r>
      <w:r w:rsidR="000376A8">
        <w:rPr>
          <w:rFonts w:asciiTheme="majorHAnsi" w:eastAsia="Times New Roman" w:hAnsiTheme="majorHAnsi" w:cstheme="majorHAnsi"/>
          <w:color w:val="212121"/>
          <w:sz w:val="24"/>
          <w:szCs w:val="24"/>
          <w:lang w:val="ru-RU"/>
        </w:rPr>
        <w:t>и</w:t>
      </w:r>
      <w:r w:rsidRPr="00740A80">
        <w:rPr>
          <w:rFonts w:asciiTheme="majorHAnsi" w:eastAsia="Times New Roman" w:hAnsiTheme="majorHAnsi" w:cstheme="majorHAnsi"/>
          <w:color w:val="212121"/>
          <w:sz w:val="24"/>
          <w:szCs w:val="24"/>
          <w:lang w:val="ro-MD"/>
        </w:rPr>
        <w:t xml:space="preserve"> – 2 рекомендации, </w:t>
      </w:r>
      <w:r w:rsidR="000376A8">
        <w:rPr>
          <w:rFonts w:asciiTheme="majorHAnsi" w:eastAsia="Times New Roman" w:hAnsiTheme="majorHAnsi" w:cstheme="majorHAnsi"/>
          <w:color w:val="212121"/>
          <w:sz w:val="24"/>
          <w:szCs w:val="24"/>
          <w:lang w:val="ru-RU"/>
        </w:rPr>
        <w:t>М</w:t>
      </w:r>
      <w:r w:rsidRPr="00740A80">
        <w:rPr>
          <w:rFonts w:asciiTheme="majorHAnsi" w:eastAsia="Times New Roman" w:hAnsiTheme="majorHAnsi" w:cstheme="majorHAnsi"/>
          <w:color w:val="212121"/>
          <w:sz w:val="24"/>
          <w:szCs w:val="24"/>
          <w:lang w:val="ro-MD"/>
        </w:rPr>
        <w:t>униципально</w:t>
      </w:r>
      <w:r w:rsidR="000376A8">
        <w:rPr>
          <w:rFonts w:asciiTheme="majorHAnsi" w:eastAsia="Times New Roman" w:hAnsiTheme="majorHAnsi" w:cstheme="majorHAnsi"/>
          <w:color w:val="212121"/>
          <w:sz w:val="24"/>
          <w:szCs w:val="24"/>
          <w:lang w:val="ru-RU"/>
        </w:rPr>
        <w:t>му роддому</w:t>
      </w:r>
      <w:r w:rsidRPr="00740A80">
        <w:rPr>
          <w:rFonts w:asciiTheme="majorHAnsi" w:eastAsia="Times New Roman" w:hAnsiTheme="majorHAnsi" w:cstheme="majorHAnsi"/>
          <w:color w:val="212121"/>
          <w:sz w:val="24"/>
          <w:szCs w:val="24"/>
          <w:lang w:val="ro-MD"/>
        </w:rPr>
        <w:t xml:space="preserve"> №</w:t>
      </w:r>
      <w:r w:rsidR="000376A8">
        <w:rPr>
          <w:rFonts w:asciiTheme="majorHAnsi" w:eastAsia="Times New Roman" w:hAnsiTheme="majorHAnsi" w:cstheme="majorHAnsi"/>
          <w:color w:val="212121"/>
          <w:sz w:val="24"/>
          <w:szCs w:val="24"/>
          <w:lang w:val="ru-RU"/>
        </w:rPr>
        <w:t>2</w:t>
      </w:r>
      <w:r w:rsidRPr="00740A80">
        <w:rPr>
          <w:rFonts w:asciiTheme="majorHAnsi" w:eastAsia="Times New Roman" w:hAnsiTheme="majorHAnsi" w:cstheme="majorHAnsi"/>
          <w:color w:val="212121"/>
          <w:sz w:val="24"/>
          <w:szCs w:val="24"/>
          <w:lang w:val="ro-MD"/>
        </w:rPr>
        <w:t xml:space="preserve"> </w:t>
      </w:r>
      <w:r w:rsidR="000376A8">
        <w:rPr>
          <w:rFonts w:asciiTheme="majorHAnsi" w:eastAsia="Times New Roman" w:hAnsiTheme="majorHAnsi" w:cstheme="majorHAnsi"/>
          <w:color w:val="212121"/>
          <w:sz w:val="24"/>
          <w:szCs w:val="24"/>
          <w:lang w:val="ru-RU"/>
        </w:rPr>
        <w:t>м</w:t>
      </w:r>
      <w:r w:rsidRPr="00740A80">
        <w:rPr>
          <w:rFonts w:asciiTheme="majorHAnsi" w:eastAsia="Times New Roman" w:hAnsiTheme="majorHAnsi" w:cstheme="majorHAnsi"/>
          <w:color w:val="212121"/>
          <w:sz w:val="24"/>
          <w:szCs w:val="24"/>
          <w:lang w:val="ro-MD"/>
        </w:rPr>
        <w:t>ун. Кишинэу, Муниципальн</w:t>
      </w:r>
      <w:r w:rsidR="000376A8">
        <w:rPr>
          <w:rFonts w:asciiTheme="majorHAnsi" w:eastAsia="Times New Roman" w:hAnsiTheme="majorHAnsi" w:cstheme="majorHAnsi"/>
          <w:color w:val="212121"/>
          <w:sz w:val="24"/>
          <w:szCs w:val="24"/>
          <w:lang w:val="ru-RU"/>
        </w:rPr>
        <w:t>ой</w:t>
      </w:r>
      <w:r w:rsidRPr="00740A80">
        <w:rPr>
          <w:rFonts w:asciiTheme="majorHAnsi" w:eastAsia="Times New Roman" w:hAnsiTheme="majorHAnsi" w:cstheme="majorHAnsi"/>
          <w:color w:val="212121"/>
          <w:sz w:val="24"/>
          <w:szCs w:val="24"/>
          <w:lang w:val="ro-MD"/>
        </w:rPr>
        <w:t xml:space="preserve"> клиническ</w:t>
      </w:r>
      <w:r w:rsidR="000376A8">
        <w:rPr>
          <w:rFonts w:asciiTheme="majorHAnsi" w:eastAsia="Times New Roman" w:hAnsiTheme="majorHAnsi" w:cstheme="majorHAnsi"/>
          <w:color w:val="212121"/>
          <w:sz w:val="24"/>
          <w:szCs w:val="24"/>
          <w:lang w:val="ru-RU"/>
        </w:rPr>
        <w:t>ой</w:t>
      </w:r>
      <w:r w:rsidRPr="00740A80">
        <w:rPr>
          <w:rFonts w:asciiTheme="majorHAnsi" w:eastAsia="Times New Roman" w:hAnsiTheme="majorHAnsi" w:cstheme="majorHAnsi"/>
          <w:color w:val="212121"/>
          <w:sz w:val="24"/>
          <w:szCs w:val="24"/>
          <w:lang w:val="ro-MD"/>
        </w:rPr>
        <w:t xml:space="preserve"> больниц</w:t>
      </w:r>
      <w:r w:rsidR="000376A8">
        <w:rPr>
          <w:rFonts w:asciiTheme="majorHAnsi" w:eastAsia="Times New Roman" w:hAnsiTheme="majorHAnsi" w:cstheme="majorHAnsi"/>
          <w:color w:val="212121"/>
          <w:sz w:val="24"/>
          <w:szCs w:val="24"/>
          <w:lang w:val="ru-RU"/>
        </w:rPr>
        <w:t>е</w:t>
      </w:r>
      <w:r w:rsidRPr="00740A80">
        <w:rPr>
          <w:rFonts w:asciiTheme="majorHAnsi" w:eastAsia="Times New Roman" w:hAnsiTheme="majorHAnsi" w:cstheme="majorHAnsi"/>
          <w:color w:val="212121"/>
          <w:sz w:val="24"/>
          <w:szCs w:val="24"/>
          <w:lang w:val="ro-MD"/>
        </w:rPr>
        <w:t xml:space="preserve"> №1 </w:t>
      </w:r>
      <w:r w:rsidR="000376A8">
        <w:rPr>
          <w:rFonts w:asciiTheme="majorHAnsi" w:eastAsia="Times New Roman" w:hAnsiTheme="majorHAnsi" w:cstheme="majorHAnsi"/>
          <w:color w:val="212121"/>
          <w:sz w:val="24"/>
          <w:szCs w:val="24"/>
          <w:lang w:val="ru-RU"/>
        </w:rPr>
        <w:t>м</w:t>
      </w:r>
      <w:r w:rsidRPr="00740A80">
        <w:rPr>
          <w:rFonts w:asciiTheme="majorHAnsi" w:eastAsia="Times New Roman" w:hAnsiTheme="majorHAnsi" w:cstheme="majorHAnsi"/>
          <w:color w:val="212121"/>
          <w:sz w:val="24"/>
          <w:szCs w:val="24"/>
          <w:lang w:val="ro-MD"/>
        </w:rPr>
        <w:t>ун. Кишин</w:t>
      </w:r>
      <w:r w:rsidR="000376A8" w:rsidRPr="007A6189">
        <w:rPr>
          <w:rFonts w:asciiTheme="majorHAnsi" w:eastAsia="Times New Roman" w:hAnsiTheme="majorHAnsi" w:cstheme="majorHAnsi"/>
          <w:color w:val="212121"/>
          <w:sz w:val="24"/>
          <w:szCs w:val="24"/>
          <w:lang w:val="ro-MD"/>
        </w:rPr>
        <w:t>эу</w:t>
      </w:r>
      <w:r w:rsidRPr="00740A80">
        <w:rPr>
          <w:rFonts w:asciiTheme="majorHAnsi" w:eastAsia="Times New Roman" w:hAnsiTheme="majorHAnsi" w:cstheme="majorHAnsi"/>
          <w:color w:val="212121"/>
          <w:sz w:val="24"/>
          <w:szCs w:val="24"/>
          <w:lang w:val="ro-MD"/>
        </w:rPr>
        <w:t xml:space="preserve"> и Перинатологическ</w:t>
      </w:r>
      <w:r w:rsidR="007A6189" w:rsidRPr="007A6189">
        <w:rPr>
          <w:rFonts w:asciiTheme="majorHAnsi" w:eastAsia="Times New Roman" w:hAnsiTheme="majorHAnsi" w:cstheme="majorHAnsi"/>
          <w:color w:val="212121"/>
          <w:sz w:val="24"/>
          <w:szCs w:val="24"/>
          <w:lang w:val="ro-MD"/>
        </w:rPr>
        <w:t>ому департаменту</w:t>
      </w:r>
      <w:r w:rsidRPr="00740A80">
        <w:rPr>
          <w:rFonts w:asciiTheme="majorHAnsi" w:eastAsia="Times New Roman" w:hAnsiTheme="majorHAnsi" w:cstheme="majorHAnsi"/>
          <w:color w:val="212121"/>
          <w:sz w:val="24"/>
          <w:szCs w:val="24"/>
          <w:lang w:val="ro-MD"/>
        </w:rPr>
        <w:t xml:space="preserve"> </w:t>
      </w:r>
      <w:r w:rsidR="007A6189" w:rsidRPr="007A6189">
        <w:rPr>
          <w:rFonts w:asciiTheme="majorHAnsi" w:eastAsia="Times New Roman" w:hAnsiTheme="majorHAnsi" w:cstheme="majorHAnsi"/>
          <w:color w:val="212121"/>
          <w:sz w:val="24"/>
          <w:szCs w:val="24"/>
          <w:lang w:val="ro-MD"/>
        </w:rPr>
        <w:t>м</w:t>
      </w:r>
      <w:r w:rsidRPr="00740A80">
        <w:rPr>
          <w:rFonts w:asciiTheme="majorHAnsi" w:eastAsia="Times New Roman" w:hAnsiTheme="majorHAnsi" w:cstheme="majorHAnsi"/>
          <w:color w:val="212121"/>
          <w:sz w:val="24"/>
          <w:szCs w:val="24"/>
          <w:lang w:val="ro-MD"/>
        </w:rPr>
        <w:t>ун. Б</w:t>
      </w:r>
      <w:r w:rsidR="007A6189" w:rsidRPr="007A6189">
        <w:rPr>
          <w:rFonts w:asciiTheme="majorHAnsi" w:eastAsia="Times New Roman" w:hAnsiTheme="majorHAnsi" w:cstheme="majorHAnsi"/>
          <w:color w:val="212121"/>
          <w:sz w:val="24"/>
          <w:szCs w:val="24"/>
          <w:lang w:val="ro-MD"/>
        </w:rPr>
        <w:t xml:space="preserve">элць </w:t>
      </w:r>
      <w:r w:rsidR="007A6189">
        <w:rPr>
          <w:rFonts w:asciiTheme="majorHAnsi" w:eastAsia="Times New Roman" w:hAnsiTheme="majorHAnsi" w:cstheme="majorHAnsi"/>
          <w:color w:val="212121"/>
          <w:sz w:val="24"/>
          <w:szCs w:val="24"/>
          <w:lang w:val="ro-MD"/>
        </w:rPr>
        <w:t>–</w:t>
      </w:r>
      <w:r w:rsidR="007A6189" w:rsidRPr="007A6189">
        <w:rPr>
          <w:rFonts w:asciiTheme="majorHAnsi" w:eastAsia="Times New Roman" w:hAnsiTheme="majorHAnsi" w:cstheme="majorHAnsi"/>
          <w:color w:val="212121"/>
          <w:sz w:val="24"/>
          <w:szCs w:val="24"/>
          <w:lang w:val="ro-MD"/>
        </w:rPr>
        <w:t xml:space="preserve"> по </w:t>
      </w:r>
      <w:r w:rsidRPr="00740A80">
        <w:rPr>
          <w:rFonts w:asciiTheme="majorHAnsi" w:eastAsia="Times New Roman" w:hAnsiTheme="majorHAnsi" w:cstheme="majorHAnsi"/>
          <w:color w:val="212121"/>
          <w:sz w:val="24"/>
          <w:szCs w:val="24"/>
          <w:lang w:val="ro-MD"/>
        </w:rPr>
        <w:t>одн</w:t>
      </w:r>
      <w:r w:rsidR="007A6189" w:rsidRPr="007A6189">
        <w:rPr>
          <w:rFonts w:asciiTheme="majorHAnsi" w:eastAsia="Times New Roman" w:hAnsiTheme="majorHAnsi" w:cstheme="majorHAnsi"/>
          <w:color w:val="212121"/>
          <w:sz w:val="24"/>
          <w:szCs w:val="24"/>
          <w:lang w:val="ro-MD"/>
        </w:rPr>
        <w:t>ой</w:t>
      </w:r>
      <w:r w:rsidRPr="00740A80">
        <w:rPr>
          <w:rFonts w:asciiTheme="majorHAnsi" w:eastAsia="Times New Roman" w:hAnsiTheme="majorHAnsi" w:cstheme="majorHAnsi"/>
          <w:color w:val="212121"/>
          <w:sz w:val="24"/>
          <w:szCs w:val="24"/>
          <w:lang w:val="ro-MD"/>
        </w:rPr>
        <w:t xml:space="preserve"> рекомендаци</w:t>
      </w:r>
      <w:r w:rsidR="007A6189" w:rsidRPr="007A6189">
        <w:rPr>
          <w:rFonts w:asciiTheme="majorHAnsi" w:eastAsia="Times New Roman" w:hAnsiTheme="majorHAnsi" w:cstheme="majorHAnsi"/>
          <w:color w:val="212121"/>
          <w:sz w:val="24"/>
          <w:szCs w:val="24"/>
          <w:lang w:val="ro-MD"/>
        </w:rPr>
        <w:t>и</w:t>
      </w:r>
      <w:r w:rsidR="00C202E3" w:rsidRPr="00B13B9A">
        <w:rPr>
          <w:rFonts w:asciiTheme="majorHAnsi" w:eastAsia="Times New Roman" w:hAnsiTheme="majorHAnsi" w:cstheme="majorHAnsi"/>
          <w:color w:val="212121"/>
          <w:sz w:val="24"/>
          <w:szCs w:val="24"/>
          <w:lang w:val="ro-MD"/>
        </w:rPr>
        <w:t>. </w:t>
      </w:r>
    </w:p>
    <w:p w14:paraId="246DE85C" w14:textId="74EC6082" w:rsidR="008E3D7A" w:rsidRPr="00B13B9A" w:rsidRDefault="00740A80" w:rsidP="00C202E3">
      <w:pPr>
        <w:spacing w:after="0" w:line="276" w:lineRule="auto"/>
        <w:jc w:val="both"/>
        <w:rPr>
          <w:rFonts w:asciiTheme="majorHAnsi" w:hAnsiTheme="majorHAnsi" w:cstheme="majorHAnsi"/>
          <w:color w:val="000000"/>
          <w:sz w:val="24"/>
          <w:szCs w:val="24"/>
          <w:lang w:val="ro-MD"/>
        </w:rPr>
      </w:pPr>
      <w:r w:rsidRPr="00740A80">
        <w:rPr>
          <w:rFonts w:asciiTheme="majorHAnsi" w:eastAsia="Times New Roman" w:hAnsiTheme="majorHAnsi" w:cstheme="majorHAnsi"/>
          <w:color w:val="212121"/>
          <w:sz w:val="24"/>
          <w:szCs w:val="24"/>
          <w:lang w:val="ro-MD"/>
        </w:rPr>
        <w:t xml:space="preserve">Так, </w:t>
      </w:r>
      <w:r w:rsidR="007A6189">
        <w:rPr>
          <w:rFonts w:asciiTheme="majorHAnsi" w:eastAsia="Times New Roman" w:hAnsiTheme="majorHAnsi" w:cstheme="majorHAnsi"/>
          <w:color w:val="212121"/>
          <w:sz w:val="24"/>
          <w:szCs w:val="24"/>
          <w:lang w:val="ru-RU"/>
        </w:rPr>
        <w:t>в результате</w:t>
      </w:r>
      <w:r w:rsidRPr="00740A80">
        <w:rPr>
          <w:rFonts w:asciiTheme="majorHAnsi" w:eastAsia="Times New Roman" w:hAnsiTheme="majorHAnsi" w:cstheme="majorHAnsi"/>
          <w:color w:val="212121"/>
          <w:sz w:val="24"/>
          <w:szCs w:val="24"/>
          <w:lang w:val="ro-MD"/>
        </w:rPr>
        <w:t xml:space="preserve"> оценки информации, представленной </w:t>
      </w:r>
      <w:r w:rsidR="00C10BD2">
        <w:rPr>
          <w:rFonts w:asciiTheme="majorHAnsi" w:eastAsia="Times New Roman" w:hAnsiTheme="majorHAnsi" w:cstheme="majorHAnsi"/>
          <w:color w:val="212121"/>
          <w:sz w:val="24"/>
          <w:szCs w:val="24"/>
          <w:lang w:val="ro-MD"/>
        </w:rPr>
        <w:t>субъект</w:t>
      </w:r>
      <w:r w:rsidRPr="00740A80">
        <w:rPr>
          <w:rFonts w:asciiTheme="majorHAnsi" w:eastAsia="Times New Roman" w:hAnsiTheme="majorHAnsi" w:cstheme="majorHAnsi"/>
          <w:color w:val="212121"/>
          <w:sz w:val="24"/>
          <w:szCs w:val="24"/>
          <w:lang w:val="ro-MD"/>
        </w:rPr>
        <w:t xml:space="preserve">ми, аудит установил </w:t>
      </w:r>
      <w:r w:rsidR="007A6189">
        <w:rPr>
          <w:rFonts w:asciiTheme="majorHAnsi" w:eastAsia="Times New Roman" w:hAnsiTheme="majorHAnsi" w:cstheme="majorHAnsi"/>
          <w:color w:val="212121"/>
          <w:sz w:val="24"/>
          <w:szCs w:val="24"/>
          <w:lang w:val="ru-RU"/>
        </w:rPr>
        <w:t>выполнение</w:t>
      </w:r>
      <w:r w:rsidRPr="00740A80">
        <w:rPr>
          <w:rFonts w:asciiTheme="majorHAnsi" w:eastAsia="Times New Roman" w:hAnsiTheme="majorHAnsi" w:cstheme="majorHAnsi"/>
          <w:color w:val="212121"/>
          <w:sz w:val="24"/>
          <w:szCs w:val="24"/>
          <w:lang w:val="ro-MD"/>
        </w:rPr>
        <w:t xml:space="preserve"> 18 рекомендаций. </w:t>
      </w:r>
      <w:r w:rsidR="007A6189">
        <w:rPr>
          <w:rFonts w:asciiTheme="majorHAnsi" w:eastAsia="Times New Roman" w:hAnsiTheme="majorHAnsi" w:cstheme="majorHAnsi"/>
          <w:color w:val="212121"/>
          <w:sz w:val="24"/>
          <w:szCs w:val="24"/>
          <w:lang w:val="ru-RU"/>
        </w:rPr>
        <w:t>Соответственно</w:t>
      </w:r>
      <w:r w:rsidRPr="00740A80">
        <w:rPr>
          <w:rFonts w:asciiTheme="majorHAnsi" w:eastAsia="Times New Roman" w:hAnsiTheme="majorHAnsi" w:cstheme="majorHAnsi"/>
          <w:color w:val="212121"/>
          <w:sz w:val="24"/>
          <w:szCs w:val="24"/>
          <w:lang w:val="ro-MD"/>
        </w:rPr>
        <w:t xml:space="preserve">, выполнение процессов </w:t>
      </w:r>
      <w:r w:rsidR="007A6189">
        <w:rPr>
          <w:rFonts w:asciiTheme="majorHAnsi" w:eastAsia="Times New Roman" w:hAnsiTheme="majorHAnsi" w:cstheme="majorHAnsi"/>
          <w:color w:val="212121"/>
          <w:sz w:val="24"/>
          <w:szCs w:val="24"/>
          <w:lang w:val="ru-RU"/>
        </w:rPr>
        <w:t xml:space="preserve">в рамках </w:t>
      </w:r>
      <w:r w:rsidR="00C721F6">
        <w:rPr>
          <w:rFonts w:asciiTheme="majorHAnsi" w:eastAsia="Times New Roman" w:hAnsiTheme="majorHAnsi" w:cstheme="majorHAnsi"/>
          <w:color w:val="212121"/>
          <w:sz w:val="24"/>
          <w:szCs w:val="24"/>
          <w:lang w:val="ro-MD"/>
        </w:rPr>
        <w:t>ПМСУ</w:t>
      </w:r>
      <w:r w:rsidRPr="00740A80">
        <w:rPr>
          <w:rFonts w:asciiTheme="majorHAnsi" w:eastAsia="Times New Roman" w:hAnsiTheme="majorHAnsi" w:cstheme="majorHAnsi"/>
          <w:color w:val="212121"/>
          <w:sz w:val="24"/>
          <w:szCs w:val="24"/>
          <w:lang w:val="ro-MD"/>
        </w:rPr>
        <w:t xml:space="preserve"> </w:t>
      </w:r>
      <w:r w:rsidR="007A6189">
        <w:rPr>
          <w:rFonts w:asciiTheme="majorHAnsi" w:eastAsia="Times New Roman" w:hAnsiTheme="majorHAnsi" w:cstheme="majorHAnsi"/>
          <w:color w:val="212121"/>
          <w:sz w:val="24"/>
          <w:szCs w:val="24"/>
          <w:lang w:val="ru-RU"/>
        </w:rPr>
        <w:t>обуслови</w:t>
      </w:r>
      <w:r w:rsidRPr="00740A80">
        <w:rPr>
          <w:rFonts w:asciiTheme="majorHAnsi" w:eastAsia="Times New Roman" w:hAnsiTheme="majorHAnsi" w:cstheme="majorHAnsi"/>
          <w:color w:val="212121"/>
          <w:sz w:val="24"/>
          <w:szCs w:val="24"/>
          <w:lang w:val="ro-MD"/>
        </w:rPr>
        <w:t>ло оценк</w:t>
      </w:r>
      <w:r w:rsidR="007A6189">
        <w:rPr>
          <w:rFonts w:asciiTheme="majorHAnsi" w:eastAsia="Times New Roman" w:hAnsiTheme="majorHAnsi" w:cstheme="majorHAnsi"/>
          <w:color w:val="212121"/>
          <w:sz w:val="24"/>
          <w:szCs w:val="24"/>
          <w:lang w:val="ru-RU"/>
        </w:rPr>
        <w:t>у</w:t>
      </w:r>
      <w:r w:rsidRPr="00740A80">
        <w:rPr>
          <w:rFonts w:asciiTheme="majorHAnsi" w:eastAsia="Times New Roman" w:hAnsiTheme="majorHAnsi" w:cstheme="majorHAnsi"/>
          <w:color w:val="212121"/>
          <w:sz w:val="24"/>
          <w:szCs w:val="24"/>
          <w:lang w:val="ro-MD"/>
        </w:rPr>
        <w:t xml:space="preserve"> потребностей в противотуберкулезных препаратах для обеспечения лечения всех пациентов, прогнозируе</w:t>
      </w:r>
      <w:r w:rsidR="007A6189">
        <w:rPr>
          <w:rFonts w:asciiTheme="majorHAnsi" w:eastAsia="Times New Roman" w:hAnsiTheme="majorHAnsi" w:cstheme="majorHAnsi"/>
          <w:color w:val="212121"/>
          <w:sz w:val="24"/>
          <w:szCs w:val="24"/>
          <w:lang w:val="ru-RU"/>
        </w:rPr>
        <w:t>мых для включения в</w:t>
      </w:r>
      <w:r w:rsidRPr="00740A80">
        <w:rPr>
          <w:rFonts w:asciiTheme="majorHAnsi" w:eastAsia="Times New Roman" w:hAnsiTheme="majorHAnsi" w:cstheme="majorHAnsi"/>
          <w:color w:val="212121"/>
          <w:sz w:val="24"/>
          <w:szCs w:val="24"/>
          <w:lang w:val="ro-MD"/>
        </w:rPr>
        <w:t xml:space="preserve"> лечение, разграничени</w:t>
      </w:r>
      <w:r w:rsidR="007A6189">
        <w:rPr>
          <w:rFonts w:asciiTheme="majorHAnsi" w:eastAsia="Times New Roman" w:hAnsiTheme="majorHAnsi" w:cstheme="majorHAnsi"/>
          <w:color w:val="212121"/>
          <w:sz w:val="24"/>
          <w:szCs w:val="24"/>
          <w:lang w:val="ru-RU"/>
        </w:rPr>
        <w:t>е</w:t>
      </w:r>
      <w:r w:rsidRPr="00740A80">
        <w:rPr>
          <w:rFonts w:asciiTheme="majorHAnsi" w:eastAsia="Times New Roman" w:hAnsiTheme="majorHAnsi" w:cstheme="majorHAnsi"/>
          <w:color w:val="212121"/>
          <w:sz w:val="24"/>
          <w:szCs w:val="24"/>
          <w:lang w:val="ro-MD"/>
        </w:rPr>
        <w:t xml:space="preserve"> обязанностей и </w:t>
      </w:r>
      <w:r w:rsidR="007A6189">
        <w:rPr>
          <w:rFonts w:asciiTheme="majorHAnsi" w:eastAsia="Times New Roman" w:hAnsiTheme="majorHAnsi" w:cstheme="majorHAnsi"/>
          <w:color w:val="212121"/>
          <w:sz w:val="24"/>
          <w:szCs w:val="24"/>
          <w:lang w:val="ru-RU"/>
        </w:rPr>
        <w:t>полномочи</w:t>
      </w:r>
      <w:r w:rsidRPr="00740A80">
        <w:rPr>
          <w:rFonts w:asciiTheme="majorHAnsi" w:eastAsia="Times New Roman" w:hAnsiTheme="majorHAnsi" w:cstheme="majorHAnsi"/>
          <w:color w:val="212121"/>
          <w:sz w:val="24"/>
          <w:szCs w:val="24"/>
          <w:lang w:val="ro-MD"/>
        </w:rPr>
        <w:t xml:space="preserve">й на этапе профилактики, скрининга, диагностики и лечения. </w:t>
      </w:r>
      <w:r w:rsidR="007A6189">
        <w:rPr>
          <w:rFonts w:asciiTheme="majorHAnsi" w:eastAsia="Times New Roman" w:hAnsiTheme="majorHAnsi" w:cstheme="majorHAnsi"/>
          <w:color w:val="212121"/>
          <w:sz w:val="24"/>
          <w:szCs w:val="24"/>
          <w:lang w:val="ru-RU"/>
        </w:rPr>
        <w:t>Кроме того,</w:t>
      </w:r>
      <w:r w:rsidRPr="00740A80">
        <w:rPr>
          <w:rFonts w:asciiTheme="majorHAnsi" w:eastAsia="Times New Roman" w:hAnsiTheme="majorHAnsi" w:cstheme="majorHAnsi"/>
          <w:color w:val="212121"/>
          <w:sz w:val="24"/>
          <w:szCs w:val="24"/>
          <w:lang w:val="ro-MD"/>
        </w:rPr>
        <w:t xml:space="preserve"> Министерство здравоохранения сформировало рабочую группу для изучения способа анализа и изменения пред</w:t>
      </w:r>
      <w:r w:rsidR="007A6189">
        <w:rPr>
          <w:rFonts w:asciiTheme="majorHAnsi" w:eastAsia="Times New Roman" w:hAnsiTheme="majorHAnsi" w:cstheme="majorHAnsi"/>
          <w:color w:val="212121"/>
          <w:sz w:val="24"/>
          <w:szCs w:val="24"/>
          <w:lang w:val="ru-RU"/>
        </w:rPr>
        <w:t>оставл</w:t>
      </w:r>
      <w:r w:rsidRPr="00740A80">
        <w:rPr>
          <w:rFonts w:asciiTheme="majorHAnsi" w:eastAsia="Times New Roman" w:hAnsiTheme="majorHAnsi" w:cstheme="majorHAnsi"/>
          <w:color w:val="212121"/>
          <w:sz w:val="24"/>
          <w:szCs w:val="24"/>
          <w:lang w:val="ro-MD"/>
        </w:rPr>
        <w:t xml:space="preserve">ения мотивационной поддержки в виде электронных ваучеров на </w:t>
      </w:r>
      <w:r w:rsidR="007A6189">
        <w:rPr>
          <w:rFonts w:asciiTheme="majorHAnsi" w:eastAsia="Times New Roman" w:hAnsiTheme="majorHAnsi" w:cstheme="majorHAnsi"/>
          <w:color w:val="212121"/>
          <w:sz w:val="24"/>
          <w:szCs w:val="24"/>
          <w:lang w:val="ru-RU"/>
        </w:rPr>
        <w:t>обед</w:t>
      </w:r>
      <w:r w:rsidRPr="00740A80">
        <w:rPr>
          <w:rFonts w:asciiTheme="majorHAnsi" w:eastAsia="Times New Roman" w:hAnsiTheme="majorHAnsi" w:cstheme="majorHAnsi"/>
          <w:color w:val="212121"/>
          <w:sz w:val="24"/>
          <w:szCs w:val="24"/>
          <w:lang w:val="ro-MD"/>
        </w:rPr>
        <w:t>/питание, а также ежемесячной стоимости талона на питание, включая стоимость поездки туда и обратно</w:t>
      </w:r>
      <w:r w:rsidR="00C202E3" w:rsidRPr="00B13B9A">
        <w:rPr>
          <w:rFonts w:asciiTheme="majorHAnsi" w:hAnsiTheme="majorHAnsi" w:cstheme="majorHAnsi"/>
          <w:color w:val="000000"/>
          <w:sz w:val="24"/>
          <w:szCs w:val="24"/>
          <w:lang w:val="ro-MD"/>
        </w:rPr>
        <w:t xml:space="preserve">. </w:t>
      </w:r>
    </w:p>
    <w:p w14:paraId="12C1DA74" w14:textId="53523D4A" w:rsidR="00C202E3" w:rsidRPr="00B13B9A" w:rsidRDefault="00740A80" w:rsidP="00C202E3">
      <w:pPr>
        <w:spacing w:after="0" w:line="276" w:lineRule="auto"/>
        <w:jc w:val="both"/>
        <w:rPr>
          <w:rFonts w:asciiTheme="majorHAnsi" w:eastAsia="Times New Roman" w:hAnsiTheme="majorHAnsi" w:cstheme="majorHAnsi"/>
          <w:color w:val="212121"/>
          <w:sz w:val="24"/>
          <w:szCs w:val="24"/>
          <w:lang w:val="ro-MD"/>
        </w:rPr>
      </w:pPr>
      <w:r w:rsidRPr="00740A80">
        <w:rPr>
          <w:rFonts w:asciiTheme="majorHAnsi" w:hAnsiTheme="majorHAnsi" w:cstheme="majorHAnsi"/>
          <w:color w:val="000000"/>
          <w:sz w:val="24"/>
          <w:szCs w:val="24"/>
          <w:lang w:val="ro-MD"/>
        </w:rPr>
        <w:t xml:space="preserve">Министерство юстиции </w:t>
      </w:r>
      <w:r w:rsidR="007A6189">
        <w:rPr>
          <w:rFonts w:asciiTheme="majorHAnsi" w:hAnsiTheme="majorHAnsi" w:cstheme="majorHAnsi"/>
          <w:color w:val="000000"/>
          <w:sz w:val="24"/>
          <w:szCs w:val="24"/>
          <w:lang w:val="ru-RU"/>
        </w:rPr>
        <w:t>распоряди</w:t>
      </w:r>
      <w:r w:rsidRPr="00740A80">
        <w:rPr>
          <w:rFonts w:asciiTheme="majorHAnsi" w:hAnsiTheme="majorHAnsi" w:cstheme="majorHAnsi"/>
          <w:color w:val="000000"/>
          <w:sz w:val="24"/>
          <w:szCs w:val="24"/>
          <w:lang w:val="ro-MD"/>
        </w:rPr>
        <w:t>ло</w:t>
      </w:r>
      <w:r w:rsidR="007A6189">
        <w:rPr>
          <w:rFonts w:asciiTheme="majorHAnsi" w:hAnsiTheme="majorHAnsi" w:cstheme="majorHAnsi"/>
          <w:color w:val="000000"/>
          <w:sz w:val="24"/>
          <w:szCs w:val="24"/>
          <w:lang w:val="ru-RU"/>
        </w:rPr>
        <w:t xml:space="preserve">сь об </w:t>
      </w:r>
      <w:r w:rsidRPr="00740A80">
        <w:rPr>
          <w:rFonts w:asciiTheme="majorHAnsi" w:hAnsiTheme="majorHAnsi" w:cstheme="majorHAnsi"/>
          <w:color w:val="000000"/>
          <w:sz w:val="24"/>
          <w:szCs w:val="24"/>
          <w:lang w:val="ro-MD"/>
        </w:rPr>
        <w:t xml:space="preserve"> обследова</w:t>
      </w:r>
      <w:r w:rsidR="007A6189">
        <w:rPr>
          <w:rFonts w:asciiTheme="majorHAnsi" w:hAnsiTheme="majorHAnsi" w:cstheme="majorHAnsi"/>
          <w:color w:val="000000"/>
          <w:sz w:val="24"/>
          <w:szCs w:val="24"/>
          <w:lang w:val="ru-RU"/>
        </w:rPr>
        <w:t>нии</w:t>
      </w:r>
      <w:r w:rsidRPr="00740A80">
        <w:rPr>
          <w:rFonts w:asciiTheme="majorHAnsi" w:hAnsiTheme="majorHAnsi" w:cstheme="majorHAnsi"/>
          <w:color w:val="000000"/>
          <w:sz w:val="24"/>
          <w:szCs w:val="24"/>
          <w:lang w:val="ro-MD"/>
        </w:rPr>
        <w:t xml:space="preserve"> лиц, находящихся под стражей, путем проведения рентгенографического скрининга два раза в год; разработал</w:t>
      </w:r>
      <w:r w:rsidR="007A6189">
        <w:rPr>
          <w:rFonts w:asciiTheme="majorHAnsi" w:hAnsiTheme="majorHAnsi" w:cstheme="majorHAnsi"/>
          <w:color w:val="000000"/>
          <w:sz w:val="24"/>
          <w:szCs w:val="24"/>
          <w:lang w:val="ru-RU"/>
        </w:rPr>
        <w:t>о</w:t>
      </w:r>
      <w:r w:rsidRPr="00740A80">
        <w:rPr>
          <w:rFonts w:asciiTheme="majorHAnsi" w:hAnsiTheme="majorHAnsi" w:cstheme="majorHAnsi"/>
          <w:color w:val="000000"/>
          <w:sz w:val="24"/>
          <w:szCs w:val="24"/>
          <w:lang w:val="ro-MD"/>
        </w:rPr>
        <w:t xml:space="preserve"> </w:t>
      </w:r>
      <w:r w:rsidR="007A6189">
        <w:rPr>
          <w:rFonts w:asciiTheme="majorHAnsi" w:hAnsiTheme="majorHAnsi" w:cstheme="majorHAnsi"/>
          <w:color w:val="000000"/>
          <w:sz w:val="24"/>
          <w:szCs w:val="24"/>
          <w:lang w:val="ru-RU"/>
        </w:rPr>
        <w:t>положения</w:t>
      </w:r>
      <w:r w:rsidRPr="00740A80">
        <w:rPr>
          <w:rFonts w:asciiTheme="majorHAnsi" w:hAnsiTheme="majorHAnsi" w:cstheme="majorHAnsi"/>
          <w:color w:val="000000"/>
          <w:sz w:val="24"/>
          <w:szCs w:val="24"/>
          <w:lang w:val="ro-MD"/>
        </w:rPr>
        <w:t xml:space="preserve"> </w:t>
      </w:r>
      <w:r w:rsidR="007A6189">
        <w:rPr>
          <w:rFonts w:asciiTheme="majorHAnsi" w:hAnsiTheme="majorHAnsi" w:cstheme="majorHAnsi"/>
          <w:color w:val="000000"/>
          <w:sz w:val="24"/>
          <w:szCs w:val="24"/>
          <w:lang w:val="ru-RU"/>
        </w:rPr>
        <w:t xml:space="preserve">об </w:t>
      </w:r>
      <w:r w:rsidRPr="00740A80">
        <w:rPr>
          <w:rFonts w:asciiTheme="majorHAnsi" w:hAnsiTheme="majorHAnsi" w:cstheme="majorHAnsi"/>
          <w:color w:val="000000"/>
          <w:sz w:val="24"/>
          <w:szCs w:val="24"/>
          <w:lang w:val="ro-MD"/>
        </w:rPr>
        <w:t>оказани</w:t>
      </w:r>
      <w:r w:rsidR="007A6189">
        <w:rPr>
          <w:rFonts w:asciiTheme="majorHAnsi" w:hAnsiTheme="majorHAnsi" w:cstheme="majorHAnsi"/>
          <w:color w:val="000000"/>
          <w:sz w:val="24"/>
          <w:szCs w:val="24"/>
          <w:lang w:val="ru-RU"/>
        </w:rPr>
        <w:t>и</w:t>
      </w:r>
      <w:r w:rsidRPr="00740A80">
        <w:rPr>
          <w:rFonts w:asciiTheme="majorHAnsi" w:hAnsiTheme="majorHAnsi" w:cstheme="majorHAnsi"/>
          <w:color w:val="000000"/>
          <w:sz w:val="24"/>
          <w:szCs w:val="24"/>
          <w:lang w:val="ro-MD"/>
        </w:rPr>
        <w:t xml:space="preserve"> медицинской помощи лицам, находящимся под стражей; создал</w:t>
      </w:r>
      <w:r w:rsidR="007A6189">
        <w:rPr>
          <w:rFonts w:asciiTheme="majorHAnsi" w:hAnsiTheme="majorHAnsi" w:cstheme="majorHAnsi"/>
          <w:color w:val="000000"/>
          <w:sz w:val="24"/>
          <w:szCs w:val="24"/>
          <w:lang w:val="ru-RU"/>
        </w:rPr>
        <w:t>о</w:t>
      </w:r>
      <w:r w:rsidRPr="00740A80">
        <w:rPr>
          <w:rFonts w:asciiTheme="majorHAnsi" w:hAnsiTheme="majorHAnsi" w:cstheme="majorHAnsi"/>
          <w:color w:val="000000"/>
          <w:sz w:val="24"/>
          <w:szCs w:val="24"/>
          <w:lang w:val="ro-MD"/>
        </w:rPr>
        <w:t xml:space="preserve"> необходимые условия в местах содержания под стражей, </w:t>
      </w:r>
      <w:r w:rsidR="007A6189">
        <w:rPr>
          <w:rFonts w:asciiTheme="majorHAnsi" w:hAnsiTheme="majorHAnsi" w:cstheme="majorHAnsi"/>
          <w:color w:val="000000"/>
          <w:sz w:val="24"/>
          <w:szCs w:val="24"/>
          <w:lang w:val="ru-RU"/>
        </w:rPr>
        <w:t xml:space="preserve">путем </w:t>
      </w:r>
      <w:r w:rsidRPr="00740A80">
        <w:rPr>
          <w:rFonts w:asciiTheme="majorHAnsi" w:hAnsiTheme="majorHAnsi" w:cstheme="majorHAnsi"/>
          <w:color w:val="000000"/>
          <w:sz w:val="24"/>
          <w:szCs w:val="24"/>
          <w:lang w:val="ro-MD"/>
        </w:rPr>
        <w:t>установ</w:t>
      </w:r>
      <w:r w:rsidR="007A6189">
        <w:rPr>
          <w:rFonts w:asciiTheme="majorHAnsi" w:hAnsiTheme="majorHAnsi" w:cstheme="majorHAnsi"/>
          <w:color w:val="000000"/>
          <w:sz w:val="24"/>
          <w:szCs w:val="24"/>
          <w:lang w:val="ru-RU"/>
        </w:rPr>
        <w:t>ления</w:t>
      </w:r>
      <w:r w:rsidRPr="00740A80">
        <w:rPr>
          <w:rFonts w:asciiTheme="majorHAnsi" w:hAnsiTheme="majorHAnsi" w:cstheme="majorHAnsi"/>
          <w:color w:val="000000"/>
          <w:sz w:val="24"/>
          <w:szCs w:val="24"/>
          <w:lang w:val="ro-MD"/>
        </w:rPr>
        <w:t xml:space="preserve"> механическ</w:t>
      </w:r>
      <w:r w:rsidR="007A6189">
        <w:rPr>
          <w:rFonts w:asciiTheme="majorHAnsi" w:hAnsiTheme="majorHAnsi" w:cstheme="majorHAnsi"/>
          <w:color w:val="000000"/>
          <w:sz w:val="24"/>
          <w:szCs w:val="24"/>
          <w:lang w:val="ru-RU"/>
        </w:rPr>
        <w:t>ой</w:t>
      </w:r>
      <w:r w:rsidRPr="00740A80">
        <w:rPr>
          <w:rFonts w:asciiTheme="majorHAnsi" w:hAnsiTheme="majorHAnsi" w:cstheme="majorHAnsi"/>
          <w:color w:val="000000"/>
          <w:sz w:val="24"/>
          <w:szCs w:val="24"/>
          <w:lang w:val="ro-MD"/>
        </w:rPr>
        <w:t xml:space="preserve"> вентиляци</w:t>
      </w:r>
      <w:r w:rsidR="007A6189">
        <w:rPr>
          <w:rFonts w:asciiTheme="majorHAnsi" w:hAnsiTheme="majorHAnsi" w:cstheme="majorHAnsi"/>
          <w:color w:val="000000"/>
          <w:sz w:val="24"/>
          <w:szCs w:val="24"/>
          <w:lang w:val="ru-RU"/>
        </w:rPr>
        <w:t>и</w:t>
      </w:r>
      <w:r w:rsidRPr="00740A80">
        <w:rPr>
          <w:rFonts w:asciiTheme="majorHAnsi" w:hAnsiTheme="majorHAnsi" w:cstheme="majorHAnsi"/>
          <w:color w:val="000000"/>
          <w:sz w:val="24"/>
          <w:szCs w:val="24"/>
          <w:lang w:val="ro-MD"/>
        </w:rPr>
        <w:t xml:space="preserve"> и облуч</w:t>
      </w:r>
      <w:r w:rsidR="007A6189">
        <w:rPr>
          <w:rFonts w:asciiTheme="majorHAnsi" w:hAnsiTheme="majorHAnsi" w:cstheme="majorHAnsi"/>
          <w:color w:val="000000"/>
          <w:sz w:val="24"/>
          <w:szCs w:val="24"/>
          <w:lang w:val="ru-RU"/>
        </w:rPr>
        <w:t>ения</w:t>
      </w:r>
      <w:r w:rsidRPr="00740A80">
        <w:rPr>
          <w:rFonts w:asciiTheme="majorHAnsi" w:hAnsiTheme="majorHAnsi" w:cstheme="majorHAnsi"/>
          <w:color w:val="000000"/>
          <w:sz w:val="24"/>
          <w:szCs w:val="24"/>
          <w:lang w:val="ro-MD"/>
        </w:rPr>
        <w:t xml:space="preserve"> помещени</w:t>
      </w:r>
      <w:r w:rsidR="007A6189">
        <w:rPr>
          <w:rFonts w:asciiTheme="majorHAnsi" w:hAnsiTheme="majorHAnsi" w:cstheme="majorHAnsi"/>
          <w:color w:val="000000"/>
          <w:sz w:val="24"/>
          <w:szCs w:val="24"/>
          <w:lang w:val="ru-RU"/>
        </w:rPr>
        <w:t>й</w:t>
      </w:r>
      <w:r w:rsidRPr="00740A80">
        <w:rPr>
          <w:rFonts w:asciiTheme="majorHAnsi" w:hAnsiTheme="majorHAnsi" w:cstheme="majorHAnsi"/>
          <w:color w:val="000000"/>
          <w:sz w:val="24"/>
          <w:szCs w:val="24"/>
          <w:lang w:val="ro-MD"/>
        </w:rPr>
        <w:t xml:space="preserve"> бактерицидными ультрафиолетовыми лучами. </w:t>
      </w:r>
      <w:r w:rsidR="00815146">
        <w:rPr>
          <w:rFonts w:asciiTheme="majorHAnsi" w:hAnsiTheme="majorHAnsi" w:cstheme="majorHAnsi"/>
          <w:color w:val="000000"/>
          <w:sz w:val="24"/>
          <w:szCs w:val="24"/>
          <w:lang w:val="ro-MD"/>
        </w:rPr>
        <w:t>НКМС</w:t>
      </w:r>
      <w:r w:rsidRPr="00740A80">
        <w:rPr>
          <w:rFonts w:asciiTheme="majorHAnsi" w:hAnsiTheme="majorHAnsi" w:cstheme="majorHAnsi"/>
          <w:color w:val="000000"/>
          <w:sz w:val="24"/>
          <w:szCs w:val="24"/>
          <w:lang w:val="ro-MD"/>
        </w:rPr>
        <w:t xml:space="preserve"> усилила контроль </w:t>
      </w:r>
      <w:r w:rsidR="007A6189" w:rsidRPr="007A6189">
        <w:rPr>
          <w:rFonts w:asciiTheme="majorHAnsi" w:hAnsiTheme="majorHAnsi" w:cstheme="majorHAnsi"/>
          <w:color w:val="000000"/>
          <w:sz w:val="24"/>
          <w:szCs w:val="24"/>
          <w:lang w:val="ro-MD"/>
        </w:rPr>
        <w:t>за</w:t>
      </w:r>
      <w:r w:rsidRPr="00740A80">
        <w:rPr>
          <w:rFonts w:asciiTheme="majorHAnsi" w:hAnsiTheme="majorHAnsi" w:cstheme="majorHAnsi"/>
          <w:color w:val="000000"/>
          <w:sz w:val="24"/>
          <w:szCs w:val="24"/>
          <w:lang w:val="ro-MD"/>
        </w:rPr>
        <w:t xml:space="preserve"> правильностью выдачи талонов на питание и возмещ</w:t>
      </w:r>
      <w:r w:rsidR="004D3FBE" w:rsidRPr="004D3FBE">
        <w:rPr>
          <w:rFonts w:asciiTheme="majorHAnsi" w:hAnsiTheme="majorHAnsi" w:cstheme="majorHAnsi"/>
          <w:color w:val="000000"/>
          <w:sz w:val="24"/>
          <w:szCs w:val="24"/>
          <w:lang w:val="ro-MD"/>
        </w:rPr>
        <w:t>аем</w:t>
      </w:r>
      <w:r w:rsidRPr="00740A80">
        <w:rPr>
          <w:rFonts w:asciiTheme="majorHAnsi" w:hAnsiTheme="majorHAnsi" w:cstheme="majorHAnsi"/>
          <w:color w:val="000000"/>
          <w:sz w:val="24"/>
          <w:szCs w:val="24"/>
          <w:lang w:val="ro-MD"/>
        </w:rPr>
        <w:t xml:space="preserve">ыми </w:t>
      </w:r>
      <w:r w:rsidR="007A6189" w:rsidRPr="00740A80">
        <w:rPr>
          <w:rFonts w:asciiTheme="majorHAnsi" w:hAnsiTheme="majorHAnsi" w:cstheme="majorHAnsi"/>
          <w:color w:val="000000"/>
          <w:sz w:val="24"/>
          <w:szCs w:val="24"/>
          <w:lang w:val="ro-MD"/>
        </w:rPr>
        <w:t>суммами</w:t>
      </w:r>
      <w:r w:rsidR="007A6189" w:rsidRPr="007A6189">
        <w:rPr>
          <w:rFonts w:asciiTheme="majorHAnsi" w:hAnsiTheme="majorHAnsi" w:cstheme="majorHAnsi"/>
          <w:color w:val="000000"/>
          <w:sz w:val="24"/>
          <w:szCs w:val="24"/>
          <w:lang w:val="ro-MD"/>
        </w:rPr>
        <w:t xml:space="preserve"> </w:t>
      </w:r>
      <w:r w:rsidRPr="00740A80">
        <w:rPr>
          <w:rFonts w:asciiTheme="majorHAnsi" w:hAnsiTheme="majorHAnsi" w:cstheme="majorHAnsi"/>
          <w:color w:val="000000"/>
          <w:sz w:val="24"/>
          <w:szCs w:val="24"/>
          <w:lang w:val="ro-MD"/>
        </w:rPr>
        <w:t>за ваучер</w:t>
      </w:r>
      <w:r w:rsidR="004D3FBE" w:rsidRPr="004D3FBE">
        <w:rPr>
          <w:rFonts w:asciiTheme="majorHAnsi" w:hAnsiTheme="majorHAnsi" w:cstheme="majorHAnsi"/>
          <w:color w:val="000000"/>
          <w:sz w:val="24"/>
          <w:szCs w:val="24"/>
          <w:lang w:val="ro-MD"/>
        </w:rPr>
        <w:t>ы</w:t>
      </w:r>
      <w:r w:rsidRPr="00740A80">
        <w:rPr>
          <w:rFonts w:asciiTheme="majorHAnsi" w:hAnsiTheme="majorHAnsi" w:cstheme="majorHAnsi"/>
          <w:color w:val="000000"/>
          <w:sz w:val="24"/>
          <w:szCs w:val="24"/>
          <w:lang w:val="ro-MD"/>
        </w:rPr>
        <w:t xml:space="preserve"> и транспортные расходы</w:t>
      </w:r>
      <w:r w:rsidR="00C202E3" w:rsidRPr="00B13B9A">
        <w:rPr>
          <w:rFonts w:asciiTheme="majorHAnsi" w:hAnsiTheme="majorHAnsi" w:cstheme="majorHAnsi"/>
          <w:color w:val="000000"/>
          <w:sz w:val="24"/>
          <w:szCs w:val="24"/>
          <w:lang w:val="ro-MD"/>
        </w:rPr>
        <w:t xml:space="preserve">. </w:t>
      </w:r>
    </w:p>
    <w:p w14:paraId="31E66284" w14:textId="6FED3BCD" w:rsidR="00C202E3" w:rsidRPr="00B13B9A" w:rsidRDefault="00740A80" w:rsidP="00C202E3">
      <w:pPr>
        <w:shd w:val="clear" w:color="auto" w:fill="FFFFFF"/>
        <w:spacing w:after="0" w:line="276" w:lineRule="auto"/>
        <w:jc w:val="both"/>
        <w:rPr>
          <w:rFonts w:asciiTheme="majorHAnsi" w:eastAsia="Times New Roman" w:hAnsiTheme="majorHAnsi" w:cstheme="majorHAnsi"/>
          <w:color w:val="212121"/>
          <w:sz w:val="24"/>
          <w:szCs w:val="24"/>
          <w:lang w:val="ro-MD"/>
        </w:rPr>
      </w:pPr>
      <w:r w:rsidRPr="00740A80">
        <w:rPr>
          <w:rFonts w:asciiTheme="majorHAnsi" w:eastAsia="Times New Roman" w:hAnsiTheme="majorHAnsi" w:cstheme="majorHAnsi"/>
          <w:color w:val="212121"/>
          <w:sz w:val="24"/>
          <w:szCs w:val="24"/>
          <w:lang w:val="ro-MD"/>
        </w:rPr>
        <w:t>В 2022 году</w:t>
      </w:r>
      <w:r>
        <w:rPr>
          <w:rFonts w:asciiTheme="majorHAnsi" w:eastAsia="Times New Roman" w:hAnsiTheme="majorHAnsi" w:cstheme="majorHAnsi"/>
          <w:color w:val="212121"/>
          <w:sz w:val="24"/>
          <w:szCs w:val="24"/>
          <w:lang w:val="ro-MD"/>
        </w:rPr>
        <w:t xml:space="preserve"> Постановлением Правительства №</w:t>
      </w:r>
      <w:r w:rsidRPr="00740A80">
        <w:rPr>
          <w:rFonts w:asciiTheme="majorHAnsi" w:eastAsia="Times New Roman" w:hAnsiTheme="majorHAnsi" w:cstheme="majorHAnsi"/>
          <w:color w:val="212121"/>
          <w:sz w:val="24"/>
          <w:szCs w:val="24"/>
          <w:lang w:val="ro-MD"/>
        </w:rPr>
        <w:t xml:space="preserve">107 от 23.02.2022 была утверждена пятая Национальная </w:t>
      </w:r>
      <w:r>
        <w:rPr>
          <w:rFonts w:asciiTheme="majorHAnsi" w:eastAsia="Times New Roman" w:hAnsiTheme="majorHAnsi" w:cstheme="majorHAnsi"/>
          <w:color w:val="212121"/>
          <w:sz w:val="24"/>
          <w:szCs w:val="24"/>
          <w:lang w:val="ru-RU"/>
        </w:rPr>
        <w:t>П</w:t>
      </w:r>
      <w:r w:rsidRPr="00740A80">
        <w:rPr>
          <w:rFonts w:asciiTheme="majorHAnsi" w:eastAsia="Times New Roman" w:hAnsiTheme="majorHAnsi" w:cstheme="majorHAnsi"/>
          <w:color w:val="212121"/>
          <w:sz w:val="24"/>
          <w:szCs w:val="24"/>
          <w:lang w:val="ro-MD"/>
        </w:rPr>
        <w:t xml:space="preserve">рограмма </w:t>
      </w:r>
      <w:r>
        <w:rPr>
          <w:rFonts w:asciiTheme="majorHAnsi" w:eastAsia="Times New Roman" w:hAnsiTheme="majorHAnsi" w:cstheme="majorHAnsi"/>
          <w:color w:val="212121"/>
          <w:sz w:val="24"/>
          <w:szCs w:val="24"/>
          <w:lang w:val="ru-RU"/>
        </w:rPr>
        <w:t xml:space="preserve">по </w:t>
      </w:r>
      <w:r w:rsidRPr="00740A80">
        <w:rPr>
          <w:rFonts w:asciiTheme="majorHAnsi" w:eastAsia="Times New Roman" w:hAnsiTheme="majorHAnsi" w:cstheme="majorHAnsi"/>
          <w:color w:val="212121"/>
          <w:sz w:val="24"/>
          <w:szCs w:val="24"/>
          <w:lang w:val="ro-MD"/>
        </w:rPr>
        <w:t>борьб</w:t>
      </w:r>
      <w:r>
        <w:rPr>
          <w:rFonts w:asciiTheme="majorHAnsi" w:eastAsia="Times New Roman" w:hAnsiTheme="majorHAnsi" w:cstheme="majorHAnsi"/>
          <w:color w:val="212121"/>
          <w:sz w:val="24"/>
          <w:szCs w:val="24"/>
          <w:lang w:val="ru-RU"/>
        </w:rPr>
        <w:t>е</w:t>
      </w:r>
      <w:r w:rsidRPr="00740A80">
        <w:rPr>
          <w:rFonts w:asciiTheme="majorHAnsi" w:eastAsia="Times New Roman" w:hAnsiTheme="majorHAnsi" w:cstheme="majorHAnsi"/>
          <w:color w:val="212121"/>
          <w:sz w:val="24"/>
          <w:szCs w:val="24"/>
          <w:lang w:val="ro-MD"/>
        </w:rPr>
        <w:t xml:space="preserve"> с туберкулезом, в которой были </w:t>
      </w:r>
      <w:r>
        <w:rPr>
          <w:rFonts w:asciiTheme="majorHAnsi" w:eastAsia="Times New Roman" w:hAnsiTheme="majorHAnsi" w:cstheme="majorHAnsi"/>
          <w:color w:val="212121"/>
          <w:sz w:val="24"/>
          <w:szCs w:val="24"/>
          <w:lang w:val="ru-RU"/>
        </w:rPr>
        <w:t>учтены и</w:t>
      </w:r>
      <w:r w:rsidRPr="00740A80">
        <w:rPr>
          <w:rFonts w:asciiTheme="majorHAnsi" w:eastAsia="Times New Roman" w:hAnsiTheme="majorHAnsi" w:cstheme="majorHAnsi"/>
          <w:color w:val="212121"/>
          <w:sz w:val="24"/>
          <w:szCs w:val="24"/>
          <w:lang w:val="ro-MD"/>
        </w:rPr>
        <w:t xml:space="preserve"> рекомендации, представленные Счетной палатой. Соответственно, предлагается исключить из режима мониторинга Постановление Счетной палаты </w:t>
      </w:r>
      <w:r>
        <w:rPr>
          <w:rFonts w:asciiTheme="majorHAnsi" w:eastAsia="Times New Roman" w:hAnsiTheme="majorHAnsi" w:cstheme="majorHAnsi"/>
          <w:color w:val="212121"/>
          <w:sz w:val="24"/>
          <w:szCs w:val="24"/>
          <w:lang w:val="ro-MD"/>
        </w:rPr>
        <w:t>№</w:t>
      </w:r>
      <w:r w:rsidRPr="00740A80">
        <w:rPr>
          <w:rFonts w:asciiTheme="majorHAnsi" w:eastAsia="Times New Roman" w:hAnsiTheme="majorHAnsi" w:cstheme="majorHAnsi"/>
          <w:color w:val="212121"/>
          <w:sz w:val="24"/>
          <w:szCs w:val="24"/>
          <w:lang w:val="ro-MD"/>
        </w:rPr>
        <w:t>5 от 30.01.2020</w:t>
      </w:r>
      <w:r w:rsidR="00C202E3" w:rsidRPr="00B13B9A">
        <w:rPr>
          <w:rFonts w:asciiTheme="majorHAnsi" w:hAnsiTheme="majorHAnsi" w:cstheme="majorHAnsi"/>
          <w:noProof/>
          <w:sz w:val="24"/>
          <w:szCs w:val="24"/>
          <w:lang w:val="ro-MD"/>
        </w:rPr>
        <w:t>.</w:t>
      </w:r>
    </w:p>
    <w:p w14:paraId="6E5E3BA4" w14:textId="77777777" w:rsidR="00D900FA" w:rsidRPr="00B13B9A" w:rsidRDefault="00D900FA" w:rsidP="00D900FA">
      <w:pPr>
        <w:pStyle w:val="cn"/>
        <w:spacing w:line="276" w:lineRule="auto"/>
        <w:ind w:right="71"/>
        <w:jc w:val="both"/>
        <w:rPr>
          <w:rFonts w:asciiTheme="majorHAnsi" w:eastAsiaTheme="minorHAnsi" w:hAnsiTheme="majorHAnsi" w:cstheme="minorHAnsi"/>
          <w:b/>
          <w:color w:val="1F4E79" w:themeColor="accent1" w:themeShade="80"/>
          <w:lang w:val="ro-MD" w:eastAsia="en-US"/>
        </w:rPr>
      </w:pPr>
    </w:p>
    <w:p w14:paraId="3022ECAE" w14:textId="103C8256" w:rsidR="00D900FA" w:rsidRPr="00B13B9A" w:rsidRDefault="0025760E" w:rsidP="00C5192A">
      <w:pPr>
        <w:pStyle w:val="cn"/>
        <w:numPr>
          <w:ilvl w:val="0"/>
          <w:numId w:val="1"/>
        </w:numPr>
        <w:spacing w:line="276" w:lineRule="auto"/>
        <w:ind w:left="0" w:right="71" w:firstLine="0"/>
        <w:jc w:val="both"/>
        <w:outlineLvl w:val="0"/>
        <w:rPr>
          <w:rFonts w:asciiTheme="majorHAnsi" w:eastAsiaTheme="minorHAnsi" w:hAnsiTheme="majorHAnsi" w:cstheme="minorHAnsi"/>
          <w:b/>
          <w:color w:val="1F4E79" w:themeColor="accent1" w:themeShade="80"/>
          <w:lang w:val="ro-MD" w:eastAsia="en-US"/>
        </w:rPr>
      </w:pPr>
      <w:bookmarkStart w:id="50" w:name="_Toc158317252"/>
      <w:r>
        <w:rPr>
          <w:rFonts w:asciiTheme="majorHAnsi" w:eastAsiaTheme="minorHAnsi" w:hAnsiTheme="majorHAnsi" w:cstheme="minorHAnsi"/>
          <w:b/>
          <w:color w:val="1F4E79" w:themeColor="accent1" w:themeShade="80"/>
          <w:lang w:eastAsia="en-US"/>
        </w:rPr>
        <w:t>ОБЩИЙ ВЫВОД</w:t>
      </w:r>
      <w:bookmarkEnd w:id="50"/>
    </w:p>
    <w:p w14:paraId="5A593628" w14:textId="77777777" w:rsidR="00FD49E0" w:rsidRPr="00FD49E0" w:rsidRDefault="00FD49E0" w:rsidP="00FD49E0">
      <w:pPr>
        <w:pStyle w:val="cn"/>
        <w:spacing w:line="276" w:lineRule="auto"/>
        <w:ind w:right="71"/>
        <w:jc w:val="both"/>
        <w:rPr>
          <w:rFonts w:asciiTheme="majorHAnsi" w:hAnsiTheme="majorHAnsi" w:cstheme="majorHAnsi"/>
          <w:szCs w:val="28"/>
          <w:lang w:val="ro-MD"/>
        </w:rPr>
      </w:pPr>
      <w:r w:rsidRPr="00FD49E0">
        <w:rPr>
          <w:rFonts w:asciiTheme="majorHAnsi" w:hAnsiTheme="majorHAnsi" w:cstheme="majorHAnsi"/>
          <w:szCs w:val="28"/>
          <w:lang w:val="ro-MD"/>
        </w:rPr>
        <w:t>Туберкулез является одним из приоритетных вопросов общественного здоровья в национальном плане, поэтому роль ПМСУ ИФП „Кирилл Драганюк” является существенной для реализации Целей устойчивого развития в области здравоохранения и реализации национальных политик, поскольку оно является единственным учреждением республиканского уровня в области фтизиопульмонологии и координатор национальных программ в этом отношении.</w:t>
      </w:r>
    </w:p>
    <w:p w14:paraId="62735E28" w14:textId="0730E5B6" w:rsidR="001B5D3D" w:rsidRPr="00B13B9A" w:rsidRDefault="00FD49E0" w:rsidP="001B5D3D">
      <w:pPr>
        <w:pStyle w:val="cn"/>
        <w:spacing w:line="276" w:lineRule="auto"/>
        <w:ind w:right="71"/>
        <w:jc w:val="both"/>
        <w:rPr>
          <w:rFonts w:asciiTheme="majorHAnsi" w:hAnsiTheme="majorHAnsi" w:cstheme="majorHAnsi"/>
          <w:szCs w:val="28"/>
          <w:lang w:val="ro-MD"/>
        </w:rPr>
      </w:pPr>
      <w:r w:rsidRPr="00FD49E0">
        <w:rPr>
          <w:rFonts w:asciiTheme="majorHAnsi" w:hAnsiTheme="majorHAnsi" w:cstheme="majorHAnsi"/>
          <w:szCs w:val="28"/>
          <w:lang w:val="ro-MD"/>
        </w:rPr>
        <w:t xml:space="preserve">Проведенная аудиторская миссия показала, что способ управления </w:t>
      </w:r>
      <w:r w:rsidR="00AE305F">
        <w:rPr>
          <w:rFonts w:asciiTheme="majorHAnsi" w:hAnsiTheme="majorHAnsi" w:cstheme="majorHAnsi"/>
          <w:szCs w:val="28"/>
        </w:rPr>
        <w:t>публич</w:t>
      </w:r>
      <w:r w:rsidRPr="00FD49E0">
        <w:rPr>
          <w:rFonts w:asciiTheme="majorHAnsi" w:hAnsiTheme="majorHAnsi" w:cstheme="majorHAnsi"/>
          <w:szCs w:val="28"/>
          <w:lang w:val="ro-MD"/>
        </w:rPr>
        <w:t xml:space="preserve">ным </w:t>
      </w:r>
      <w:r w:rsidR="00AE305F">
        <w:rPr>
          <w:rFonts w:asciiTheme="majorHAnsi" w:hAnsiTheme="majorHAnsi" w:cstheme="majorHAnsi"/>
          <w:szCs w:val="28"/>
        </w:rPr>
        <w:t>имущество</w:t>
      </w:r>
      <w:r w:rsidRPr="00FD49E0">
        <w:rPr>
          <w:rFonts w:asciiTheme="majorHAnsi" w:hAnsiTheme="majorHAnsi" w:cstheme="majorHAnsi"/>
          <w:szCs w:val="28"/>
          <w:lang w:val="ro-MD"/>
        </w:rPr>
        <w:t xml:space="preserve">м </w:t>
      </w:r>
      <w:r w:rsidR="00AE305F">
        <w:rPr>
          <w:rFonts w:asciiTheme="majorHAnsi" w:hAnsiTheme="majorHAnsi" w:cstheme="majorHAnsi"/>
          <w:szCs w:val="28"/>
        </w:rPr>
        <w:t>ПМСУ ИФП</w:t>
      </w:r>
      <w:r w:rsidRPr="00FD49E0">
        <w:rPr>
          <w:rFonts w:asciiTheme="majorHAnsi" w:hAnsiTheme="majorHAnsi" w:cstheme="majorHAnsi"/>
          <w:szCs w:val="28"/>
          <w:lang w:val="ro-MD"/>
        </w:rPr>
        <w:t xml:space="preserve"> „Кирилл Драганюк” требует улучшения</w:t>
      </w:r>
      <w:r w:rsidR="001B5D3D" w:rsidRPr="00B13B9A">
        <w:rPr>
          <w:rFonts w:asciiTheme="majorHAnsi" w:hAnsiTheme="majorHAnsi" w:cstheme="majorHAnsi"/>
          <w:szCs w:val="28"/>
          <w:lang w:val="ro-MD"/>
        </w:rPr>
        <w:t>.</w:t>
      </w:r>
    </w:p>
    <w:p w14:paraId="7EF01DB0" w14:textId="2A465877" w:rsidR="001B5D3D" w:rsidRPr="00B13B9A" w:rsidRDefault="00AE305F" w:rsidP="001B5D3D">
      <w:pPr>
        <w:pStyle w:val="cn"/>
        <w:spacing w:line="276" w:lineRule="auto"/>
        <w:ind w:right="71"/>
        <w:jc w:val="both"/>
        <w:rPr>
          <w:rFonts w:asciiTheme="majorHAnsi" w:hAnsiTheme="majorHAnsi" w:cstheme="majorHAnsi"/>
          <w:szCs w:val="28"/>
          <w:lang w:val="ro-MD"/>
        </w:rPr>
      </w:pPr>
      <w:r w:rsidRPr="004A46DF">
        <w:rPr>
          <w:rFonts w:asciiTheme="majorHAnsi" w:hAnsiTheme="majorHAnsi" w:cstheme="majorHAnsi"/>
          <w:szCs w:val="28"/>
          <w:lang w:val="ro-MD"/>
        </w:rPr>
        <w:t xml:space="preserve">Так, </w:t>
      </w:r>
      <w:r w:rsidR="004A46DF" w:rsidRPr="004A46DF">
        <w:rPr>
          <w:rFonts w:asciiTheme="majorHAnsi" w:hAnsiTheme="majorHAnsi" w:cstheme="majorHAnsi"/>
          <w:szCs w:val="28"/>
          <w:lang w:val="ro-MD"/>
        </w:rPr>
        <w:t xml:space="preserve">отмечается допущение недостатков и несоответствий </w:t>
      </w:r>
      <w:r w:rsidRPr="004A46DF">
        <w:rPr>
          <w:rFonts w:asciiTheme="majorHAnsi" w:hAnsiTheme="majorHAnsi" w:cstheme="majorHAnsi"/>
          <w:szCs w:val="28"/>
          <w:lang w:val="ro-MD"/>
        </w:rPr>
        <w:t xml:space="preserve">в менеджменте управления публичным имуществом, выраженных в незавершении процесса разграничения объектов недвижимого имущества публичной собственности, регистрации прав собственности и его надлежащего учета, что указывает на необходимость </w:t>
      </w:r>
      <w:r w:rsidR="004A46DF">
        <w:rPr>
          <w:rFonts w:asciiTheme="majorHAnsi" w:hAnsiTheme="majorHAnsi" w:cstheme="majorHAnsi"/>
          <w:szCs w:val="28"/>
        </w:rPr>
        <w:t>усиления</w:t>
      </w:r>
      <w:r w:rsidRPr="004A46DF">
        <w:rPr>
          <w:rFonts w:asciiTheme="majorHAnsi" w:hAnsiTheme="majorHAnsi" w:cstheme="majorHAnsi"/>
          <w:szCs w:val="28"/>
          <w:lang w:val="ro-MD"/>
        </w:rPr>
        <w:t xml:space="preserve"> и обоснования процессов внутреннего</w:t>
      </w:r>
      <w:r w:rsidRPr="00AE305F">
        <w:rPr>
          <w:rFonts w:asciiTheme="majorHAnsi" w:hAnsiTheme="majorHAnsi" w:cstheme="majorHAnsi"/>
          <w:szCs w:val="28"/>
          <w:lang w:val="ro-MD"/>
        </w:rPr>
        <w:t xml:space="preserve"> контроля. Одновременно, ненадлежащий учет медицинских приборов влияет на правильность включения износа в стоимость услуг. Также отмечается отсутствие решений по отношению к незавершенным материальным активам, а также к неиспользованным активам, что противоречит принципам надлежащего управления</w:t>
      </w:r>
      <w:r w:rsidR="001B5D3D" w:rsidRPr="00B13B9A">
        <w:rPr>
          <w:rFonts w:asciiTheme="majorHAnsi" w:hAnsiTheme="majorHAnsi" w:cstheme="majorHAnsi"/>
          <w:szCs w:val="28"/>
          <w:lang w:val="ro-MD"/>
        </w:rPr>
        <w:t xml:space="preserve">. </w:t>
      </w:r>
    </w:p>
    <w:p w14:paraId="5CAFDE20" w14:textId="74F1520E" w:rsidR="001B5D3D" w:rsidRPr="00B13B9A" w:rsidRDefault="00A506FB" w:rsidP="001B5D3D">
      <w:pPr>
        <w:pStyle w:val="cn"/>
        <w:spacing w:line="276" w:lineRule="auto"/>
        <w:ind w:right="71"/>
        <w:jc w:val="both"/>
        <w:rPr>
          <w:rFonts w:asciiTheme="majorHAnsi" w:hAnsiTheme="majorHAnsi" w:cstheme="majorHAnsi"/>
          <w:szCs w:val="28"/>
          <w:lang w:val="ro-MD"/>
        </w:rPr>
      </w:pPr>
      <w:r w:rsidRPr="00A506FB">
        <w:rPr>
          <w:rFonts w:asciiTheme="majorHAnsi" w:hAnsiTheme="majorHAnsi" w:cstheme="majorHAnsi"/>
          <w:szCs w:val="28"/>
          <w:lang w:val="ro-MD"/>
        </w:rPr>
        <w:t xml:space="preserve">В </w:t>
      </w:r>
      <w:r w:rsidR="004A46DF">
        <w:rPr>
          <w:rFonts w:asciiTheme="majorHAnsi" w:hAnsiTheme="majorHAnsi" w:cstheme="majorHAnsi"/>
          <w:szCs w:val="28"/>
        </w:rPr>
        <w:t>ч</w:t>
      </w:r>
      <w:r w:rsidRPr="00A506FB">
        <w:rPr>
          <w:rFonts w:asciiTheme="majorHAnsi" w:hAnsiTheme="majorHAnsi" w:cstheme="majorHAnsi"/>
          <w:szCs w:val="28"/>
          <w:lang w:val="ro-MD"/>
        </w:rPr>
        <w:t xml:space="preserve">асти использования финансовых средств </w:t>
      </w:r>
      <w:r w:rsidR="004A46DF">
        <w:rPr>
          <w:rFonts w:asciiTheme="majorHAnsi" w:hAnsiTheme="majorHAnsi" w:cstheme="majorHAnsi"/>
          <w:szCs w:val="28"/>
        </w:rPr>
        <w:t xml:space="preserve">были установлены </w:t>
      </w:r>
      <w:r w:rsidRPr="00A506FB">
        <w:rPr>
          <w:rFonts w:asciiTheme="majorHAnsi" w:hAnsiTheme="majorHAnsi" w:cstheme="majorHAnsi"/>
          <w:szCs w:val="28"/>
          <w:lang w:val="ro-MD"/>
        </w:rPr>
        <w:t>несоответствия, обусловленные недостаточностью процессов внутреннего контроля, которые выражаются в не</w:t>
      </w:r>
      <w:r w:rsidR="004A46DF">
        <w:rPr>
          <w:rFonts w:asciiTheme="majorHAnsi" w:hAnsiTheme="majorHAnsi" w:cstheme="majorHAnsi"/>
          <w:szCs w:val="28"/>
        </w:rPr>
        <w:t>закон</w:t>
      </w:r>
      <w:r w:rsidRPr="00A506FB">
        <w:rPr>
          <w:rFonts w:asciiTheme="majorHAnsi" w:hAnsiTheme="majorHAnsi" w:cstheme="majorHAnsi"/>
          <w:szCs w:val="28"/>
          <w:lang w:val="ro-MD"/>
        </w:rPr>
        <w:t xml:space="preserve">ном </w:t>
      </w:r>
      <w:r w:rsidR="004A46DF">
        <w:rPr>
          <w:rFonts w:asciiTheme="majorHAnsi" w:hAnsiTheme="majorHAnsi" w:cstheme="majorHAnsi"/>
          <w:szCs w:val="28"/>
        </w:rPr>
        <w:t>начислении</w:t>
      </w:r>
      <w:r w:rsidRPr="00A506FB">
        <w:rPr>
          <w:rFonts w:asciiTheme="majorHAnsi" w:hAnsiTheme="majorHAnsi" w:cstheme="majorHAnsi"/>
          <w:szCs w:val="28"/>
          <w:lang w:val="ro-MD"/>
        </w:rPr>
        <w:t xml:space="preserve"> и </w:t>
      </w:r>
      <w:r w:rsidR="004A46DF">
        <w:rPr>
          <w:rFonts w:asciiTheme="majorHAnsi" w:hAnsiTheme="majorHAnsi" w:cstheme="majorHAnsi"/>
          <w:szCs w:val="28"/>
        </w:rPr>
        <w:t>вы</w:t>
      </w:r>
      <w:r w:rsidRPr="00A506FB">
        <w:rPr>
          <w:rFonts w:asciiTheme="majorHAnsi" w:hAnsiTheme="majorHAnsi" w:cstheme="majorHAnsi"/>
          <w:szCs w:val="28"/>
          <w:lang w:val="ro-MD"/>
        </w:rPr>
        <w:t>плате некоторых заработн</w:t>
      </w:r>
      <w:r w:rsidR="004A46DF">
        <w:rPr>
          <w:rFonts w:asciiTheme="majorHAnsi" w:hAnsiTheme="majorHAnsi" w:cstheme="majorHAnsi"/>
          <w:szCs w:val="28"/>
        </w:rPr>
        <w:t>ых</w:t>
      </w:r>
      <w:r w:rsidRPr="00A506FB">
        <w:rPr>
          <w:rFonts w:asciiTheme="majorHAnsi" w:hAnsiTheme="majorHAnsi" w:cstheme="majorHAnsi"/>
          <w:szCs w:val="28"/>
          <w:lang w:val="ro-MD"/>
        </w:rPr>
        <w:t xml:space="preserve"> плат; планировани</w:t>
      </w:r>
      <w:r w:rsidR="004A46DF">
        <w:rPr>
          <w:rFonts w:asciiTheme="majorHAnsi" w:hAnsiTheme="majorHAnsi" w:cstheme="majorHAnsi"/>
          <w:szCs w:val="28"/>
        </w:rPr>
        <w:t>и</w:t>
      </w:r>
      <w:r w:rsidRPr="00A506FB">
        <w:rPr>
          <w:rFonts w:asciiTheme="majorHAnsi" w:hAnsiTheme="majorHAnsi" w:cstheme="majorHAnsi"/>
          <w:szCs w:val="28"/>
          <w:lang w:val="ro-MD"/>
        </w:rPr>
        <w:t xml:space="preserve"> и осуществлени</w:t>
      </w:r>
      <w:r w:rsidR="004A46DF">
        <w:rPr>
          <w:rFonts w:asciiTheme="majorHAnsi" w:hAnsiTheme="majorHAnsi" w:cstheme="majorHAnsi"/>
          <w:szCs w:val="28"/>
        </w:rPr>
        <w:t>и</w:t>
      </w:r>
      <w:r w:rsidRPr="00A506FB">
        <w:rPr>
          <w:rFonts w:asciiTheme="majorHAnsi" w:hAnsiTheme="majorHAnsi" w:cstheme="majorHAnsi"/>
          <w:szCs w:val="28"/>
          <w:lang w:val="ro-MD"/>
        </w:rPr>
        <w:t xml:space="preserve"> закупок </w:t>
      </w:r>
      <w:r w:rsidR="004A46DF">
        <w:rPr>
          <w:rFonts w:asciiTheme="majorHAnsi" w:hAnsiTheme="majorHAnsi" w:cstheme="majorHAnsi"/>
          <w:szCs w:val="28"/>
        </w:rPr>
        <w:t>с</w:t>
      </w:r>
      <w:r w:rsidRPr="00A506FB">
        <w:rPr>
          <w:rFonts w:asciiTheme="majorHAnsi" w:hAnsiTheme="majorHAnsi" w:cstheme="majorHAnsi"/>
          <w:szCs w:val="28"/>
          <w:lang w:val="ro-MD"/>
        </w:rPr>
        <w:t xml:space="preserve"> </w:t>
      </w:r>
      <w:r w:rsidR="004A46DF">
        <w:rPr>
          <w:rFonts w:asciiTheme="majorHAnsi" w:hAnsiTheme="majorHAnsi" w:cstheme="majorHAnsi"/>
          <w:szCs w:val="28"/>
        </w:rPr>
        <w:t>не</w:t>
      </w:r>
      <w:r w:rsidRPr="00A506FB">
        <w:rPr>
          <w:rFonts w:asciiTheme="majorHAnsi" w:hAnsiTheme="majorHAnsi" w:cstheme="majorHAnsi"/>
          <w:szCs w:val="28"/>
          <w:lang w:val="ro-MD"/>
        </w:rPr>
        <w:t>соблюдени</w:t>
      </w:r>
      <w:r w:rsidR="004A46DF">
        <w:rPr>
          <w:rFonts w:asciiTheme="majorHAnsi" w:hAnsiTheme="majorHAnsi" w:cstheme="majorHAnsi"/>
          <w:szCs w:val="28"/>
        </w:rPr>
        <w:t>ем</w:t>
      </w:r>
      <w:r w:rsidRPr="00A506FB">
        <w:rPr>
          <w:rFonts w:asciiTheme="majorHAnsi" w:hAnsiTheme="majorHAnsi" w:cstheme="majorHAnsi"/>
          <w:szCs w:val="28"/>
          <w:lang w:val="ro-MD"/>
        </w:rPr>
        <w:t xml:space="preserve"> принципов, регулирующих этот процесс; обеспечени</w:t>
      </w:r>
      <w:r w:rsidR="004A46DF">
        <w:rPr>
          <w:rFonts w:asciiTheme="majorHAnsi" w:hAnsiTheme="majorHAnsi" w:cstheme="majorHAnsi"/>
          <w:szCs w:val="28"/>
        </w:rPr>
        <w:t>и</w:t>
      </w:r>
      <w:r w:rsidRPr="00A506FB">
        <w:rPr>
          <w:rFonts w:asciiTheme="majorHAnsi" w:hAnsiTheme="majorHAnsi" w:cstheme="majorHAnsi"/>
          <w:szCs w:val="28"/>
          <w:lang w:val="ro-MD"/>
        </w:rPr>
        <w:t xml:space="preserve"> </w:t>
      </w:r>
      <w:r w:rsidR="004A46DF">
        <w:rPr>
          <w:rFonts w:asciiTheme="majorHAnsi" w:hAnsiTheme="majorHAnsi" w:cstheme="majorHAnsi"/>
          <w:szCs w:val="28"/>
        </w:rPr>
        <w:t xml:space="preserve">питания </w:t>
      </w:r>
      <w:r w:rsidRPr="00A506FB">
        <w:rPr>
          <w:rFonts w:asciiTheme="majorHAnsi" w:hAnsiTheme="majorHAnsi" w:cstheme="majorHAnsi"/>
          <w:szCs w:val="28"/>
          <w:lang w:val="ro-MD"/>
        </w:rPr>
        <w:t xml:space="preserve">пациентов </w:t>
      </w:r>
      <w:r w:rsidR="004A46DF">
        <w:rPr>
          <w:rFonts w:asciiTheme="majorHAnsi" w:hAnsiTheme="majorHAnsi" w:cstheme="majorHAnsi"/>
          <w:szCs w:val="28"/>
        </w:rPr>
        <w:t xml:space="preserve">с </w:t>
      </w:r>
      <w:r w:rsidRPr="00A506FB">
        <w:rPr>
          <w:rFonts w:asciiTheme="majorHAnsi" w:hAnsiTheme="majorHAnsi" w:cstheme="majorHAnsi"/>
          <w:szCs w:val="28"/>
          <w:lang w:val="ro-MD"/>
        </w:rPr>
        <w:t xml:space="preserve">частичным соблюдением установленных норм. </w:t>
      </w:r>
      <w:r w:rsidR="004A46DF" w:rsidRPr="004A46DF">
        <w:rPr>
          <w:rFonts w:asciiTheme="majorHAnsi" w:hAnsiTheme="majorHAnsi" w:cstheme="majorHAnsi"/>
          <w:szCs w:val="28"/>
          <w:lang w:val="ro-MD"/>
        </w:rPr>
        <w:t>Одновременно,</w:t>
      </w:r>
      <w:r w:rsidRPr="00A506FB">
        <w:rPr>
          <w:rFonts w:asciiTheme="majorHAnsi" w:hAnsiTheme="majorHAnsi" w:cstheme="majorHAnsi"/>
          <w:szCs w:val="28"/>
          <w:lang w:val="ro-MD"/>
        </w:rPr>
        <w:t xml:space="preserve"> метод учета доходов от пожертвований должен быть скорректирован</w:t>
      </w:r>
      <w:r w:rsidR="004A46DF" w:rsidRPr="004A46DF">
        <w:rPr>
          <w:rFonts w:asciiTheme="majorHAnsi" w:hAnsiTheme="majorHAnsi" w:cstheme="majorHAnsi"/>
          <w:szCs w:val="28"/>
          <w:lang w:val="ro-MD"/>
        </w:rPr>
        <w:t>, для надлежащего</w:t>
      </w:r>
      <w:r w:rsidRPr="00A506FB">
        <w:rPr>
          <w:rFonts w:asciiTheme="majorHAnsi" w:hAnsiTheme="majorHAnsi" w:cstheme="majorHAnsi"/>
          <w:szCs w:val="28"/>
          <w:lang w:val="ro-MD"/>
        </w:rPr>
        <w:t xml:space="preserve"> отражения финансов</w:t>
      </w:r>
      <w:r w:rsidR="004A46DF" w:rsidRPr="004A46DF">
        <w:rPr>
          <w:rFonts w:asciiTheme="majorHAnsi" w:hAnsiTheme="majorHAnsi" w:cstheme="majorHAnsi"/>
          <w:szCs w:val="28"/>
          <w:lang w:val="ro-MD"/>
        </w:rPr>
        <w:t>ых ситуаций</w:t>
      </w:r>
      <w:r w:rsidRPr="00A506FB">
        <w:rPr>
          <w:rFonts w:asciiTheme="majorHAnsi" w:hAnsiTheme="majorHAnsi" w:cstheme="majorHAnsi"/>
          <w:szCs w:val="28"/>
          <w:lang w:val="ro-MD"/>
        </w:rPr>
        <w:t xml:space="preserve"> учреждения</w:t>
      </w:r>
      <w:r w:rsidR="001B5D3D" w:rsidRPr="00B13B9A">
        <w:rPr>
          <w:rFonts w:asciiTheme="majorHAnsi" w:hAnsiTheme="majorHAnsi" w:cstheme="majorHAnsi"/>
          <w:szCs w:val="28"/>
          <w:lang w:val="ro-MD"/>
        </w:rPr>
        <w:t>.</w:t>
      </w:r>
    </w:p>
    <w:p w14:paraId="61E94EC2" w14:textId="021C67D4" w:rsidR="001B5D3D" w:rsidRPr="00B13B9A" w:rsidRDefault="00A506FB" w:rsidP="001B5D3D">
      <w:pPr>
        <w:pStyle w:val="cn"/>
        <w:spacing w:line="276" w:lineRule="auto"/>
        <w:ind w:right="71"/>
        <w:jc w:val="both"/>
        <w:rPr>
          <w:rFonts w:asciiTheme="majorHAnsi" w:hAnsiTheme="majorHAnsi" w:cstheme="majorHAnsi"/>
          <w:szCs w:val="28"/>
          <w:lang w:val="ro-MD"/>
        </w:rPr>
      </w:pPr>
      <w:r w:rsidRPr="00A506FB">
        <w:rPr>
          <w:rFonts w:asciiTheme="majorHAnsi" w:hAnsiTheme="majorHAnsi" w:cstheme="majorHAnsi"/>
          <w:szCs w:val="28"/>
          <w:lang w:val="ro-MD"/>
        </w:rPr>
        <w:t xml:space="preserve">Аудит указывает на необходимость принятия управленческих решений для выяснения </w:t>
      </w:r>
      <w:r w:rsidR="004A46DF" w:rsidRPr="004A46DF">
        <w:rPr>
          <w:rFonts w:asciiTheme="majorHAnsi" w:hAnsiTheme="majorHAnsi" w:cstheme="majorHAnsi"/>
          <w:szCs w:val="28"/>
          <w:lang w:val="ro-MD"/>
        </w:rPr>
        <w:t>отмеч</w:t>
      </w:r>
      <w:r w:rsidRPr="00A506FB">
        <w:rPr>
          <w:rFonts w:asciiTheme="majorHAnsi" w:hAnsiTheme="majorHAnsi" w:cstheme="majorHAnsi"/>
          <w:szCs w:val="28"/>
          <w:lang w:val="ro-MD"/>
        </w:rPr>
        <w:t xml:space="preserve">енных ситуаций, укрепления системы внутреннего контроля, способной обеспечить надлежащее управление имуществом и финансовыми ресурсами путем устранения уязвимых аспектов, выявленных в рамках настоящей аудиторской миссии, </w:t>
      </w:r>
      <w:r w:rsidR="00C3788E" w:rsidRPr="00C3788E">
        <w:rPr>
          <w:rFonts w:asciiTheme="majorHAnsi" w:hAnsiTheme="majorHAnsi" w:cstheme="majorHAnsi"/>
          <w:szCs w:val="28"/>
          <w:lang w:val="ro-MD"/>
        </w:rPr>
        <w:t>что должно</w:t>
      </w:r>
      <w:r w:rsidRPr="00A506FB">
        <w:rPr>
          <w:rFonts w:asciiTheme="majorHAnsi" w:hAnsiTheme="majorHAnsi" w:cstheme="majorHAnsi"/>
          <w:szCs w:val="28"/>
          <w:lang w:val="ro-MD"/>
        </w:rPr>
        <w:t xml:space="preserve"> способствовать в том числе улучшению услуг и здоровья населения, </w:t>
      </w:r>
      <w:r w:rsidR="00C3788E" w:rsidRPr="00C3788E">
        <w:rPr>
          <w:rFonts w:asciiTheme="majorHAnsi" w:hAnsiTheme="majorHAnsi" w:cstheme="majorHAnsi"/>
          <w:szCs w:val="28"/>
          <w:lang w:val="ro-MD"/>
        </w:rPr>
        <w:t>консолидирова</w:t>
      </w:r>
      <w:r w:rsidRPr="00A506FB">
        <w:rPr>
          <w:rFonts w:asciiTheme="majorHAnsi" w:hAnsiTheme="majorHAnsi" w:cstheme="majorHAnsi"/>
          <w:szCs w:val="28"/>
          <w:lang w:val="ro-MD"/>
        </w:rPr>
        <w:t>нию действий по борьбе с туберкулезом</w:t>
      </w:r>
      <w:r w:rsidR="001B5D3D" w:rsidRPr="00B13B9A">
        <w:rPr>
          <w:rFonts w:asciiTheme="majorHAnsi" w:hAnsiTheme="majorHAnsi" w:cstheme="majorHAnsi"/>
          <w:szCs w:val="28"/>
          <w:lang w:val="ro-MD"/>
        </w:rPr>
        <w:t>.</w:t>
      </w:r>
    </w:p>
    <w:p w14:paraId="4E7F6036" w14:textId="606127AD" w:rsidR="00703996" w:rsidRPr="00B13B9A" w:rsidRDefault="00A506FB" w:rsidP="001B5D3D">
      <w:pPr>
        <w:pStyle w:val="cn"/>
        <w:spacing w:line="276" w:lineRule="auto"/>
        <w:ind w:right="71"/>
        <w:jc w:val="both"/>
        <w:rPr>
          <w:rFonts w:asciiTheme="majorHAnsi" w:hAnsiTheme="majorHAnsi" w:cstheme="majorHAnsi"/>
          <w:lang w:val="ro-MD"/>
        </w:rPr>
      </w:pPr>
      <w:r w:rsidRPr="00A506FB">
        <w:rPr>
          <w:rFonts w:asciiTheme="majorHAnsi" w:hAnsiTheme="majorHAnsi" w:cstheme="majorHAnsi"/>
          <w:szCs w:val="28"/>
          <w:lang w:val="ro-MD"/>
        </w:rPr>
        <w:t xml:space="preserve">Обобщив вышеизложенные ситуации, внешний публичный аудит довел до сведения </w:t>
      </w:r>
      <w:r w:rsidR="00C3788E">
        <w:rPr>
          <w:rFonts w:asciiTheme="majorHAnsi" w:hAnsiTheme="majorHAnsi" w:cstheme="majorHAnsi"/>
          <w:szCs w:val="28"/>
        </w:rPr>
        <w:t xml:space="preserve">субъектов </w:t>
      </w:r>
      <w:r w:rsidRPr="00A506FB">
        <w:rPr>
          <w:rFonts w:asciiTheme="majorHAnsi" w:hAnsiTheme="majorHAnsi" w:cstheme="majorHAnsi"/>
          <w:szCs w:val="28"/>
          <w:lang w:val="ro-MD"/>
        </w:rPr>
        <w:t xml:space="preserve">сформулированные констатации и выводы и предоставил рекомендации по устранению уязвимых аспектов, </w:t>
      </w:r>
      <w:r w:rsidR="00C3788E">
        <w:rPr>
          <w:rFonts w:asciiTheme="majorHAnsi" w:hAnsiTheme="majorHAnsi" w:cstheme="majorHAnsi"/>
          <w:szCs w:val="28"/>
        </w:rPr>
        <w:t>устано</w:t>
      </w:r>
      <w:r w:rsidRPr="00A506FB">
        <w:rPr>
          <w:rFonts w:asciiTheme="majorHAnsi" w:hAnsiTheme="majorHAnsi" w:cstheme="majorHAnsi"/>
          <w:szCs w:val="28"/>
          <w:lang w:val="ro-MD"/>
        </w:rPr>
        <w:t>вленных в рамках настоящей аудиторской миссии, которые были приняты проаудированными учреждениями</w:t>
      </w:r>
      <w:r w:rsidR="001B5D3D" w:rsidRPr="00B13B9A">
        <w:rPr>
          <w:rFonts w:asciiTheme="majorHAnsi" w:hAnsiTheme="majorHAnsi" w:cstheme="majorHAnsi"/>
          <w:szCs w:val="28"/>
          <w:lang w:val="ro-MD"/>
        </w:rPr>
        <w:t>.</w:t>
      </w:r>
    </w:p>
    <w:p w14:paraId="079ADB80" w14:textId="3C84269C" w:rsidR="00A73003" w:rsidRDefault="00A73003" w:rsidP="00476510">
      <w:pPr>
        <w:pStyle w:val="cn"/>
        <w:spacing w:line="276" w:lineRule="auto"/>
        <w:ind w:right="71"/>
        <w:jc w:val="both"/>
        <w:rPr>
          <w:rFonts w:asciiTheme="majorHAnsi" w:eastAsiaTheme="minorHAnsi" w:hAnsiTheme="majorHAnsi" w:cstheme="minorHAnsi"/>
          <w:b/>
          <w:color w:val="1F4E79" w:themeColor="accent1" w:themeShade="80"/>
          <w:lang w:val="ro-MD" w:eastAsia="en-US"/>
        </w:rPr>
      </w:pPr>
      <w:r>
        <w:rPr>
          <w:rFonts w:asciiTheme="majorHAnsi" w:eastAsiaTheme="minorHAnsi" w:hAnsiTheme="majorHAnsi" w:cstheme="minorHAnsi"/>
          <w:b/>
          <w:color w:val="1F4E79" w:themeColor="accent1" w:themeShade="80"/>
          <w:lang w:val="ro-MD" w:eastAsia="en-US"/>
        </w:rPr>
        <w:br w:type="page"/>
      </w:r>
    </w:p>
    <w:p w14:paraId="34CA025E" w14:textId="77777777" w:rsidR="00147F26" w:rsidRPr="00B13B9A" w:rsidRDefault="00147F26" w:rsidP="00476510">
      <w:pPr>
        <w:pStyle w:val="cn"/>
        <w:spacing w:line="276" w:lineRule="auto"/>
        <w:ind w:right="71"/>
        <w:jc w:val="both"/>
        <w:rPr>
          <w:rFonts w:asciiTheme="majorHAnsi" w:eastAsiaTheme="minorHAnsi" w:hAnsiTheme="majorHAnsi" w:cstheme="minorHAnsi"/>
          <w:b/>
          <w:color w:val="1F4E79" w:themeColor="accent1" w:themeShade="80"/>
          <w:lang w:val="ro-MD" w:eastAsia="en-US"/>
        </w:rPr>
      </w:pPr>
    </w:p>
    <w:p w14:paraId="5AE375D8" w14:textId="69B2FCAF" w:rsidR="00D900FA" w:rsidRPr="00B13B9A" w:rsidRDefault="003A2627" w:rsidP="00C5192A">
      <w:pPr>
        <w:pStyle w:val="cn"/>
        <w:numPr>
          <w:ilvl w:val="0"/>
          <w:numId w:val="1"/>
        </w:numPr>
        <w:spacing w:line="276" w:lineRule="auto"/>
        <w:ind w:left="709" w:right="71" w:hanging="709"/>
        <w:jc w:val="both"/>
        <w:outlineLvl w:val="0"/>
        <w:rPr>
          <w:rFonts w:asciiTheme="majorHAnsi" w:eastAsiaTheme="minorHAnsi" w:hAnsiTheme="majorHAnsi" w:cstheme="minorHAnsi"/>
          <w:b/>
          <w:color w:val="1F4E79" w:themeColor="accent1" w:themeShade="80"/>
          <w:lang w:val="ro-MD" w:eastAsia="en-US"/>
        </w:rPr>
      </w:pPr>
      <w:bookmarkStart w:id="51" w:name="_Toc158317253"/>
      <w:r>
        <w:rPr>
          <w:rFonts w:asciiTheme="majorHAnsi" w:eastAsiaTheme="minorHAnsi" w:hAnsiTheme="majorHAnsi" w:cstheme="minorHAnsi"/>
          <w:b/>
          <w:color w:val="1F4E79" w:themeColor="accent1" w:themeShade="80"/>
          <w:lang w:eastAsia="en-US"/>
        </w:rPr>
        <w:t>РЕКОМЕНДАЦИИ</w:t>
      </w:r>
      <w:bookmarkEnd w:id="51"/>
    </w:p>
    <w:p w14:paraId="4937B60E" w14:textId="194B26DC" w:rsidR="00D900FA" w:rsidRPr="00B13B9A" w:rsidRDefault="003A2627" w:rsidP="002101A1">
      <w:pPr>
        <w:pStyle w:val="a7"/>
        <w:shd w:val="clear" w:color="auto" w:fill="FFFFFF" w:themeFill="background1"/>
        <w:spacing w:after="0" w:line="276" w:lineRule="auto"/>
        <w:ind w:left="0"/>
        <w:jc w:val="both"/>
        <w:rPr>
          <w:rFonts w:asciiTheme="majorHAnsi" w:hAnsiTheme="majorHAnsi" w:cstheme="majorHAnsi"/>
          <w:b/>
          <w:i/>
          <w:sz w:val="24"/>
          <w:szCs w:val="24"/>
          <w:lang w:val="ro-MD"/>
        </w:rPr>
      </w:pPr>
      <w:r w:rsidRPr="003A2627">
        <w:rPr>
          <w:rFonts w:asciiTheme="majorHAnsi" w:hAnsiTheme="majorHAnsi" w:cstheme="majorHAnsi"/>
          <w:b/>
          <w:sz w:val="24"/>
          <w:szCs w:val="24"/>
          <w:lang w:val="ro-MD"/>
        </w:rPr>
        <w:t>Руководству Министерства здравоохранения совместно с ПМСУ Институт Фтизиопульмонологии " Кирилл Драганюк”</w:t>
      </w:r>
      <w:r w:rsidR="00B359BE" w:rsidRPr="00B13B9A">
        <w:rPr>
          <w:rFonts w:asciiTheme="majorHAnsi" w:hAnsiTheme="majorHAnsi" w:cstheme="majorHAnsi"/>
          <w:b/>
          <w:sz w:val="24"/>
          <w:szCs w:val="24"/>
          <w:lang w:val="ro-MD"/>
        </w:rPr>
        <w:t>:</w:t>
      </w:r>
      <w:r w:rsidR="00D900FA" w:rsidRPr="00B13B9A">
        <w:rPr>
          <w:rFonts w:asciiTheme="majorHAnsi" w:hAnsiTheme="majorHAnsi" w:cstheme="majorHAnsi"/>
          <w:b/>
          <w:i/>
          <w:sz w:val="24"/>
          <w:szCs w:val="24"/>
          <w:lang w:val="ro-MD"/>
        </w:rPr>
        <w:t xml:space="preserve"> </w:t>
      </w:r>
    </w:p>
    <w:p w14:paraId="79501DA9" w14:textId="15870132" w:rsidR="00281A21" w:rsidRPr="00B13B9A" w:rsidRDefault="003A2627" w:rsidP="00C01493">
      <w:pPr>
        <w:pStyle w:val="ae"/>
        <w:numPr>
          <w:ilvl w:val="0"/>
          <w:numId w:val="8"/>
        </w:numPr>
        <w:shd w:val="clear" w:color="auto" w:fill="FFFFFF"/>
        <w:tabs>
          <w:tab w:val="left" w:pos="709"/>
          <w:tab w:val="left" w:pos="1080"/>
        </w:tabs>
        <w:spacing w:before="0" w:beforeAutospacing="0" w:after="0" w:afterAutospacing="0" w:line="276" w:lineRule="auto"/>
        <w:ind w:left="0" w:firstLine="709"/>
        <w:contextualSpacing/>
        <w:jc w:val="both"/>
        <w:rPr>
          <w:rFonts w:asciiTheme="majorHAnsi" w:hAnsiTheme="majorHAnsi" w:cstheme="majorHAnsi"/>
          <w:i/>
          <w:lang w:val="ro-MD"/>
        </w:rPr>
      </w:pPr>
      <w:r w:rsidRPr="003A2627">
        <w:rPr>
          <w:rFonts w:asciiTheme="majorHAnsi" w:hAnsiTheme="majorHAnsi" w:cstheme="majorHAnsi"/>
          <w:i/>
          <w:lang w:val="ro-MD"/>
        </w:rPr>
        <w:t>Обеспечить инвентаризацию публичного имущества/материальных ценностей, определение и составление перечня имущества, с разделением на имущество, переданное ПМСУ в экономическое управление, и имущество с правом собственности</w:t>
      </w:r>
      <w:r w:rsidR="001E5721" w:rsidRPr="003A2627">
        <w:rPr>
          <w:rFonts w:asciiTheme="majorHAnsi" w:hAnsiTheme="majorHAnsi" w:cstheme="majorHAnsi"/>
          <w:i/>
          <w:lang w:val="ro-MD"/>
        </w:rPr>
        <w:t xml:space="preserve"> </w:t>
      </w:r>
      <w:r w:rsidR="001E5721" w:rsidRPr="00B13B9A">
        <w:rPr>
          <w:rFonts w:asciiTheme="majorHAnsi" w:hAnsiTheme="majorHAnsi" w:cstheme="majorHAnsi"/>
          <w:i/>
          <w:lang w:val="ro-MD"/>
        </w:rPr>
        <w:t>(</w:t>
      </w:r>
      <w:r w:rsidR="00C01493">
        <w:rPr>
          <w:rFonts w:asciiTheme="majorHAnsi" w:hAnsiTheme="majorHAnsi" w:cstheme="majorHAnsi"/>
          <w:i/>
          <w:lang w:val="ro-MD"/>
        </w:rPr>
        <w:t>Параграф</w:t>
      </w:r>
      <w:r w:rsidR="001E5721" w:rsidRPr="00B13B9A">
        <w:rPr>
          <w:rFonts w:asciiTheme="majorHAnsi" w:hAnsiTheme="majorHAnsi" w:cstheme="majorHAnsi"/>
          <w:i/>
          <w:lang w:val="ro-MD"/>
        </w:rPr>
        <w:t xml:space="preserve"> 4.1.1)</w:t>
      </w:r>
      <w:r w:rsidR="00B359BE" w:rsidRPr="00B13B9A">
        <w:rPr>
          <w:rFonts w:asciiTheme="majorHAnsi" w:hAnsiTheme="majorHAnsi" w:cstheme="majorHAnsi"/>
          <w:i/>
          <w:lang w:val="ro-MD"/>
        </w:rPr>
        <w:t>;</w:t>
      </w:r>
    </w:p>
    <w:p w14:paraId="118ECFCA" w14:textId="6A8A02B9" w:rsidR="00281A21" w:rsidRPr="00B13B9A" w:rsidRDefault="003A2627" w:rsidP="00C01493">
      <w:pPr>
        <w:pStyle w:val="ae"/>
        <w:numPr>
          <w:ilvl w:val="0"/>
          <w:numId w:val="8"/>
        </w:numPr>
        <w:shd w:val="clear" w:color="auto" w:fill="FFFFFF"/>
        <w:tabs>
          <w:tab w:val="left" w:pos="709"/>
          <w:tab w:val="left" w:pos="1080"/>
        </w:tabs>
        <w:spacing w:before="240" w:beforeAutospacing="0" w:after="240" w:afterAutospacing="0" w:line="276" w:lineRule="auto"/>
        <w:ind w:left="0" w:firstLine="709"/>
        <w:contextualSpacing/>
        <w:jc w:val="both"/>
        <w:rPr>
          <w:rFonts w:asciiTheme="majorHAnsi" w:hAnsiTheme="majorHAnsi" w:cstheme="majorHAnsi"/>
          <w:i/>
          <w:lang w:val="ro-MD"/>
        </w:rPr>
      </w:pPr>
      <w:r w:rsidRPr="003A2627">
        <w:rPr>
          <w:rFonts w:asciiTheme="majorHAnsi" w:hAnsiTheme="majorHAnsi" w:cstheme="majorHAnsi"/>
          <w:i/>
          <w:lang w:val="ro-MD"/>
        </w:rPr>
        <w:t>Обеспечить надлежащую регистрацию имущества, переданного учредителем в экономическое управление  и с правом собственности, с корректировкой записей, касающихся собственного капитала</w:t>
      </w:r>
      <w:r w:rsidR="001E5721" w:rsidRPr="00B13B9A">
        <w:rPr>
          <w:rFonts w:asciiTheme="majorHAnsi" w:hAnsiTheme="majorHAnsi" w:cstheme="majorHAnsi"/>
          <w:i/>
          <w:lang w:val="ro-MD"/>
        </w:rPr>
        <w:t xml:space="preserve"> (</w:t>
      </w:r>
      <w:r w:rsidR="00C01493">
        <w:rPr>
          <w:rFonts w:asciiTheme="majorHAnsi" w:hAnsiTheme="majorHAnsi" w:cstheme="majorHAnsi"/>
          <w:i/>
          <w:lang w:val="ro-MD"/>
        </w:rPr>
        <w:t>Параграф</w:t>
      </w:r>
      <w:r w:rsidR="001E5721" w:rsidRPr="00B13B9A">
        <w:rPr>
          <w:rFonts w:asciiTheme="majorHAnsi" w:hAnsiTheme="majorHAnsi" w:cstheme="majorHAnsi"/>
          <w:i/>
          <w:lang w:val="ro-MD"/>
        </w:rPr>
        <w:t xml:space="preserve"> 4.1.</w:t>
      </w:r>
      <w:r w:rsidR="00667F52" w:rsidRPr="00B13B9A">
        <w:rPr>
          <w:rFonts w:asciiTheme="majorHAnsi" w:hAnsiTheme="majorHAnsi" w:cstheme="majorHAnsi"/>
          <w:i/>
          <w:lang w:val="ro-MD"/>
        </w:rPr>
        <w:t>8</w:t>
      </w:r>
      <w:r w:rsidR="001E5721" w:rsidRPr="00B13B9A">
        <w:rPr>
          <w:rFonts w:asciiTheme="majorHAnsi" w:hAnsiTheme="majorHAnsi" w:cstheme="majorHAnsi"/>
          <w:i/>
          <w:lang w:val="ro-MD"/>
        </w:rPr>
        <w:t>)</w:t>
      </w:r>
      <w:r w:rsidR="00281A21" w:rsidRPr="00B13B9A">
        <w:rPr>
          <w:rFonts w:asciiTheme="majorHAnsi" w:hAnsiTheme="majorHAnsi" w:cstheme="majorHAnsi"/>
          <w:i/>
          <w:lang w:val="ro-MD"/>
        </w:rPr>
        <w:t>;</w:t>
      </w:r>
    </w:p>
    <w:p w14:paraId="2EC6215F" w14:textId="61EFA46D" w:rsidR="00D900FA" w:rsidRPr="00B13B9A" w:rsidRDefault="00665654" w:rsidP="00C01493">
      <w:pPr>
        <w:pStyle w:val="ae"/>
        <w:numPr>
          <w:ilvl w:val="0"/>
          <w:numId w:val="8"/>
        </w:numPr>
        <w:shd w:val="clear" w:color="auto" w:fill="FFFFFF"/>
        <w:tabs>
          <w:tab w:val="left" w:pos="709"/>
          <w:tab w:val="left" w:pos="1080"/>
        </w:tabs>
        <w:spacing w:before="0" w:beforeAutospacing="0" w:after="0" w:afterAutospacing="0" w:line="276" w:lineRule="auto"/>
        <w:ind w:left="0" w:firstLine="709"/>
        <w:contextualSpacing/>
        <w:jc w:val="both"/>
        <w:rPr>
          <w:rFonts w:asciiTheme="majorHAnsi" w:hAnsiTheme="majorHAnsi" w:cstheme="majorHAnsi"/>
          <w:i/>
          <w:lang w:val="ro-MD"/>
        </w:rPr>
      </w:pPr>
      <w:r w:rsidRPr="00665654">
        <w:rPr>
          <w:rFonts w:asciiTheme="majorHAnsi" w:hAnsiTheme="majorHAnsi" w:cstheme="majorHAnsi"/>
          <w:i/>
          <w:lang w:val="ro-MD"/>
        </w:rPr>
        <w:t xml:space="preserve">Обеспечить регистрацию принадлежащего ему имущества в </w:t>
      </w:r>
      <w:r>
        <w:rPr>
          <w:rFonts w:asciiTheme="majorHAnsi" w:hAnsiTheme="majorHAnsi" w:cstheme="majorHAnsi"/>
          <w:i/>
          <w:lang w:val="ru-RU"/>
        </w:rPr>
        <w:t>Р</w:t>
      </w:r>
      <w:r w:rsidRPr="00665654">
        <w:rPr>
          <w:rFonts w:asciiTheme="majorHAnsi" w:hAnsiTheme="majorHAnsi" w:cstheme="majorHAnsi"/>
          <w:i/>
          <w:lang w:val="ro-MD"/>
        </w:rPr>
        <w:t>еестре недвижимо</w:t>
      </w:r>
      <w:r>
        <w:rPr>
          <w:rFonts w:asciiTheme="majorHAnsi" w:hAnsiTheme="majorHAnsi" w:cstheme="majorHAnsi"/>
          <w:i/>
          <w:lang w:val="ru-RU"/>
        </w:rPr>
        <w:t>го имущества</w:t>
      </w:r>
      <w:r w:rsidRPr="00665654">
        <w:rPr>
          <w:rFonts w:asciiTheme="majorHAnsi" w:hAnsiTheme="majorHAnsi" w:cstheme="majorHAnsi"/>
          <w:i/>
          <w:lang w:val="ro-MD"/>
        </w:rPr>
        <w:t>.</w:t>
      </w:r>
      <w:r w:rsidR="00110E89" w:rsidRPr="00B13B9A">
        <w:rPr>
          <w:rFonts w:asciiTheme="majorHAnsi" w:hAnsiTheme="majorHAnsi" w:cstheme="majorHAnsi"/>
          <w:i/>
          <w:lang w:val="ro-MD"/>
        </w:rPr>
        <w:t xml:space="preserve"> </w:t>
      </w:r>
      <w:r w:rsidR="00667F52" w:rsidRPr="00B13B9A">
        <w:rPr>
          <w:rFonts w:asciiTheme="majorHAnsi" w:hAnsiTheme="majorHAnsi" w:cstheme="majorHAnsi"/>
          <w:i/>
          <w:lang w:val="ro-MD"/>
        </w:rPr>
        <w:t>(</w:t>
      </w:r>
      <w:r w:rsidR="00C01493">
        <w:rPr>
          <w:rFonts w:asciiTheme="majorHAnsi" w:hAnsiTheme="majorHAnsi" w:cstheme="majorHAnsi"/>
          <w:i/>
          <w:lang w:val="ro-MD"/>
        </w:rPr>
        <w:t>Параграф</w:t>
      </w:r>
      <w:r w:rsidR="00667F52" w:rsidRPr="00B13B9A">
        <w:rPr>
          <w:rFonts w:asciiTheme="majorHAnsi" w:hAnsiTheme="majorHAnsi" w:cstheme="majorHAnsi"/>
          <w:i/>
          <w:lang w:val="ro-MD"/>
        </w:rPr>
        <w:t xml:space="preserve"> 4.1.1, 4.1.3)</w:t>
      </w:r>
      <w:r w:rsidR="00B359BE" w:rsidRPr="00B13B9A">
        <w:rPr>
          <w:rFonts w:asciiTheme="majorHAnsi" w:hAnsiTheme="majorHAnsi" w:cstheme="majorHAnsi"/>
          <w:i/>
          <w:lang w:val="ro-MD"/>
        </w:rPr>
        <w:t>;</w:t>
      </w:r>
    </w:p>
    <w:p w14:paraId="01FAFAB4" w14:textId="6B655CF5" w:rsidR="00D96F8A" w:rsidRPr="00B13B9A" w:rsidRDefault="003A2627" w:rsidP="00C01493">
      <w:pPr>
        <w:pStyle w:val="ae"/>
        <w:numPr>
          <w:ilvl w:val="0"/>
          <w:numId w:val="8"/>
        </w:numPr>
        <w:shd w:val="clear" w:color="auto" w:fill="FFFFFF"/>
        <w:tabs>
          <w:tab w:val="left" w:pos="709"/>
          <w:tab w:val="left" w:pos="1080"/>
        </w:tabs>
        <w:spacing w:before="0" w:beforeAutospacing="0" w:after="0" w:afterAutospacing="0" w:line="276" w:lineRule="auto"/>
        <w:ind w:left="0" w:firstLine="709"/>
        <w:contextualSpacing/>
        <w:jc w:val="both"/>
        <w:rPr>
          <w:rFonts w:asciiTheme="majorHAnsi" w:hAnsiTheme="majorHAnsi" w:cstheme="majorHAnsi"/>
          <w:i/>
          <w:lang w:val="ro-MD"/>
        </w:rPr>
      </w:pPr>
      <w:r w:rsidRPr="003A2627">
        <w:rPr>
          <w:rFonts w:asciiTheme="majorHAnsi" w:hAnsiTheme="majorHAnsi" w:cstheme="majorHAnsi"/>
          <w:i/>
          <w:lang w:val="ro-MD"/>
        </w:rPr>
        <w:t xml:space="preserve">Изучить способ оптимизации расходов в рамках клиники Ворничень, с выявлением целесообразных решений, в том числе о ее перепрофилированию </w:t>
      </w:r>
      <w:r w:rsidR="00C64395" w:rsidRPr="00B13B9A">
        <w:rPr>
          <w:rFonts w:asciiTheme="majorHAnsi" w:hAnsiTheme="majorHAnsi" w:cstheme="majorHAnsi"/>
          <w:i/>
          <w:lang w:val="ro-MD"/>
        </w:rPr>
        <w:t>(</w:t>
      </w:r>
      <w:r w:rsidR="00C01493">
        <w:rPr>
          <w:rFonts w:asciiTheme="majorHAnsi" w:hAnsiTheme="majorHAnsi" w:cstheme="majorHAnsi"/>
          <w:i/>
          <w:lang w:val="ro-MD"/>
        </w:rPr>
        <w:t>Параграф</w:t>
      </w:r>
      <w:r w:rsidR="00C64395" w:rsidRPr="00B13B9A">
        <w:rPr>
          <w:rFonts w:asciiTheme="majorHAnsi" w:hAnsiTheme="majorHAnsi" w:cstheme="majorHAnsi"/>
          <w:i/>
          <w:lang w:val="ro-MD"/>
        </w:rPr>
        <w:t xml:space="preserve"> 4.1.6, 4.1.7)</w:t>
      </w:r>
      <w:r w:rsidR="00281A21" w:rsidRPr="00B13B9A">
        <w:rPr>
          <w:rFonts w:asciiTheme="majorHAnsi" w:hAnsiTheme="majorHAnsi" w:cstheme="majorHAnsi"/>
          <w:i/>
          <w:color w:val="000000" w:themeColor="text1"/>
          <w:lang w:val="ro-MD"/>
        </w:rPr>
        <w:t>.</w:t>
      </w:r>
    </w:p>
    <w:p w14:paraId="14707FEB" w14:textId="2CCDB128" w:rsidR="00A44F95" w:rsidRPr="00B13B9A" w:rsidRDefault="00BD217C" w:rsidP="00CA5C8D">
      <w:pPr>
        <w:pStyle w:val="ae"/>
        <w:shd w:val="clear" w:color="auto" w:fill="FFFFFF"/>
        <w:tabs>
          <w:tab w:val="left" w:pos="709"/>
        </w:tabs>
        <w:spacing w:before="0" w:beforeAutospacing="0" w:after="0" w:afterAutospacing="0" w:line="276" w:lineRule="auto"/>
        <w:jc w:val="both"/>
        <w:rPr>
          <w:rFonts w:asciiTheme="majorHAnsi" w:hAnsiTheme="majorHAnsi" w:cstheme="majorHAnsi"/>
          <w:b/>
          <w:lang w:val="ro-MD"/>
        </w:rPr>
      </w:pPr>
      <w:r w:rsidRPr="00BD217C">
        <w:rPr>
          <w:rFonts w:asciiTheme="majorHAnsi" w:hAnsiTheme="majorHAnsi" w:cstheme="majorHAnsi"/>
          <w:b/>
          <w:lang w:val="ro-MD"/>
        </w:rPr>
        <w:t>Руководству Агентства публичной собственности</w:t>
      </w:r>
      <w:r w:rsidR="00D900FA" w:rsidRPr="00B13B9A">
        <w:rPr>
          <w:rFonts w:asciiTheme="majorHAnsi" w:hAnsiTheme="majorHAnsi" w:cstheme="majorHAnsi"/>
          <w:b/>
          <w:lang w:val="ro-MD"/>
        </w:rPr>
        <w:t>:</w:t>
      </w:r>
    </w:p>
    <w:p w14:paraId="3AE81A83" w14:textId="730589C0" w:rsidR="00D900FA" w:rsidRPr="00B13B9A" w:rsidRDefault="00BD217C" w:rsidP="00C01493">
      <w:pPr>
        <w:pStyle w:val="ae"/>
        <w:numPr>
          <w:ilvl w:val="0"/>
          <w:numId w:val="8"/>
        </w:numPr>
        <w:shd w:val="clear" w:color="auto" w:fill="FFFFFF"/>
        <w:tabs>
          <w:tab w:val="left" w:pos="709"/>
          <w:tab w:val="left" w:pos="1080"/>
        </w:tabs>
        <w:spacing w:before="0" w:beforeAutospacing="0" w:after="0" w:afterAutospacing="0" w:line="276" w:lineRule="auto"/>
        <w:ind w:left="0" w:firstLine="709"/>
        <w:jc w:val="both"/>
        <w:rPr>
          <w:rFonts w:asciiTheme="majorHAnsi" w:hAnsiTheme="majorHAnsi" w:cstheme="majorHAnsi"/>
          <w:i/>
          <w:lang w:val="ro-MD"/>
        </w:rPr>
      </w:pPr>
      <w:r w:rsidRPr="00BD217C">
        <w:rPr>
          <w:rFonts w:asciiTheme="majorHAnsi" w:hAnsiTheme="majorHAnsi" w:cstheme="majorHAnsi"/>
          <w:i/>
          <w:lang w:val="ro-MD"/>
        </w:rPr>
        <w:t>Обеспечить завершение процедуры передачи земельных участков ПМСУ, с заключением договоров безвозмездного пользования, а также обеспечить актуализацию стоимости земельных участков</w:t>
      </w:r>
      <w:r w:rsidR="00C64395" w:rsidRPr="00B13B9A">
        <w:rPr>
          <w:rFonts w:asciiTheme="majorHAnsi" w:hAnsiTheme="majorHAnsi" w:cstheme="majorHAnsi"/>
          <w:i/>
          <w:lang w:val="ro-MD"/>
        </w:rPr>
        <w:t xml:space="preserve"> (</w:t>
      </w:r>
      <w:r w:rsidR="00C01493">
        <w:rPr>
          <w:rFonts w:asciiTheme="majorHAnsi" w:hAnsiTheme="majorHAnsi" w:cstheme="majorHAnsi"/>
          <w:i/>
          <w:lang w:val="ro-MD"/>
        </w:rPr>
        <w:t>Параграф</w:t>
      </w:r>
      <w:r w:rsidR="00C64395" w:rsidRPr="00B13B9A">
        <w:rPr>
          <w:rFonts w:asciiTheme="majorHAnsi" w:hAnsiTheme="majorHAnsi" w:cstheme="majorHAnsi"/>
          <w:i/>
          <w:lang w:val="ro-MD"/>
        </w:rPr>
        <w:t xml:space="preserve"> 4.1.4)</w:t>
      </w:r>
      <w:r w:rsidR="00F3121B" w:rsidRPr="00B13B9A">
        <w:rPr>
          <w:rFonts w:asciiTheme="majorHAnsi" w:hAnsiTheme="majorHAnsi" w:cstheme="majorHAnsi"/>
          <w:i/>
          <w:lang w:val="ro-MD"/>
        </w:rPr>
        <w:t>.</w:t>
      </w:r>
    </w:p>
    <w:p w14:paraId="754DF0A6" w14:textId="725C1D2D" w:rsidR="00A44F95" w:rsidRPr="00B13B9A" w:rsidRDefault="00BD217C" w:rsidP="00CA5C8D">
      <w:pPr>
        <w:pStyle w:val="ae"/>
        <w:shd w:val="clear" w:color="auto" w:fill="FFFFFF"/>
        <w:tabs>
          <w:tab w:val="left" w:pos="709"/>
        </w:tabs>
        <w:spacing w:before="0" w:beforeAutospacing="0" w:after="0" w:afterAutospacing="0" w:line="276" w:lineRule="auto"/>
        <w:jc w:val="both"/>
        <w:rPr>
          <w:rFonts w:asciiTheme="majorHAnsi" w:hAnsiTheme="majorHAnsi" w:cstheme="majorHAnsi"/>
          <w:b/>
          <w:lang w:val="ro-MD"/>
        </w:rPr>
      </w:pPr>
      <w:r w:rsidRPr="00BD217C">
        <w:rPr>
          <w:rFonts w:asciiTheme="majorHAnsi" w:hAnsiTheme="majorHAnsi" w:cstheme="majorHAnsi"/>
          <w:b/>
          <w:lang w:val="ro-MD"/>
        </w:rPr>
        <w:t>Руководству Министерства финансов</w:t>
      </w:r>
      <w:r w:rsidR="00A44F95" w:rsidRPr="00B13B9A">
        <w:rPr>
          <w:rFonts w:asciiTheme="majorHAnsi" w:hAnsiTheme="majorHAnsi" w:cstheme="majorHAnsi"/>
          <w:b/>
          <w:lang w:val="ro-MD"/>
        </w:rPr>
        <w:t>:</w:t>
      </w:r>
    </w:p>
    <w:p w14:paraId="4A160112" w14:textId="4DC793EA" w:rsidR="001E775F" w:rsidRPr="00B13B9A" w:rsidRDefault="00835BA5" w:rsidP="00C01493">
      <w:pPr>
        <w:pStyle w:val="ae"/>
        <w:numPr>
          <w:ilvl w:val="0"/>
          <w:numId w:val="8"/>
        </w:numPr>
        <w:shd w:val="clear" w:color="auto" w:fill="FFFFFF"/>
        <w:tabs>
          <w:tab w:val="left" w:pos="709"/>
          <w:tab w:val="left" w:pos="1080"/>
        </w:tabs>
        <w:spacing w:before="0" w:beforeAutospacing="0" w:after="0" w:afterAutospacing="0" w:line="276" w:lineRule="auto"/>
        <w:ind w:left="0" w:firstLine="709"/>
        <w:contextualSpacing/>
        <w:jc w:val="both"/>
        <w:rPr>
          <w:rFonts w:asciiTheme="majorHAnsi" w:hAnsiTheme="majorHAnsi" w:cstheme="majorHAnsi"/>
          <w:i/>
          <w:lang w:val="ro-MD"/>
        </w:rPr>
      </w:pPr>
      <w:r w:rsidRPr="00835BA5">
        <w:rPr>
          <w:rFonts w:asciiTheme="majorHAnsi" w:hAnsiTheme="majorHAnsi" w:cstheme="majorHAnsi"/>
          <w:i/>
          <w:lang w:val="ro-MD"/>
        </w:rPr>
        <w:t>Разработать методические рекомендации о способе корректировки ПМСУ элементов собственного капитала и обязательств, в целях правильного отражения долгов, связанных с имуществом, полученным в экономическом управлении, а также с имуществом, полученным от государства с правом собственности</w:t>
      </w:r>
      <w:r w:rsidR="00BA22DB" w:rsidRPr="00B13B9A">
        <w:rPr>
          <w:rFonts w:asciiTheme="majorHAnsi" w:hAnsiTheme="majorHAnsi" w:cstheme="majorHAnsi"/>
          <w:i/>
          <w:lang w:val="ro-MD"/>
        </w:rPr>
        <w:t xml:space="preserve"> (</w:t>
      </w:r>
      <w:r w:rsidR="00C01493">
        <w:rPr>
          <w:rFonts w:asciiTheme="majorHAnsi" w:hAnsiTheme="majorHAnsi" w:cstheme="majorHAnsi"/>
          <w:i/>
          <w:lang w:val="ro-MD"/>
        </w:rPr>
        <w:t>Параграф</w:t>
      </w:r>
      <w:r w:rsidR="00BA22DB" w:rsidRPr="00B13B9A">
        <w:rPr>
          <w:rFonts w:asciiTheme="majorHAnsi" w:hAnsiTheme="majorHAnsi" w:cstheme="majorHAnsi"/>
          <w:i/>
          <w:lang w:val="ro-MD"/>
        </w:rPr>
        <w:t xml:space="preserve"> 4.</w:t>
      </w:r>
      <w:r w:rsidR="00082422" w:rsidRPr="00B13B9A">
        <w:rPr>
          <w:rFonts w:asciiTheme="majorHAnsi" w:hAnsiTheme="majorHAnsi" w:cstheme="majorHAnsi"/>
          <w:i/>
          <w:lang w:val="ro-MD"/>
        </w:rPr>
        <w:t>1.8</w:t>
      </w:r>
      <w:r w:rsidR="00BA22DB" w:rsidRPr="00B13B9A">
        <w:rPr>
          <w:rFonts w:asciiTheme="majorHAnsi" w:hAnsiTheme="majorHAnsi" w:cstheme="majorHAnsi"/>
          <w:i/>
          <w:lang w:val="ro-MD"/>
        </w:rPr>
        <w:t>)</w:t>
      </w:r>
      <w:r w:rsidR="001E775F" w:rsidRPr="00B13B9A">
        <w:rPr>
          <w:rFonts w:asciiTheme="majorHAnsi" w:hAnsiTheme="majorHAnsi" w:cstheme="majorHAnsi"/>
          <w:i/>
          <w:lang w:val="ro-MD"/>
        </w:rPr>
        <w:t xml:space="preserve">. </w:t>
      </w:r>
    </w:p>
    <w:p w14:paraId="4933F79D" w14:textId="7BDE73BA" w:rsidR="00281A21" w:rsidRPr="00B13B9A" w:rsidRDefault="00835BA5" w:rsidP="00CA5C8D">
      <w:pPr>
        <w:pStyle w:val="ae"/>
        <w:shd w:val="clear" w:color="auto" w:fill="FFFFFF"/>
        <w:tabs>
          <w:tab w:val="left" w:pos="709"/>
        </w:tabs>
        <w:spacing w:before="0" w:beforeAutospacing="0" w:after="0" w:afterAutospacing="0" w:line="276" w:lineRule="auto"/>
        <w:contextualSpacing/>
        <w:jc w:val="both"/>
        <w:rPr>
          <w:rFonts w:asciiTheme="majorHAnsi" w:hAnsiTheme="majorHAnsi" w:cstheme="majorHAnsi"/>
          <w:b/>
          <w:lang w:val="ro-MD"/>
        </w:rPr>
      </w:pPr>
      <w:r w:rsidRPr="00835BA5">
        <w:rPr>
          <w:rFonts w:asciiTheme="majorHAnsi" w:hAnsiTheme="majorHAnsi" w:cstheme="majorHAnsi"/>
          <w:b/>
          <w:lang w:val="ro-MD"/>
        </w:rPr>
        <w:t>Руководству Агентства публичной собственности совместно с Министерством здравоохранения</w:t>
      </w:r>
      <w:r w:rsidR="00281A21" w:rsidRPr="00B13B9A">
        <w:rPr>
          <w:rFonts w:asciiTheme="majorHAnsi" w:hAnsiTheme="majorHAnsi" w:cstheme="majorHAnsi"/>
          <w:b/>
          <w:lang w:val="ro-MD"/>
        </w:rPr>
        <w:t>:</w:t>
      </w:r>
    </w:p>
    <w:p w14:paraId="69AF2756" w14:textId="17FD66B9" w:rsidR="00281A21" w:rsidRPr="00B13B9A" w:rsidRDefault="00835BA5" w:rsidP="00C01493">
      <w:pPr>
        <w:pStyle w:val="ae"/>
        <w:numPr>
          <w:ilvl w:val="0"/>
          <w:numId w:val="8"/>
        </w:numPr>
        <w:shd w:val="clear" w:color="auto" w:fill="FFFFFF"/>
        <w:tabs>
          <w:tab w:val="left" w:pos="709"/>
          <w:tab w:val="left" w:pos="1080"/>
        </w:tabs>
        <w:spacing w:before="0" w:beforeAutospacing="0" w:after="0" w:afterAutospacing="0" w:line="276" w:lineRule="auto"/>
        <w:ind w:left="0" w:firstLine="709"/>
        <w:contextualSpacing/>
        <w:jc w:val="both"/>
        <w:rPr>
          <w:rFonts w:asciiTheme="majorHAnsi" w:hAnsiTheme="majorHAnsi" w:cstheme="majorHAnsi"/>
          <w:i/>
          <w:lang w:val="ro-MD"/>
        </w:rPr>
      </w:pPr>
      <w:r w:rsidRPr="00835BA5">
        <w:rPr>
          <w:rFonts w:asciiTheme="majorHAnsi" w:hAnsiTheme="majorHAnsi" w:cstheme="majorHAnsi"/>
          <w:i/>
          <w:lang w:val="ro-MD"/>
        </w:rPr>
        <w:t xml:space="preserve">Обеспечить разграничение и регистрацию публичных активов, используемых в качестве жилого помещения, в соответствии с Законом №187 от 14.07.2022 о кондоминиуме, с определением ответственного за регистрацию в учете неприватизированных квартир </w:t>
      </w:r>
      <w:r w:rsidR="00C64395" w:rsidRPr="00B13B9A">
        <w:rPr>
          <w:rFonts w:asciiTheme="majorHAnsi" w:hAnsiTheme="majorHAnsi" w:cstheme="majorHAnsi"/>
          <w:i/>
          <w:lang w:val="ro-MD"/>
        </w:rPr>
        <w:t>(</w:t>
      </w:r>
      <w:r w:rsidR="00C01493">
        <w:rPr>
          <w:rFonts w:asciiTheme="majorHAnsi" w:hAnsiTheme="majorHAnsi" w:cstheme="majorHAnsi"/>
          <w:i/>
          <w:lang w:val="ro-MD"/>
        </w:rPr>
        <w:t>Параграф</w:t>
      </w:r>
      <w:r w:rsidR="00C64395" w:rsidRPr="00B13B9A">
        <w:rPr>
          <w:rFonts w:asciiTheme="majorHAnsi" w:hAnsiTheme="majorHAnsi" w:cstheme="majorHAnsi"/>
          <w:i/>
          <w:lang w:val="ro-MD"/>
        </w:rPr>
        <w:t xml:space="preserve"> 4.1.3)</w:t>
      </w:r>
      <w:r w:rsidR="0005144E" w:rsidRPr="00B13B9A">
        <w:rPr>
          <w:rFonts w:asciiTheme="majorHAnsi" w:hAnsiTheme="majorHAnsi" w:cstheme="majorHAnsi"/>
          <w:i/>
          <w:lang w:val="ro-MD"/>
        </w:rPr>
        <w:t>.</w:t>
      </w:r>
    </w:p>
    <w:p w14:paraId="7F84FE42" w14:textId="72F3B123" w:rsidR="00D96F8A" w:rsidRPr="00B13B9A" w:rsidRDefault="00835BA5" w:rsidP="00D951DD">
      <w:pPr>
        <w:tabs>
          <w:tab w:val="left" w:pos="709"/>
          <w:tab w:val="left" w:pos="6840"/>
        </w:tabs>
        <w:spacing w:after="0" w:line="276" w:lineRule="auto"/>
        <w:contextualSpacing/>
        <w:rPr>
          <w:rFonts w:asciiTheme="majorHAnsi" w:hAnsiTheme="majorHAnsi" w:cstheme="majorHAnsi"/>
          <w:b/>
          <w:i/>
          <w:sz w:val="24"/>
          <w:lang w:val="ro-MD"/>
        </w:rPr>
      </w:pPr>
      <w:r w:rsidRPr="00835BA5">
        <w:rPr>
          <w:rFonts w:asciiTheme="majorHAnsi" w:hAnsiTheme="majorHAnsi" w:cstheme="majorHAnsi"/>
          <w:b/>
          <w:color w:val="000000" w:themeColor="text1"/>
          <w:sz w:val="24"/>
          <w:szCs w:val="24"/>
          <w:lang w:val="ro-MD"/>
        </w:rPr>
        <w:t xml:space="preserve">Руководству ПМСУ Институт Фтизиопульмонологии </w:t>
      </w:r>
      <w:r w:rsidR="001924A7">
        <w:rPr>
          <w:rFonts w:asciiTheme="majorHAnsi" w:hAnsiTheme="majorHAnsi" w:cstheme="majorHAnsi"/>
          <w:b/>
          <w:color w:val="000000" w:themeColor="text1"/>
          <w:sz w:val="24"/>
          <w:szCs w:val="24"/>
          <w:lang w:val="ro-MD"/>
        </w:rPr>
        <w:t>„</w:t>
      </w:r>
      <w:r w:rsidRPr="00835BA5">
        <w:rPr>
          <w:rFonts w:asciiTheme="majorHAnsi" w:hAnsiTheme="majorHAnsi" w:cstheme="majorHAnsi"/>
          <w:b/>
          <w:color w:val="000000" w:themeColor="text1"/>
          <w:sz w:val="24"/>
          <w:szCs w:val="24"/>
          <w:lang w:val="ro-MD"/>
        </w:rPr>
        <w:t>Кирилл Драганюк”</w:t>
      </w:r>
      <w:r w:rsidR="0041425D" w:rsidRPr="00B13B9A">
        <w:rPr>
          <w:rFonts w:asciiTheme="majorHAnsi" w:hAnsiTheme="majorHAnsi" w:cstheme="majorHAnsi"/>
          <w:b/>
          <w:sz w:val="24"/>
          <w:szCs w:val="24"/>
          <w:lang w:val="ro-MD"/>
        </w:rPr>
        <w:t>:</w:t>
      </w:r>
    </w:p>
    <w:p w14:paraId="2190AC81" w14:textId="19AB9490" w:rsidR="00C01493" w:rsidRDefault="00835BA5" w:rsidP="00C01493">
      <w:pPr>
        <w:pStyle w:val="af0"/>
        <w:numPr>
          <w:ilvl w:val="0"/>
          <w:numId w:val="8"/>
        </w:numPr>
        <w:tabs>
          <w:tab w:val="left" w:pos="0"/>
          <w:tab w:val="left" w:pos="709"/>
          <w:tab w:val="left" w:pos="1080"/>
        </w:tabs>
        <w:autoSpaceDE w:val="0"/>
        <w:autoSpaceDN w:val="0"/>
        <w:adjustRightInd w:val="0"/>
        <w:spacing w:line="276" w:lineRule="auto"/>
        <w:ind w:left="0" w:firstLine="709"/>
        <w:contextualSpacing/>
        <w:jc w:val="both"/>
        <w:rPr>
          <w:rFonts w:asciiTheme="majorHAnsi" w:hAnsiTheme="majorHAnsi" w:cstheme="majorHAnsi"/>
          <w:i/>
          <w:sz w:val="24"/>
          <w:szCs w:val="24"/>
          <w:lang w:val="ro-MD"/>
        </w:rPr>
      </w:pPr>
      <w:r w:rsidRPr="00C01493">
        <w:rPr>
          <w:rFonts w:asciiTheme="majorHAnsi" w:hAnsiTheme="majorHAnsi" w:cstheme="majorHAnsi"/>
          <w:i/>
          <w:sz w:val="24"/>
          <w:szCs w:val="24"/>
          <w:lang w:val="ro-MD"/>
        </w:rPr>
        <w:t xml:space="preserve">Обеспечить анализ неэффективных процессов, связанных с соответствием оплаты труда, с привлечением к ответственности ответственных лиц, которые не выполняли свои обязанности в установленном порядке </w:t>
      </w:r>
      <w:r w:rsidR="00C64395" w:rsidRPr="00C01493">
        <w:rPr>
          <w:rFonts w:asciiTheme="majorHAnsi" w:hAnsiTheme="majorHAnsi" w:cstheme="majorHAnsi"/>
          <w:i/>
          <w:sz w:val="24"/>
          <w:szCs w:val="24"/>
          <w:lang w:val="ro-MD"/>
        </w:rPr>
        <w:t>(</w:t>
      </w:r>
      <w:r w:rsidR="00C01493">
        <w:rPr>
          <w:rFonts w:asciiTheme="majorHAnsi" w:hAnsiTheme="majorHAnsi" w:cstheme="majorHAnsi"/>
          <w:i/>
          <w:sz w:val="24"/>
          <w:szCs w:val="24"/>
          <w:lang w:val="ro-MD"/>
        </w:rPr>
        <w:t>Параграф</w:t>
      </w:r>
      <w:r w:rsidR="00C64395" w:rsidRPr="00C01493">
        <w:rPr>
          <w:rFonts w:asciiTheme="majorHAnsi" w:hAnsiTheme="majorHAnsi" w:cstheme="majorHAnsi"/>
          <w:i/>
          <w:sz w:val="24"/>
          <w:szCs w:val="24"/>
          <w:lang w:val="ro-MD"/>
        </w:rPr>
        <w:t xml:space="preserve"> 4.2.1);</w:t>
      </w:r>
    </w:p>
    <w:p w14:paraId="269BB626" w14:textId="74ACE90D" w:rsidR="00D96F8A" w:rsidRPr="00C01493" w:rsidRDefault="00BF154B" w:rsidP="00C01493">
      <w:pPr>
        <w:pStyle w:val="af0"/>
        <w:numPr>
          <w:ilvl w:val="0"/>
          <w:numId w:val="8"/>
        </w:numPr>
        <w:tabs>
          <w:tab w:val="left" w:pos="0"/>
          <w:tab w:val="left" w:pos="709"/>
          <w:tab w:val="left" w:pos="1080"/>
        </w:tabs>
        <w:autoSpaceDE w:val="0"/>
        <w:autoSpaceDN w:val="0"/>
        <w:adjustRightInd w:val="0"/>
        <w:spacing w:line="276" w:lineRule="auto"/>
        <w:ind w:left="0" w:firstLine="709"/>
        <w:contextualSpacing/>
        <w:jc w:val="both"/>
        <w:rPr>
          <w:rFonts w:asciiTheme="majorHAnsi" w:hAnsiTheme="majorHAnsi" w:cstheme="majorHAnsi"/>
          <w:i/>
          <w:sz w:val="24"/>
          <w:szCs w:val="24"/>
          <w:lang w:val="ro-MD"/>
        </w:rPr>
      </w:pPr>
      <w:r w:rsidRPr="00C01493">
        <w:rPr>
          <w:rFonts w:asciiTheme="majorHAnsi" w:hAnsiTheme="majorHAnsi" w:cstheme="majorHAnsi"/>
          <w:i/>
          <w:sz w:val="24"/>
          <w:szCs w:val="24"/>
          <w:lang w:val="ro-MD"/>
        </w:rPr>
        <w:t>Усилить внутренний контроль</w:t>
      </w:r>
      <w:r w:rsidR="00665654" w:rsidRPr="00C01493">
        <w:rPr>
          <w:rFonts w:asciiTheme="majorHAnsi" w:hAnsiTheme="majorHAnsi" w:cstheme="majorHAnsi"/>
          <w:i/>
          <w:sz w:val="24"/>
          <w:szCs w:val="24"/>
          <w:lang w:val="ro-MD"/>
        </w:rPr>
        <w:t>, в</w:t>
      </w:r>
      <w:r w:rsidRPr="00C01493">
        <w:rPr>
          <w:rFonts w:asciiTheme="majorHAnsi" w:hAnsiTheme="majorHAnsi" w:cstheme="majorHAnsi"/>
          <w:i/>
          <w:sz w:val="24"/>
          <w:szCs w:val="24"/>
          <w:lang w:val="ro-MD"/>
        </w:rPr>
        <w:t xml:space="preserve"> цел</w:t>
      </w:r>
      <w:r w:rsidR="00665654" w:rsidRPr="00C01493">
        <w:rPr>
          <w:rFonts w:asciiTheme="majorHAnsi" w:hAnsiTheme="majorHAnsi" w:cstheme="majorHAnsi"/>
          <w:i/>
          <w:sz w:val="24"/>
          <w:szCs w:val="24"/>
          <w:lang w:val="ro-MD"/>
        </w:rPr>
        <w:t>ях</w:t>
      </w:r>
      <w:r w:rsidRPr="00C01493">
        <w:rPr>
          <w:rFonts w:asciiTheme="majorHAnsi" w:hAnsiTheme="majorHAnsi" w:cstheme="majorHAnsi"/>
          <w:i/>
          <w:sz w:val="24"/>
          <w:szCs w:val="24"/>
          <w:lang w:val="ro-MD"/>
        </w:rPr>
        <w:t xml:space="preserve"> обеспечения </w:t>
      </w:r>
      <w:r w:rsidR="00665654" w:rsidRPr="00C01493">
        <w:rPr>
          <w:rFonts w:asciiTheme="majorHAnsi" w:hAnsiTheme="majorHAnsi" w:cstheme="majorHAnsi"/>
          <w:i/>
          <w:sz w:val="24"/>
          <w:szCs w:val="24"/>
          <w:lang w:val="ro-MD"/>
        </w:rPr>
        <w:t>надлежащего</w:t>
      </w:r>
      <w:r w:rsidRPr="00C01493">
        <w:rPr>
          <w:rFonts w:asciiTheme="majorHAnsi" w:hAnsiTheme="majorHAnsi" w:cstheme="majorHAnsi"/>
          <w:i/>
          <w:sz w:val="24"/>
          <w:szCs w:val="24"/>
          <w:lang w:val="ro-MD"/>
        </w:rPr>
        <w:t xml:space="preserve"> таб</w:t>
      </w:r>
      <w:r w:rsidR="00665654" w:rsidRPr="00C01493">
        <w:rPr>
          <w:rFonts w:asciiTheme="majorHAnsi" w:hAnsiTheme="majorHAnsi" w:cstheme="majorHAnsi"/>
          <w:i/>
          <w:sz w:val="24"/>
          <w:szCs w:val="24"/>
          <w:lang w:val="ro-MD"/>
        </w:rPr>
        <w:t>елирования</w:t>
      </w:r>
      <w:r w:rsidRPr="00C01493">
        <w:rPr>
          <w:rFonts w:asciiTheme="majorHAnsi" w:hAnsiTheme="majorHAnsi" w:cstheme="majorHAnsi"/>
          <w:i/>
          <w:sz w:val="24"/>
          <w:szCs w:val="24"/>
          <w:lang w:val="ro-MD"/>
        </w:rPr>
        <w:t xml:space="preserve">, расчета и </w:t>
      </w:r>
      <w:r w:rsidR="00665654" w:rsidRPr="00C01493">
        <w:rPr>
          <w:rFonts w:asciiTheme="majorHAnsi" w:hAnsiTheme="majorHAnsi" w:cstheme="majorHAnsi"/>
          <w:i/>
          <w:sz w:val="24"/>
          <w:szCs w:val="24"/>
          <w:lang w:val="ro-MD"/>
        </w:rPr>
        <w:t>вы</w:t>
      </w:r>
      <w:r w:rsidRPr="00C01493">
        <w:rPr>
          <w:rFonts w:asciiTheme="majorHAnsi" w:hAnsiTheme="majorHAnsi" w:cstheme="majorHAnsi"/>
          <w:i/>
          <w:sz w:val="24"/>
          <w:szCs w:val="24"/>
          <w:lang w:val="ro-MD"/>
        </w:rPr>
        <w:t xml:space="preserve">платы </w:t>
      </w:r>
      <w:r w:rsidR="00665654" w:rsidRPr="00C01493">
        <w:rPr>
          <w:rFonts w:asciiTheme="majorHAnsi" w:hAnsiTheme="majorHAnsi" w:cstheme="majorHAnsi"/>
          <w:i/>
          <w:sz w:val="24"/>
          <w:szCs w:val="24"/>
          <w:lang w:val="ro-MD"/>
        </w:rPr>
        <w:t>публич</w:t>
      </w:r>
      <w:r w:rsidRPr="00C01493">
        <w:rPr>
          <w:rFonts w:asciiTheme="majorHAnsi" w:hAnsiTheme="majorHAnsi" w:cstheme="majorHAnsi"/>
          <w:i/>
          <w:sz w:val="24"/>
          <w:szCs w:val="24"/>
          <w:lang w:val="ro-MD"/>
        </w:rPr>
        <w:t>ных финансовых средств для оплаты труда</w:t>
      </w:r>
      <w:r w:rsidR="00665654" w:rsidRPr="00C01493">
        <w:rPr>
          <w:rFonts w:asciiTheme="majorHAnsi" w:hAnsiTheme="majorHAnsi" w:cstheme="majorHAnsi"/>
          <w:i/>
          <w:sz w:val="24"/>
          <w:szCs w:val="24"/>
          <w:lang w:val="ro-MD"/>
        </w:rPr>
        <w:t>,</w:t>
      </w:r>
      <w:r w:rsidRPr="00C01493">
        <w:rPr>
          <w:rFonts w:asciiTheme="majorHAnsi" w:hAnsiTheme="majorHAnsi" w:cstheme="majorHAnsi"/>
          <w:i/>
          <w:sz w:val="24"/>
          <w:szCs w:val="24"/>
          <w:lang w:val="ro-MD"/>
        </w:rPr>
        <w:t xml:space="preserve"> путем описания внутренних процессов</w:t>
      </w:r>
      <w:r w:rsidR="00665654" w:rsidRPr="00C01493">
        <w:rPr>
          <w:rFonts w:asciiTheme="majorHAnsi" w:hAnsiTheme="majorHAnsi" w:cstheme="majorHAnsi"/>
          <w:i/>
          <w:sz w:val="24"/>
          <w:szCs w:val="24"/>
          <w:lang w:val="ro-MD"/>
        </w:rPr>
        <w:t>,</w:t>
      </w:r>
      <w:r w:rsidRPr="00C01493">
        <w:rPr>
          <w:rFonts w:asciiTheme="majorHAnsi" w:hAnsiTheme="majorHAnsi" w:cstheme="majorHAnsi"/>
          <w:i/>
          <w:sz w:val="24"/>
          <w:szCs w:val="24"/>
          <w:lang w:val="ro-MD"/>
        </w:rPr>
        <w:t xml:space="preserve"> с установлением </w:t>
      </w:r>
      <w:r w:rsidR="00665654" w:rsidRPr="00C01493">
        <w:rPr>
          <w:rFonts w:asciiTheme="majorHAnsi" w:hAnsiTheme="majorHAnsi" w:cstheme="majorHAnsi"/>
          <w:i/>
          <w:sz w:val="24"/>
          <w:szCs w:val="24"/>
          <w:lang w:val="ro-MD"/>
        </w:rPr>
        <w:t xml:space="preserve">ответственных </w:t>
      </w:r>
      <w:r w:rsidRPr="00C01493">
        <w:rPr>
          <w:rFonts w:asciiTheme="majorHAnsi" w:hAnsiTheme="majorHAnsi" w:cstheme="majorHAnsi"/>
          <w:i/>
          <w:sz w:val="24"/>
          <w:szCs w:val="24"/>
          <w:lang w:val="ro-MD"/>
        </w:rPr>
        <w:t xml:space="preserve">лиц за достоверность данных, в том числе на всех этапах </w:t>
      </w:r>
      <w:r w:rsidR="00C64395" w:rsidRPr="00C01493">
        <w:rPr>
          <w:rFonts w:asciiTheme="majorHAnsi" w:hAnsiTheme="majorHAnsi" w:cstheme="majorHAnsi"/>
          <w:i/>
          <w:sz w:val="24"/>
          <w:szCs w:val="24"/>
          <w:lang w:val="ro-MD"/>
        </w:rPr>
        <w:t>(</w:t>
      </w:r>
      <w:r w:rsidR="00C01493">
        <w:rPr>
          <w:rFonts w:asciiTheme="majorHAnsi" w:hAnsiTheme="majorHAnsi" w:cstheme="majorHAnsi"/>
          <w:i/>
          <w:sz w:val="24"/>
          <w:szCs w:val="24"/>
          <w:lang w:val="ro-MD"/>
        </w:rPr>
        <w:t>Параграф</w:t>
      </w:r>
      <w:r w:rsidR="00C64395" w:rsidRPr="00C01493">
        <w:rPr>
          <w:rFonts w:asciiTheme="majorHAnsi" w:hAnsiTheme="majorHAnsi" w:cstheme="majorHAnsi"/>
          <w:i/>
          <w:sz w:val="24"/>
          <w:szCs w:val="24"/>
          <w:lang w:val="ro-MD"/>
        </w:rPr>
        <w:t xml:space="preserve"> 4.2.2);</w:t>
      </w:r>
    </w:p>
    <w:p w14:paraId="3EA7A7C5" w14:textId="5E4AFF60" w:rsidR="00AF3C65" w:rsidRPr="00B13B9A" w:rsidRDefault="00BF154B" w:rsidP="00C01493">
      <w:pPr>
        <w:pStyle w:val="a7"/>
        <w:numPr>
          <w:ilvl w:val="0"/>
          <w:numId w:val="8"/>
        </w:numPr>
        <w:tabs>
          <w:tab w:val="left" w:pos="709"/>
          <w:tab w:val="left" w:pos="1080"/>
        </w:tabs>
        <w:spacing w:after="0" w:line="276" w:lineRule="auto"/>
        <w:ind w:left="0" w:firstLine="709"/>
        <w:jc w:val="both"/>
        <w:rPr>
          <w:rFonts w:asciiTheme="majorHAnsi" w:hAnsiTheme="majorHAnsi" w:cstheme="majorHAnsi"/>
          <w:i/>
          <w:sz w:val="24"/>
          <w:szCs w:val="24"/>
          <w:lang w:val="ro-MD"/>
        </w:rPr>
      </w:pPr>
      <w:r w:rsidRPr="00BF154B">
        <w:rPr>
          <w:rFonts w:asciiTheme="majorHAnsi" w:hAnsiTheme="majorHAnsi" w:cstheme="majorHAnsi"/>
          <w:i/>
          <w:sz w:val="24"/>
          <w:szCs w:val="24"/>
          <w:lang w:val="ro-MD"/>
        </w:rPr>
        <w:t>Обеспечить возврат не</w:t>
      </w:r>
      <w:r w:rsidR="009D407A" w:rsidRPr="009D407A">
        <w:rPr>
          <w:rFonts w:asciiTheme="majorHAnsi" w:hAnsiTheme="majorHAnsi" w:cstheme="majorHAnsi"/>
          <w:i/>
          <w:sz w:val="24"/>
          <w:szCs w:val="24"/>
          <w:lang w:val="ro-MD"/>
        </w:rPr>
        <w:t>зако</w:t>
      </w:r>
      <w:r w:rsidRPr="00BF154B">
        <w:rPr>
          <w:rFonts w:asciiTheme="majorHAnsi" w:hAnsiTheme="majorHAnsi" w:cstheme="majorHAnsi"/>
          <w:i/>
          <w:sz w:val="24"/>
          <w:szCs w:val="24"/>
          <w:lang w:val="ro-MD"/>
        </w:rPr>
        <w:t xml:space="preserve">нно выплаченных сумм </w:t>
      </w:r>
      <w:r w:rsidR="009D407A" w:rsidRPr="009D407A">
        <w:rPr>
          <w:rFonts w:asciiTheme="majorHAnsi" w:hAnsiTheme="majorHAnsi" w:cstheme="majorHAnsi"/>
          <w:i/>
          <w:sz w:val="24"/>
          <w:szCs w:val="24"/>
          <w:lang w:val="ro-MD"/>
        </w:rPr>
        <w:t>сотруд</w:t>
      </w:r>
      <w:r w:rsidRPr="00BF154B">
        <w:rPr>
          <w:rFonts w:asciiTheme="majorHAnsi" w:hAnsiTheme="majorHAnsi" w:cstheme="majorHAnsi"/>
          <w:i/>
          <w:sz w:val="24"/>
          <w:szCs w:val="24"/>
          <w:lang w:val="ro-MD"/>
        </w:rPr>
        <w:t>никам, не находившимся на территории Республики Молдова, в размере 39,5 тыс. леев</w:t>
      </w:r>
      <w:r w:rsidR="009D407A" w:rsidRPr="009D407A">
        <w:rPr>
          <w:rFonts w:asciiTheme="majorHAnsi" w:hAnsiTheme="majorHAnsi" w:cstheme="majorHAnsi"/>
          <w:i/>
          <w:sz w:val="24"/>
          <w:szCs w:val="24"/>
          <w:lang w:val="ro-MD"/>
        </w:rPr>
        <w:t>,</w:t>
      </w:r>
      <w:r w:rsidRPr="00BF154B">
        <w:rPr>
          <w:rFonts w:asciiTheme="majorHAnsi" w:hAnsiTheme="majorHAnsi" w:cstheme="majorHAnsi"/>
          <w:i/>
          <w:sz w:val="24"/>
          <w:szCs w:val="24"/>
          <w:lang w:val="ro-MD"/>
        </w:rPr>
        <w:t xml:space="preserve"> и необоснованно выплаченны</w:t>
      </w:r>
      <w:r w:rsidR="009D407A" w:rsidRPr="009D407A">
        <w:rPr>
          <w:rFonts w:asciiTheme="majorHAnsi" w:hAnsiTheme="majorHAnsi" w:cstheme="majorHAnsi"/>
          <w:i/>
          <w:sz w:val="24"/>
          <w:szCs w:val="24"/>
          <w:lang w:val="ro-MD"/>
        </w:rPr>
        <w:t>х сумм</w:t>
      </w:r>
      <w:r w:rsidRPr="00BF154B">
        <w:rPr>
          <w:rFonts w:asciiTheme="majorHAnsi" w:hAnsiTheme="majorHAnsi" w:cstheme="majorHAnsi"/>
          <w:i/>
          <w:sz w:val="24"/>
          <w:szCs w:val="24"/>
          <w:lang w:val="ro-MD"/>
        </w:rPr>
        <w:t xml:space="preserve"> в размере 19,7 тыс. леев</w:t>
      </w:r>
      <w:r w:rsidR="00C64395" w:rsidRPr="00B13B9A">
        <w:rPr>
          <w:rFonts w:asciiTheme="majorHAnsi" w:eastAsia="Calibri Light" w:hAnsiTheme="majorHAnsi" w:cs="Calibri Light"/>
          <w:i/>
          <w:color w:val="000000"/>
          <w:sz w:val="24"/>
          <w:szCs w:val="24"/>
          <w:lang w:val="ro-MD"/>
        </w:rPr>
        <w:t xml:space="preserve"> </w:t>
      </w:r>
      <w:r w:rsidR="00C64395" w:rsidRPr="00B13B9A">
        <w:rPr>
          <w:rFonts w:asciiTheme="majorHAnsi" w:hAnsiTheme="majorHAnsi" w:cstheme="majorHAnsi"/>
          <w:i/>
          <w:sz w:val="24"/>
          <w:szCs w:val="24"/>
          <w:lang w:val="ro-MD"/>
        </w:rPr>
        <w:t xml:space="preserve"> (</w:t>
      </w:r>
      <w:r w:rsidR="00C01493">
        <w:rPr>
          <w:rFonts w:asciiTheme="majorHAnsi" w:hAnsiTheme="majorHAnsi" w:cstheme="majorHAnsi"/>
          <w:i/>
          <w:sz w:val="24"/>
          <w:szCs w:val="24"/>
          <w:lang w:val="ro-MD"/>
        </w:rPr>
        <w:t>Параграф</w:t>
      </w:r>
      <w:r w:rsidR="00C64395" w:rsidRPr="00B13B9A">
        <w:rPr>
          <w:rFonts w:asciiTheme="majorHAnsi" w:hAnsiTheme="majorHAnsi" w:cstheme="majorHAnsi"/>
          <w:i/>
          <w:sz w:val="24"/>
          <w:szCs w:val="24"/>
          <w:lang w:val="ro-MD"/>
        </w:rPr>
        <w:t xml:space="preserve"> 4.2.</w:t>
      </w:r>
      <w:r w:rsidR="002E037C" w:rsidRPr="00B13B9A">
        <w:rPr>
          <w:rFonts w:asciiTheme="majorHAnsi" w:hAnsiTheme="majorHAnsi" w:cstheme="majorHAnsi"/>
          <w:i/>
          <w:sz w:val="24"/>
          <w:szCs w:val="24"/>
          <w:lang w:val="ro-MD"/>
        </w:rPr>
        <w:t>2</w:t>
      </w:r>
      <w:r w:rsidR="00C64395" w:rsidRPr="00B13B9A">
        <w:rPr>
          <w:rFonts w:asciiTheme="majorHAnsi" w:hAnsiTheme="majorHAnsi" w:cstheme="majorHAnsi"/>
          <w:i/>
          <w:sz w:val="24"/>
          <w:szCs w:val="24"/>
          <w:lang w:val="ro-MD"/>
        </w:rPr>
        <w:t>- 4.2.</w:t>
      </w:r>
      <w:r w:rsidR="002E037C" w:rsidRPr="00B13B9A">
        <w:rPr>
          <w:rFonts w:asciiTheme="majorHAnsi" w:hAnsiTheme="majorHAnsi" w:cstheme="majorHAnsi"/>
          <w:i/>
          <w:sz w:val="24"/>
          <w:szCs w:val="24"/>
          <w:lang w:val="ro-MD"/>
        </w:rPr>
        <w:t>3</w:t>
      </w:r>
      <w:r w:rsidR="00C64395" w:rsidRPr="00B13B9A">
        <w:rPr>
          <w:rFonts w:asciiTheme="majorHAnsi" w:hAnsiTheme="majorHAnsi" w:cstheme="majorHAnsi"/>
          <w:i/>
          <w:sz w:val="24"/>
          <w:szCs w:val="24"/>
          <w:lang w:val="ro-MD"/>
        </w:rPr>
        <w:t>);</w:t>
      </w:r>
    </w:p>
    <w:p w14:paraId="40DC13D9" w14:textId="24DD8FFA" w:rsidR="001A49ED" w:rsidRPr="00B13B9A" w:rsidRDefault="00BF154B" w:rsidP="00C01493">
      <w:pPr>
        <w:pStyle w:val="af0"/>
        <w:numPr>
          <w:ilvl w:val="0"/>
          <w:numId w:val="8"/>
        </w:numPr>
        <w:tabs>
          <w:tab w:val="left" w:pos="0"/>
          <w:tab w:val="left" w:pos="709"/>
          <w:tab w:val="left" w:pos="1080"/>
        </w:tabs>
        <w:autoSpaceDE w:val="0"/>
        <w:autoSpaceDN w:val="0"/>
        <w:adjustRightInd w:val="0"/>
        <w:spacing w:line="276" w:lineRule="auto"/>
        <w:ind w:left="0" w:firstLine="709"/>
        <w:contextualSpacing/>
        <w:jc w:val="both"/>
        <w:rPr>
          <w:rFonts w:asciiTheme="majorHAnsi" w:hAnsiTheme="majorHAnsi" w:cstheme="majorHAnsi"/>
          <w:i/>
          <w:sz w:val="24"/>
          <w:szCs w:val="24"/>
          <w:lang w:val="ro-MD"/>
        </w:rPr>
      </w:pPr>
      <w:r w:rsidRPr="00BF154B">
        <w:rPr>
          <w:rFonts w:asciiTheme="majorHAnsi" w:hAnsiTheme="majorHAnsi" w:cstheme="majorHAnsi"/>
          <w:i/>
          <w:sz w:val="24"/>
          <w:szCs w:val="24"/>
          <w:lang w:val="ro-MD"/>
        </w:rPr>
        <w:t xml:space="preserve">Обеспечить анализ и планирование </w:t>
      </w:r>
      <w:r w:rsidR="009D407A" w:rsidRPr="009D407A">
        <w:rPr>
          <w:rFonts w:asciiTheme="majorHAnsi" w:hAnsiTheme="majorHAnsi" w:cstheme="majorHAnsi"/>
          <w:i/>
          <w:sz w:val="24"/>
          <w:szCs w:val="24"/>
          <w:lang w:val="ro-MD"/>
        </w:rPr>
        <w:t xml:space="preserve">своевременного </w:t>
      </w:r>
      <w:r w:rsidRPr="00BF154B">
        <w:rPr>
          <w:rFonts w:asciiTheme="majorHAnsi" w:hAnsiTheme="majorHAnsi" w:cstheme="majorHAnsi"/>
          <w:i/>
          <w:sz w:val="24"/>
          <w:szCs w:val="24"/>
          <w:lang w:val="ro-MD"/>
        </w:rPr>
        <w:t>использования дней ежегодного отпуска сотрудников</w:t>
      </w:r>
      <w:r w:rsidR="009D407A">
        <w:rPr>
          <w:rFonts w:asciiTheme="majorHAnsi" w:hAnsiTheme="majorHAnsi" w:cstheme="majorHAnsi"/>
          <w:i/>
          <w:sz w:val="24"/>
          <w:szCs w:val="24"/>
          <w:lang w:val="ro-MD"/>
        </w:rPr>
        <w:t>, согласно ст.</w:t>
      </w:r>
      <w:r w:rsidRPr="00BF154B">
        <w:rPr>
          <w:rFonts w:asciiTheme="majorHAnsi" w:hAnsiTheme="majorHAnsi" w:cstheme="majorHAnsi"/>
          <w:i/>
          <w:sz w:val="24"/>
          <w:szCs w:val="24"/>
          <w:lang w:val="ro-MD"/>
        </w:rPr>
        <w:t>118 Трудового кодекса, а для неиспользованных дней</w:t>
      </w:r>
      <w:r w:rsidR="009D407A" w:rsidRPr="009D407A">
        <w:rPr>
          <w:rFonts w:asciiTheme="majorHAnsi" w:hAnsiTheme="majorHAnsi" w:cstheme="majorHAnsi"/>
          <w:i/>
          <w:sz w:val="24"/>
          <w:szCs w:val="24"/>
          <w:lang w:val="ro-MD"/>
        </w:rPr>
        <w:t xml:space="preserve"> отпуска</w:t>
      </w:r>
      <w:r w:rsidRPr="00BF154B">
        <w:rPr>
          <w:rFonts w:asciiTheme="majorHAnsi" w:hAnsiTheme="majorHAnsi" w:cstheme="majorHAnsi"/>
          <w:i/>
          <w:sz w:val="24"/>
          <w:szCs w:val="24"/>
          <w:lang w:val="ro-MD"/>
        </w:rPr>
        <w:t xml:space="preserve">, </w:t>
      </w:r>
      <w:r w:rsidR="00243845" w:rsidRPr="00243845">
        <w:rPr>
          <w:rFonts w:asciiTheme="majorHAnsi" w:hAnsiTheme="majorHAnsi" w:cstheme="majorHAnsi"/>
          <w:i/>
          <w:sz w:val="24"/>
          <w:szCs w:val="24"/>
          <w:lang w:val="ro-MD"/>
        </w:rPr>
        <w:t>для</w:t>
      </w:r>
      <w:r w:rsidRPr="00BF154B">
        <w:rPr>
          <w:rFonts w:asciiTheme="majorHAnsi" w:hAnsiTheme="majorHAnsi" w:cstheme="majorHAnsi"/>
          <w:i/>
          <w:sz w:val="24"/>
          <w:szCs w:val="24"/>
          <w:lang w:val="ro-MD"/>
        </w:rPr>
        <w:t xml:space="preserve"> некоторы</w:t>
      </w:r>
      <w:r w:rsidR="00243845" w:rsidRPr="00243845">
        <w:rPr>
          <w:rFonts w:asciiTheme="majorHAnsi" w:hAnsiTheme="majorHAnsi" w:cstheme="majorHAnsi"/>
          <w:i/>
          <w:sz w:val="24"/>
          <w:szCs w:val="24"/>
          <w:lang w:val="ro-MD"/>
        </w:rPr>
        <w:t>х</w:t>
      </w:r>
      <w:r w:rsidRPr="00BF154B">
        <w:rPr>
          <w:rFonts w:asciiTheme="majorHAnsi" w:hAnsiTheme="majorHAnsi" w:cstheme="majorHAnsi"/>
          <w:i/>
          <w:sz w:val="24"/>
          <w:szCs w:val="24"/>
          <w:lang w:val="ro-MD"/>
        </w:rPr>
        <w:t xml:space="preserve"> </w:t>
      </w:r>
      <w:r w:rsidR="00243845" w:rsidRPr="00243845">
        <w:rPr>
          <w:rFonts w:asciiTheme="majorHAnsi" w:hAnsiTheme="majorHAnsi" w:cstheme="majorHAnsi"/>
          <w:i/>
          <w:sz w:val="24"/>
          <w:szCs w:val="24"/>
          <w:lang w:val="ro-MD"/>
        </w:rPr>
        <w:t>должностей</w:t>
      </w:r>
      <w:r w:rsidRPr="00BF154B">
        <w:rPr>
          <w:rFonts w:asciiTheme="majorHAnsi" w:hAnsiTheme="majorHAnsi" w:cstheme="majorHAnsi"/>
          <w:i/>
          <w:sz w:val="24"/>
          <w:szCs w:val="24"/>
          <w:lang w:val="ro-MD"/>
        </w:rPr>
        <w:t xml:space="preserve">, изучить возможность формирования резервов  </w:t>
      </w:r>
      <w:r w:rsidR="00C64395" w:rsidRPr="00B13B9A">
        <w:rPr>
          <w:rFonts w:asciiTheme="majorHAnsi" w:hAnsiTheme="majorHAnsi" w:cstheme="majorHAnsi"/>
          <w:i/>
          <w:sz w:val="24"/>
          <w:szCs w:val="24"/>
          <w:lang w:val="ro-MD"/>
        </w:rPr>
        <w:t>(</w:t>
      </w:r>
      <w:r w:rsidR="00C01493">
        <w:rPr>
          <w:rFonts w:asciiTheme="majorHAnsi" w:hAnsiTheme="majorHAnsi" w:cstheme="majorHAnsi"/>
          <w:i/>
          <w:sz w:val="24"/>
          <w:szCs w:val="24"/>
          <w:lang w:val="ro-MD"/>
        </w:rPr>
        <w:t>Параграф</w:t>
      </w:r>
      <w:r w:rsidR="00C64395" w:rsidRPr="00B13B9A">
        <w:rPr>
          <w:rFonts w:asciiTheme="majorHAnsi" w:hAnsiTheme="majorHAnsi" w:cstheme="majorHAnsi"/>
          <w:i/>
          <w:sz w:val="24"/>
          <w:szCs w:val="24"/>
          <w:lang w:val="ro-MD"/>
        </w:rPr>
        <w:t xml:space="preserve"> 4.2.4)</w:t>
      </w:r>
      <w:r w:rsidR="00F6587E" w:rsidRPr="00B13B9A">
        <w:rPr>
          <w:rFonts w:asciiTheme="majorHAnsi" w:hAnsiTheme="majorHAnsi" w:cstheme="majorHAnsi"/>
          <w:i/>
          <w:sz w:val="24"/>
          <w:szCs w:val="24"/>
          <w:lang w:val="ro-MD"/>
        </w:rPr>
        <w:t>;</w:t>
      </w:r>
    </w:p>
    <w:p w14:paraId="55F23928" w14:textId="16B49A58" w:rsidR="00AF3C65" w:rsidRPr="00B13B9A" w:rsidRDefault="00BF154B" w:rsidP="00C01493">
      <w:pPr>
        <w:pStyle w:val="af0"/>
        <w:numPr>
          <w:ilvl w:val="0"/>
          <w:numId w:val="8"/>
        </w:numPr>
        <w:tabs>
          <w:tab w:val="left" w:pos="0"/>
          <w:tab w:val="left" w:pos="709"/>
          <w:tab w:val="left" w:pos="1080"/>
        </w:tabs>
        <w:autoSpaceDE w:val="0"/>
        <w:autoSpaceDN w:val="0"/>
        <w:adjustRightInd w:val="0"/>
        <w:spacing w:line="276" w:lineRule="auto"/>
        <w:ind w:left="0" w:firstLine="709"/>
        <w:contextualSpacing/>
        <w:jc w:val="both"/>
        <w:rPr>
          <w:rFonts w:asciiTheme="majorHAnsi" w:hAnsiTheme="majorHAnsi" w:cstheme="majorHAnsi"/>
          <w:i/>
          <w:sz w:val="24"/>
          <w:szCs w:val="24"/>
          <w:lang w:val="ro-MD"/>
        </w:rPr>
      </w:pPr>
      <w:r w:rsidRPr="00BF154B">
        <w:rPr>
          <w:rFonts w:asciiTheme="majorHAnsi" w:hAnsiTheme="majorHAnsi" w:cstheme="majorHAnsi"/>
          <w:i/>
          <w:sz w:val="24"/>
          <w:szCs w:val="24"/>
          <w:lang w:val="ro-MD"/>
        </w:rPr>
        <w:t>Обеспечить надлежащий учет доходов и расходов, связанных со всеми видами оказываемых услуг</w:t>
      </w:r>
      <w:r w:rsidR="009D407A" w:rsidRPr="009D407A">
        <w:rPr>
          <w:rFonts w:asciiTheme="majorHAnsi" w:hAnsiTheme="majorHAnsi" w:cstheme="majorHAnsi"/>
          <w:i/>
          <w:sz w:val="24"/>
          <w:szCs w:val="24"/>
          <w:lang w:val="ro-MD"/>
        </w:rPr>
        <w:t xml:space="preserve"> </w:t>
      </w:r>
      <w:r w:rsidRPr="00BF154B">
        <w:rPr>
          <w:rFonts w:asciiTheme="majorHAnsi" w:hAnsiTheme="majorHAnsi" w:cstheme="majorHAnsi"/>
          <w:i/>
          <w:sz w:val="24"/>
          <w:szCs w:val="24"/>
          <w:lang w:val="ro-MD"/>
        </w:rPr>
        <w:t>( пожертвования,</w:t>
      </w:r>
      <w:r w:rsidR="00243845" w:rsidRPr="00243845">
        <w:rPr>
          <w:rFonts w:asciiTheme="majorHAnsi" w:hAnsiTheme="majorHAnsi" w:cstheme="majorHAnsi"/>
          <w:i/>
          <w:sz w:val="24"/>
          <w:szCs w:val="24"/>
          <w:lang w:val="ro-MD"/>
        </w:rPr>
        <w:t xml:space="preserve"> </w:t>
      </w:r>
      <w:r w:rsidRPr="00BF154B">
        <w:rPr>
          <w:rFonts w:asciiTheme="majorHAnsi" w:hAnsiTheme="majorHAnsi" w:cstheme="majorHAnsi"/>
          <w:i/>
          <w:sz w:val="24"/>
          <w:szCs w:val="24"/>
          <w:lang w:val="ro-MD"/>
        </w:rPr>
        <w:t xml:space="preserve">внедрение схем лечения и т. д.), с разработкой </w:t>
      </w:r>
      <w:r w:rsidR="00243845" w:rsidRPr="00243845">
        <w:rPr>
          <w:rFonts w:asciiTheme="majorHAnsi" w:hAnsiTheme="majorHAnsi" w:cstheme="majorHAnsi"/>
          <w:i/>
          <w:sz w:val="24"/>
          <w:szCs w:val="24"/>
          <w:lang w:val="ro-MD"/>
        </w:rPr>
        <w:t>отдель</w:t>
      </w:r>
      <w:r w:rsidRPr="00BF154B">
        <w:rPr>
          <w:rFonts w:asciiTheme="majorHAnsi" w:hAnsiTheme="majorHAnsi" w:cstheme="majorHAnsi"/>
          <w:i/>
          <w:sz w:val="24"/>
          <w:szCs w:val="24"/>
          <w:lang w:val="ro-MD"/>
        </w:rPr>
        <w:t xml:space="preserve">ных процедур их признания на основе первичных документов и в соответствии с </w:t>
      </w:r>
      <w:r w:rsidR="00243845" w:rsidRPr="00243845">
        <w:rPr>
          <w:rFonts w:asciiTheme="majorHAnsi" w:hAnsiTheme="majorHAnsi" w:cstheme="majorHAnsi"/>
          <w:i/>
          <w:sz w:val="24"/>
          <w:szCs w:val="24"/>
          <w:lang w:val="ro-MD"/>
        </w:rPr>
        <w:t>НСБУ</w:t>
      </w:r>
      <w:r w:rsidR="00C64395" w:rsidRPr="00B13B9A">
        <w:rPr>
          <w:rFonts w:asciiTheme="majorHAnsi" w:hAnsiTheme="majorHAnsi" w:cstheme="majorHAnsi"/>
          <w:i/>
          <w:sz w:val="24"/>
          <w:szCs w:val="24"/>
          <w:lang w:val="ro-MD"/>
        </w:rPr>
        <w:t xml:space="preserve">  (</w:t>
      </w:r>
      <w:r w:rsidR="00C01493">
        <w:rPr>
          <w:rFonts w:asciiTheme="majorHAnsi" w:hAnsiTheme="majorHAnsi" w:cstheme="majorHAnsi"/>
          <w:i/>
          <w:sz w:val="24"/>
          <w:szCs w:val="24"/>
          <w:lang w:val="ro-MD"/>
        </w:rPr>
        <w:t>Параграф</w:t>
      </w:r>
      <w:r w:rsidR="00C64395" w:rsidRPr="00B13B9A">
        <w:rPr>
          <w:rFonts w:asciiTheme="majorHAnsi" w:hAnsiTheme="majorHAnsi" w:cstheme="majorHAnsi"/>
          <w:i/>
          <w:sz w:val="24"/>
          <w:szCs w:val="24"/>
          <w:lang w:val="ro-MD"/>
        </w:rPr>
        <w:t xml:space="preserve"> 4.2.</w:t>
      </w:r>
      <w:r w:rsidR="00B80D7E" w:rsidRPr="00B13B9A">
        <w:rPr>
          <w:rFonts w:asciiTheme="majorHAnsi" w:hAnsiTheme="majorHAnsi" w:cstheme="majorHAnsi"/>
          <w:i/>
          <w:sz w:val="24"/>
          <w:szCs w:val="24"/>
          <w:lang w:val="ro-MD"/>
        </w:rPr>
        <w:t>1</w:t>
      </w:r>
      <w:r w:rsidR="007E110A" w:rsidRPr="00B13B9A">
        <w:rPr>
          <w:rFonts w:asciiTheme="majorHAnsi" w:hAnsiTheme="majorHAnsi" w:cstheme="majorHAnsi"/>
          <w:i/>
          <w:sz w:val="24"/>
          <w:szCs w:val="24"/>
          <w:lang w:val="ro-MD"/>
        </w:rPr>
        <w:t>0</w:t>
      </w:r>
      <w:r w:rsidR="00C64395" w:rsidRPr="00B13B9A">
        <w:rPr>
          <w:rFonts w:asciiTheme="majorHAnsi" w:hAnsiTheme="majorHAnsi" w:cstheme="majorHAnsi"/>
          <w:i/>
          <w:sz w:val="24"/>
          <w:szCs w:val="24"/>
          <w:lang w:val="ro-MD"/>
        </w:rPr>
        <w:t>);</w:t>
      </w:r>
    </w:p>
    <w:p w14:paraId="48879EC1" w14:textId="722B01D2" w:rsidR="00894FFE" w:rsidRPr="00B13B9A" w:rsidRDefault="00BF154B" w:rsidP="00C01493">
      <w:pPr>
        <w:pStyle w:val="a7"/>
        <w:numPr>
          <w:ilvl w:val="0"/>
          <w:numId w:val="8"/>
        </w:numPr>
        <w:shd w:val="clear" w:color="auto" w:fill="FFFFFF" w:themeFill="background1"/>
        <w:tabs>
          <w:tab w:val="left" w:pos="709"/>
          <w:tab w:val="left" w:pos="1080"/>
        </w:tabs>
        <w:spacing w:after="0" w:line="276" w:lineRule="auto"/>
        <w:ind w:left="0" w:firstLine="709"/>
        <w:jc w:val="both"/>
        <w:rPr>
          <w:rFonts w:asciiTheme="majorHAnsi" w:hAnsiTheme="majorHAnsi" w:cstheme="majorHAnsi"/>
          <w:i/>
          <w:sz w:val="24"/>
          <w:szCs w:val="24"/>
          <w:lang w:val="ro-MD"/>
        </w:rPr>
      </w:pPr>
      <w:r w:rsidRPr="00BF154B">
        <w:rPr>
          <w:rFonts w:asciiTheme="majorHAnsi" w:hAnsiTheme="majorHAnsi" w:cstheme="majorHAnsi"/>
          <w:i/>
          <w:sz w:val="24"/>
          <w:szCs w:val="24"/>
          <w:lang w:val="ro-MD"/>
        </w:rPr>
        <w:t xml:space="preserve">Обеспечить оценку функциональности медицинского оборудования и </w:t>
      </w:r>
      <w:r w:rsidR="00243845" w:rsidRPr="00243845">
        <w:rPr>
          <w:rFonts w:asciiTheme="majorHAnsi" w:hAnsiTheme="majorHAnsi" w:cstheme="majorHAnsi"/>
          <w:i/>
          <w:sz w:val="24"/>
          <w:szCs w:val="24"/>
          <w:lang w:val="ro-MD"/>
        </w:rPr>
        <w:t>приборов,</w:t>
      </w:r>
      <w:r w:rsidRPr="00BF154B">
        <w:rPr>
          <w:rFonts w:asciiTheme="majorHAnsi" w:hAnsiTheme="majorHAnsi" w:cstheme="majorHAnsi"/>
          <w:i/>
          <w:sz w:val="24"/>
          <w:szCs w:val="24"/>
          <w:lang w:val="ro-MD"/>
        </w:rPr>
        <w:t xml:space="preserve"> с </w:t>
      </w:r>
      <w:r w:rsidR="00243845" w:rsidRPr="00243845">
        <w:rPr>
          <w:rFonts w:asciiTheme="majorHAnsi" w:hAnsiTheme="majorHAnsi" w:cstheme="majorHAnsi"/>
          <w:i/>
          <w:sz w:val="24"/>
          <w:szCs w:val="24"/>
          <w:lang w:val="ro-MD"/>
        </w:rPr>
        <w:t>списанием</w:t>
      </w:r>
      <w:r w:rsidRPr="00BF154B">
        <w:rPr>
          <w:rFonts w:asciiTheme="majorHAnsi" w:hAnsiTheme="majorHAnsi" w:cstheme="majorHAnsi"/>
          <w:i/>
          <w:sz w:val="24"/>
          <w:szCs w:val="24"/>
          <w:lang w:val="ro-MD"/>
        </w:rPr>
        <w:t xml:space="preserve"> изношенных</w:t>
      </w:r>
      <w:r w:rsidR="00243845" w:rsidRPr="00243845">
        <w:rPr>
          <w:rFonts w:asciiTheme="majorHAnsi" w:hAnsiTheme="majorHAnsi" w:cstheme="majorHAnsi"/>
          <w:i/>
          <w:sz w:val="24"/>
          <w:szCs w:val="24"/>
          <w:lang w:val="ro-MD"/>
        </w:rPr>
        <w:t xml:space="preserve"> товаров</w:t>
      </w:r>
      <w:r w:rsidRPr="00BF154B">
        <w:rPr>
          <w:rFonts w:asciiTheme="majorHAnsi" w:hAnsiTheme="majorHAnsi" w:cstheme="majorHAnsi"/>
          <w:i/>
          <w:sz w:val="24"/>
          <w:szCs w:val="24"/>
          <w:lang w:val="ro-MD"/>
        </w:rPr>
        <w:t xml:space="preserve">, а также разработку </w:t>
      </w:r>
      <w:r w:rsidR="00243845" w:rsidRPr="00243845">
        <w:rPr>
          <w:rFonts w:asciiTheme="majorHAnsi" w:hAnsiTheme="majorHAnsi" w:cstheme="majorHAnsi"/>
          <w:i/>
          <w:sz w:val="24"/>
          <w:szCs w:val="24"/>
          <w:lang w:val="ro-MD"/>
        </w:rPr>
        <w:t>положений о</w:t>
      </w:r>
      <w:r w:rsidRPr="00BF154B">
        <w:rPr>
          <w:rFonts w:asciiTheme="majorHAnsi" w:hAnsiTheme="majorHAnsi" w:cstheme="majorHAnsi"/>
          <w:i/>
          <w:sz w:val="24"/>
          <w:szCs w:val="24"/>
          <w:lang w:val="ro-MD"/>
        </w:rPr>
        <w:t xml:space="preserve"> их ввод</w:t>
      </w:r>
      <w:r w:rsidR="00243845" w:rsidRPr="00243845">
        <w:rPr>
          <w:rFonts w:asciiTheme="majorHAnsi" w:hAnsiTheme="majorHAnsi" w:cstheme="majorHAnsi"/>
          <w:i/>
          <w:sz w:val="24"/>
          <w:szCs w:val="24"/>
          <w:lang w:val="ro-MD"/>
        </w:rPr>
        <w:t>е</w:t>
      </w:r>
      <w:r w:rsidRPr="00BF154B">
        <w:rPr>
          <w:rFonts w:asciiTheme="majorHAnsi" w:hAnsiTheme="majorHAnsi" w:cstheme="majorHAnsi"/>
          <w:i/>
          <w:sz w:val="24"/>
          <w:szCs w:val="24"/>
          <w:lang w:val="ro-MD"/>
        </w:rPr>
        <w:t xml:space="preserve"> в эксплуатацию только в случае их необходимости </w:t>
      </w:r>
      <w:r w:rsidR="00B80D7E" w:rsidRPr="00B13B9A">
        <w:rPr>
          <w:rFonts w:asciiTheme="majorHAnsi" w:hAnsiTheme="majorHAnsi" w:cstheme="majorHAnsi"/>
          <w:i/>
          <w:sz w:val="24"/>
          <w:szCs w:val="24"/>
          <w:lang w:val="ro-MD"/>
        </w:rPr>
        <w:t>(</w:t>
      </w:r>
      <w:r w:rsidR="00C01493">
        <w:rPr>
          <w:rFonts w:asciiTheme="majorHAnsi" w:hAnsiTheme="majorHAnsi" w:cstheme="majorHAnsi"/>
          <w:i/>
          <w:sz w:val="24"/>
          <w:szCs w:val="24"/>
          <w:lang w:val="ro-MD"/>
        </w:rPr>
        <w:t>Параграф</w:t>
      </w:r>
      <w:r w:rsidR="00B80D7E" w:rsidRPr="00B13B9A">
        <w:rPr>
          <w:rFonts w:asciiTheme="majorHAnsi" w:hAnsiTheme="majorHAnsi" w:cstheme="majorHAnsi"/>
          <w:i/>
          <w:sz w:val="24"/>
          <w:szCs w:val="24"/>
          <w:lang w:val="ro-MD"/>
        </w:rPr>
        <w:t xml:space="preserve"> 4.1.9, 4.1.10)</w:t>
      </w:r>
      <w:r w:rsidR="00B24768" w:rsidRPr="00B13B9A">
        <w:rPr>
          <w:rFonts w:asciiTheme="majorHAnsi" w:hAnsiTheme="majorHAnsi" w:cstheme="majorHAnsi"/>
          <w:i/>
          <w:sz w:val="24"/>
          <w:szCs w:val="24"/>
          <w:lang w:val="ro-MD"/>
        </w:rPr>
        <w:t>;</w:t>
      </w:r>
    </w:p>
    <w:p w14:paraId="15E2292F" w14:textId="15826573" w:rsidR="00B24768" w:rsidRPr="00B13B9A" w:rsidRDefault="00243845" w:rsidP="00C01493">
      <w:pPr>
        <w:pStyle w:val="a7"/>
        <w:numPr>
          <w:ilvl w:val="0"/>
          <w:numId w:val="8"/>
        </w:numPr>
        <w:shd w:val="clear" w:color="auto" w:fill="FFFFFF" w:themeFill="background1"/>
        <w:tabs>
          <w:tab w:val="left" w:pos="709"/>
          <w:tab w:val="left" w:pos="1080"/>
        </w:tabs>
        <w:spacing w:after="0" w:line="276" w:lineRule="auto"/>
        <w:ind w:left="0" w:firstLine="709"/>
        <w:jc w:val="both"/>
        <w:rPr>
          <w:rFonts w:asciiTheme="majorHAnsi" w:hAnsiTheme="majorHAnsi" w:cstheme="majorHAnsi"/>
          <w:i/>
          <w:sz w:val="24"/>
          <w:szCs w:val="24"/>
          <w:lang w:val="ro-MD"/>
        </w:rPr>
      </w:pPr>
      <w:r w:rsidRPr="00243845">
        <w:rPr>
          <w:rFonts w:asciiTheme="majorHAnsi" w:hAnsiTheme="majorHAnsi" w:cstheme="majorHAnsi"/>
          <w:i/>
          <w:sz w:val="24"/>
          <w:szCs w:val="24"/>
          <w:lang w:val="ro-MD"/>
        </w:rPr>
        <w:t>По итогам</w:t>
      </w:r>
      <w:r w:rsidR="00BF154B" w:rsidRPr="00BF154B">
        <w:rPr>
          <w:rFonts w:asciiTheme="majorHAnsi" w:hAnsiTheme="majorHAnsi" w:cstheme="majorHAnsi"/>
          <w:i/>
          <w:sz w:val="24"/>
          <w:szCs w:val="24"/>
          <w:lang w:val="ro-MD"/>
        </w:rPr>
        <w:t xml:space="preserve"> проведения ежегодн</w:t>
      </w:r>
      <w:r w:rsidRPr="00243845">
        <w:rPr>
          <w:rFonts w:asciiTheme="majorHAnsi" w:hAnsiTheme="majorHAnsi" w:cstheme="majorHAnsi"/>
          <w:i/>
          <w:sz w:val="24"/>
          <w:szCs w:val="24"/>
          <w:lang w:val="ro-MD"/>
        </w:rPr>
        <w:t>ой</w:t>
      </w:r>
      <w:r w:rsidR="00BF154B" w:rsidRPr="00BF154B">
        <w:rPr>
          <w:rFonts w:asciiTheme="majorHAnsi" w:hAnsiTheme="majorHAnsi" w:cstheme="majorHAnsi"/>
          <w:i/>
          <w:sz w:val="24"/>
          <w:szCs w:val="24"/>
          <w:lang w:val="ro-MD"/>
        </w:rPr>
        <w:t xml:space="preserve"> инвентаризаци</w:t>
      </w:r>
      <w:r w:rsidRPr="00243845">
        <w:rPr>
          <w:rFonts w:asciiTheme="majorHAnsi" w:hAnsiTheme="majorHAnsi" w:cstheme="majorHAnsi"/>
          <w:i/>
          <w:sz w:val="24"/>
          <w:szCs w:val="24"/>
          <w:lang w:val="ro-MD"/>
        </w:rPr>
        <w:t>и,</w:t>
      </w:r>
      <w:r w:rsidR="00BF154B" w:rsidRPr="00BF154B">
        <w:rPr>
          <w:rFonts w:asciiTheme="majorHAnsi" w:hAnsiTheme="majorHAnsi" w:cstheme="majorHAnsi"/>
          <w:i/>
          <w:sz w:val="24"/>
          <w:szCs w:val="24"/>
          <w:lang w:val="ro-MD"/>
        </w:rPr>
        <w:t xml:space="preserve"> определить нов</w:t>
      </w:r>
      <w:r w:rsidRPr="00243845">
        <w:rPr>
          <w:rFonts w:asciiTheme="majorHAnsi" w:hAnsiTheme="majorHAnsi" w:cstheme="majorHAnsi"/>
          <w:i/>
          <w:sz w:val="24"/>
          <w:szCs w:val="24"/>
          <w:lang w:val="ro-MD"/>
        </w:rPr>
        <w:t>ое</w:t>
      </w:r>
      <w:r w:rsidR="00BF154B" w:rsidRPr="00BF154B">
        <w:rPr>
          <w:rFonts w:asciiTheme="majorHAnsi" w:hAnsiTheme="majorHAnsi" w:cstheme="majorHAnsi"/>
          <w:i/>
          <w:sz w:val="24"/>
          <w:szCs w:val="24"/>
          <w:lang w:val="ro-MD"/>
        </w:rPr>
        <w:t xml:space="preserve"> </w:t>
      </w:r>
      <w:r w:rsidRPr="00243845">
        <w:rPr>
          <w:rFonts w:asciiTheme="majorHAnsi" w:hAnsiTheme="majorHAnsi" w:cstheme="majorHAnsi"/>
          <w:i/>
          <w:sz w:val="24"/>
          <w:szCs w:val="24"/>
          <w:lang w:val="ro-MD"/>
        </w:rPr>
        <w:t>оборудование</w:t>
      </w:r>
      <w:r w:rsidR="00BF154B" w:rsidRPr="00BF154B">
        <w:rPr>
          <w:rFonts w:asciiTheme="majorHAnsi" w:hAnsiTheme="majorHAnsi" w:cstheme="majorHAnsi"/>
          <w:i/>
          <w:sz w:val="24"/>
          <w:szCs w:val="24"/>
          <w:lang w:val="ro-MD"/>
        </w:rPr>
        <w:t>, котор</w:t>
      </w:r>
      <w:r w:rsidRPr="00243845">
        <w:rPr>
          <w:rFonts w:asciiTheme="majorHAnsi" w:hAnsiTheme="majorHAnsi" w:cstheme="majorHAnsi"/>
          <w:i/>
          <w:sz w:val="24"/>
          <w:szCs w:val="24"/>
          <w:lang w:val="ro-MD"/>
        </w:rPr>
        <w:t>о</w:t>
      </w:r>
      <w:r w:rsidR="00BF154B" w:rsidRPr="00BF154B">
        <w:rPr>
          <w:rFonts w:asciiTheme="majorHAnsi" w:hAnsiTheme="majorHAnsi" w:cstheme="majorHAnsi"/>
          <w:i/>
          <w:sz w:val="24"/>
          <w:szCs w:val="24"/>
          <w:lang w:val="ro-MD"/>
        </w:rPr>
        <w:t>е не использу</w:t>
      </w:r>
      <w:r w:rsidRPr="00243845">
        <w:rPr>
          <w:rFonts w:asciiTheme="majorHAnsi" w:hAnsiTheme="majorHAnsi" w:cstheme="majorHAnsi"/>
          <w:i/>
          <w:sz w:val="24"/>
          <w:szCs w:val="24"/>
          <w:lang w:val="ro-MD"/>
        </w:rPr>
        <w:t>е</w:t>
      </w:r>
      <w:r w:rsidR="00BF154B" w:rsidRPr="00BF154B">
        <w:rPr>
          <w:rFonts w:asciiTheme="majorHAnsi" w:hAnsiTheme="majorHAnsi" w:cstheme="majorHAnsi"/>
          <w:i/>
          <w:sz w:val="24"/>
          <w:szCs w:val="24"/>
          <w:lang w:val="ro-MD"/>
        </w:rPr>
        <w:t>тся, но необходим</w:t>
      </w:r>
      <w:r w:rsidRPr="00243845">
        <w:rPr>
          <w:rFonts w:asciiTheme="majorHAnsi" w:hAnsiTheme="majorHAnsi" w:cstheme="majorHAnsi"/>
          <w:i/>
          <w:sz w:val="24"/>
          <w:szCs w:val="24"/>
          <w:lang w:val="ro-MD"/>
        </w:rPr>
        <w:t>о</w:t>
      </w:r>
      <w:r w:rsidR="00BF154B" w:rsidRPr="00BF154B">
        <w:rPr>
          <w:rFonts w:asciiTheme="majorHAnsi" w:hAnsiTheme="majorHAnsi" w:cstheme="majorHAnsi"/>
          <w:i/>
          <w:sz w:val="24"/>
          <w:szCs w:val="24"/>
          <w:lang w:val="ro-MD"/>
        </w:rPr>
        <w:t xml:space="preserve"> учреждению, и </w:t>
      </w:r>
      <w:r w:rsidRPr="00243845">
        <w:rPr>
          <w:rFonts w:asciiTheme="majorHAnsi" w:hAnsiTheme="majorHAnsi" w:cstheme="majorHAnsi"/>
          <w:i/>
          <w:sz w:val="24"/>
          <w:szCs w:val="24"/>
          <w:lang w:val="ro-MD"/>
        </w:rPr>
        <w:t>оборудование</w:t>
      </w:r>
      <w:r w:rsidR="00BF154B" w:rsidRPr="00BF154B">
        <w:rPr>
          <w:rFonts w:asciiTheme="majorHAnsi" w:hAnsiTheme="majorHAnsi" w:cstheme="majorHAnsi"/>
          <w:i/>
          <w:sz w:val="24"/>
          <w:szCs w:val="24"/>
          <w:lang w:val="ro-MD"/>
        </w:rPr>
        <w:t>, котор</w:t>
      </w:r>
      <w:r w:rsidRPr="00243845">
        <w:rPr>
          <w:rFonts w:asciiTheme="majorHAnsi" w:hAnsiTheme="majorHAnsi" w:cstheme="majorHAnsi"/>
          <w:i/>
          <w:sz w:val="24"/>
          <w:szCs w:val="24"/>
          <w:lang w:val="ro-MD"/>
        </w:rPr>
        <w:t>о</w:t>
      </w:r>
      <w:r w:rsidR="00BF154B" w:rsidRPr="00BF154B">
        <w:rPr>
          <w:rFonts w:asciiTheme="majorHAnsi" w:hAnsiTheme="majorHAnsi" w:cstheme="majorHAnsi"/>
          <w:i/>
          <w:sz w:val="24"/>
          <w:szCs w:val="24"/>
          <w:lang w:val="ro-MD"/>
        </w:rPr>
        <w:t>е мо</w:t>
      </w:r>
      <w:r w:rsidRPr="00243845">
        <w:rPr>
          <w:rFonts w:asciiTheme="majorHAnsi" w:hAnsiTheme="majorHAnsi" w:cstheme="majorHAnsi"/>
          <w:i/>
          <w:sz w:val="24"/>
          <w:szCs w:val="24"/>
          <w:lang w:val="ro-MD"/>
        </w:rPr>
        <w:t>же</w:t>
      </w:r>
      <w:r w:rsidR="00BF154B" w:rsidRPr="00BF154B">
        <w:rPr>
          <w:rFonts w:asciiTheme="majorHAnsi" w:hAnsiTheme="majorHAnsi" w:cstheme="majorHAnsi"/>
          <w:i/>
          <w:sz w:val="24"/>
          <w:szCs w:val="24"/>
          <w:lang w:val="ro-MD"/>
        </w:rPr>
        <w:t>т быть передан</w:t>
      </w:r>
      <w:r w:rsidRPr="00243845">
        <w:rPr>
          <w:rFonts w:asciiTheme="majorHAnsi" w:hAnsiTheme="majorHAnsi" w:cstheme="majorHAnsi"/>
          <w:i/>
          <w:sz w:val="24"/>
          <w:szCs w:val="24"/>
          <w:lang w:val="ro-MD"/>
        </w:rPr>
        <w:t>о</w:t>
      </w:r>
      <w:r w:rsidR="00BF154B" w:rsidRPr="00BF154B">
        <w:rPr>
          <w:rFonts w:asciiTheme="majorHAnsi" w:hAnsiTheme="majorHAnsi" w:cstheme="majorHAnsi"/>
          <w:i/>
          <w:sz w:val="24"/>
          <w:szCs w:val="24"/>
          <w:lang w:val="ro-MD"/>
        </w:rPr>
        <w:t xml:space="preserve"> другим </w:t>
      </w:r>
      <w:r w:rsidRPr="00243845">
        <w:rPr>
          <w:rFonts w:asciiTheme="majorHAnsi" w:hAnsiTheme="majorHAnsi" w:cstheme="majorHAnsi"/>
          <w:i/>
          <w:sz w:val="24"/>
          <w:szCs w:val="24"/>
          <w:lang w:val="ro-MD"/>
        </w:rPr>
        <w:t>субъекта</w:t>
      </w:r>
      <w:r w:rsidR="00BF154B" w:rsidRPr="00BF154B">
        <w:rPr>
          <w:rFonts w:asciiTheme="majorHAnsi" w:hAnsiTheme="majorHAnsi" w:cstheme="majorHAnsi"/>
          <w:i/>
          <w:sz w:val="24"/>
          <w:szCs w:val="24"/>
          <w:lang w:val="ro-MD"/>
        </w:rPr>
        <w:t xml:space="preserve">м  </w:t>
      </w:r>
      <w:r w:rsidR="00B80D7E" w:rsidRPr="00B13B9A">
        <w:rPr>
          <w:rFonts w:asciiTheme="majorHAnsi" w:hAnsiTheme="majorHAnsi" w:cstheme="majorHAnsi"/>
          <w:i/>
          <w:sz w:val="24"/>
          <w:szCs w:val="24"/>
          <w:lang w:val="ro-MD"/>
        </w:rPr>
        <w:t>(</w:t>
      </w:r>
      <w:r w:rsidR="00C01493">
        <w:rPr>
          <w:rFonts w:asciiTheme="majorHAnsi" w:hAnsiTheme="majorHAnsi" w:cstheme="majorHAnsi"/>
          <w:i/>
          <w:sz w:val="24"/>
          <w:szCs w:val="24"/>
          <w:lang w:val="ro-MD"/>
        </w:rPr>
        <w:t>Параграф</w:t>
      </w:r>
      <w:r w:rsidR="00B80D7E" w:rsidRPr="00B13B9A">
        <w:rPr>
          <w:rFonts w:asciiTheme="majorHAnsi" w:hAnsiTheme="majorHAnsi" w:cstheme="majorHAnsi"/>
          <w:i/>
          <w:sz w:val="24"/>
          <w:szCs w:val="24"/>
          <w:lang w:val="ro-MD"/>
        </w:rPr>
        <w:t xml:space="preserve"> 4.1.9);</w:t>
      </w:r>
    </w:p>
    <w:p w14:paraId="2052A61A" w14:textId="7C6F8343" w:rsidR="00D900FA" w:rsidRPr="00B13B9A" w:rsidRDefault="00BF154B" w:rsidP="00C01493">
      <w:pPr>
        <w:pStyle w:val="a7"/>
        <w:numPr>
          <w:ilvl w:val="0"/>
          <w:numId w:val="8"/>
        </w:numPr>
        <w:tabs>
          <w:tab w:val="left" w:pos="709"/>
          <w:tab w:val="left" w:pos="1080"/>
        </w:tabs>
        <w:spacing w:after="0" w:line="276" w:lineRule="auto"/>
        <w:ind w:left="0" w:firstLine="709"/>
        <w:jc w:val="both"/>
        <w:rPr>
          <w:rFonts w:asciiTheme="majorHAnsi" w:hAnsiTheme="majorHAnsi" w:cstheme="majorHAnsi"/>
          <w:lang w:val="ro-MD"/>
        </w:rPr>
      </w:pPr>
      <w:r w:rsidRPr="00BF154B">
        <w:rPr>
          <w:rFonts w:asciiTheme="majorHAnsi" w:hAnsiTheme="majorHAnsi" w:cstheme="majorHAnsi"/>
          <w:i/>
          <w:sz w:val="24"/>
          <w:szCs w:val="24"/>
          <w:lang w:val="ro-MD"/>
        </w:rPr>
        <w:t xml:space="preserve">Разработать план питания и </w:t>
      </w:r>
      <w:r w:rsidR="00243845" w:rsidRPr="00243845">
        <w:rPr>
          <w:rFonts w:asciiTheme="majorHAnsi" w:hAnsiTheme="majorHAnsi" w:cstheme="majorHAnsi"/>
          <w:i/>
          <w:sz w:val="24"/>
          <w:szCs w:val="24"/>
          <w:lang w:val="ro-MD"/>
        </w:rPr>
        <w:t>определи</w:t>
      </w:r>
      <w:r w:rsidRPr="00BF154B">
        <w:rPr>
          <w:rFonts w:asciiTheme="majorHAnsi" w:hAnsiTheme="majorHAnsi" w:cstheme="majorHAnsi"/>
          <w:i/>
          <w:sz w:val="24"/>
          <w:szCs w:val="24"/>
          <w:lang w:val="ro-MD"/>
        </w:rPr>
        <w:t xml:space="preserve">ть </w:t>
      </w:r>
      <w:r w:rsidR="00243845" w:rsidRPr="00243845">
        <w:rPr>
          <w:rFonts w:asciiTheme="majorHAnsi" w:hAnsiTheme="majorHAnsi" w:cstheme="majorHAnsi"/>
          <w:i/>
          <w:sz w:val="24"/>
          <w:szCs w:val="24"/>
          <w:lang w:val="ro-MD"/>
        </w:rPr>
        <w:t xml:space="preserve">общее </w:t>
      </w:r>
      <w:r w:rsidRPr="00BF154B">
        <w:rPr>
          <w:rFonts w:asciiTheme="majorHAnsi" w:hAnsiTheme="majorHAnsi" w:cstheme="majorHAnsi"/>
          <w:i/>
          <w:sz w:val="24"/>
          <w:szCs w:val="24"/>
          <w:lang w:val="ro-MD"/>
        </w:rPr>
        <w:t xml:space="preserve">количество пациентов с учетом </w:t>
      </w:r>
      <w:r w:rsidR="00243845" w:rsidRPr="00BF154B">
        <w:rPr>
          <w:rFonts w:asciiTheme="majorHAnsi" w:hAnsiTheme="majorHAnsi" w:cstheme="majorHAnsi"/>
          <w:i/>
          <w:sz w:val="24"/>
          <w:szCs w:val="24"/>
          <w:lang w:val="ro-MD"/>
        </w:rPr>
        <w:t xml:space="preserve">выполненных </w:t>
      </w:r>
      <w:r w:rsidRPr="00BF154B">
        <w:rPr>
          <w:rFonts w:asciiTheme="majorHAnsi" w:hAnsiTheme="majorHAnsi" w:cstheme="majorHAnsi"/>
          <w:i/>
          <w:sz w:val="24"/>
          <w:szCs w:val="24"/>
          <w:lang w:val="ro-MD"/>
        </w:rPr>
        <w:t>поступлений и выписок, в соответствии с положениями Приказа</w:t>
      </w:r>
      <w:r w:rsidR="00243845">
        <w:rPr>
          <w:rFonts w:asciiTheme="majorHAnsi" w:hAnsiTheme="majorHAnsi" w:cstheme="majorHAnsi"/>
          <w:i/>
          <w:sz w:val="24"/>
          <w:szCs w:val="24"/>
          <w:lang w:val="ro-MD"/>
        </w:rPr>
        <w:t xml:space="preserve"> Министерства здравоохранения №</w:t>
      </w:r>
      <w:r w:rsidRPr="00BF154B">
        <w:rPr>
          <w:rFonts w:asciiTheme="majorHAnsi" w:hAnsiTheme="majorHAnsi" w:cstheme="majorHAnsi"/>
          <w:i/>
          <w:sz w:val="24"/>
          <w:szCs w:val="24"/>
          <w:lang w:val="ro-MD"/>
        </w:rPr>
        <w:t xml:space="preserve">238/2009 об </w:t>
      </w:r>
      <w:r w:rsidR="00243845" w:rsidRPr="00243845">
        <w:rPr>
          <w:rFonts w:asciiTheme="majorHAnsi" w:hAnsiTheme="majorHAnsi" w:cstheme="majorHAnsi"/>
          <w:i/>
          <w:sz w:val="24"/>
          <w:szCs w:val="24"/>
          <w:lang w:val="ro-MD"/>
        </w:rPr>
        <w:t>улучш</w:t>
      </w:r>
      <w:r w:rsidRPr="00BF154B">
        <w:rPr>
          <w:rFonts w:asciiTheme="majorHAnsi" w:hAnsiTheme="majorHAnsi" w:cstheme="majorHAnsi"/>
          <w:i/>
          <w:sz w:val="24"/>
          <w:szCs w:val="24"/>
          <w:lang w:val="ro-MD"/>
        </w:rPr>
        <w:t xml:space="preserve">ении питания пациентов в больничных медико-санитарных учреждениях </w:t>
      </w:r>
      <w:r w:rsidR="00B80D7E" w:rsidRPr="00B13B9A">
        <w:rPr>
          <w:rFonts w:asciiTheme="majorHAnsi" w:hAnsiTheme="majorHAnsi" w:cstheme="majorHAnsi"/>
          <w:i/>
          <w:sz w:val="24"/>
          <w:szCs w:val="24"/>
          <w:lang w:val="ro-MD"/>
        </w:rPr>
        <w:t>(</w:t>
      </w:r>
      <w:r w:rsidR="00C01493">
        <w:rPr>
          <w:rFonts w:asciiTheme="majorHAnsi" w:hAnsiTheme="majorHAnsi" w:cstheme="majorHAnsi"/>
          <w:i/>
          <w:sz w:val="24"/>
          <w:szCs w:val="24"/>
          <w:lang w:val="ro-MD"/>
        </w:rPr>
        <w:t>Параграф</w:t>
      </w:r>
      <w:r w:rsidR="00B80D7E" w:rsidRPr="00B13B9A">
        <w:rPr>
          <w:rFonts w:asciiTheme="majorHAnsi" w:hAnsiTheme="majorHAnsi" w:cstheme="majorHAnsi"/>
          <w:i/>
          <w:sz w:val="24"/>
          <w:szCs w:val="24"/>
          <w:lang w:val="ro-MD"/>
        </w:rPr>
        <w:t xml:space="preserve"> </w:t>
      </w:r>
      <w:r w:rsidR="007E110A" w:rsidRPr="00B13B9A">
        <w:rPr>
          <w:rFonts w:asciiTheme="majorHAnsi" w:hAnsiTheme="majorHAnsi" w:cstheme="majorHAnsi"/>
          <w:i/>
          <w:sz w:val="24"/>
          <w:szCs w:val="24"/>
          <w:lang w:val="ro-MD"/>
        </w:rPr>
        <w:t>4.2.8</w:t>
      </w:r>
      <w:r w:rsidR="00B80D7E" w:rsidRPr="00B13B9A">
        <w:rPr>
          <w:rFonts w:asciiTheme="majorHAnsi" w:hAnsiTheme="majorHAnsi" w:cstheme="majorHAnsi"/>
          <w:i/>
          <w:sz w:val="24"/>
          <w:szCs w:val="24"/>
          <w:lang w:val="ro-MD"/>
        </w:rPr>
        <w:t>)</w:t>
      </w:r>
      <w:r w:rsidR="00D900FA" w:rsidRPr="00B13B9A">
        <w:rPr>
          <w:rFonts w:asciiTheme="majorHAnsi" w:hAnsiTheme="majorHAnsi" w:cstheme="majorHAnsi"/>
          <w:i/>
          <w:sz w:val="24"/>
          <w:szCs w:val="24"/>
          <w:lang w:val="ro-MD"/>
        </w:rPr>
        <w:t>;</w:t>
      </w:r>
    </w:p>
    <w:p w14:paraId="1DBAE580" w14:textId="6E63128C" w:rsidR="00A44F95" w:rsidRPr="00B13B9A" w:rsidRDefault="00BF154B" w:rsidP="00C01493">
      <w:pPr>
        <w:pStyle w:val="a7"/>
        <w:numPr>
          <w:ilvl w:val="0"/>
          <w:numId w:val="8"/>
        </w:numPr>
        <w:tabs>
          <w:tab w:val="left" w:pos="709"/>
          <w:tab w:val="left" w:pos="1080"/>
        </w:tabs>
        <w:spacing w:after="0" w:line="276" w:lineRule="auto"/>
        <w:ind w:left="0" w:firstLine="709"/>
        <w:jc w:val="both"/>
        <w:rPr>
          <w:rFonts w:asciiTheme="majorHAnsi" w:eastAsia="Times New Roman" w:hAnsiTheme="majorHAnsi" w:cstheme="majorHAnsi"/>
          <w:bCs/>
          <w:i/>
          <w:iCs/>
          <w:sz w:val="24"/>
          <w:szCs w:val="24"/>
          <w:lang w:val="ro-MD"/>
        </w:rPr>
      </w:pPr>
      <w:r w:rsidRPr="00BF154B">
        <w:rPr>
          <w:rFonts w:asciiTheme="majorHAnsi" w:eastAsia="Times New Roman" w:hAnsiTheme="majorHAnsi" w:cstheme="majorHAnsi"/>
          <w:bCs/>
          <w:i/>
          <w:iCs/>
          <w:sz w:val="24"/>
          <w:szCs w:val="24"/>
          <w:lang w:val="ro-MD"/>
        </w:rPr>
        <w:t xml:space="preserve">Обеспечить включение в план закупок всех товаров и услуг, необходимых для приобретения, независимо от применяемой последующей процедуры </w:t>
      </w:r>
      <w:r w:rsidR="00B80D7E" w:rsidRPr="00B13B9A">
        <w:rPr>
          <w:rFonts w:asciiTheme="majorHAnsi" w:hAnsiTheme="majorHAnsi" w:cstheme="majorHAnsi"/>
          <w:i/>
          <w:sz w:val="24"/>
          <w:szCs w:val="24"/>
          <w:lang w:val="ro-MD"/>
        </w:rPr>
        <w:t>(</w:t>
      </w:r>
      <w:r w:rsidR="00C01493">
        <w:rPr>
          <w:rFonts w:asciiTheme="majorHAnsi" w:hAnsiTheme="majorHAnsi" w:cstheme="majorHAnsi"/>
          <w:i/>
          <w:sz w:val="24"/>
          <w:szCs w:val="24"/>
          <w:lang w:val="ro-MD"/>
        </w:rPr>
        <w:t>Параграф</w:t>
      </w:r>
      <w:r w:rsidR="00B80D7E" w:rsidRPr="00B13B9A">
        <w:rPr>
          <w:rFonts w:asciiTheme="majorHAnsi" w:hAnsiTheme="majorHAnsi" w:cstheme="majorHAnsi"/>
          <w:i/>
          <w:sz w:val="24"/>
          <w:szCs w:val="24"/>
          <w:lang w:val="ro-MD"/>
        </w:rPr>
        <w:t xml:space="preserve"> 4.2.5, 4.2.6, 4.2.7);</w:t>
      </w:r>
      <w:r w:rsidR="00894FFE" w:rsidRPr="00B13B9A">
        <w:rPr>
          <w:rFonts w:asciiTheme="majorHAnsi" w:eastAsia="Times New Roman" w:hAnsiTheme="majorHAnsi" w:cstheme="majorHAnsi"/>
          <w:bCs/>
          <w:i/>
          <w:iCs/>
          <w:sz w:val="24"/>
          <w:szCs w:val="24"/>
          <w:lang w:val="ro-MD"/>
        </w:rPr>
        <w:t xml:space="preserve"> </w:t>
      </w:r>
    </w:p>
    <w:p w14:paraId="25CA1645" w14:textId="7B67595C" w:rsidR="002733E9" w:rsidRPr="00B13B9A" w:rsidRDefault="00BF154B" w:rsidP="00C01493">
      <w:pPr>
        <w:pStyle w:val="a7"/>
        <w:numPr>
          <w:ilvl w:val="0"/>
          <w:numId w:val="8"/>
        </w:numPr>
        <w:tabs>
          <w:tab w:val="left" w:pos="709"/>
          <w:tab w:val="left" w:pos="1080"/>
        </w:tabs>
        <w:spacing w:after="0" w:line="276" w:lineRule="auto"/>
        <w:ind w:left="0" w:firstLine="709"/>
        <w:jc w:val="both"/>
        <w:rPr>
          <w:rFonts w:asciiTheme="majorHAnsi" w:eastAsia="Times New Roman" w:hAnsiTheme="majorHAnsi" w:cstheme="majorHAnsi"/>
          <w:bCs/>
          <w:i/>
          <w:iCs/>
          <w:sz w:val="24"/>
          <w:szCs w:val="24"/>
          <w:lang w:val="ro-MD"/>
        </w:rPr>
      </w:pPr>
      <w:r w:rsidRPr="00BF154B">
        <w:rPr>
          <w:rFonts w:asciiTheme="majorHAnsi" w:eastAsia="Times New Roman" w:hAnsiTheme="majorHAnsi" w:cstheme="majorHAnsi"/>
          <w:i/>
          <w:color w:val="000000"/>
          <w:sz w:val="24"/>
          <w:szCs w:val="24"/>
          <w:lang w:val="ro-MD"/>
        </w:rPr>
        <w:t>Обеспечить учет неистекшего срока годности лекарств при их по</w:t>
      </w:r>
      <w:r w:rsidR="0018169A" w:rsidRPr="0018169A">
        <w:rPr>
          <w:rFonts w:asciiTheme="majorHAnsi" w:eastAsia="Times New Roman" w:hAnsiTheme="majorHAnsi" w:cstheme="majorHAnsi"/>
          <w:i/>
          <w:color w:val="000000"/>
          <w:sz w:val="24"/>
          <w:szCs w:val="24"/>
          <w:lang w:val="ro-MD"/>
        </w:rPr>
        <w:t>ступл</w:t>
      </w:r>
      <w:r w:rsidRPr="00BF154B">
        <w:rPr>
          <w:rFonts w:asciiTheme="majorHAnsi" w:eastAsia="Times New Roman" w:hAnsiTheme="majorHAnsi" w:cstheme="majorHAnsi"/>
          <w:i/>
          <w:color w:val="000000"/>
          <w:sz w:val="24"/>
          <w:szCs w:val="24"/>
          <w:lang w:val="ro-MD"/>
        </w:rPr>
        <w:t>ении на фармацевтическ</w:t>
      </w:r>
      <w:r w:rsidR="0018169A" w:rsidRPr="0018169A">
        <w:rPr>
          <w:rFonts w:asciiTheme="majorHAnsi" w:eastAsia="Times New Roman" w:hAnsiTheme="majorHAnsi" w:cstheme="majorHAnsi"/>
          <w:i/>
          <w:color w:val="000000"/>
          <w:sz w:val="24"/>
          <w:szCs w:val="24"/>
          <w:lang w:val="ro-MD"/>
        </w:rPr>
        <w:t>ий</w:t>
      </w:r>
      <w:r w:rsidRPr="00BF154B">
        <w:rPr>
          <w:rFonts w:asciiTheme="majorHAnsi" w:eastAsia="Times New Roman" w:hAnsiTheme="majorHAnsi" w:cstheme="majorHAnsi"/>
          <w:i/>
          <w:color w:val="000000"/>
          <w:sz w:val="24"/>
          <w:szCs w:val="24"/>
          <w:lang w:val="ro-MD"/>
        </w:rPr>
        <w:t xml:space="preserve"> склад учреждения </w:t>
      </w:r>
      <w:r w:rsidR="00B80D7E" w:rsidRPr="00B13B9A">
        <w:rPr>
          <w:rFonts w:asciiTheme="majorHAnsi" w:hAnsiTheme="majorHAnsi" w:cstheme="majorHAnsi"/>
          <w:i/>
          <w:sz w:val="24"/>
          <w:szCs w:val="24"/>
          <w:lang w:val="ro-MD"/>
        </w:rPr>
        <w:t>(</w:t>
      </w:r>
      <w:r w:rsidR="00C01493">
        <w:rPr>
          <w:rFonts w:asciiTheme="majorHAnsi" w:hAnsiTheme="majorHAnsi" w:cstheme="majorHAnsi"/>
          <w:i/>
          <w:sz w:val="24"/>
          <w:szCs w:val="24"/>
          <w:lang w:val="ro-MD"/>
        </w:rPr>
        <w:t>Параграф</w:t>
      </w:r>
      <w:r w:rsidR="00B80D7E" w:rsidRPr="00B13B9A">
        <w:rPr>
          <w:rFonts w:asciiTheme="majorHAnsi" w:hAnsiTheme="majorHAnsi" w:cstheme="majorHAnsi"/>
          <w:i/>
          <w:sz w:val="24"/>
          <w:szCs w:val="24"/>
          <w:lang w:val="ro-MD"/>
        </w:rPr>
        <w:t xml:space="preserve"> 4.2.1</w:t>
      </w:r>
      <w:r w:rsidR="007E110A" w:rsidRPr="00B13B9A">
        <w:rPr>
          <w:rFonts w:asciiTheme="majorHAnsi" w:hAnsiTheme="majorHAnsi" w:cstheme="majorHAnsi"/>
          <w:i/>
          <w:sz w:val="24"/>
          <w:szCs w:val="24"/>
          <w:lang w:val="ro-MD"/>
        </w:rPr>
        <w:t>3</w:t>
      </w:r>
      <w:r w:rsidR="00B80D7E" w:rsidRPr="00B13B9A">
        <w:rPr>
          <w:rFonts w:asciiTheme="majorHAnsi" w:hAnsiTheme="majorHAnsi" w:cstheme="majorHAnsi"/>
          <w:i/>
          <w:sz w:val="24"/>
          <w:szCs w:val="24"/>
          <w:lang w:val="ro-MD"/>
        </w:rPr>
        <w:t>)</w:t>
      </w:r>
      <w:r w:rsidR="00911AEE" w:rsidRPr="00B13B9A">
        <w:rPr>
          <w:rFonts w:asciiTheme="majorHAnsi" w:hAnsiTheme="majorHAnsi" w:cstheme="majorHAnsi"/>
          <w:i/>
          <w:sz w:val="24"/>
          <w:szCs w:val="24"/>
          <w:lang w:val="ro-MD"/>
        </w:rPr>
        <w:t>.</w:t>
      </w:r>
    </w:p>
    <w:p w14:paraId="61D50C96" w14:textId="77777777" w:rsidR="00A73003" w:rsidRDefault="00A73003" w:rsidP="002733E9">
      <w:pPr>
        <w:spacing w:after="0" w:line="276" w:lineRule="auto"/>
        <w:rPr>
          <w:rFonts w:asciiTheme="majorHAnsi" w:hAnsiTheme="majorHAnsi" w:cstheme="majorHAnsi"/>
          <w:b/>
          <w:color w:val="000000" w:themeColor="text1"/>
          <w:sz w:val="24"/>
          <w:szCs w:val="24"/>
          <w:lang w:val="ro-MD"/>
        </w:rPr>
      </w:pPr>
    </w:p>
    <w:p w14:paraId="23A49D03" w14:textId="7B6C24D7" w:rsidR="00A73003" w:rsidRPr="003F13BC" w:rsidRDefault="003F13BC" w:rsidP="002733E9">
      <w:pPr>
        <w:spacing w:after="0" w:line="276" w:lineRule="auto"/>
        <w:rPr>
          <w:rFonts w:asciiTheme="majorHAnsi" w:hAnsiTheme="majorHAnsi" w:cstheme="majorHAnsi"/>
          <w:b/>
          <w:color w:val="000000" w:themeColor="text1"/>
          <w:sz w:val="24"/>
          <w:szCs w:val="24"/>
          <w:lang w:val="ro-MD"/>
        </w:rPr>
      </w:pPr>
      <w:r>
        <w:rPr>
          <w:rFonts w:asciiTheme="majorHAnsi" w:hAnsiTheme="majorHAnsi" w:cstheme="majorHAnsi"/>
          <w:b/>
          <w:color w:val="000000" w:themeColor="text1"/>
          <w:sz w:val="24"/>
          <w:szCs w:val="24"/>
          <w:lang w:val="ru-RU"/>
        </w:rPr>
        <w:t>Подпись</w:t>
      </w:r>
      <w:r w:rsidRPr="00A43D5F">
        <w:rPr>
          <w:rFonts w:asciiTheme="majorHAnsi" w:hAnsiTheme="majorHAnsi" w:cstheme="majorHAnsi"/>
          <w:b/>
          <w:color w:val="000000" w:themeColor="text1"/>
          <w:sz w:val="24"/>
          <w:szCs w:val="24"/>
          <w:lang w:val="ru-RU"/>
        </w:rPr>
        <w:t xml:space="preserve"> </w:t>
      </w:r>
      <w:r>
        <w:rPr>
          <w:rFonts w:asciiTheme="majorHAnsi" w:hAnsiTheme="majorHAnsi" w:cstheme="majorHAnsi"/>
          <w:b/>
          <w:color w:val="000000" w:themeColor="text1"/>
          <w:sz w:val="24"/>
          <w:szCs w:val="24"/>
          <w:lang w:val="ru-RU"/>
        </w:rPr>
        <w:t>ау</w:t>
      </w:r>
      <w:r w:rsidR="00A43D5F">
        <w:rPr>
          <w:rFonts w:asciiTheme="majorHAnsi" w:hAnsiTheme="majorHAnsi" w:cstheme="majorHAnsi"/>
          <w:b/>
          <w:color w:val="000000" w:themeColor="text1"/>
          <w:sz w:val="24"/>
          <w:szCs w:val="24"/>
          <w:lang w:val="ru-RU"/>
        </w:rPr>
        <w:t>дитора</w:t>
      </w:r>
    </w:p>
    <w:p w14:paraId="609410B0" w14:textId="2189E9B5" w:rsidR="002733E9" w:rsidRPr="003F13BC" w:rsidRDefault="00A43D5F" w:rsidP="002733E9">
      <w:pPr>
        <w:spacing w:after="0" w:line="276" w:lineRule="auto"/>
        <w:jc w:val="both"/>
        <w:rPr>
          <w:rFonts w:asciiTheme="majorHAnsi" w:hAnsiTheme="majorHAnsi" w:cstheme="majorHAnsi"/>
          <w:b/>
          <w:bCs/>
          <w:iCs/>
          <w:sz w:val="24"/>
          <w:szCs w:val="24"/>
          <w:lang w:val="ro-MD"/>
        </w:rPr>
      </w:pPr>
      <w:r>
        <w:rPr>
          <w:rFonts w:asciiTheme="majorHAnsi" w:hAnsiTheme="majorHAnsi" w:cstheme="majorHAnsi"/>
          <w:b/>
          <w:bCs/>
          <w:iCs/>
          <w:sz w:val="24"/>
          <w:szCs w:val="24"/>
          <w:lang w:val="ru-RU"/>
        </w:rPr>
        <w:t>Аудиторская группа</w:t>
      </w:r>
      <w:r w:rsidR="002733E9" w:rsidRPr="003F13BC">
        <w:rPr>
          <w:rFonts w:asciiTheme="majorHAnsi" w:hAnsiTheme="majorHAnsi" w:cstheme="majorHAnsi"/>
          <w:b/>
          <w:bCs/>
          <w:iCs/>
          <w:sz w:val="24"/>
          <w:szCs w:val="24"/>
          <w:lang w:val="ro-MD"/>
        </w:rPr>
        <w:t>:</w:t>
      </w:r>
    </w:p>
    <w:p w14:paraId="2B5108E1" w14:textId="5D658BD3" w:rsidR="002733E9" w:rsidRPr="003F13BC" w:rsidRDefault="00A43D5F" w:rsidP="002733E9">
      <w:pPr>
        <w:tabs>
          <w:tab w:val="left" w:pos="1080"/>
        </w:tabs>
        <w:spacing w:after="0" w:line="276" w:lineRule="auto"/>
        <w:contextualSpacing/>
        <w:jc w:val="both"/>
        <w:rPr>
          <w:rFonts w:asciiTheme="majorHAnsi" w:hAnsiTheme="majorHAnsi" w:cstheme="majorHAnsi"/>
          <w:bCs/>
          <w:iCs/>
          <w:sz w:val="24"/>
          <w:szCs w:val="24"/>
          <w:lang w:val="ro-MD"/>
        </w:rPr>
      </w:pPr>
      <w:r>
        <w:rPr>
          <w:rFonts w:asciiTheme="majorHAnsi" w:hAnsiTheme="majorHAnsi" w:cstheme="majorHAnsi"/>
          <w:bCs/>
          <w:iCs/>
          <w:sz w:val="24"/>
          <w:szCs w:val="24"/>
          <w:lang w:val="ru-RU"/>
        </w:rPr>
        <w:t>Руководитель аудиторской группы</w:t>
      </w:r>
      <w:r w:rsidR="002733E9" w:rsidRPr="003F13BC">
        <w:rPr>
          <w:rFonts w:asciiTheme="majorHAnsi" w:hAnsiTheme="majorHAnsi" w:cstheme="majorHAnsi"/>
          <w:bCs/>
          <w:iCs/>
          <w:sz w:val="24"/>
          <w:szCs w:val="24"/>
          <w:lang w:val="ro-MD"/>
        </w:rPr>
        <w:t xml:space="preserve">, </w:t>
      </w:r>
    </w:p>
    <w:p w14:paraId="5ECE6A84" w14:textId="53C825FC" w:rsidR="002733E9" w:rsidRPr="003F13BC" w:rsidRDefault="00A43D5F" w:rsidP="002733E9">
      <w:pPr>
        <w:tabs>
          <w:tab w:val="left" w:pos="1080"/>
        </w:tabs>
        <w:spacing w:after="0" w:line="276" w:lineRule="auto"/>
        <w:contextualSpacing/>
        <w:jc w:val="both"/>
        <w:rPr>
          <w:rFonts w:asciiTheme="majorHAnsi" w:hAnsiTheme="majorHAnsi" w:cstheme="majorHAnsi"/>
          <w:sz w:val="24"/>
          <w:szCs w:val="24"/>
          <w:lang w:val="ro-MD"/>
        </w:rPr>
      </w:pPr>
      <w:r>
        <w:rPr>
          <w:rFonts w:asciiTheme="majorHAnsi" w:hAnsiTheme="majorHAnsi" w:cstheme="majorHAnsi"/>
          <w:sz w:val="24"/>
          <w:szCs w:val="24"/>
          <w:lang w:val="ru-RU"/>
        </w:rPr>
        <w:t>Начальник Управления аудита</w:t>
      </w:r>
      <w:r w:rsidR="002733E9" w:rsidRPr="003F13BC">
        <w:rPr>
          <w:rFonts w:asciiTheme="majorHAnsi" w:hAnsiTheme="majorHAnsi" w:cstheme="majorHAnsi"/>
          <w:sz w:val="24"/>
          <w:szCs w:val="24"/>
          <w:lang w:val="ro-MD"/>
        </w:rPr>
        <w:t xml:space="preserve"> I </w:t>
      </w:r>
    </w:p>
    <w:p w14:paraId="446C886A" w14:textId="3F3E1A4B" w:rsidR="00A73003" w:rsidRPr="00A43D5F" w:rsidRDefault="00A43D5F" w:rsidP="002733E9">
      <w:pPr>
        <w:tabs>
          <w:tab w:val="left" w:pos="1080"/>
        </w:tabs>
        <w:spacing w:after="0" w:line="276" w:lineRule="auto"/>
        <w:contextualSpacing/>
        <w:jc w:val="both"/>
        <w:rPr>
          <w:rFonts w:asciiTheme="majorHAnsi" w:hAnsiTheme="majorHAnsi" w:cstheme="majorHAnsi"/>
          <w:sz w:val="24"/>
          <w:szCs w:val="24"/>
          <w:lang w:val="ru-RU"/>
        </w:rPr>
      </w:pPr>
      <w:r>
        <w:rPr>
          <w:rFonts w:asciiTheme="majorHAnsi" w:hAnsiTheme="majorHAnsi" w:cstheme="majorHAnsi"/>
          <w:sz w:val="24"/>
          <w:szCs w:val="24"/>
          <w:lang w:val="ru-RU"/>
        </w:rPr>
        <w:t>в рамках Главного управления аудита</w:t>
      </w:r>
      <w:r w:rsidR="002733E9" w:rsidRPr="003F13BC">
        <w:rPr>
          <w:rFonts w:asciiTheme="majorHAnsi" w:hAnsiTheme="majorHAnsi" w:cstheme="majorHAnsi"/>
          <w:sz w:val="24"/>
          <w:szCs w:val="24"/>
          <w:lang w:val="ro-MD"/>
        </w:rPr>
        <w:t xml:space="preserve"> II,</w:t>
      </w:r>
      <w:r w:rsidR="002733E9" w:rsidRPr="003F13BC">
        <w:rPr>
          <w:rFonts w:asciiTheme="majorHAnsi" w:hAnsiTheme="majorHAnsi" w:cstheme="majorHAnsi"/>
          <w:sz w:val="24"/>
          <w:szCs w:val="24"/>
          <w:lang w:val="ro-MD"/>
        </w:rPr>
        <w:tab/>
      </w:r>
      <w:r w:rsidR="002733E9" w:rsidRPr="003F13BC">
        <w:rPr>
          <w:rFonts w:asciiTheme="majorHAnsi" w:hAnsiTheme="majorHAnsi" w:cstheme="majorHAnsi"/>
          <w:sz w:val="24"/>
          <w:szCs w:val="24"/>
          <w:lang w:val="ro-MD"/>
        </w:rPr>
        <w:tab/>
      </w:r>
      <w:r w:rsidR="002733E9" w:rsidRPr="003F13BC">
        <w:rPr>
          <w:rFonts w:asciiTheme="majorHAnsi" w:hAnsiTheme="majorHAnsi" w:cstheme="majorHAnsi"/>
          <w:sz w:val="24"/>
          <w:szCs w:val="24"/>
          <w:lang w:val="ro-MD"/>
        </w:rPr>
        <w:tab/>
      </w:r>
      <w:r w:rsidR="002733E9" w:rsidRPr="003F13BC">
        <w:rPr>
          <w:rFonts w:asciiTheme="majorHAnsi" w:hAnsiTheme="majorHAnsi" w:cstheme="majorHAnsi"/>
          <w:sz w:val="24"/>
          <w:szCs w:val="24"/>
          <w:lang w:val="ro-MD"/>
        </w:rPr>
        <w:tab/>
      </w:r>
      <w:r w:rsidR="002733E9" w:rsidRPr="003F13BC">
        <w:rPr>
          <w:rFonts w:asciiTheme="majorHAnsi" w:hAnsiTheme="majorHAnsi" w:cstheme="majorHAnsi"/>
          <w:sz w:val="24"/>
          <w:szCs w:val="24"/>
          <w:lang w:val="ro-MD"/>
        </w:rPr>
        <w:tab/>
      </w:r>
      <w:r>
        <w:rPr>
          <w:rFonts w:asciiTheme="majorHAnsi" w:hAnsiTheme="majorHAnsi" w:cstheme="majorHAnsi"/>
          <w:sz w:val="24"/>
          <w:szCs w:val="24"/>
          <w:lang w:val="ru-RU"/>
        </w:rPr>
        <w:t>Ирина Рогачев</w:t>
      </w:r>
    </w:p>
    <w:p w14:paraId="2FD92E6F" w14:textId="0DBA7022" w:rsidR="002733E9" w:rsidRPr="003F13BC" w:rsidRDefault="002733E9" w:rsidP="002733E9">
      <w:pPr>
        <w:tabs>
          <w:tab w:val="left" w:pos="1080"/>
        </w:tabs>
        <w:spacing w:after="0" w:line="276" w:lineRule="auto"/>
        <w:contextualSpacing/>
        <w:jc w:val="both"/>
        <w:rPr>
          <w:rFonts w:asciiTheme="majorHAnsi" w:hAnsiTheme="majorHAnsi" w:cstheme="majorHAnsi"/>
          <w:sz w:val="24"/>
          <w:szCs w:val="24"/>
          <w:lang w:val="ro-MD"/>
        </w:rPr>
      </w:pPr>
      <w:r w:rsidRPr="003F13BC">
        <w:rPr>
          <w:rFonts w:asciiTheme="majorHAnsi" w:hAnsiTheme="majorHAnsi" w:cstheme="majorHAnsi"/>
          <w:sz w:val="24"/>
          <w:szCs w:val="24"/>
          <w:lang w:val="ro-MD"/>
        </w:rPr>
        <w:tab/>
      </w:r>
    </w:p>
    <w:p w14:paraId="0D4242BD" w14:textId="0B92F70A" w:rsidR="002733E9" w:rsidRPr="003F13BC" w:rsidRDefault="00A43D5F" w:rsidP="002733E9">
      <w:pPr>
        <w:tabs>
          <w:tab w:val="left" w:pos="1080"/>
        </w:tabs>
        <w:spacing w:after="0" w:line="276" w:lineRule="auto"/>
        <w:contextualSpacing/>
        <w:jc w:val="both"/>
        <w:rPr>
          <w:rFonts w:asciiTheme="majorHAnsi" w:hAnsiTheme="majorHAnsi" w:cstheme="majorHAnsi"/>
          <w:sz w:val="24"/>
          <w:szCs w:val="24"/>
          <w:lang w:val="ro-MD"/>
        </w:rPr>
      </w:pPr>
      <w:r>
        <w:rPr>
          <w:rFonts w:asciiTheme="majorHAnsi" w:hAnsiTheme="majorHAnsi" w:cstheme="majorHAnsi"/>
          <w:sz w:val="24"/>
          <w:szCs w:val="24"/>
          <w:lang w:val="ru-RU"/>
        </w:rPr>
        <w:t>Главный публичный аудитор</w:t>
      </w:r>
      <w:r w:rsidR="002733E9" w:rsidRPr="003F13BC">
        <w:rPr>
          <w:rFonts w:asciiTheme="majorHAnsi" w:hAnsiTheme="majorHAnsi" w:cstheme="majorHAnsi"/>
          <w:sz w:val="24"/>
          <w:szCs w:val="24"/>
          <w:lang w:val="ro-MD"/>
        </w:rPr>
        <w:t>,</w:t>
      </w:r>
      <w:r w:rsidR="002733E9" w:rsidRPr="003F13BC">
        <w:rPr>
          <w:rFonts w:asciiTheme="majorHAnsi" w:hAnsiTheme="majorHAnsi" w:cstheme="majorHAnsi"/>
          <w:sz w:val="24"/>
          <w:szCs w:val="24"/>
          <w:lang w:val="ro-MD"/>
        </w:rPr>
        <w:tab/>
      </w:r>
      <w:r w:rsidR="002733E9" w:rsidRPr="003F13BC">
        <w:rPr>
          <w:rFonts w:asciiTheme="majorHAnsi" w:hAnsiTheme="majorHAnsi" w:cstheme="majorHAnsi"/>
          <w:sz w:val="24"/>
          <w:szCs w:val="24"/>
          <w:lang w:val="ro-MD"/>
        </w:rPr>
        <w:tab/>
      </w:r>
      <w:r w:rsidR="002733E9" w:rsidRPr="003F13BC">
        <w:rPr>
          <w:rFonts w:asciiTheme="majorHAnsi" w:hAnsiTheme="majorHAnsi" w:cstheme="majorHAnsi"/>
          <w:sz w:val="24"/>
          <w:szCs w:val="24"/>
          <w:lang w:val="ro-MD"/>
        </w:rPr>
        <w:tab/>
      </w:r>
      <w:r w:rsidR="002733E9" w:rsidRPr="003F13BC">
        <w:rPr>
          <w:rFonts w:asciiTheme="majorHAnsi" w:hAnsiTheme="majorHAnsi" w:cstheme="majorHAnsi"/>
          <w:sz w:val="24"/>
          <w:szCs w:val="24"/>
          <w:lang w:val="ro-MD"/>
        </w:rPr>
        <w:tab/>
      </w:r>
      <w:r w:rsidR="002733E9" w:rsidRPr="003F13BC">
        <w:rPr>
          <w:rFonts w:asciiTheme="majorHAnsi" w:hAnsiTheme="majorHAnsi" w:cstheme="majorHAnsi"/>
          <w:sz w:val="24"/>
          <w:szCs w:val="24"/>
          <w:lang w:val="ro-MD"/>
        </w:rPr>
        <w:tab/>
      </w:r>
      <w:r w:rsidR="002733E9" w:rsidRPr="003F13BC">
        <w:rPr>
          <w:rFonts w:asciiTheme="majorHAnsi" w:hAnsiTheme="majorHAnsi" w:cstheme="majorHAnsi"/>
          <w:sz w:val="24"/>
          <w:szCs w:val="24"/>
          <w:lang w:val="ro-MD"/>
        </w:rPr>
        <w:tab/>
      </w:r>
      <w:r>
        <w:rPr>
          <w:rFonts w:asciiTheme="majorHAnsi" w:hAnsiTheme="majorHAnsi" w:cstheme="majorHAnsi"/>
          <w:sz w:val="24"/>
          <w:szCs w:val="24"/>
          <w:lang w:val="ru-RU"/>
        </w:rPr>
        <w:t>Виорика Рацой</w:t>
      </w:r>
      <w:r w:rsidR="002733E9" w:rsidRPr="003F13BC">
        <w:rPr>
          <w:rFonts w:asciiTheme="majorHAnsi" w:hAnsiTheme="majorHAnsi" w:cstheme="majorHAnsi"/>
          <w:sz w:val="24"/>
          <w:szCs w:val="24"/>
          <w:lang w:val="ro-MD"/>
        </w:rPr>
        <w:tab/>
        <w:t xml:space="preserve"> </w:t>
      </w:r>
    </w:p>
    <w:p w14:paraId="793E38BC" w14:textId="77777777" w:rsidR="00A73003" w:rsidRPr="003F13BC" w:rsidRDefault="00A73003" w:rsidP="002733E9">
      <w:pPr>
        <w:tabs>
          <w:tab w:val="left" w:pos="1080"/>
        </w:tabs>
        <w:spacing w:after="0" w:line="276" w:lineRule="auto"/>
        <w:contextualSpacing/>
        <w:jc w:val="both"/>
        <w:rPr>
          <w:rFonts w:asciiTheme="majorHAnsi" w:hAnsiTheme="majorHAnsi" w:cstheme="majorHAnsi"/>
          <w:sz w:val="24"/>
          <w:szCs w:val="24"/>
          <w:lang w:val="ro-MD"/>
        </w:rPr>
      </w:pPr>
    </w:p>
    <w:p w14:paraId="4207035C" w14:textId="3B0A3EAD" w:rsidR="002733E9" w:rsidRPr="003F13BC" w:rsidRDefault="00A43D5F" w:rsidP="002733E9">
      <w:pPr>
        <w:tabs>
          <w:tab w:val="left" w:pos="1080"/>
        </w:tabs>
        <w:spacing w:after="0" w:line="276" w:lineRule="auto"/>
        <w:contextualSpacing/>
        <w:jc w:val="both"/>
        <w:rPr>
          <w:rFonts w:asciiTheme="majorHAnsi" w:hAnsiTheme="majorHAnsi" w:cstheme="majorHAnsi"/>
          <w:sz w:val="24"/>
          <w:szCs w:val="24"/>
          <w:lang w:val="ro-MD"/>
        </w:rPr>
      </w:pPr>
      <w:r>
        <w:rPr>
          <w:rFonts w:asciiTheme="majorHAnsi" w:hAnsiTheme="majorHAnsi" w:cstheme="majorHAnsi"/>
          <w:sz w:val="24"/>
          <w:szCs w:val="24"/>
          <w:lang w:val="ru-RU"/>
        </w:rPr>
        <w:t>Главный публичный аудитор</w:t>
      </w:r>
      <w:r w:rsidR="002733E9" w:rsidRPr="003F13BC">
        <w:rPr>
          <w:rFonts w:asciiTheme="majorHAnsi" w:hAnsiTheme="majorHAnsi" w:cstheme="majorHAnsi"/>
          <w:sz w:val="24"/>
          <w:szCs w:val="24"/>
          <w:lang w:val="ro-MD"/>
        </w:rPr>
        <w:t>,</w:t>
      </w:r>
      <w:r w:rsidR="002733E9" w:rsidRPr="003F13BC">
        <w:rPr>
          <w:rFonts w:asciiTheme="majorHAnsi" w:hAnsiTheme="majorHAnsi" w:cstheme="majorHAnsi"/>
          <w:sz w:val="24"/>
          <w:szCs w:val="24"/>
          <w:lang w:val="ro-MD"/>
        </w:rPr>
        <w:tab/>
      </w:r>
      <w:r w:rsidR="002733E9" w:rsidRPr="003F13BC">
        <w:rPr>
          <w:rFonts w:asciiTheme="majorHAnsi" w:hAnsiTheme="majorHAnsi" w:cstheme="majorHAnsi"/>
          <w:sz w:val="24"/>
          <w:szCs w:val="24"/>
          <w:lang w:val="ro-MD"/>
        </w:rPr>
        <w:tab/>
      </w:r>
      <w:r w:rsidR="002733E9" w:rsidRPr="003F13BC">
        <w:rPr>
          <w:rFonts w:asciiTheme="majorHAnsi" w:hAnsiTheme="majorHAnsi" w:cstheme="majorHAnsi"/>
          <w:sz w:val="24"/>
          <w:szCs w:val="24"/>
          <w:lang w:val="ro-MD"/>
        </w:rPr>
        <w:tab/>
      </w:r>
      <w:r w:rsidR="002733E9" w:rsidRPr="003F13BC">
        <w:rPr>
          <w:rFonts w:asciiTheme="majorHAnsi" w:hAnsiTheme="majorHAnsi" w:cstheme="majorHAnsi"/>
          <w:sz w:val="24"/>
          <w:szCs w:val="24"/>
          <w:lang w:val="ro-MD"/>
        </w:rPr>
        <w:tab/>
      </w:r>
      <w:r w:rsidR="002733E9" w:rsidRPr="003F13BC">
        <w:rPr>
          <w:rFonts w:asciiTheme="majorHAnsi" w:hAnsiTheme="majorHAnsi" w:cstheme="majorHAnsi"/>
          <w:sz w:val="24"/>
          <w:szCs w:val="24"/>
          <w:lang w:val="ro-MD"/>
        </w:rPr>
        <w:tab/>
      </w:r>
      <w:r w:rsidR="002733E9" w:rsidRPr="003F13BC">
        <w:rPr>
          <w:rFonts w:asciiTheme="majorHAnsi" w:hAnsiTheme="majorHAnsi" w:cstheme="majorHAnsi"/>
          <w:sz w:val="24"/>
          <w:szCs w:val="24"/>
          <w:lang w:val="ro-MD"/>
        </w:rPr>
        <w:tab/>
      </w:r>
      <w:r>
        <w:rPr>
          <w:rFonts w:asciiTheme="majorHAnsi" w:hAnsiTheme="majorHAnsi" w:cstheme="majorHAnsi"/>
          <w:sz w:val="24"/>
          <w:szCs w:val="24"/>
          <w:lang w:val="ru-RU"/>
        </w:rPr>
        <w:t>Ана Мирон</w:t>
      </w:r>
    </w:p>
    <w:p w14:paraId="5FF6BF1F" w14:textId="77777777" w:rsidR="00A73003" w:rsidRPr="003F13BC" w:rsidRDefault="00A73003" w:rsidP="002733E9">
      <w:pPr>
        <w:tabs>
          <w:tab w:val="left" w:pos="1080"/>
        </w:tabs>
        <w:spacing w:after="0" w:line="276" w:lineRule="auto"/>
        <w:contextualSpacing/>
        <w:jc w:val="both"/>
        <w:rPr>
          <w:rFonts w:asciiTheme="majorHAnsi" w:hAnsiTheme="majorHAnsi" w:cstheme="majorHAnsi"/>
          <w:sz w:val="24"/>
          <w:szCs w:val="24"/>
          <w:lang w:val="ro-MD"/>
        </w:rPr>
      </w:pPr>
    </w:p>
    <w:p w14:paraId="2218AAD4" w14:textId="34251DEE" w:rsidR="002733E9" w:rsidRPr="003F13BC" w:rsidRDefault="00A43D5F" w:rsidP="002733E9">
      <w:pPr>
        <w:tabs>
          <w:tab w:val="left" w:pos="1080"/>
        </w:tabs>
        <w:spacing w:after="0" w:line="276" w:lineRule="auto"/>
        <w:contextualSpacing/>
        <w:jc w:val="both"/>
        <w:rPr>
          <w:rFonts w:asciiTheme="majorHAnsi" w:hAnsiTheme="majorHAnsi" w:cstheme="majorHAnsi"/>
          <w:sz w:val="24"/>
          <w:szCs w:val="24"/>
          <w:lang w:val="ro-MD"/>
        </w:rPr>
      </w:pPr>
      <w:r w:rsidRPr="00A43D5F">
        <w:rPr>
          <w:rFonts w:asciiTheme="majorHAnsi" w:hAnsiTheme="majorHAnsi" w:cstheme="majorHAnsi"/>
          <w:sz w:val="24"/>
          <w:szCs w:val="24"/>
          <w:lang w:val="ro-MD"/>
        </w:rPr>
        <w:t>Главный публичный аудитор</w:t>
      </w:r>
      <w:r w:rsidR="002733E9" w:rsidRPr="003F13BC">
        <w:rPr>
          <w:rFonts w:asciiTheme="majorHAnsi" w:hAnsiTheme="majorHAnsi" w:cstheme="majorHAnsi"/>
          <w:sz w:val="24"/>
          <w:szCs w:val="24"/>
          <w:lang w:val="ro-MD"/>
        </w:rPr>
        <w:t>,</w:t>
      </w:r>
      <w:r w:rsidR="002733E9" w:rsidRPr="003F13BC">
        <w:rPr>
          <w:rFonts w:asciiTheme="majorHAnsi" w:hAnsiTheme="majorHAnsi" w:cstheme="majorHAnsi"/>
          <w:sz w:val="24"/>
          <w:szCs w:val="24"/>
          <w:lang w:val="ro-MD"/>
        </w:rPr>
        <w:tab/>
      </w:r>
      <w:r w:rsidR="002733E9" w:rsidRPr="003F13BC">
        <w:rPr>
          <w:rFonts w:asciiTheme="majorHAnsi" w:hAnsiTheme="majorHAnsi" w:cstheme="majorHAnsi"/>
          <w:sz w:val="24"/>
          <w:szCs w:val="24"/>
          <w:lang w:val="ro-MD"/>
        </w:rPr>
        <w:tab/>
      </w:r>
      <w:r w:rsidR="002733E9" w:rsidRPr="003F13BC">
        <w:rPr>
          <w:rFonts w:asciiTheme="majorHAnsi" w:hAnsiTheme="majorHAnsi" w:cstheme="majorHAnsi"/>
          <w:sz w:val="24"/>
          <w:szCs w:val="24"/>
          <w:lang w:val="ro-MD"/>
        </w:rPr>
        <w:tab/>
      </w:r>
      <w:r w:rsidR="002733E9" w:rsidRPr="003F13BC">
        <w:rPr>
          <w:rFonts w:asciiTheme="majorHAnsi" w:hAnsiTheme="majorHAnsi" w:cstheme="majorHAnsi"/>
          <w:sz w:val="24"/>
          <w:szCs w:val="24"/>
          <w:lang w:val="ro-MD"/>
        </w:rPr>
        <w:tab/>
      </w:r>
      <w:r w:rsidR="002733E9" w:rsidRPr="003F13BC">
        <w:rPr>
          <w:rFonts w:asciiTheme="majorHAnsi" w:hAnsiTheme="majorHAnsi" w:cstheme="majorHAnsi"/>
          <w:sz w:val="24"/>
          <w:szCs w:val="24"/>
          <w:lang w:val="ro-MD"/>
        </w:rPr>
        <w:tab/>
      </w:r>
      <w:r w:rsidR="002733E9" w:rsidRPr="003F13BC">
        <w:rPr>
          <w:rFonts w:asciiTheme="majorHAnsi" w:hAnsiTheme="majorHAnsi" w:cstheme="majorHAnsi"/>
          <w:sz w:val="24"/>
          <w:szCs w:val="24"/>
          <w:lang w:val="ro-MD"/>
        </w:rPr>
        <w:tab/>
      </w:r>
      <w:r w:rsidRPr="00A43D5F">
        <w:rPr>
          <w:rFonts w:asciiTheme="majorHAnsi" w:hAnsiTheme="majorHAnsi" w:cstheme="majorHAnsi"/>
          <w:sz w:val="24"/>
          <w:szCs w:val="24"/>
          <w:lang w:val="ro-MD"/>
        </w:rPr>
        <w:t xml:space="preserve">Людмила </w:t>
      </w:r>
      <w:r>
        <w:rPr>
          <w:rFonts w:asciiTheme="majorHAnsi" w:hAnsiTheme="majorHAnsi" w:cstheme="majorHAnsi"/>
          <w:sz w:val="24"/>
          <w:szCs w:val="24"/>
          <w:lang w:val="ru-RU"/>
        </w:rPr>
        <w:t>Туря-Потынга</w:t>
      </w:r>
    </w:p>
    <w:p w14:paraId="094D50B9" w14:textId="77777777" w:rsidR="00A73003" w:rsidRPr="003F13BC" w:rsidRDefault="00A73003" w:rsidP="002733E9">
      <w:pPr>
        <w:tabs>
          <w:tab w:val="left" w:pos="1080"/>
        </w:tabs>
        <w:spacing w:after="0" w:line="276" w:lineRule="auto"/>
        <w:contextualSpacing/>
        <w:jc w:val="both"/>
        <w:rPr>
          <w:rFonts w:asciiTheme="majorHAnsi" w:hAnsiTheme="majorHAnsi" w:cstheme="majorHAnsi"/>
          <w:sz w:val="24"/>
          <w:szCs w:val="24"/>
          <w:lang w:val="ro-MD"/>
        </w:rPr>
      </w:pPr>
    </w:p>
    <w:p w14:paraId="67160D00" w14:textId="444EFADC" w:rsidR="002733E9" w:rsidRPr="003F13BC" w:rsidRDefault="00A43D5F" w:rsidP="002733E9">
      <w:pPr>
        <w:spacing w:after="0" w:line="276" w:lineRule="auto"/>
        <w:rPr>
          <w:rFonts w:asciiTheme="majorHAnsi" w:hAnsiTheme="majorHAnsi" w:cstheme="majorHAnsi"/>
          <w:b/>
          <w:bCs/>
          <w:iCs/>
          <w:sz w:val="24"/>
          <w:szCs w:val="24"/>
          <w:lang w:val="ro-MD"/>
        </w:rPr>
      </w:pPr>
      <w:r w:rsidRPr="00A43D5F">
        <w:rPr>
          <w:rFonts w:asciiTheme="majorHAnsi" w:hAnsiTheme="majorHAnsi" w:cstheme="majorHAnsi"/>
          <w:b/>
          <w:bCs/>
          <w:iCs/>
          <w:sz w:val="24"/>
          <w:szCs w:val="24"/>
          <w:lang w:val="ro-MD"/>
        </w:rPr>
        <w:t>Ответственный за аудит</w:t>
      </w:r>
      <w:r w:rsidR="002733E9" w:rsidRPr="003F13BC">
        <w:rPr>
          <w:rFonts w:asciiTheme="majorHAnsi" w:hAnsiTheme="majorHAnsi" w:cstheme="majorHAnsi"/>
          <w:b/>
          <w:bCs/>
          <w:iCs/>
          <w:sz w:val="24"/>
          <w:szCs w:val="24"/>
          <w:lang w:val="ro-MD"/>
        </w:rPr>
        <w:t xml:space="preserve">: </w:t>
      </w:r>
    </w:p>
    <w:p w14:paraId="6E95F13F" w14:textId="77777777" w:rsidR="00A43D5F" w:rsidRDefault="00A43D5F" w:rsidP="00620335">
      <w:pPr>
        <w:tabs>
          <w:tab w:val="left" w:pos="1080"/>
        </w:tabs>
        <w:spacing w:after="0" w:line="276" w:lineRule="auto"/>
        <w:contextualSpacing/>
        <w:jc w:val="both"/>
        <w:rPr>
          <w:rFonts w:asciiTheme="majorHAnsi" w:hAnsiTheme="majorHAnsi" w:cstheme="majorHAnsi"/>
          <w:sz w:val="24"/>
          <w:szCs w:val="24"/>
          <w:lang w:val="ru-RU"/>
        </w:rPr>
      </w:pPr>
      <w:r w:rsidRPr="00A43D5F">
        <w:rPr>
          <w:rFonts w:asciiTheme="majorHAnsi" w:hAnsiTheme="majorHAnsi" w:cstheme="majorHAnsi"/>
          <w:sz w:val="24"/>
          <w:szCs w:val="24"/>
          <w:lang w:val="ro-MD"/>
        </w:rPr>
        <w:t>Начальник</w:t>
      </w:r>
      <w:r w:rsidR="002733E9" w:rsidRPr="003F13BC">
        <w:rPr>
          <w:rFonts w:asciiTheme="majorHAnsi" w:hAnsiTheme="majorHAnsi" w:cstheme="majorHAnsi"/>
          <w:sz w:val="24"/>
          <w:szCs w:val="24"/>
          <w:lang w:val="ro-MD"/>
        </w:rPr>
        <w:t xml:space="preserve"> </w:t>
      </w:r>
      <w:r>
        <w:rPr>
          <w:rFonts w:asciiTheme="majorHAnsi" w:hAnsiTheme="majorHAnsi" w:cstheme="majorHAnsi"/>
          <w:sz w:val="24"/>
          <w:szCs w:val="24"/>
          <w:lang w:val="ru-RU"/>
        </w:rPr>
        <w:t>Главного управления аудита</w:t>
      </w:r>
      <w:r w:rsidR="002733E9" w:rsidRPr="003F13BC">
        <w:rPr>
          <w:rFonts w:asciiTheme="majorHAnsi" w:hAnsiTheme="majorHAnsi" w:cstheme="majorHAnsi"/>
          <w:sz w:val="24"/>
          <w:szCs w:val="24"/>
          <w:lang w:val="ro-MD"/>
        </w:rPr>
        <w:t xml:space="preserve"> II,</w:t>
      </w:r>
      <w:r w:rsidR="002733E9" w:rsidRPr="003F13BC">
        <w:rPr>
          <w:rFonts w:asciiTheme="majorHAnsi" w:hAnsiTheme="majorHAnsi" w:cstheme="majorHAnsi"/>
          <w:sz w:val="24"/>
          <w:szCs w:val="24"/>
          <w:lang w:val="ro-MD"/>
        </w:rPr>
        <w:tab/>
      </w:r>
      <w:r w:rsidR="002733E9" w:rsidRPr="003F13BC">
        <w:rPr>
          <w:rFonts w:asciiTheme="majorHAnsi" w:hAnsiTheme="majorHAnsi" w:cstheme="majorHAnsi"/>
          <w:sz w:val="24"/>
          <w:szCs w:val="24"/>
          <w:lang w:val="ro-MD"/>
        </w:rPr>
        <w:tab/>
      </w:r>
      <w:r w:rsidR="002733E9" w:rsidRPr="003F13BC">
        <w:rPr>
          <w:rFonts w:asciiTheme="majorHAnsi" w:hAnsiTheme="majorHAnsi" w:cstheme="majorHAnsi"/>
          <w:sz w:val="24"/>
          <w:szCs w:val="24"/>
          <w:lang w:val="ro-MD"/>
        </w:rPr>
        <w:tab/>
      </w:r>
      <w:r w:rsidR="002733E9" w:rsidRPr="003F13BC">
        <w:rPr>
          <w:rFonts w:asciiTheme="majorHAnsi" w:hAnsiTheme="majorHAnsi" w:cstheme="majorHAnsi"/>
          <w:sz w:val="24"/>
          <w:szCs w:val="24"/>
          <w:lang w:val="ro-MD"/>
        </w:rPr>
        <w:tab/>
      </w:r>
      <w:r w:rsidR="002733E9" w:rsidRPr="003F13BC">
        <w:rPr>
          <w:rFonts w:asciiTheme="majorHAnsi" w:hAnsiTheme="majorHAnsi" w:cstheme="majorHAnsi"/>
          <w:sz w:val="24"/>
          <w:szCs w:val="24"/>
          <w:lang w:val="ro-MD"/>
        </w:rPr>
        <w:tab/>
      </w:r>
      <w:r>
        <w:rPr>
          <w:rFonts w:asciiTheme="majorHAnsi" w:hAnsiTheme="majorHAnsi" w:cstheme="majorHAnsi"/>
          <w:sz w:val="24"/>
          <w:szCs w:val="24"/>
          <w:lang w:val="ru-RU"/>
        </w:rPr>
        <w:t>София Чувальски</w:t>
      </w:r>
    </w:p>
    <w:p w14:paraId="181BAD32" w14:textId="77777777" w:rsidR="00A43D5F" w:rsidRDefault="00A43D5F" w:rsidP="00620335">
      <w:pPr>
        <w:tabs>
          <w:tab w:val="left" w:pos="1080"/>
        </w:tabs>
        <w:spacing w:after="0" w:line="276" w:lineRule="auto"/>
        <w:contextualSpacing/>
        <w:jc w:val="both"/>
        <w:rPr>
          <w:rFonts w:asciiTheme="majorHAnsi" w:hAnsiTheme="majorHAnsi" w:cstheme="majorHAnsi"/>
          <w:sz w:val="24"/>
          <w:szCs w:val="24"/>
          <w:lang w:val="ru-RU"/>
        </w:rPr>
      </w:pPr>
    </w:p>
    <w:p w14:paraId="45E80662" w14:textId="2114054A" w:rsidR="002733E9" w:rsidRPr="00B13B9A" w:rsidRDefault="002733E9" w:rsidP="00620335">
      <w:pPr>
        <w:tabs>
          <w:tab w:val="left" w:pos="1080"/>
        </w:tabs>
        <w:spacing w:after="0" w:line="276" w:lineRule="auto"/>
        <w:contextualSpacing/>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 xml:space="preserve"> </w:t>
      </w:r>
    </w:p>
    <w:p w14:paraId="23425740" w14:textId="77777777" w:rsidR="00DB333D" w:rsidRDefault="00DB333D" w:rsidP="00C5192A">
      <w:pPr>
        <w:pStyle w:val="cn"/>
        <w:spacing w:line="276" w:lineRule="auto"/>
        <w:ind w:right="71"/>
        <w:jc w:val="both"/>
        <w:outlineLvl w:val="0"/>
        <w:rPr>
          <w:rFonts w:asciiTheme="majorHAnsi" w:eastAsiaTheme="minorHAnsi" w:hAnsiTheme="majorHAnsi" w:cstheme="minorHAnsi"/>
          <w:b/>
          <w:lang w:val="ro-MD" w:eastAsia="en-US"/>
        </w:rPr>
        <w:sectPr w:rsidR="00DB333D" w:rsidSect="00DB333D">
          <w:footerReference w:type="default" r:id="rId19"/>
          <w:pgSz w:w="12240" w:h="15840"/>
          <w:pgMar w:top="851" w:right="758" w:bottom="1134" w:left="1701" w:header="708" w:footer="708" w:gutter="0"/>
          <w:cols w:space="708"/>
          <w:titlePg/>
          <w:docGrid w:linePitch="360"/>
        </w:sectPr>
      </w:pPr>
    </w:p>
    <w:p w14:paraId="35B008F9" w14:textId="3213236A" w:rsidR="00E276FD" w:rsidRPr="00B13B9A" w:rsidRDefault="001A0E43" w:rsidP="00C5192A">
      <w:pPr>
        <w:pStyle w:val="cn"/>
        <w:spacing w:line="276" w:lineRule="auto"/>
        <w:ind w:right="71"/>
        <w:jc w:val="both"/>
        <w:outlineLvl w:val="0"/>
        <w:rPr>
          <w:rFonts w:asciiTheme="majorHAnsi" w:eastAsiaTheme="minorHAnsi" w:hAnsiTheme="majorHAnsi" w:cstheme="minorHAnsi"/>
          <w:b/>
          <w:lang w:val="ro-MD" w:eastAsia="en-US"/>
        </w:rPr>
      </w:pPr>
      <w:bookmarkStart w:id="52" w:name="_Toc158317254"/>
      <w:r w:rsidRPr="00B13B9A">
        <w:rPr>
          <w:rFonts w:asciiTheme="majorHAnsi" w:eastAsiaTheme="minorHAnsi" w:hAnsiTheme="majorHAnsi" w:cstheme="minorHAnsi"/>
          <w:b/>
          <w:lang w:val="ro-MD" w:eastAsia="en-US"/>
        </w:rPr>
        <w:t>ANEXE</w:t>
      </w:r>
      <w:bookmarkEnd w:id="52"/>
    </w:p>
    <w:p w14:paraId="3D54FBD1" w14:textId="1378FB3E" w:rsidR="001A0E43" w:rsidRPr="00B13B9A" w:rsidRDefault="001A0E43" w:rsidP="00764FE8">
      <w:pPr>
        <w:pStyle w:val="3"/>
        <w:jc w:val="right"/>
        <w:rPr>
          <w:rFonts w:cstheme="majorHAnsi"/>
          <w:b/>
          <w:iCs/>
          <w:color w:val="auto"/>
        </w:rPr>
      </w:pPr>
      <w:bookmarkStart w:id="53" w:name="_Toc158317255"/>
      <w:r w:rsidRPr="00B13B9A">
        <w:rPr>
          <w:rFonts w:cstheme="majorHAnsi"/>
          <w:b/>
          <w:iCs/>
          <w:color w:val="auto"/>
        </w:rPr>
        <w:t xml:space="preserve">Anexa nr. </w:t>
      </w:r>
      <w:r w:rsidR="00C47D23" w:rsidRPr="00B13B9A">
        <w:rPr>
          <w:rFonts w:cstheme="majorHAnsi"/>
          <w:b/>
          <w:iCs/>
          <w:color w:val="auto"/>
        </w:rPr>
        <w:t>1</w:t>
      </w:r>
      <w:bookmarkEnd w:id="53"/>
    </w:p>
    <w:p w14:paraId="234B449B" w14:textId="70FF622A" w:rsidR="00555C8B" w:rsidRPr="00B13B9A" w:rsidRDefault="00555C8B" w:rsidP="00DA19D1">
      <w:pPr>
        <w:jc w:val="center"/>
        <w:rPr>
          <w:b/>
          <w:lang w:val="ro-MD"/>
        </w:rPr>
      </w:pPr>
      <w:r w:rsidRPr="00B13B9A">
        <w:rPr>
          <w:rFonts w:asciiTheme="majorHAnsi" w:hAnsiTheme="majorHAnsi" w:cstheme="majorHAnsi"/>
          <w:b/>
          <w:sz w:val="24"/>
          <w:szCs w:val="24"/>
          <w:lang w:val="ro-MD"/>
        </w:rPr>
        <w:t>Responsabilită</w:t>
      </w:r>
      <w:r w:rsidR="00B13B9A" w:rsidRPr="00B13B9A">
        <w:rPr>
          <w:rFonts w:asciiTheme="majorHAnsi" w:hAnsiTheme="majorHAnsi" w:cstheme="majorHAnsi"/>
          <w:b/>
          <w:sz w:val="24"/>
          <w:szCs w:val="24"/>
          <w:lang w:val="ro-MD"/>
        </w:rPr>
        <w:t>ț</w:t>
      </w:r>
      <w:r w:rsidRPr="00B13B9A">
        <w:rPr>
          <w:rFonts w:asciiTheme="majorHAnsi" w:hAnsiTheme="majorHAnsi" w:cstheme="majorHAnsi"/>
          <w:b/>
          <w:sz w:val="24"/>
          <w:szCs w:val="24"/>
          <w:lang w:val="ro-MD"/>
        </w:rPr>
        <w:t>ile organelor de conducere</w:t>
      </w:r>
    </w:p>
    <w:tbl>
      <w:tblPr>
        <w:tblStyle w:val="a3"/>
        <w:tblW w:w="0" w:type="auto"/>
        <w:tblLook w:val="04A0" w:firstRow="1" w:lastRow="0" w:firstColumn="1" w:lastColumn="0" w:noHBand="0" w:noVBand="1"/>
      </w:tblPr>
      <w:tblGrid>
        <w:gridCol w:w="2405"/>
        <w:gridCol w:w="7274"/>
      </w:tblGrid>
      <w:tr w:rsidR="00784827" w:rsidRPr="00B13B9A" w14:paraId="4657FA42" w14:textId="77777777" w:rsidTr="00E61DB8">
        <w:tc>
          <w:tcPr>
            <w:tcW w:w="2405" w:type="dxa"/>
          </w:tcPr>
          <w:p w14:paraId="004D6615" w14:textId="2E3527A8" w:rsidR="00784827" w:rsidRPr="00B13B9A" w:rsidRDefault="00784827" w:rsidP="00E61DB8">
            <w:pPr>
              <w:jc w:val="center"/>
              <w:rPr>
                <w:rFonts w:asciiTheme="majorHAnsi" w:hAnsiTheme="majorHAnsi" w:cstheme="majorHAnsi"/>
                <w:b/>
                <w:sz w:val="18"/>
                <w:szCs w:val="20"/>
                <w:lang w:val="ro-MD"/>
              </w:rPr>
            </w:pPr>
            <w:r w:rsidRPr="00B13B9A">
              <w:rPr>
                <w:rFonts w:asciiTheme="majorHAnsi" w:hAnsiTheme="majorHAnsi" w:cstheme="majorHAnsi"/>
                <w:b/>
                <w:sz w:val="18"/>
                <w:szCs w:val="20"/>
                <w:lang w:val="ro-MD"/>
              </w:rPr>
              <w:t>Păr</w:t>
            </w:r>
            <w:r w:rsidR="00B13B9A" w:rsidRPr="00B13B9A">
              <w:rPr>
                <w:rFonts w:asciiTheme="majorHAnsi" w:hAnsiTheme="majorHAnsi" w:cstheme="majorHAnsi"/>
                <w:b/>
                <w:sz w:val="18"/>
                <w:szCs w:val="20"/>
                <w:lang w:val="ro-MD"/>
              </w:rPr>
              <w:t>ț</w:t>
            </w:r>
            <w:r w:rsidRPr="00B13B9A">
              <w:rPr>
                <w:rFonts w:asciiTheme="majorHAnsi" w:hAnsiTheme="majorHAnsi" w:cstheme="majorHAnsi"/>
                <w:b/>
                <w:sz w:val="18"/>
                <w:szCs w:val="20"/>
                <w:lang w:val="ro-MD"/>
              </w:rPr>
              <w:t>ile implicate</w:t>
            </w:r>
          </w:p>
        </w:tc>
        <w:tc>
          <w:tcPr>
            <w:tcW w:w="7274" w:type="dxa"/>
          </w:tcPr>
          <w:p w14:paraId="3451EF59" w14:textId="70195A3E" w:rsidR="00784827" w:rsidRPr="00B13B9A" w:rsidRDefault="00784827" w:rsidP="00E61DB8">
            <w:pPr>
              <w:pStyle w:val="a7"/>
              <w:tabs>
                <w:tab w:val="left" w:pos="851"/>
                <w:tab w:val="left" w:pos="993"/>
              </w:tabs>
              <w:ind w:left="360"/>
              <w:jc w:val="center"/>
              <w:rPr>
                <w:rFonts w:asciiTheme="majorHAnsi" w:hAnsiTheme="majorHAnsi" w:cstheme="majorHAnsi"/>
                <w:b/>
                <w:color w:val="000000" w:themeColor="text1"/>
                <w:sz w:val="18"/>
                <w:szCs w:val="20"/>
                <w:lang w:val="ro-MD"/>
              </w:rPr>
            </w:pPr>
            <w:r w:rsidRPr="00B13B9A">
              <w:rPr>
                <w:rFonts w:asciiTheme="majorHAnsi" w:hAnsiTheme="majorHAnsi" w:cstheme="majorHAnsi"/>
                <w:b/>
                <w:color w:val="000000" w:themeColor="text1"/>
                <w:sz w:val="18"/>
                <w:szCs w:val="20"/>
                <w:lang w:val="ro-MD"/>
              </w:rPr>
              <w:t>Func</w:t>
            </w:r>
            <w:r w:rsidR="00B13B9A" w:rsidRPr="00B13B9A">
              <w:rPr>
                <w:rFonts w:asciiTheme="majorHAnsi" w:hAnsiTheme="majorHAnsi" w:cstheme="majorHAnsi"/>
                <w:b/>
                <w:color w:val="000000" w:themeColor="text1"/>
                <w:sz w:val="18"/>
                <w:szCs w:val="20"/>
                <w:lang w:val="ro-MD"/>
              </w:rPr>
              <w:t>ț</w:t>
            </w:r>
            <w:r w:rsidRPr="00B13B9A">
              <w:rPr>
                <w:rFonts w:asciiTheme="majorHAnsi" w:hAnsiTheme="majorHAnsi" w:cstheme="majorHAnsi"/>
                <w:b/>
                <w:color w:val="000000" w:themeColor="text1"/>
                <w:sz w:val="18"/>
                <w:szCs w:val="20"/>
                <w:lang w:val="ro-MD"/>
              </w:rPr>
              <w:t xml:space="preserve">ii </w:t>
            </w:r>
            <w:r w:rsidR="00B13B9A" w:rsidRPr="00B13B9A">
              <w:rPr>
                <w:rFonts w:asciiTheme="majorHAnsi" w:hAnsiTheme="majorHAnsi" w:cstheme="majorHAnsi"/>
                <w:b/>
                <w:color w:val="000000" w:themeColor="text1"/>
                <w:sz w:val="18"/>
                <w:szCs w:val="20"/>
                <w:lang w:val="ro-MD"/>
              </w:rPr>
              <w:t>ș</w:t>
            </w:r>
            <w:r w:rsidRPr="00B13B9A">
              <w:rPr>
                <w:rFonts w:asciiTheme="majorHAnsi" w:hAnsiTheme="majorHAnsi" w:cstheme="majorHAnsi"/>
                <w:b/>
                <w:color w:val="000000" w:themeColor="text1"/>
                <w:sz w:val="18"/>
                <w:szCs w:val="20"/>
                <w:lang w:val="ro-MD"/>
              </w:rPr>
              <w:t>i atribu</w:t>
            </w:r>
            <w:r w:rsidR="00B13B9A" w:rsidRPr="00B13B9A">
              <w:rPr>
                <w:rFonts w:asciiTheme="majorHAnsi" w:hAnsiTheme="majorHAnsi" w:cstheme="majorHAnsi"/>
                <w:b/>
                <w:color w:val="000000" w:themeColor="text1"/>
                <w:sz w:val="18"/>
                <w:szCs w:val="20"/>
                <w:lang w:val="ro-MD"/>
              </w:rPr>
              <w:t>ț</w:t>
            </w:r>
            <w:r w:rsidRPr="00B13B9A">
              <w:rPr>
                <w:rFonts w:asciiTheme="majorHAnsi" w:hAnsiTheme="majorHAnsi" w:cstheme="majorHAnsi"/>
                <w:b/>
                <w:color w:val="000000" w:themeColor="text1"/>
                <w:sz w:val="18"/>
                <w:szCs w:val="20"/>
                <w:lang w:val="ro-MD"/>
              </w:rPr>
              <w:t>ii</w:t>
            </w:r>
          </w:p>
        </w:tc>
      </w:tr>
      <w:tr w:rsidR="00784827" w:rsidRPr="001924A7" w14:paraId="36AA9DF9" w14:textId="77777777" w:rsidTr="00E61DB8">
        <w:tc>
          <w:tcPr>
            <w:tcW w:w="2405" w:type="dxa"/>
          </w:tcPr>
          <w:p w14:paraId="38287E6F" w14:textId="21A2E863" w:rsidR="00784827" w:rsidRPr="00B13B9A" w:rsidRDefault="00784827" w:rsidP="00E61DB8">
            <w:pPr>
              <w:jc w:val="center"/>
              <w:rPr>
                <w:rFonts w:asciiTheme="majorHAnsi" w:hAnsiTheme="majorHAnsi" w:cstheme="majorHAnsi"/>
                <w:sz w:val="18"/>
                <w:szCs w:val="20"/>
                <w:lang w:val="ro-MD"/>
              </w:rPr>
            </w:pPr>
            <w:r w:rsidRPr="00B13B9A">
              <w:rPr>
                <w:rFonts w:asciiTheme="majorHAnsi" w:hAnsiTheme="majorHAnsi" w:cstheme="majorHAnsi"/>
                <w:b/>
                <w:sz w:val="18"/>
                <w:szCs w:val="20"/>
                <w:lang w:val="ro-MD"/>
              </w:rPr>
              <w:t>Ministerul Sănătă</w:t>
            </w:r>
            <w:r w:rsidR="00B13B9A" w:rsidRPr="00B13B9A">
              <w:rPr>
                <w:rFonts w:asciiTheme="majorHAnsi" w:hAnsiTheme="majorHAnsi" w:cstheme="majorHAnsi"/>
                <w:b/>
                <w:sz w:val="18"/>
                <w:szCs w:val="20"/>
                <w:lang w:val="ro-MD"/>
              </w:rPr>
              <w:t>ț</w:t>
            </w:r>
            <w:r w:rsidRPr="00B13B9A">
              <w:rPr>
                <w:rFonts w:asciiTheme="majorHAnsi" w:hAnsiTheme="majorHAnsi" w:cstheme="majorHAnsi"/>
                <w:b/>
                <w:sz w:val="18"/>
                <w:szCs w:val="20"/>
                <w:lang w:val="ro-MD"/>
              </w:rPr>
              <w:t>ii</w:t>
            </w:r>
            <w:r w:rsidRPr="00B13B9A">
              <w:rPr>
                <w:rFonts w:asciiTheme="majorHAnsi" w:hAnsiTheme="majorHAnsi" w:cstheme="majorHAnsi"/>
                <w:sz w:val="18"/>
                <w:szCs w:val="20"/>
                <w:lang w:val="ro-MD"/>
              </w:rPr>
              <w:t xml:space="preserve"> – fondatorul </w:t>
            </w:r>
            <w:r w:rsidR="00F431A2" w:rsidRPr="00B13B9A">
              <w:rPr>
                <w:rFonts w:asciiTheme="majorHAnsi" w:hAnsiTheme="majorHAnsi" w:cstheme="majorHAnsi"/>
                <w:color w:val="000000" w:themeColor="text1"/>
                <w:sz w:val="18"/>
                <w:szCs w:val="18"/>
                <w:lang w:val="ro-MD"/>
              </w:rPr>
              <w:t xml:space="preserve">IMSP IFP </w:t>
            </w:r>
            <w:r w:rsidR="00F431A2" w:rsidRPr="00B13B9A">
              <w:rPr>
                <w:rFonts w:asciiTheme="majorHAnsi" w:hAnsiTheme="majorHAnsi" w:cstheme="majorHAnsi"/>
                <w:sz w:val="18"/>
                <w:szCs w:val="18"/>
                <w:lang w:val="ro-MD"/>
              </w:rPr>
              <w:t>„Chiril Draganiuc”</w:t>
            </w:r>
          </w:p>
        </w:tc>
        <w:tc>
          <w:tcPr>
            <w:tcW w:w="7274" w:type="dxa"/>
          </w:tcPr>
          <w:p w14:paraId="0487349B" w14:textId="536AADC7" w:rsidR="00784827" w:rsidRPr="00B13B9A" w:rsidRDefault="00784827" w:rsidP="00241AB3">
            <w:pPr>
              <w:pStyle w:val="a7"/>
              <w:numPr>
                <w:ilvl w:val="0"/>
                <w:numId w:val="3"/>
              </w:numPr>
              <w:tabs>
                <w:tab w:val="left" w:pos="851"/>
                <w:tab w:val="left" w:pos="993"/>
              </w:tabs>
              <w:jc w:val="both"/>
              <w:rPr>
                <w:rFonts w:asciiTheme="majorHAnsi" w:hAnsiTheme="majorHAnsi" w:cstheme="majorHAnsi"/>
                <w:color w:val="000000" w:themeColor="text1"/>
                <w:sz w:val="18"/>
                <w:szCs w:val="20"/>
                <w:lang w:val="ro-MD"/>
              </w:rPr>
            </w:pPr>
            <w:r w:rsidRPr="00B13B9A">
              <w:rPr>
                <w:rFonts w:asciiTheme="majorHAnsi" w:hAnsiTheme="majorHAnsi" w:cstheme="majorHAnsi"/>
                <w:color w:val="000000" w:themeColor="text1"/>
                <w:sz w:val="18"/>
                <w:szCs w:val="20"/>
                <w:lang w:val="ro-MD"/>
              </w:rPr>
              <w:t>propune pentru adoptare decizii de fondare, reorganizare sau lichidare a institu</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iei;</w:t>
            </w:r>
          </w:p>
          <w:p w14:paraId="51F9CE56" w14:textId="253313E5" w:rsidR="00784827" w:rsidRPr="00B13B9A" w:rsidRDefault="00784827" w:rsidP="00241AB3">
            <w:pPr>
              <w:pStyle w:val="a7"/>
              <w:numPr>
                <w:ilvl w:val="0"/>
                <w:numId w:val="3"/>
              </w:numPr>
              <w:tabs>
                <w:tab w:val="left" w:pos="851"/>
                <w:tab w:val="left" w:pos="993"/>
              </w:tabs>
              <w:jc w:val="both"/>
              <w:rPr>
                <w:rFonts w:asciiTheme="majorHAnsi" w:hAnsiTheme="majorHAnsi" w:cstheme="majorHAnsi"/>
                <w:color w:val="000000" w:themeColor="text1"/>
                <w:sz w:val="18"/>
                <w:szCs w:val="20"/>
                <w:lang w:val="ro-MD"/>
              </w:rPr>
            </w:pPr>
            <w:r w:rsidRPr="00B13B9A">
              <w:rPr>
                <w:rFonts w:asciiTheme="majorHAnsi" w:hAnsiTheme="majorHAnsi" w:cstheme="majorHAnsi"/>
                <w:color w:val="000000" w:themeColor="text1"/>
                <w:sz w:val="18"/>
                <w:szCs w:val="20"/>
                <w:lang w:val="ro-MD"/>
              </w:rPr>
              <w:t xml:space="preserve">aprobă organigrama </w:t>
            </w:r>
            <w:r w:rsidR="00B13B9A" w:rsidRPr="00B13B9A">
              <w:rPr>
                <w:rFonts w:asciiTheme="majorHAnsi" w:hAnsiTheme="majorHAnsi" w:cstheme="majorHAnsi"/>
                <w:color w:val="000000" w:themeColor="text1"/>
                <w:sz w:val="18"/>
                <w:szCs w:val="20"/>
                <w:lang w:val="ro-MD"/>
              </w:rPr>
              <w:t>ș</w:t>
            </w:r>
            <w:r w:rsidRPr="00B13B9A">
              <w:rPr>
                <w:rFonts w:asciiTheme="majorHAnsi" w:hAnsiTheme="majorHAnsi" w:cstheme="majorHAnsi"/>
                <w:color w:val="000000" w:themeColor="text1"/>
                <w:sz w:val="18"/>
                <w:szCs w:val="20"/>
                <w:lang w:val="ro-MD"/>
              </w:rPr>
              <w:t>i statele de personal ale Institu</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iei;</w:t>
            </w:r>
          </w:p>
          <w:p w14:paraId="776DA3A3" w14:textId="111B60F2" w:rsidR="00784827" w:rsidRPr="00B13B9A" w:rsidRDefault="00784827" w:rsidP="00241AB3">
            <w:pPr>
              <w:pStyle w:val="a7"/>
              <w:numPr>
                <w:ilvl w:val="0"/>
                <w:numId w:val="3"/>
              </w:numPr>
              <w:tabs>
                <w:tab w:val="left" w:pos="851"/>
                <w:tab w:val="left" w:pos="993"/>
              </w:tabs>
              <w:jc w:val="both"/>
              <w:rPr>
                <w:rFonts w:asciiTheme="majorHAnsi" w:hAnsiTheme="majorHAnsi" w:cstheme="majorHAnsi"/>
                <w:color w:val="000000" w:themeColor="text1"/>
                <w:sz w:val="18"/>
                <w:szCs w:val="20"/>
                <w:lang w:val="ro-MD"/>
              </w:rPr>
            </w:pPr>
            <w:r w:rsidRPr="00B13B9A">
              <w:rPr>
                <w:rFonts w:asciiTheme="majorHAnsi" w:hAnsiTheme="majorHAnsi" w:cstheme="majorHAnsi"/>
                <w:color w:val="000000" w:themeColor="text1"/>
                <w:sz w:val="18"/>
                <w:szCs w:val="20"/>
                <w:lang w:val="ro-MD"/>
              </w:rPr>
              <w:t>transmite bunuri din administrarea Fondatorului în gestiunea economică a institu</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iei, în baza contractului de comodat;</w:t>
            </w:r>
          </w:p>
          <w:p w14:paraId="442BA1B8" w14:textId="648B34FB" w:rsidR="00784827" w:rsidRPr="00B13B9A" w:rsidRDefault="00784827" w:rsidP="00241AB3">
            <w:pPr>
              <w:pStyle w:val="a7"/>
              <w:numPr>
                <w:ilvl w:val="0"/>
                <w:numId w:val="3"/>
              </w:numPr>
              <w:tabs>
                <w:tab w:val="left" w:pos="851"/>
                <w:tab w:val="left" w:pos="993"/>
              </w:tabs>
              <w:jc w:val="both"/>
              <w:rPr>
                <w:rFonts w:asciiTheme="majorHAnsi" w:hAnsiTheme="majorHAnsi" w:cstheme="majorHAnsi"/>
                <w:color w:val="000000" w:themeColor="text1"/>
                <w:sz w:val="18"/>
                <w:szCs w:val="20"/>
                <w:lang w:val="ro-MD"/>
              </w:rPr>
            </w:pPr>
            <w:r w:rsidRPr="00B13B9A">
              <w:rPr>
                <w:rFonts w:asciiTheme="majorHAnsi" w:hAnsiTheme="majorHAnsi" w:cstheme="majorHAnsi"/>
                <w:color w:val="000000" w:themeColor="text1"/>
                <w:sz w:val="18"/>
                <w:szCs w:val="20"/>
                <w:lang w:val="ro-MD"/>
              </w:rPr>
              <w:t>aprobă tranzac</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ii cu persoane ter</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e, a căror sumă depă</w:t>
            </w:r>
            <w:r w:rsidR="00B13B9A" w:rsidRPr="00B13B9A">
              <w:rPr>
                <w:rFonts w:asciiTheme="majorHAnsi" w:hAnsiTheme="majorHAnsi" w:cstheme="majorHAnsi"/>
                <w:color w:val="000000" w:themeColor="text1"/>
                <w:sz w:val="18"/>
                <w:szCs w:val="20"/>
                <w:lang w:val="ro-MD"/>
              </w:rPr>
              <w:t>ș</w:t>
            </w:r>
            <w:r w:rsidRPr="00B13B9A">
              <w:rPr>
                <w:rFonts w:asciiTheme="majorHAnsi" w:hAnsiTheme="majorHAnsi" w:cstheme="majorHAnsi"/>
                <w:color w:val="000000" w:themeColor="text1"/>
                <w:sz w:val="18"/>
                <w:szCs w:val="20"/>
                <w:lang w:val="ro-MD"/>
              </w:rPr>
              <w:t>e</w:t>
            </w:r>
            <w:r w:rsidR="00B13B9A" w:rsidRPr="00B13B9A">
              <w:rPr>
                <w:rFonts w:asciiTheme="majorHAnsi" w:hAnsiTheme="majorHAnsi" w:cstheme="majorHAnsi"/>
                <w:color w:val="000000" w:themeColor="text1"/>
                <w:sz w:val="18"/>
                <w:szCs w:val="20"/>
                <w:lang w:val="ro-MD"/>
              </w:rPr>
              <w:t>ș</w:t>
            </w:r>
            <w:r w:rsidRPr="00B13B9A">
              <w:rPr>
                <w:rFonts w:asciiTheme="majorHAnsi" w:hAnsiTheme="majorHAnsi" w:cstheme="majorHAnsi"/>
                <w:color w:val="000000" w:themeColor="text1"/>
                <w:sz w:val="18"/>
                <w:szCs w:val="20"/>
                <w:lang w:val="ro-MD"/>
              </w:rPr>
              <w:t>te 25% din suma mijloacelor financiare planificate pentru a fi acumulate de către institu</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ie pe parcursul anului curent de activitate;</w:t>
            </w:r>
          </w:p>
          <w:p w14:paraId="58E7F346" w14:textId="5DA08BEF" w:rsidR="00784827" w:rsidRPr="00B13B9A" w:rsidRDefault="00784827" w:rsidP="00241AB3">
            <w:pPr>
              <w:pStyle w:val="a7"/>
              <w:numPr>
                <w:ilvl w:val="0"/>
                <w:numId w:val="3"/>
              </w:numPr>
              <w:tabs>
                <w:tab w:val="left" w:pos="851"/>
                <w:tab w:val="left" w:pos="993"/>
              </w:tabs>
              <w:jc w:val="both"/>
              <w:rPr>
                <w:rFonts w:asciiTheme="majorHAnsi" w:hAnsiTheme="majorHAnsi" w:cstheme="majorHAnsi"/>
                <w:color w:val="000000" w:themeColor="text1"/>
                <w:sz w:val="18"/>
                <w:szCs w:val="20"/>
                <w:lang w:val="ro-MD"/>
              </w:rPr>
            </w:pPr>
            <w:r w:rsidRPr="00B13B9A">
              <w:rPr>
                <w:rFonts w:asciiTheme="majorHAnsi" w:hAnsiTheme="majorHAnsi" w:cstheme="majorHAnsi"/>
                <w:color w:val="000000" w:themeColor="text1"/>
                <w:sz w:val="18"/>
                <w:szCs w:val="20"/>
                <w:lang w:val="ro-MD"/>
              </w:rPr>
              <w:t>coordonează contractele de loca</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 xml:space="preserve">iune/comodat a bunurilor </w:t>
            </w:r>
            <w:r w:rsidR="00B13B9A" w:rsidRPr="00B13B9A">
              <w:rPr>
                <w:rFonts w:asciiTheme="majorHAnsi" w:hAnsiTheme="majorHAnsi" w:cstheme="majorHAnsi"/>
                <w:color w:val="000000" w:themeColor="text1"/>
                <w:sz w:val="18"/>
                <w:szCs w:val="20"/>
                <w:lang w:val="ro-MD"/>
              </w:rPr>
              <w:t>ș</w:t>
            </w:r>
            <w:r w:rsidRPr="00B13B9A">
              <w:rPr>
                <w:rFonts w:asciiTheme="majorHAnsi" w:hAnsiTheme="majorHAnsi" w:cstheme="majorHAnsi"/>
                <w:color w:val="000000" w:themeColor="text1"/>
                <w:sz w:val="18"/>
                <w:szCs w:val="20"/>
                <w:lang w:val="ro-MD"/>
              </w:rPr>
              <w:t xml:space="preserve">i încăperilor, a trecerii la cheltuieli a mijloacelor fixe </w:t>
            </w:r>
            <w:r w:rsidR="00B13B9A" w:rsidRPr="00B13B9A">
              <w:rPr>
                <w:rFonts w:asciiTheme="majorHAnsi" w:hAnsiTheme="majorHAnsi" w:cstheme="majorHAnsi"/>
                <w:color w:val="000000" w:themeColor="text1"/>
                <w:sz w:val="18"/>
                <w:szCs w:val="20"/>
                <w:lang w:val="ro-MD"/>
              </w:rPr>
              <w:t>ș</w:t>
            </w:r>
            <w:r w:rsidRPr="00B13B9A">
              <w:rPr>
                <w:rFonts w:asciiTheme="majorHAnsi" w:hAnsiTheme="majorHAnsi" w:cstheme="majorHAnsi"/>
                <w:color w:val="000000" w:themeColor="text1"/>
                <w:sz w:val="18"/>
                <w:szCs w:val="20"/>
                <w:lang w:val="ro-MD"/>
              </w:rPr>
              <w:t>i a vânzării mijloacelor fixe neutilizate în activitatea Institu</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iei;</w:t>
            </w:r>
          </w:p>
          <w:p w14:paraId="556C9FB1" w14:textId="6E6770A1" w:rsidR="00784827" w:rsidRPr="00B13B9A" w:rsidRDefault="00784827" w:rsidP="00241AB3">
            <w:pPr>
              <w:pStyle w:val="a7"/>
              <w:numPr>
                <w:ilvl w:val="0"/>
                <w:numId w:val="3"/>
              </w:numPr>
              <w:tabs>
                <w:tab w:val="left" w:pos="851"/>
                <w:tab w:val="left" w:pos="993"/>
              </w:tabs>
              <w:jc w:val="both"/>
              <w:rPr>
                <w:rFonts w:asciiTheme="majorHAnsi" w:hAnsiTheme="majorHAnsi" w:cstheme="majorHAnsi"/>
                <w:color w:val="000000" w:themeColor="text1"/>
                <w:sz w:val="18"/>
                <w:szCs w:val="20"/>
                <w:lang w:val="ro-MD"/>
              </w:rPr>
            </w:pPr>
            <w:r w:rsidRPr="00B13B9A">
              <w:rPr>
                <w:rFonts w:asciiTheme="majorHAnsi" w:hAnsiTheme="majorHAnsi" w:cstheme="majorHAnsi"/>
                <w:color w:val="000000" w:themeColor="text1"/>
                <w:sz w:val="18"/>
                <w:szCs w:val="20"/>
                <w:lang w:val="ro-MD"/>
              </w:rPr>
              <w:t>aprobă, alocă mijloace financiare bugetare pentru investi</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ii în infrastructură - construc</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ia, reconstruc</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ia, repara</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 xml:space="preserve">ia capitală a edificiilor, procurarea utilajului costisitor </w:t>
            </w:r>
            <w:r w:rsidR="00B13B9A" w:rsidRPr="00B13B9A">
              <w:rPr>
                <w:rFonts w:asciiTheme="majorHAnsi" w:hAnsiTheme="majorHAnsi" w:cstheme="majorHAnsi"/>
                <w:color w:val="000000" w:themeColor="text1"/>
                <w:sz w:val="18"/>
                <w:szCs w:val="20"/>
                <w:lang w:val="ro-MD"/>
              </w:rPr>
              <w:t>ș</w:t>
            </w:r>
            <w:r w:rsidRPr="00B13B9A">
              <w:rPr>
                <w:rFonts w:asciiTheme="majorHAnsi" w:hAnsiTheme="majorHAnsi" w:cstheme="majorHAnsi"/>
                <w:color w:val="000000" w:themeColor="text1"/>
                <w:sz w:val="18"/>
                <w:szCs w:val="20"/>
                <w:lang w:val="ro-MD"/>
              </w:rPr>
              <w:t>i transportului sanitar;</w:t>
            </w:r>
          </w:p>
          <w:p w14:paraId="43372C48" w14:textId="4E9E5ADE" w:rsidR="00784827" w:rsidRPr="00B13B9A" w:rsidRDefault="00784827" w:rsidP="00241AB3">
            <w:pPr>
              <w:pStyle w:val="a7"/>
              <w:numPr>
                <w:ilvl w:val="0"/>
                <w:numId w:val="3"/>
              </w:numPr>
              <w:tabs>
                <w:tab w:val="left" w:pos="851"/>
                <w:tab w:val="left" w:pos="993"/>
              </w:tabs>
              <w:jc w:val="both"/>
              <w:rPr>
                <w:rFonts w:asciiTheme="majorHAnsi" w:hAnsiTheme="majorHAnsi" w:cstheme="majorHAnsi"/>
                <w:color w:val="000000" w:themeColor="text1"/>
                <w:sz w:val="18"/>
                <w:szCs w:val="20"/>
                <w:lang w:val="ro-MD"/>
              </w:rPr>
            </w:pPr>
            <w:r w:rsidRPr="00B13B9A">
              <w:rPr>
                <w:rFonts w:asciiTheme="majorHAnsi" w:hAnsiTheme="majorHAnsi" w:cstheme="majorHAnsi"/>
                <w:color w:val="000000" w:themeColor="text1"/>
                <w:sz w:val="18"/>
                <w:szCs w:val="20"/>
                <w:lang w:val="ro-MD"/>
              </w:rPr>
              <w:t>supune controlului activită</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ile curente ale institu</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iei, în probleme</w:t>
            </w:r>
            <w:r w:rsidR="00911AEE" w:rsidRPr="00B13B9A">
              <w:rPr>
                <w:rFonts w:asciiTheme="majorHAnsi" w:hAnsiTheme="majorHAnsi" w:cstheme="majorHAnsi"/>
                <w:color w:val="000000" w:themeColor="text1"/>
                <w:sz w:val="18"/>
                <w:szCs w:val="20"/>
                <w:lang w:val="ro-MD"/>
              </w:rPr>
              <w:t>le</w:t>
            </w:r>
            <w:r w:rsidRPr="00B13B9A">
              <w:rPr>
                <w:rFonts w:asciiTheme="majorHAnsi" w:hAnsiTheme="majorHAnsi" w:cstheme="majorHAnsi"/>
                <w:color w:val="000000" w:themeColor="text1"/>
                <w:sz w:val="18"/>
                <w:szCs w:val="20"/>
                <w:lang w:val="ro-MD"/>
              </w:rPr>
              <w:t xml:space="preserve"> ce </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in de atribu</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iile acesteia, inclusiv prin solicitarea de informa</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ii, acte, explica</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ii, rapoarte de activitate etc.</w:t>
            </w:r>
          </w:p>
        </w:tc>
      </w:tr>
      <w:tr w:rsidR="00784827" w:rsidRPr="00B13B9A" w14:paraId="6B0CFDDE" w14:textId="77777777" w:rsidTr="00E61DB8">
        <w:tc>
          <w:tcPr>
            <w:tcW w:w="2405" w:type="dxa"/>
          </w:tcPr>
          <w:p w14:paraId="7ED76852" w14:textId="41EB40B1" w:rsidR="00911AEE" w:rsidRPr="00B13B9A" w:rsidRDefault="00784827" w:rsidP="00E61DB8">
            <w:pPr>
              <w:jc w:val="center"/>
              <w:rPr>
                <w:rFonts w:asciiTheme="majorHAnsi" w:hAnsiTheme="majorHAnsi" w:cstheme="majorHAnsi"/>
                <w:sz w:val="18"/>
                <w:szCs w:val="20"/>
                <w:lang w:val="ro-MD"/>
              </w:rPr>
            </w:pPr>
            <w:r w:rsidRPr="00B13B9A">
              <w:rPr>
                <w:rFonts w:asciiTheme="majorHAnsi" w:hAnsiTheme="majorHAnsi" w:cstheme="majorHAnsi"/>
                <w:b/>
                <w:sz w:val="18"/>
                <w:szCs w:val="20"/>
                <w:lang w:val="ro-MD"/>
              </w:rPr>
              <w:t>CNAM</w:t>
            </w:r>
            <w:r w:rsidRPr="00B13B9A">
              <w:rPr>
                <w:rFonts w:asciiTheme="majorHAnsi" w:hAnsiTheme="majorHAnsi" w:cstheme="majorHAnsi"/>
                <w:sz w:val="18"/>
                <w:szCs w:val="20"/>
                <w:lang w:val="ro-MD"/>
              </w:rPr>
              <w:t xml:space="preserve"> </w:t>
            </w:r>
            <w:r w:rsidR="00911AEE" w:rsidRPr="00B13B9A">
              <w:rPr>
                <w:rFonts w:asciiTheme="majorHAnsi" w:hAnsiTheme="majorHAnsi" w:cstheme="majorHAnsi"/>
                <w:sz w:val="18"/>
                <w:szCs w:val="20"/>
                <w:lang w:val="ro-MD"/>
              </w:rPr>
              <w:t>–</w:t>
            </w:r>
          </w:p>
          <w:p w14:paraId="4A7B2ECD" w14:textId="68DCEF5B" w:rsidR="00784827" w:rsidRPr="00B13B9A" w:rsidRDefault="00784827" w:rsidP="00E61DB8">
            <w:pPr>
              <w:jc w:val="center"/>
              <w:rPr>
                <w:rFonts w:asciiTheme="majorHAnsi" w:hAnsiTheme="majorHAnsi" w:cstheme="majorHAnsi"/>
                <w:sz w:val="18"/>
                <w:szCs w:val="20"/>
                <w:lang w:val="ro-MD"/>
              </w:rPr>
            </w:pPr>
            <w:r w:rsidRPr="00B13B9A">
              <w:rPr>
                <w:rFonts w:asciiTheme="majorHAnsi" w:hAnsiTheme="majorHAnsi" w:cstheme="majorHAnsi"/>
                <w:sz w:val="18"/>
                <w:szCs w:val="20"/>
                <w:lang w:val="ro-MD"/>
              </w:rPr>
              <w:t xml:space="preserve"> gestionar al mijloacelor FAOAM</w:t>
            </w:r>
          </w:p>
        </w:tc>
        <w:tc>
          <w:tcPr>
            <w:tcW w:w="7274" w:type="dxa"/>
          </w:tcPr>
          <w:p w14:paraId="72BF440A" w14:textId="1CF2B363" w:rsidR="00784827" w:rsidRPr="00B13B9A" w:rsidRDefault="00784827" w:rsidP="00241AB3">
            <w:pPr>
              <w:pStyle w:val="a7"/>
              <w:numPr>
                <w:ilvl w:val="0"/>
                <w:numId w:val="4"/>
              </w:numPr>
              <w:rPr>
                <w:rFonts w:asciiTheme="majorHAnsi" w:hAnsiTheme="majorHAnsi" w:cstheme="majorHAnsi"/>
                <w:sz w:val="18"/>
                <w:szCs w:val="20"/>
                <w:lang w:val="ro-MD"/>
              </w:rPr>
            </w:pPr>
            <w:r w:rsidRPr="00B13B9A">
              <w:rPr>
                <w:rFonts w:asciiTheme="majorHAnsi" w:hAnsiTheme="majorHAnsi" w:cstheme="majorHAnsi"/>
                <w:sz w:val="18"/>
                <w:szCs w:val="20"/>
                <w:lang w:val="ro-MD"/>
              </w:rPr>
              <w:t>asigură organizarea, desfă</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 xml:space="preserve">urarea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dirijarea procesului de asigurare obligatorie de asisten</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 xml:space="preserve">ă medicală; </w:t>
            </w:r>
          </w:p>
          <w:p w14:paraId="2EA21E1B" w14:textId="76C8721C" w:rsidR="00784827" w:rsidRPr="00B13B9A" w:rsidRDefault="008C6A31" w:rsidP="00241AB3">
            <w:pPr>
              <w:pStyle w:val="a7"/>
              <w:numPr>
                <w:ilvl w:val="0"/>
                <w:numId w:val="4"/>
              </w:numPr>
              <w:rPr>
                <w:rFonts w:asciiTheme="majorHAnsi" w:hAnsiTheme="majorHAnsi" w:cstheme="majorHAnsi"/>
                <w:sz w:val="18"/>
                <w:szCs w:val="20"/>
                <w:lang w:val="ro-MD"/>
              </w:rPr>
            </w:pPr>
            <w:r w:rsidRPr="00B13B9A">
              <w:rPr>
                <w:rFonts w:asciiTheme="majorHAnsi" w:hAnsiTheme="majorHAnsi" w:cstheme="majorHAnsi"/>
                <w:sz w:val="18"/>
                <w:szCs w:val="20"/>
                <w:lang w:val="ro-MD"/>
              </w:rPr>
              <w:t xml:space="preserve">asigură </w:t>
            </w:r>
            <w:r w:rsidR="00784827" w:rsidRPr="00B13B9A">
              <w:rPr>
                <w:rFonts w:asciiTheme="majorHAnsi" w:hAnsiTheme="majorHAnsi" w:cstheme="majorHAnsi"/>
                <w:sz w:val="18"/>
                <w:szCs w:val="20"/>
                <w:lang w:val="ro-MD"/>
              </w:rPr>
              <w:t>controlul calită</w:t>
            </w:r>
            <w:r w:rsidR="00B13B9A" w:rsidRPr="00B13B9A">
              <w:rPr>
                <w:rFonts w:asciiTheme="majorHAnsi" w:hAnsiTheme="majorHAnsi" w:cstheme="majorHAnsi"/>
                <w:sz w:val="18"/>
                <w:szCs w:val="20"/>
                <w:lang w:val="ro-MD"/>
              </w:rPr>
              <w:t>ț</w:t>
            </w:r>
            <w:r w:rsidR="00784827" w:rsidRPr="00B13B9A">
              <w:rPr>
                <w:rFonts w:asciiTheme="majorHAnsi" w:hAnsiTheme="majorHAnsi" w:cstheme="majorHAnsi"/>
                <w:sz w:val="18"/>
                <w:szCs w:val="20"/>
                <w:lang w:val="ro-MD"/>
              </w:rPr>
              <w:t>ii asisten</w:t>
            </w:r>
            <w:r w:rsidR="00B13B9A" w:rsidRPr="00B13B9A">
              <w:rPr>
                <w:rFonts w:asciiTheme="majorHAnsi" w:hAnsiTheme="majorHAnsi" w:cstheme="majorHAnsi"/>
                <w:sz w:val="18"/>
                <w:szCs w:val="20"/>
                <w:lang w:val="ro-MD"/>
              </w:rPr>
              <w:t>ț</w:t>
            </w:r>
            <w:r w:rsidR="00784827" w:rsidRPr="00B13B9A">
              <w:rPr>
                <w:rFonts w:asciiTheme="majorHAnsi" w:hAnsiTheme="majorHAnsi" w:cstheme="majorHAnsi"/>
                <w:sz w:val="18"/>
                <w:szCs w:val="20"/>
                <w:lang w:val="ro-MD"/>
              </w:rPr>
              <w:t xml:space="preserve">ei medicale acordate </w:t>
            </w:r>
            <w:r w:rsidR="00B13B9A" w:rsidRPr="00B13B9A">
              <w:rPr>
                <w:rFonts w:asciiTheme="majorHAnsi" w:hAnsiTheme="majorHAnsi" w:cstheme="majorHAnsi"/>
                <w:sz w:val="18"/>
                <w:szCs w:val="20"/>
                <w:lang w:val="ro-MD"/>
              </w:rPr>
              <w:t>ș</w:t>
            </w:r>
            <w:r w:rsidR="00784827" w:rsidRPr="00B13B9A">
              <w:rPr>
                <w:rFonts w:asciiTheme="majorHAnsi" w:hAnsiTheme="majorHAnsi" w:cstheme="majorHAnsi"/>
                <w:sz w:val="18"/>
                <w:szCs w:val="20"/>
                <w:lang w:val="ro-MD"/>
              </w:rPr>
              <w:t xml:space="preserve">i utilizării mijloacelor financiare provenite din FAOAM; </w:t>
            </w:r>
          </w:p>
          <w:p w14:paraId="1C69CFFF" w14:textId="488FF345" w:rsidR="00784827" w:rsidRPr="00B13B9A" w:rsidRDefault="008C6A31" w:rsidP="00241AB3">
            <w:pPr>
              <w:pStyle w:val="a7"/>
              <w:numPr>
                <w:ilvl w:val="0"/>
                <w:numId w:val="4"/>
              </w:numPr>
              <w:rPr>
                <w:rFonts w:asciiTheme="majorHAnsi" w:hAnsiTheme="majorHAnsi" w:cstheme="majorHAnsi"/>
                <w:sz w:val="18"/>
                <w:szCs w:val="20"/>
                <w:lang w:val="ro-MD"/>
              </w:rPr>
            </w:pPr>
            <w:r w:rsidRPr="00B13B9A">
              <w:rPr>
                <w:rFonts w:asciiTheme="majorHAnsi" w:hAnsiTheme="majorHAnsi" w:cstheme="majorHAnsi"/>
                <w:sz w:val="18"/>
                <w:szCs w:val="20"/>
                <w:lang w:val="ro-MD"/>
              </w:rPr>
              <w:t xml:space="preserve">asigură </w:t>
            </w:r>
            <w:r w:rsidR="00784827" w:rsidRPr="00B13B9A">
              <w:rPr>
                <w:rFonts w:asciiTheme="majorHAnsi" w:hAnsiTheme="majorHAnsi" w:cstheme="majorHAnsi"/>
                <w:sz w:val="18"/>
                <w:szCs w:val="20"/>
                <w:lang w:val="ro-MD"/>
              </w:rPr>
              <w:t xml:space="preserve">negocierea, încheierea contractelor </w:t>
            </w:r>
            <w:r w:rsidR="00B13B9A" w:rsidRPr="00B13B9A">
              <w:rPr>
                <w:rFonts w:asciiTheme="majorHAnsi" w:hAnsiTheme="majorHAnsi" w:cstheme="majorHAnsi"/>
                <w:sz w:val="18"/>
                <w:szCs w:val="20"/>
                <w:lang w:val="ro-MD"/>
              </w:rPr>
              <w:t>ș</w:t>
            </w:r>
            <w:r w:rsidR="00784827" w:rsidRPr="00B13B9A">
              <w:rPr>
                <w:rFonts w:asciiTheme="majorHAnsi" w:hAnsiTheme="majorHAnsi" w:cstheme="majorHAnsi"/>
                <w:sz w:val="18"/>
                <w:szCs w:val="20"/>
                <w:lang w:val="ro-MD"/>
              </w:rPr>
              <w:t>i finan</w:t>
            </w:r>
            <w:r w:rsidR="00B13B9A" w:rsidRPr="00B13B9A">
              <w:rPr>
                <w:rFonts w:asciiTheme="majorHAnsi" w:hAnsiTheme="majorHAnsi" w:cstheme="majorHAnsi"/>
                <w:sz w:val="18"/>
                <w:szCs w:val="20"/>
                <w:lang w:val="ro-MD"/>
              </w:rPr>
              <w:t>ț</w:t>
            </w:r>
            <w:r w:rsidR="00784827" w:rsidRPr="00B13B9A">
              <w:rPr>
                <w:rFonts w:asciiTheme="majorHAnsi" w:hAnsiTheme="majorHAnsi" w:cstheme="majorHAnsi"/>
                <w:sz w:val="18"/>
                <w:szCs w:val="20"/>
                <w:lang w:val="ro-MD"/>
              </w:rPr>
              <w:t>area serviciilor medicale;</w:t>
            </w:r>
          </w:p>
          <w:p w14:paraId="225D297A" w14:textId="04FF3495" w:rsidR="00784827" w:rsidRPr="00B13B9A" w:rsidRDefault="008C6A31" w:rsidP="00241AB3">
            <w:pPr>
              <w:pStyle w:val="a7"/>
              <w:numPr>
                <w:ilvl w:val="0"/>
                <w:numId w:val="4"/>
              </w:numPr>
              <w:rPr>
                <w:rFonts w:asciiTheme="majorHAnsi" w:hAnsiTheme="majorHAnsi" w:cstheme="majorHAnsi"/>
                <w:sz w:val="18"/>
                <w:szCs w:val="20"/>
                <w:lang w:val="ro-MD"/>
              </w:rPr>
            </w:pPr>
            <w:r w:rsidRPr="00B13B9A">
              <w:rPr>
                <w:rFonts w:asciiTheme="majorHAnsi" w:hAnsiTheme="majorHAnsi" w:cstheme="majorHAnsi"/>
                <w:sz w:val="18"/>
                <w:szCs w:val="20"/>
                <w:lang w:val="ro-MD"/>
              </w:rPr>
              <w:t xml:space="preserve">asigură </w:t>
            </w:r>
            <w:r w:rsidR="00784827" w:rsidRPr="00B13B9A">
              <w:rPr>
                <w:rFonts w:asciiTheme="majorHAnsi" w:hAnsiTheme="majorHAnsi" w:cstheme="majorHAnsi"/>
                <w:sz w:val="18"/>
                <w:szCs w:val="20"/>
                <w:lang w:val="ro-MD"/>
              </w:rPr>
              <w:t>verificarea îndeplinirii clauzelor contractuale</w:t>
            </w:r>
          </w:p>
        </w:tc>
      </w:tr>
      <w:tr w:rsidR="00784827" w:rsidRPr="001924A7" w14:paraId="33E253DC" w14:textId="77777777" w:rsidTr="00E61DB8">
        <w:tc>
          <w:tcPr>
            <w:tcW w:w="2405" w:type="dxa"/>
          </w:tcPr>
          <w:p w14:paraId="1743C21F" w14:textId="64E3F01A" w:rsidR="00911AEE" w:rsidRPr="00B13B9A" w:rsidRDefault="00784827" w:rsidP="00E61DB8">
            <w:pPr>
              <w:jc w:val="center"/>
              <w:rPr>
                <w:rFonts w:asciiTheme="majorHAnsi" w:hAnsiTheme="majorHAnsi" w:cstheme="majorHAnsi"/>
                <w:sz w:val="18"/>
                <w:szCs w:val="20"/>
                <w:lang w:val="ro-MD"/>
              </w:rPr>
            </w:pPr>
            <w:r w:rsidRPr="00B13B9A">
              <w:rPr>
                <w:rFonts w:asciiTheme="majorHAnsi" w:hAnsiTheme="majorHAnsi" w:cstheme="majorHAnsi"/>
                <w:b/>
                <w:sz w:val="18"/>
                <w:szCs w:val="20"/>
                <w:lang w:val="ro-MD"/>
              </w:rPr>
              <w:t>Consiliul de Administra</w:t>
            </w:r>
            <w:r w:rsidR="00B13B9A" w:rsidRPr="00B13B9A">
              <w:rPr>
                <w:rFonts w:asciiTheme="majorHAnsi" w:hAnsiTheme="majorHAnsi" w:cstheme="majorHAnsi"/>
                <w:b/>
                <w:sz w:val="18"/>
                <w:szCs w:val="20"/>
                <w:lang w:val="ro-MD"/>
              </w:rPr>
              <w:t>ț</w:t>
            </w:r>
            <w:r w:rsidRPr="00B13B9A">
              <w:rPr>
                <w:rFonts w:asciiTheme="majorHAnsi" w:hAnsiTheme="majorHAnsi" w:cstheme="majorHAnsi"/>
                <w:b/>
                <w:sz w:val="18"/>
                <w:szCs w:val="20"/>
                <w:lang w:val="ro-MD"/>
              </w:rPr>
              <w:t>ie</w:t>
            </w:r>
            <w:r w:rsidRPr="00B13B9A">
              <w:rPr>
                <w:rFonts w:asciiTheme="majorHAnsi" w:hAnsiTheme="majorHAnsi" w:cstheme="majorHAnsi"/>
                <w:sz w:val="18"/>
                <w:szCs w:val="20"/>
                <w:lang w:val="ro-MD"/>
              </w:rPr>
              <w:t xml:space="preserve"> </w:t>
            </w:r>
            <w:r w:rsidR="00911AEE" w:rsidRPr="00B13B9A">
              <w:rPr>
                <w:rFonts w:asciiTheme="majorHAnsi" w:hAnsiTheme="majorHAnsi" w:cstheme="majorHAnsi"/>
                <w:sz w:val="18"/>
                <w:szCs w:val="20"/>
                <w:lang w:val="ro-MD"/>
              </w:rPr>
              <w:t>–</w:t>
            </w:r>
            <w:r w:rsidRPr="00B13B9A">
              <w:rPr>
                <w:rFonts w:asciiTheme="majorHAnsi" w:hAnsiTheme="majorHAnsi" w:cstheme="majorHAnsi"/>
                <w:sz w:val="18"/>
                <w:szCs w:val="20"/>
                <w:lang w:val="ro-MD"/>
              </w:rPr>
              <w:t xml:space="preserve"> </w:t>
            </w:r>
          </w:p>
          <w:p w14:paraId="6C74119A" w14:textId="746C41A4" w:rsidR="00784827" w:rsidRPr="00B13B9A" w:rsidRDefault="00784827" w:rsidP="00E61DB8">
            <w:pPr>
              <w:jc w:val="center"/>
              <w:rPr>
                <w:rFonts w:asciiTheme="majorHAnsi" w:hAnsiTheme="majorHAnsi" w:cstheme="majorHAnsi"/>
                <w:sz w:val="18"/>
                <w:szCs w:val="20"/>
                <w:lang w:val="ro-MD"/>
              </w:rPr>
            </w:pPr>
            <w:r w:rsidRPr="00B13B9A">
              <w:rPr>
                <w:rFonts w:asciiTheme="majorHAnsi" w:hAnsiTheme="majorHAnsi" w:cstheme="majorHAnsi"/>
                <w:sz w:val="18"/>
                <w:szCs w:val="20"/>
                <w:lang w:val="ro-MD"/>
              </w:rPr>
              <w:t xml:space="preserve">organul colegial de administrare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supraveghere</w:t>
            </w:r>
          </w:p>
        </w:tc>
        <w:tc>
          <w:tcPr>
            <w:tcW w:w="7274" w:type="dxa"/>
          </w:tcPr>
          <w:p w14:paraId="3BD426C6" w14:textId="00577F86" w:rsidR="00784827" w:rsidRPr="00B13B9A" w:rsidRDefault="00784827" w:rsidP="00241AB3">
            <w:pPr>
              <w:pStyle w:val="a7"/>
              <w:numPr>
                <w:ilvl w:val="0"/>
                <w:numId w:val="4"/>
              </w:numPr>
              <w:rPr>
                <w:rFonts w:asciiTheme="majorHAnsi" w:hAnsiTheme="majorHAnsi" w:cstheme="majorHAnsi"/>
                <w:sz w:val="18"/>
                <w:szCs w:val="20"/>
                <w:lang w:val="ro-MD"/>
              </w:rPr>
            </w:pPr>
            <w:r w:rsidRPr="00B13B9A">
              <w:rPr>
                <w:rFonts w:asciiTheme="majorHAnsi" w:hAnsiTheme="majorHAnsi" w:cstheme="majorHAnsi"/>
                <w:sz w:val="18"/>
                <w:szCs w:val="20"/>
                <w:lang w:val="ro-MD"/>
              </w:rPr>
              <w:t xml:space="preserve">examinează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aprobă planul strategic de dezvoltare al institu</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 xml:space="preserve">iei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înaintează Fondatorului propuneri de dezvoltare a acesteia;</w:t>
            </w:r>
          </w:p>
          <w:p w14:paraId="54E04E13" w14:textId="7479F42C" w:rsidR="00784827" w:rsidRPr="00B13B9A" w:rsidRDefault="00784827" w:rsidP="00241AB3">
            <w:pPr>
              <w:pStyle w:val="a7"/>
              <w:numPr>
                <w:ilvl w:val="0"/>
                <w:numId w:val="4"/>
              </w:numPr>
              <w:rPr>
                <w:rFonts w:asciiTheme="majorHAnsi" w:hAnsiTheme="majorHAnsi" w:cstheme="majorHAnsi"/>
                <w:sz w:val="18"/>
                <w:szCs w:val="20"/>
                <w:lang w:val="ro-MD"/>
              </w:rPr>
            </w:pPr>
            <w:r w:rsidRPr="00B13B9A">
              <w:rPr>
                <w:rFonts w:asciiTheme="majorHAnsi" w:hAnsiTheme="majorHAnsi" w:cstheme="majorHAnsi"/>
                <w:sz w:val="18"/>
                <w:szCs w:val="20"/>
                <w:lang w:val="ro-MD"/>
              </w:rPr>
              <w:t xml:space="preserve">examinează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 xml:space="preserve">i prezintă spre coordonare Fondatorului devizul de venituri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cheltuieli a</w:t>
            </w:r>
            <w:r w:rsidR="00911AEE" w:rsidRPr="00B13B9A">
              <w:rPr>
                <w:rFonts w:asciiTheme="majorHAnsi" w:hAnsiTheme="majorHAnsi" w:cstheme="majorHAnsi"/>
                <w:sz w:val="18"/>
                <w:szCs w:val="20"/>
                <w:lang w:val="ro-MD"/>
              </w:rPr>
              <w:t>l</w:t>
            </w:r>
            <w:r w:rsidRPr="00B13B9A">
              <w:rPr>
                <w:rFonts w:asciiTheme="majorHAnsi" w:hAnsiTheme="majorHAnsi" w:cstheme="majorHAnsi"/>
                <w:sz w:val="18"/>
                <w:szCs w:val="20"/>
                <w:lang w:val="ro-MD"/>
              </w:rPr>
              <w:t xml:space="preserve"> institu</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iei sau a modificărilor acestuia;</w:t>
            </w:r>
          </w:p>
          <w:p w14:paraId="3C200811" w14:textId="7BB360B2" w:rsidR="00784827" w:rsidRPr="00B13B9A" w:rsidRDefault="00784827" w:rsidP="00241AB3">
            <w:pPr>
              <w:pStyle w:val="a7"/>
              <w:numPr>
                <w:ilvl w:val="0"/>
                <w:numId w:val="4"/>
              </w:numPr>
              <w:rPr>
                <w:rFonts w:asciiTheme="majorHAnsi" w:hAnsiTheme="majorHAnsi" w:cstheme="majorHAnsi"/>
                <w:sz w:val="18"/>
                <w:szCs w:val="20"/>
                <w:lang w:val="ro-MD"/>
              </w:rPr>
            </w:pPr>
            <w:r w:rsidRPr="00B13B9A">
              <w:rPr>
                <w:rFonts w:asciiTheme="majorHAnsi" w:hAnsiTheme="majorHAnsi" w:cstheme="majorHAnsi"/>
                <w:sz w:val="18"/>
                <w:szCs w:val="20"/>
                <w:lang w:val="ro-MD"/>
              </w:rPr>
              <w:t xml:space="preserve">examinează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 xml:space="preserve">i aprobă planurile anuale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 xml:space="preserve">i rapoartele de activitate (trimestriale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anuale) a</w:t>
            </w:r>
            <w:r w:rsidR="00911AEE" w:rsidRPr="00B13B9A">
              <w:rPr>
                <w:rFonts w:asciiTheme="majorHAnsi" w:hAnsiTheme="majorHAnsi" w:cstheme="majorHAnsi"/>
                <w:sz w:val="18"/>
                <w:szCs w:val="20"/>
                <w:lang w:val="ro-MD"/>
              </w:rPr>
              <w:t>le</w:t>
            </w:r>
            <w:r w:rsidRPr="00B13B9A">
              <w:rPr>
                <w:rFonts w:asciiTheme="majorHAnsi" w:hAnsiTheme="majorHAnsi" w:cstheme="majorHAnsi"/>
                <w:sz w:val="18"/>
                <w:szCs w:val="20"/>
                <w:lang w:val="ro-MD"/>
              </w:rPr>
              <w:t xml:space="preserve"> institu</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iei</w:t>
            </w:r>
            <w:r w:rsidR="00785988">
              <w:rPr>
                <w:rFonts w:asciiTheme="majorHAnsi" w:hAnsiTheme="majorHAnsi" w:cstheme="majorHAnsi"/>
                <w:sz w:val="18"/>
                <w:szCs w:val="20"/>
                <w:lang w:val="ro-MD"/>
              </w:rPr>
              <w:t xml:space="preserve"> </w:t>
            </w:r>
          </w:p>
        </w:tc>
      </w:tr>
      <w:tr w:rsidR="00784827" w:rsidRPr="00B13B9A" w14:paraId="101519CA" w14:textId="77777777" w:rsidTr="00E61DB8">
        <w:tc>
          <w:tcPr>
            <w:tcW w:w="2405" w:type="dxa"/>
          </w:tcPr>
          <w:p w14:paraId="0CB7F70A" w14:textId="77777777" w:rsidR="00784827" w:rsidRPr="00B13B9A" w:rsidRDefault="00784827" w:rsidP="00E61DB8">
            <w:pPr>
              <w:jc w:val="center"/>
              <w:rPr>
                <w:rFonts w:asciiTheme="majorHAnsi" w:hAnsiTheme="majorHAnsi" w:cstheme="majorHAnsi"/>
                <w:b/>
                <w:sz w:val="18"/>
                <w:szCs w:val="20"/>
                <w:lang w:val="ro-MD"/>
              </w:rPr>
            </w:pPr>
            <w:r w:rsidRPr="00B13B9A">
              <w:rPr>
                <w:rFonts w:asciiTheme="majorHAnsi" w:hAnsiTheme="majorHAnsi" w:cstheme="majorHAnsi"/>
                <w:b/>
                <w:sz w:val="18"/>
                <w:szCs w:val="20"/>
                <w:lang w:val="ro-MD"/>
              </w:rPr>
              <w:t>Director</w:t>
            </w:r>
          </w:p>
        </w:tc>
        <w:tc>
          <w:tcPr>
            <w:tcW w:w="7274" w:type="dxa"/>
          </w:tcPr>
          <w:p w14:paraId="088D057D" w14:textId="0053D965" w:rsidR="00784827" w:rsidRPr="00B13B9A" w:rsidRDefault="00C22396" w:rsidP="00241AB3">
            <w:pPr>
              <w:pStyle w:val="a7"/>
              <w:numPr>
                <w:ilvl w:val="0"/>
                <w:numId w:val="5"/>
              </w:numPr>
              <w:rPr>
                <w:rFonts w:asciiTheme="majorHAnsi" w:hAnsiTheme="majorHAnsi" w:cstheme="majorHAnsi"/>
                <w:sz w:val="18"/>
                <w:szCs w:val="20"/>
                <w:lang w:val="ro-MD"/>
              </w:rPr>
            </w:pPr>
            <w:r w:rsidRPr="00B13B9A">
              <w:rPr>
                <w:rFonts w:asciiTheme="majorHAnsi" w:hAnsiTheme="majorHAnsi" w:cstheme="majorHAnsi"/>
                <w:sz w:val="18"/>
                <w:szCs w:val="20"/>
                <w:lang w:val="ro-MD"/>
              </w:rPr>
              <w:t>re</w:t>
            </w:r>
            <w:r w:rsidR="00784827" w:rsidRPr="00B13B9A">
              <w:rPr>
                <w:rFonts w:asciiTheme="majorHAnsi" w:hAnsiTheme="majorHAnsi" w:cstheme="majorHAnsi"/>
                <w:sz w:val="18"/>
                <w:szCs w:val="20"/>
                <w:lang w:val="ro-MD"/>
              </w:rPr>
              <w:t>prezintă interesele IMSP Institutul de Ftiziopneumologie „Chiril Draganiuc” în rela</w:t>
            </w:r>
            <w:r w:rsidR="00B13B9A" w:rsidRPr="00B13B9A">
              <w:rPr>
                <w:rFonts w:asciiTheme="majorHAnsi" w:hAnsiTheme="majorHAnsi" w:cstheme="majorHAnsi"/>
                <w:sz w:val="18"/>
                <w:szCs w:val="20"/>
                <w:lang w:val="ro-MD"/>
              </w:rPr>
              <w:t>ț</w:t>
            </w:r>
            <w:r w:rsidR="00784827" w:rsidRPr="00B13B9A">
              <w:rPr>
                <w:rFonts w:asciiTheme="majorHAnsi" w:hAnsiTheme="majorHAnsi" w:cstheme="majorHAnsi"/>
                <w:sz w:val="18"/>
                <w:szCs w:val="20"/>
                <w:lang w:val="ro-MD"/>
              </w:rPr>
              <w:t>iile cu persoane ter</w:t>
            </w:r>
            <w:r w:rsidR="00B13B9A" w:rsidRPr="00B13B9A">
              <w:rPr>
                <w:rFonts w:asciiTheme="majorHAnsi" w:hAnsiTheme="majorHAnsi" w:cstheme="majorHAnsi"/>
                <w:sz w:val="18"/>
                <w:szCs w:val="20"/>
                <w:lang w:val="ro-MD"/>
              </w:rPr>
              <w:t>ț</w:t>
            </w:r>
            <w:r w:rsidR="00784827" w:rsidRPr="00B13B9A">
              <w:rPr>
                <w:rFonts w:asciiTheme="majorHAnsi" w:hAnsiTheme="majorHAnsi" w:cstheme="majorHAnsi"/>
                <w:sz w:val="18"/>
                <w:szCs w:val="20"/>
                <w:lang w:val="ro-MD"/>
              </w:rPr>
              <w:t xml:space="preserve">e; </w:t>
            </w:r>
          </w:p>
          <w:p w14:paraId="2518517F" w14:textId="257D081E" w:rsidR="00784827" w:rsidRPr="00B13B9A" w:rsidRDefault="00784827" w:rsidP="00241AB3">
            <w:pPr>
              <w:pStyle w:val="a7"/>
              <w:numPr>
                <w:ilvl w:val="0"/>
                <w:numId w:val="5"/>
              </w:numPr>
              <w:rPr>
                <w:rFonts w:asciiTheme="majorHAnsi" w:hAnsiTheme="majorHAnsi" w:cstheme="majorHAnsi"/>
                <w:sz w:val="18"/>
                <w:szCs w:val="20"/>
                <w:lang w:val="ro-MD"/>
              </w:rPr>
            </w:pPr>
            <w:r w:rsidRPr="00B13B9A">
              <w:rPr>
                <w:rFonts w:asciiTheme="majorHAnsi" w:hAnsiTheme="majorHAnsi" w:cstheme="majorHAnsi"/>
                <w:sz w:val="18"/>
                <w:szCs w:val="20"/>
                <w:lang w:val="ro-MD"/>
              </w:rPr>
              <w:t xml:space="preserve">poartă responsabilitatea pentru organizarea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prestarea în condi</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 xml:space="preserve">ii sigure a întregului volum de servicii medicale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 xml:space="preserve">i </w:t>
            </w:r>
            <w:r w:rsidR="00911AEE" w:rsidRPr="00B13B9A">
              <w:rPr>
                <w:rFonts w:asciiTheme="majorHAnsi" w:hAnsiTheme="majorHAnsi" w:cstheme="majorHAnsi"/>
                <w:sz w:val="18"/>
                <w:szCs w:val="20"/>
                <w:lang w:val="ro-MD"/>
              </w:rPr>
              <w:t xml:space="preserve">pentru </w:t>
            </w:r>
            <w:r w:rsidRPr="00B13B9A">
              <w:rPr>
                <w:rFonts w:asciiTheme="majorHAnsi" w:hAnsiTheme="majorHAnsi" w:cstheme="majorHAnsi"/>
                <w:sz w:val="18"/>
                <w:szCs w:val="20"/>
                <w:lang w:val="ro-MD"/>
              </w:rPr>
              <w:t>calitatea acestora;</w:t>
            </w:r>
          </w:p>
          <w:p w14:paraId="30FB3ABF" w14:textId="086563F5" w:rsidR="00784827" w:rsidRPr="00B13B9A" w:rsidRDefault="00784827" w:rsidP="00241AB3">
            <w:pPr>
              <w:pStyle w:val="a7"/>
              <w:numPr>
                <w:ilvl w:val="0"/>
                <w:numId w:val="5"/>
              </w:numPr>
              <w:rPr>
                <w:rFonts w:asciiTheme="majorHAnsi" w:hAnsiTheme="majorHAnsi" w:cstheme="majorHAnsi"/>
                <w:sz w:val="18"/>
                <w:szCs w:val="20"/>
                <w:lang w:val="ro-MD"/>
              </w:rPr>
            </w:pPr>
            <w:r w:rsidRPr="00B13B9A">
              <w:rPr>
                <w:rFonts w:asciiTheme="majorHAnsi" w:hAnsiTheme="majorHAnsi" w:cstheme="majorHAnsi"/>
                <w:sz w:val="18"/>
                <w:szCs w:val="20"/>
                <w:lang w:val="ro-MD"/>
              </w:rPr>
              <w:t xml:space="preserve">elaborează strategia de dezvoltare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planurile anuale de activitate ale institu</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 xml:space="preserve">iei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 xml:space="preserve">i le prezintă spre examinare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aprobare Consiliului de Administra</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 xml:space="preserve">ie; </w:t>
            </w:r>
          </w:p>
          <w:p w14:paraId="31098169" w14:textId="68763083" w:rsidR="00784827" w:rsidRPr="00B13B9A" w:rsidRDefault="00784827" w:rsidP="00241AB3">
            <w:pPr>
              <w:pStyle w:val="a7"/>
              <w:numPr>
                <w:ilvl w:val="0"/>
                <w:numId w:val="5"/>
              </w:numPr>
              <w:rPr>
                <w:rFonts w:asciiTheme="majorHAnsi" w:hAnsiTheme="majorHAnsi" w:cstheme="majorHAnsi"/>
                <w:sz w:val="18"/>
                <w:szCs w:val="20"/>
                <w:lang w:val="ro-MD"/>
              </w:rPr>
            </w:pPr>
            <w:r w:rsidRPr="00B13B9A">
              <w:rPr>
                <w:rFonts w:asciiTheme="majorHAnsi" w:hAnsiTheme="majorHAnsi" w:cstheme="majorHAnsi"/>
                <w:sz w:val="18"/>
                <w:szCs w:val="20"/>
                <w:lang w:val="ro-MD"/>
              </w:rPr>
              <w:t xml:space="preserve">elaborează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 xml:space="preserve">i prezintă spre aprobare Fondatorului organigrama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statele de personal ale institu</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iei, după coordonarea cu Consiliul de Administra</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 xml:space="preserve">ie; </w:t>
            </w:r>
          </w:p>
          <w:p w14:paraId="54B672AF" w14:textId="41F91845" w:rsidR="00784827" w:rsidRPr="00B13B9A" w:rsidRDefault="00784827" w:rsidP="00241AB3">
            <w:pPr>
              <w:pStyle w:val="a7"/>
              <w:numPr>
                <w:ilvl w:val="0"/>
                <w:numId w:val="5"/>
              </w:numPr>
              <w:rPr>
                <w:rFonts w:asciiTheme="majorHAnsi" w:hAnsiTheme="majorHAnsi" w:cstheme="majorHAnsi"/>
                <w:sz w:val="18"/>
                <w:szCs w:val="20"/>
                <w:lang w:val="ro-MD"/>
              </w:rPr>
            </w:pPr>
            <w:r w:rsidRPr="00B13B9A">
              <w:rPr>
                <w:rFonts w:asciiTheme="majorHAnsi" w:hAnsiTheme="majorHAnsi" w:cstheme="majorHAnsi"/>
                <w:sz w:val="18"/>
                <w:szCs w:val="20"/>
                <w:lang w:val="ro-MD"/>
              </w:rPr>
              <w:t xml:space="preserve">elaborează rapoartele trimestriale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anuale privind activitatea institu</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 xml:space="preserve">iei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 xml:space="preserve">i le prezintă pentru examinare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aprobare Consiliului de Administra</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 xml:space="preserve">ie; </w:t>
            </w:r>
          </w:p>
          <w:p w14:paraId="765A7FBC" w14:textId="636AF1F0" w:rsidR="00784827" w:rsidRPr="00B13B9A" w:rsidRDefault="00784827" w:rsidP="00241AB3">
            <w:pPr>
              <w:pStyle w:val="a7"/>
              <w:numPr>
                <w:ilvl w:val="0"/>
                <w:numId w:val="5"/>
              </w:numPr>
              <w:rPr>
                <w:rFonts w:asciiTheme="majorHAnsi" w:hAnsiTheme="majorHAnsi" w:cstheme="majorHAnsi"/>
                <w:sz w:val="18"/>
                <w:szCs w:val="20"/>
                <w:lang w:val="ro-MD"/>
              </w:rPr>
            </w:pPr>
            <w:r w:rsidRPr="00B13B9A">
              <w:rPr>
                <w:rFonts w:asciiTheme="majorHAnsi" w:hAnsiTheme="majorHAnsi" w:cstheme="majorHAnsi"/>
                <w:sz w:val="18"/>
                <w:szCs w:val="20"/>
                <w:lang w:val="ro-MD"/>
              </w:rPr>
              <w:t xml:space="preserve">asigură gestionarea mijloacelor financiare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 xml:space="preserve">i administrarea patrimoniului public în conformitate cu principiile bunei guvernări; </w:t>
            </w:r>
          </w:p>
          <w:p w14:paraId="08E3392D" w14:textId="02B89C6E" w:rsidR="00784827" w:rsidRPr="00B13B9A" w:rsidRDefault="00784827" w:rsidP="00241AB3">
            <w:pPr>
              <w:pStyle w:val="a7"/>
              <w:numPr>
                <w:ilvl w:val="0"/>
                <w:numId w:val="5"/>
              </w:numPr>
              <w:rPr>
                <w:rFonts w:asciiTheme="majorHAnsi" w:hAnsiTheme="majorHAnsi" w:cstheme="majorHAnsi"/>
                <w:sz w:val="18"/>
                <w:szCs w:val="20"/>
                <w:lang w:val="ro-MD"/>
              </w:rPr>
            </w:pPr>
            <w:r w:rsidRPr="00B13B9A">
              <w:rPr>
                <w:rFonts w:asciiTheme="majorHAnsi" w:hAnsiTheme="majorHAnsi" w:cstheme="majorHAnsi"/>
                <w:sz w:val="18"/>
                <w:szCs w:val="20"/>
                <w:lang w:val="ro-MD"/>
              </w:rPr>
              <w:t>asigură realizarea controlului intern managerial</w:t>
            </w:r>
          </w:p>
        </w:tc>
      </w:tr>
      <w:tr w:rsidR="00784827" w:rsidRPr="001924A7" w14:paraId="4EC583C1" w14:textId="77777777" w:rsidTr="00E61DB8">
        <w:tc>
          <w:tcPr>
            <w:tcW w:w="2405" w:type="dxa"/>
          </w:tcPr>
          <w:p w14:paraId="148B14D4" w14:textId="77777777" w:rsidR="00784827" w:rsidRPr="00B13B9A" w:rsidRDefault="00784827" w:rsidP="00E61DB8">
            <w:pPr>
              <w:jc w:val="center"/>
              <w:rPr>
                <w:rFonts w:asciiTheme="majorHAnsi" w:hAnsiTheme="majorHAnsi" w:cstheme="majorHAnsi"/>
                <w:b/>
                <w:sz w:val="18"/>
                <w:szCs w:val="20"/>
                <w:lang w:val="ro-MD"/>
              </w:rPr>
            </w:pPr>
            <w:r w:rsidRPr="00B13B9A">
              <w:rPr>
                <w:rFonts w:asciiTheme="majorHAnsi" w:hAnsiTheme="majorHAnsi" w:cstheme="majorHAnsi"/>
                <w:b/>
                <w:sz w:val="18"/>
                <w:szCs w:val="20"/>
                <w:lang w:val="ro-MD"/>
              </w:rPr>
              <w:t>Vicedirector medical</w:t>
            </w:r>
          </w:p>
        </w:tc>
        <w:tc>
          <w:tcPr>
            <w:tcW w:w="7274" w:type="dxa"/>
          </w:tcPr>
          <w:p w14:paraId="36AAD691" w14:textId="2CE95EF9" w:rsidR="00784827" w:rsidRPr="00B13B9A" w:rsidRDefault="00784827" w:rsidP="00241AB3">
            <w:pPr>
              <w:pStyle w:val="a7"/>
              <w:numPr>
                <w:ilvl w:val="0"/>
                <w:numId w:val="6"/>
              </w:numPr>
              <w:rPr>
                <w:rFonts w:asciiTheme="majorHAnsi" w:hAnsiTheme="majorHAnsi" w:cstheme="majorHAnsi"/>
                <w:sz w:val="18"/>
                <w:szCs w:val="20"/>
                <w:lang w:val="ro-MD"/>
              </w:rPr>
            </w:pPr>
            <w:r w:rsidRPr="00B13B9A">
              <w:rPr>
                <w:rFonts w:asciiTheme="majorHAnsi" w:hAnsiTheme="majorHAnsi" w:cstheme="majorHAnsi"/>
                <w:sz w:val="18"/>
                <w:szCs w:val="20"/>
                <w:lang w:val="ro-MD"/>
              </w:rPr>
              <w:t xml:space="preserve">asigură organizarea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coordonarea procesului diagnostic</w:t>
            </w:r>
            <w:r w:rsidR="00911AEE" w:rsidRPr="00B13B9A">
              <w:rPr>
                <w:rFonts w:asciiTheme="majorHAnsi" w:hAnsiTheme="majorHAnsi" w:cstheme="majorHAnsi"/>
                <w:sz w:val="18"/>
                <w:szCs w:val="20"/>
                <w:lang w:val="ro-MD"/>
              </w:rPr>
              <w:t>-</w:t>
            </w:r>
            <w:r w:rsidRPr="00B13B9A">
              <w:rPr>
                <w:rFonts w:asciiTheme="majorHAnsi" w:hAnsiTheme="majorHAnsi" w:cstheme="majorHAnsi"/>
                <w:sz w:val="18"/>
                <w:szCs w:val="20"/>
                <w:lang w:val="ro-MD"/>
              </w:rPr>
              <w:t xml:space="preserve">curativ conform standardelor, normativelor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instruc</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iunilor aprobate de Ministerul  Sănătă</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ii pentru activitatea clinică;</w:t>
            </w:r>
          </w:p>
          <w:p w14:paraId="52F65270" w14:textId="131DD9A4" w:rsidR="00784827" w:rsidRPr="00B13B9A" w:rsidRDefault="00784827" w:rsidP="00555C8B">
            <w:pPr>
              <w:pStyle w:val="a7"/>
              <w:numPr>
                <w:ilvl w:val="0"/>
                <w:numId w:val="6"/>
              </w:numPr>
              <w:rPr>
                <w:rFonts w:asciiTheme="majorHAnsi" w:hAnsiTheme="majorHAnsi" w:cstheme="majorHAnsi"/>
                <w:sz w:val="18"/>
                <w:szCs w:val="20"/>
                <w:lang w:val="ro-MD"/>
              </w:rPr>
            </w:pPr>
            <w:r w:rsidRPr="00B13B9A">
              <w:rPr>
                <w:rFonts w:asciiTheme="majorHAnsi" w:hAnsiTheme="majorHAnsi" w:cstheme="majorHAnsi"/>
                <w:sz w:val="18"/>
                <w:szCs w:val="20"/>
                <w:lang w:val="ro-MD"/>
              </w:rPr>
              <w:t>asigură organizarea prestării serviciilor medicale în volumul prevăzut de Programul Unic, protocoalele clinice na</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 xml:space="preserve">ionale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ghidurile de tratament, aprobate de Ministerul Sănătă</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ii</w:t>
            </w:r>
          </w:p>
        </w:tc>
      </w:tr>
      <w:tr w:rsidR="00784827" w:rsidRPr="001924A7" w14:paraId="6151064D" w14:textId="77777777" w:rsidTr="00E61DB8">
        <w:tc>
          <w:tcPr>
            <w:tcW w:w="2405" w:type="dxa"/>
          </w:tcPr>
          <w:p w14:paraId="0A5C60A1" w14:textId="77777777" w:rsidR="00784827" w:rsidRPr="00B13B9A" w:rsidRDefault="00784827" w:rsidP="00E61DB8">
            <w:pPr>
              <w:jc w:val="center"/>
              <w:rPr>
                <w:rFonts w:asciiTheme="majorHAnsi" w:hAnsiTheme="majorHAnsi" w:cstheme="majorHAnsi"/>
                <w:b/>
                <w:sz w:val="18"/>
                <w:szCs w:val="20"/>
                <w:lang w:val="ro-MD"/>
              </w:rPr>
            </w:pPr>
            <w:r w:rsidRPr="00B13B9A">
              <w:rPr>
                <w:rFonts w:asciiTheme="majorHAnsi" w:hAnsiTheme="majorHAnsi" w:cstheme="majorHAnsi"/>
                <w:b/>
                <w:sz w:val="18"/>
                <w:szCs w:val="20"/>
                <w:lang w:val="ro-MD"/>
              </w:rPr>
              <w:t>Consiliul medical</w:t>
            </w:r>
          </w:p>
        </w:tc>
        <w:tc>
          <w:tcPr>
            <w:tcW w:w="7274" w:type="dxa"/>
          </w:tcPr>
          <w:p w14:paraId="14F3A7FA" w14:textId="04E9CFCD" w:rsidR="00784827" w:rsidRPr="00B13B9A" w:rsidRDefault="00784827" w:rsidP="00241AB3">
            <w:pPr>
              <w:pStyle w:val="a7"/>
              <w:numPr>
                <w:ilvl w:val="0"/>
                <w:numId w:val="7"/>
              </w:numPr>
              <w:rPr>
                <w:rFonts w:asciiTheme="majorHAnsi" w:hAnsiTheme="majorHAnsi" w:cstheme="majorHAnsi"/>
                <w:sz w:val="18"/>
                <w:szCs w:val="20"/>
                <w:lang w:val="ro-MD"/>
              </w:rPr>
            </w:pPr>
            <w:r w:rsidRPr="00B13B9A">
              <w:rPr>
                <w:rFonts w:asciiTheme="majorHAnsi" w:hAnsiTheme="majorHAnsi" w:cstheme="majorHAnsi"/>
                <w:sz w:val="18"/>
                <w:szCs w:val="20"/>
                <w:lang w:val="ro-MD"/>
              </w:rPr>
              <w:t>îmbunătă</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e</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te standardele clinice în scopul cre</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terii gradului de satisfac</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ie a</w:t>
            </w:r>
            <w:r w:rsidR="00911AEE" w:rsidRPr="00B13B9A">
              <w:rPr>
                <w:rFonts w:asciiTheme="majorHAnsi" w:hAnsiTheme="majorHAnsi" w:cstheme="majorHAnsi"/>
                <w:sz w:val="18"/>
                <w:szCs w:val="20"/>
                <w:lang w:val="ro-MD"/>
              </w:rPr>
              <w:t>l</w:t>
            </w:r>
            <w:r w:rsidRPr="00B13B9A">
              <w:rPr>
                <w:rFonts w:asciiTheme="majorHAnsi" w:hAnsiTheme="majorHAnsi" w:cstheme="majorHAnsi"/>
                <w:sz w:val="18"/>
                <w:szCs w:val="20"/>
                <w:lang w:val="ro-MD"/>
              </w:rPr>
              <w:t xml:space="preserve"> pacien</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ilor;</w:t>
            </w:r>
          </w:p>
          <w:p w14:paraId="627FF118" w14:textId="22D5F00F" w:rsidR="00784827" w:rsidRPr="00B13B9A" w:rsidRDefault="00784827" w:rsidP="00555C8B">
            <w:pPr>
              <w:pStyle w:val="a7"/>
              <w:numPr>
                <w:ilvl w:val="0"/>
                <w:numId w:val="7"/>
              </w:numPr>
              <w:rPr>
                <w:rFonts w:asciiTheme="majorHAnsi" w:hAnsiTheme="majorHAnsi" w:cstheme="majorHAnsi"/>
                <w:sz w:val="18"/>
                <w:szCs w:val="20"/>
                <w:lang w:val="ro-MD"/>
              </w:rPr>
            </w:pPr>
            <w:r w:rsidRPr="00B13B9A">
              <w:rPr>
                <w:rFonts w:asciiTheme="majorHAnsi" w:hAnsiTheme="majorHAnsi" w:cstheme="majorHAnsi"/>
                <w:sz w:val="18"/>
                <w:szCs w:val="20"/>
                <w:lang w:val="ro-MD"/>
              </w:rPr>
              <w:t xml:space="preserve">propune spre revizuire politici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proceduri opera</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ionale din cadrul institu</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 xml:space="preserve">iei legate de îngrijirea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tratamentul medical, pentru a se asigura că acestea sunt în concordan</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 xml:space="preserve">ă cu cele mai bune practici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standarde</w:t>
            </w:r>
          </w:p>
        </w:tc>
      </w:tr>
    </w:tbl>
    <w:p w14:paraId="7C6B96FA" w14:textId="778DF36F" w:rsidR="0007264E" w:rsidRPr="00B13B9A" w:rsidRDefault="0007264E" w:rsidP="0007264E">
      <w:pPr>
        <w:pStyle w:val="cn"/>
        <w:spacing w:line="276" w:lineRule="auto"/>
        <w:ind w:right="71"/>
        <w:jc w:val="both"/>
        <w:rPr>
          <w:rFonts w:asciiTheme="majorHAnsi" w:eastAsiaTheme="minorHAnsi" w:hAnsiTheme="majorHAnsi" w:cstheme="majorHAnsi"/>
          <w:i/>
          <w:sz w:val="20"/>
          <w:szCs w:val="20"/>
          <w:lang w:val="ro-MD" w:eastAsia="en-US"/>
        </w:rPr>
      </w:pPr>
      <w:r w:rsidRPr="00B13B9A">
        <w:rPr>
          <w:rFonts w:asciiTheme="majorHAnsi" w:eastAsiaTheme="minorHAnsi" w:hAnsiTheme="majorHAnsi" w:cstheme="majorHAnsi"/>
          <w:b/>
          <w:i/>
          <w:sz w:val="20"/>
          <w:szCs w:val="20"/>
          <w:lang w:val="ro-MD" w:eastAsia="en-US"/>
        </w:rPr>
        <w:t>Sursa:</w:t>
      </w:r>
      <w:r w:rsidRPr="00B13B9A">
        <w:rPr>
          <w:rFonts w:asciiTheme="majorHAnsi" w:eastAsiaTheme="minorHAnsi" w:hAnsiTheme="majorHAnsi" w:cstheme="majorHAnsi"/>
          <w:i/>
          <w:sz w:val="20"/>
          <w:szCs w:val="20"/>
          <w:lang w:val="ro-MD" w:eastAsia="en-US"/>
        </w:rPr>
        <w:t xml:space="preserve"> </w:t>
      </w:r>
      <w:r w:rsidR="00911AEE" w:rsidRPr="00B13B9A">
        <w:rPr>
          <w:rFonts w:asciiTheme="majorHAnsi" w:eastAsiaTheme="minorHAnsi" w:hAnsiTheme="majorHAnsi" w:cstheme="majorHAnsi"/>
          <w:i/>
          <w:sz w:val="20"/>
          <w:szCs w:val="20"/>
          <w:lang w:val="ro-MD" w:eastAsia="en-US"/>
        </w:rPr>
        <w:t>Elaborat</w:t>
      </w:r>
      <w:r w:rsidRPr="00B13B9A">
        <w:rPr>
          <w:rFonts w:asciiTheme="majorHAnsi" w:eastAsiaTheme="minorHAnsi" w:hAnsiTheme="majorHAnsi" w:cstheme="majorHAnsi"/>
          <w:i/>
          <w:sz w:val="20"/>
          <w:szCs w:val="20"/>
          <w:lang w:val="ro-MD" w:eastAsia="en-US"/>
        </w:rPr>
        <w:t xml:space="preserve"> de audit în baza datelor prezentate de entitate</w:t>
      </w:r>
      <w:r w:rsidR="00911AEE" w:rsidRPr="00B13B9A">
        <w:rPr>
          <w:rFonts w:asciiTheme="majorHAnsi" w:eastAsiaTheme="minorHAnsi" w:hAnsiTheme="majorHAnsi" w:cstheme="majorHAnsi"/>
          <w:i/>
          <w:sz w:val="20"/>
          <w:szCs w:val="20"/>
          <w:lang w:val="ro-MD" w:eastAsia="en-US"/>
        </w:rPr>
        <w:t>.</w:t>
      </w:r>
    </w:p>
    <w:p w14:paraId="468C0150" w14:textId="77777777" w:rsidR="00C47D23" w:rsidRPr="00B13B9A" w:rsidRDefault="00C47D23" w:rsidP="001A0E43">
      <w:pPr>
        <w:spacing w:after="0" w:line="240" w:lineRule="auto"/>
        <w:jc w:val="right"/>
        <w:rPr>
          <w:rFonts w:asciiTheme="majorHAnsi" w:hAnsiTheme="majorHAnsi" w:cstheme="majorHAnsi"/>
          <w:b/>
          <w:iCs/>
          <w:sz w:val="24"/>
          <w:szCs w:val="24"/>
          <w:lang w:val="ro-MD"/>
        </w:rPr>
      </w:pPr>
    </w:p>
    <w:p w14:paraId="5F8CB9A4" w14:textId="77777777" w:rsidR="00DB333D" w:rsidRDefault="00DB333D" w:rsidP="001A0E43">
      <w:pPr>
        <w:spacing w:after="0" w:line="240" w:lineRule="auto"/>
        <w:jc w:val="right"/>
        <w:rPr>
          <w:rFonts w:asciiTheme="majorHAnsi" w:hAnsiTheme="majorHAnsi" w:cstheme="majorHAnsi"/>
          <w:b/>
          <w:iCs/>
          <w:sz w:val="24"/>
          <w:szCs w:val="24"/>
          <w:lang w:val="ro-MD"/>
        </w:rPr>
        <w:sectPr w:rsidR="00DB333D" w:rsidSect="00DB333D">
          <w:pgSz w:w="12240" w:h="15840"/>
          <w:pgMar w:top="851" w:right="758" w:bottom="1134" w:left="1701" w:header="708" w:footer="708" w:gutter="0"/>
          <w:cols w:space="708"/>
          <w:titlePg/>
          <w:docGrid w:linePitch="360"/>
        </w:sectPr>
      </w:pPr>
    </w:p>
    <w:p w14:paraId="2F344A81" w14:textId="642E78EA" w:rsidR="006A58F1" w:rsidRPr="00B13B9A" w:rsidRDefault="00782BD2" w:rsidP="0007264E">
      <w:pPr>
        <w:pStyle w:val="3"/>
        <w:jc w:val="right"/>
        <w:rPr>
          <w:rFonts w:cstheme="majorHAnsi"/>
          <w:b/>
          <w:iCs/>
          <w:color w:val="auto"/>
        </w:rPr>
      </w:pPr>
      <w:bookmarkStart w:id="54" w:name="_Toc158317256"/>
      <w:r w:rsidRPr="00B13B9A">
        <w:rPr>
          <w:rFonts w:cstheme="majorHAnsi"/>
          <w:b/>
          <w:iCs/>
          <w:color w:val="auto"/>
        </w:rPr>
        <w:t xml:space="preserve">Anexa nr. </w:t>
      </w:r>
      <w:r w:rsidR="00DB333D">
        <w:rPr>
          <w:rFonts w:cstheme="majorHAnsi"/>
          <w:b/>
          <w:iCs/>
          <w:color w:val="auto"/>
        </w:rPr>
        <w:t>2</w:t>
      </w:r>
      <w:bookmarkEnd w:id="54"/>
    </w:p>
    <w:p w14:paraId="041AF1FC" w14:textId="2B28DDA4" w:rsidR="00981ADA" w:rsidRPr="00B13B9A" w:rsidRDefault="00981ADA" w:rsidP="00EA2080">
      <w:pPr>
        <w:spacing w:after="0" w:line="240" w:lineRule="auto"/>
        <w:jc w:val="center"/>
        <w:rPr>
          <w:rFonts w:asciiTheme="majorHAnsi" w:hAnsiTheme="majorHAnsi" w:cstheme="majorHAnsi"/>
          <w:b/>
          <w:iCs/>
          <w:sz w:val="24"/>
          <w:szCs w:val="24"/>
          <w:lang w:val="ro-MD"/>
        </w:rPr>
      </w:pPr>
      <w:r w:rsidRPr="00B13B9A">
        <w:rPr>
          <w:rFonts w:asciiTheme="majorHAnsi" w:hAnsiTheme="majorHAnsi" w:cstheme="majorHAnsi"/>
          <w:b/>
          <w:iCs/>
          <w:sz w:val="24"/>
          <w:szCs w:val="24"/>
          <w:lang w:val="ro-MD"/>
        </w:rPr>
        <w:t>Activitat</w:t>
      </w:r>
      <w:r w:rsidR="00EA2080" w:rsidRPr="00B13B9A">
        <w:rPr>
          <w:rFonts w:asciiTheme="majorHAnsi" w:hAnsiTheme="majorHAnsi" w:cstheme="majorHAnsi"/>
          <w:b/>
          <w:iCs/>
          <w:sz w:val="24"/>
          <w:szCs w:val="24"/>
          <w:lang w:val="ro-MD"/>
        </w:rPr>
        <w:t>ea Consiliului de Administra</w:t>
      </w:r>
      <w:r w:rsidR="00B13B9A" w:rsidRPr="00B13B9A">
        <w:rPr>
          <w:rFonts w:asciiTheme="majorHAnsi" w:hAnsiTheme="majorHAnsi" w:cstheme="majorHAnsi"/>
          <w:b/>
          <w:iCs/>
          <w:sz w:val="24"/>
          <w:szCs w:val="24"/>
          <w:lang w:val="ro-MD"/>
        </w:rPr>
        <w:t>ț</w:t>
      </w:r>
      <w:r w:rsidR="00EA2080" w:rsidRPr="00B13B9A">
        <w:rPr>
          <w:rFonts w:asciiTheme="majorHAnsi" w:hAnsiTheme="majorHAnsi" w:cstheme="majorHAnsi"/>
          <w:b/>
          <w:iCs/>
          <w:sz w:val="24"/>
          <w:szCs w:val="24"/>
          <w:lang w:val="ro-MD"/>
        </w:rPr>
        <w:t>ie</w:t>
      </w:r>
    </w:p>
    <w:tbl>
      <w:tblPr>
        <w:tblStyle w:val="a3"/>
        <w:tblW w:w="10072" w:type="dxa"/>
        <w:tblLook w:val="04A0" w:firstRow="1" w:lastRow="0" w:firstColumn="1" w:lastColumn="0" w:noHBand="0" w:noVBand="1"/>
      </w:tblPr>
      <w:tblGrid>
        <w:gridCol w:w="4106"/>
        <w:gridCol w:w="1134"/>
        <w:gridCol w:w="4820"/>
        <w:gridCol w:w="12"/>
      </w:tblGrid>
      <w:tr w:rsidR="00981ADA" w:rsidRPr="00B13B9A" w14:paraId="110C705E" w14:textId="77777777" w:rsidTr="002101A1">
        <w:trPr>
          <w:gridAfter w:val="1"/>
          <w:wAfter w:w="12" w:type="dxa"/>
          <w:trHeight w:val="493"/>
        </w:trPr>
        <w:tc>
          <w:tcPr>
            <w:tcW w:w="4106" w:type="dxa"/>
            <w:shd w:val="clear" w:color="auto" w:fill="auto"/>
            <w:vAlign w:val="center"/>
          </w:tcPr>
          <w:p w14:paraId="18C21017" w14:textId="759DEA00" w:rsidR="00981ADA" w:rsidRPr="00B13B9A" w:rsidRDefault="00981ADA" w:rsidP="00981ADA">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Membrii Consiliului de Administra</w:t>
            </w:r>
            <w:r w:rsidR="00B13B9A" w:rsidRPr="00B13B9A">
              <w:rPr>
                <w:rFonts w:asciiTheme="majorHAnsi" w:hAnsiTheme="majorHAnsi" w:cstheme="majorHAnsi"/>
                <w:b/>
                <w:sz w:val="20"/>
                <w:szCs w:val="20"/>
                <w:lang w:val="ro-MD"/>
              </w:rPr>
              <w:t>ț</w:t>
            </w:r>
            <w:r w:rsidRPr="00B13B9A">
              <w:rPr>
                <w:rFonts w:asciiTheme="majorHAnsi" w:hAnsiTheme="majorHAnsi" w:cstheme="majorHAnsi"/>
                <w:b/>
                <w:sz w:val="20"/>
                <w:szCs w:val="20"/>
                <w:lang w:val="ro-MD"/>
              </w:rPr>
              <w:t>ie</w:t>
            </w:r>
          </w:p>
        </w:tc>
        <w:tc>
          <w:tcPr>
            <w:tcW w:w="1134" w:type="dxa"/>
            <w:shd w:val="clear" w:color="auto" w:fill="auto"/>
            <w:vAlign w:val="center"/>
          </w:tcPr>
          <w:p w14:paraId="67EFF707" w14:textId="5E9E1877" w:rsidR="00981ADA" w:rsidRPr="00B13B9A" w:rsidRDefault="00B13B9A" w:rsidP="00981ADA">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Ș</w:t>
            </w:r>
            <w:r w:rsidR="00981ADA" w:rsidRPr="00B13B9A">
              <w:rPr>
                <w:rFonts w:asciiTheme="majorHAnsi" w:hAnsiTheme="majorHAnsi" w:cstheme="majorHAnsi"/>
                <w:b/>
                <w:sz w:val="20"/>
                <w:szCs w:val="20"/>
                <w:lang w:val="ro-MD"/>
              </w:rPr>
              <w:t>edin</w:t>
            </w:r>
            <w:r w:rsidRPr="00B13B9A">
              <w:rPr>
                <w:rFonts w:asciiTheme="majorHAnsi" w:hAnsiTheme="majorHAnsi" w:cstheme="majorHAnsi"/>
                <w:b/>
                <w:sz w:val="20"/>
                <w:szCs w:val="20"/>
                <w:lang w:val="ro-MD"/>
              </w:rPr>
              <w:t>ț</w:t>
            </w:r>
            <w:r w:rsidR="00981ADA" w:rsidRPr="00B13B9A">
              <w:rPr>
                <w:rFonts w:asciiTheme="majorHAnsi" w:hAnsiTheme="majorHAnsi" w:cstheme="majorHAnsi"/>
                <w:b/>
                <w:sz w:val="20"/>
                <w:szCs w:val="20"/>
                <w:lang w:val="ro-MD"/>
              </w:rPr>
              <w:t>e</w:t>
            </w:r>
          </w:p>
        </w:tc>
        <w:tc>
          <w:tcPr>
            <w:tcW w:w="4820" w:type="dxa"/>
            <w:shd w:val="clear" w:color="auto" w:fill="auto"/>
            <w:vAlign w:val="center"/>
          </w:tcPr>
          <w:p w14:paraId="7BE4BBFA" w14:textId="77777777" w:rsidR="00981ADA" w:rsidRPr="00B13B9A" w:rsidRDefault="00981ADA" w:rsidP="00981ADA">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Subiecte abordate</w:t>
            </w:r>
          </w:p>
        </w:tc>
      </w:tr>
      <w:tr w:rsidR="00981ADA" w:rsidRPr="00B13B9A" w14:paraId="0E550A5F" w14:textId="77777777" w:rsidTr="002101A1">
        <w:tc>
          <w:tcPr>
            <w:tcW w:w="10072" w:type="dxa"/>
            <w:gridSpan w:val="4"/>
            <w:shd w:val="clear" w:color="auto" w:fill="auto"/>
          </w:tcPr>
          <w:p w14:paraId="253F7415" w14:textId="77777777" w:rsidR="00981ADA" w:rsidRPr="00B13B9A" w:rsidRDefault="00981ADA" w:rsidP="0026741B">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2021</w:t>
            </w:r>
          </w:p>
        </w:tc>
      </w:tr>
      <w:tr w:rsidR="00981ADA" w:rsidRPr="001924A7" w14:paraId="23593884" w14:textId="77777777" w:rsidTr="002101A1">
        <w:trPr>
          <w:gridAfter w:val="1"/>
          <w:wAfter w:w="12" w:type="dxa"/>
        </w:trPr>
        <w:tc>
          <w:tcPr>
            <w:tcW w:w="4106" w:type="dxa"/>
            <w:shd w:val="clear" w:color="auto" w:fill="auto"/>
          </w:tcPr>
          <w:p w14:paraId="6F7B8F96" w14:textId="764A2380"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Tatiana Zatîc – Secretar</w:t>
            </w:r>
            <w:r w:rsidR="00555C8B" w:rsidRPr="00B13B9A">
              <w:rPr>
                <w:rFonts w:asciiTheme="majorHAnsi" w:hAnsiTheme="majorHAnsi" w:cstheme="majorHAnsi"/>
                <w:sz w:val="20"/>
                <w:szCs w:val="20"/>
                <w:lang w:val="ro-MD"/>
              </w:rPr>
              <w:t>ă</w:t>
            </w:r>
            <w:r w:rsidRPr="00B13B9A">
              <w:rPr>
                <w:rFonts w:asciiTheme="majorHAnsi" w:hAnsiTheme="majorHAnsi" w:cstheme="majorHAnsi"/>
                <w:sz w:val="20"/>
                <w:szCs w:val="20"/>
                <w:lang w:val="ro-MD"/>
              </w:rPr>
              <w:t xml:space="preserve"> de Stat, MS</w:t>
            </w:r>
            <w:r w:rsidR="0007264E" w:rsidRPr="00B13B9A">
              <w:rPr>
                <w:rFonts w:asciiTheme="majorHAnsi" w:hAnsiTheme="majorHAnsi" w:cstheme="majorHAnsi"/>
                <w:sz w:val="20"/>
                <w:szCs w:val="20"/>
                <w:lang w:val="ro-MD"/>
              </w:rPr>
              <w:t>MPS</w:t>
            </w:r>
            <w:r w:rsidRPr="00B13B9A">
              <w:rPr>
                <w:rFonts w:asciiTheme="majorHAnsi" w:hAnsiTheme="majorHAnsi" w:cstheme="majorHAnsi"/>
                <w:sz w:val="20"/>
                <w:szCs w:val="20"/>
                <w:lang w:val="ro-MD"/>
              </w:rPr>
              <w:t>;</w:t>
            </w:r>
          </w:p>
          <w:p w14:paraId="72406CB8" w14:textId="6F43F579"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Daniela Demi</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 xml:space="preserve">can –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ef</w:t>
            </w:r>
            <w:r w:rsidR="00555C8B" w:rsidRPr="00B13B9A">
              <w:rPr>
                <w:rFonts w:asciiTheme="majorHAnsi" w:hAnsiTheme="majorHAnsi" w:cstheme="majorHAnsi"/>
                <w:sz w:val="20"/>
                <w:szCs w:val="20"/>
                <w:lang w:val="ro-MD"/>
              </w:rPr>
              <w:t>ă</w:t>
            </w:r>
            <w:r w:rsidRPr="00B13B9A">
              <w:rPr>
                <w:rFonts w:asciiTheme="majorHAnsi" w:hAnsiTheme="majorHAnsi" w:cstheme="majorHAnsi"/>
                <w:sz w:val="20"/>
                <w:szCs w:val="20"/>
                <w:lang w:val="ro-MD"/>
              </w:rPr>
              <w:t xml:space="preserve"> </w:t>
            </w:r>
            <w:r w:rsidR="00555C8B" w:rsidRPr="00B13B9A">
              <w:rPr>
                <w:rFonts w:asciiTheme="majorHAnsi" w:hAnsiTheme="majorHAnsi" w:cstheme="majorHAnsi"/>
                <w:sz w:val="20"/>
                <w:szCs w:val="20"/>
                <w:lang w:val="ro-MD"/>
              </w:rPr>
              <w:t>D</w:t>
            </w:r>
            <w:r w:rsidRPr="00B13B9A">
              <w:rPr>
                <w:rFonts w:asciiTheme="majorHAnsi" w:hAnsiTheme="majorHAnsi" w:cstheme="majorHAnsi"/>
                <w:sz w:val="20"/>
                <w:szCs w:val="20"/>
                <w:lang w:val="ro-MD"/>
              </w:rPr>
              <w:t>irec</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 politici în sănătate publică, MSMPS;</w:t>
            </w:r>
          </w:p>
          <w:p w14:paraId="2C97B92B" w14:textId="696791B2"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Anna Donica – reprezentant</w:t>
            </w:r>
            <w:r w:rsidR="00555C8B" w:rsidRPr="00B13B9A">
              <w:rPr>
                <w:rFonts w:asciiTheme="majorHAnsi" w:hAnsiTheme="majorHAnsi" w:cstheme="majorHAnsi"/>
                <w:sz w:val="20"/>
                <w:szCs w:val="20"/>
                <w:lang w:val="ro-MD"/>
              </w:rPr>
              <w:t>a</w:t>
            </w:r>
            <w:r w:rsidRPr="00B13B9A">
              <w:rPr>
                <w:rFonts w:asciiTheme="majorHAnsi" w:hAnsiTheme="majorHAnsi" w:cstheme="majorHAnsi"/>
                <w:sz w:val="20"/>
                <w:szCs w:val="20"/>
                <w:lang w:val="ro-MD"/>
              </w:rPr>
              <w:t xml:space="preserve"> colectivului de muncă;</w:t>
            </w:r>
          </w:p>
          <w:p w14:paraId="53A776DE" w14:textId="3744F5A2"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Aliona Turovschi – reprezentant</w:t>
            </w:r>
            <w:r w:rsidR="00555C8B" w:rsidRPr="00B13B9A">
              <w:rPr>
                <w:rFonts w:asciiTheme="majorHAnsi" w:hAnsiTheme="majorHAnsi" w:cstheme="majorHAnsi"/>
                <w:sz w:val="20"/>
                <w:szCs w:val="20"/>
                <w:lang w:val="ro-MD"/>
              </w:rPr>
              <w:t>a</w:t>
            </w:r>
            <w:r w:rsidRPr="00B13B9A">
              <w:rPr>
                <w:rFonts w:asciiTheme="majorHAnsi" w:hAnsiTheme="majorHAnsi" w:cstheme="majorHAnsi"/>
                <w:sz w:val="20"/>
                <w:szCs w:val="20"/>
                <w:lang w:val="ro-MD"/>
              </w:rPr>
              <w:t xml:space="preserve"> colectivului de muncă;</w:t>
            </w:r>
          </w:p>
          <w:p w14:paraId="5A881117" w14:textId="06933537"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Rita Seica</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 xml:space="preserve"> – reprezentant</w:t>
            </w:r>
            <w:r w:rsidR="00555C8B" w:rsidRPr="00B13B9A">
              <w:rPr>
                <w:rFonts w:asciiTheme="majorHAnsi" w:hAnsiTheme="majorHAnsi" w:cstheme="majorHAnsi"/>
                <w:sz w:val="20"/>
                <w:szCs w:val="20"/>
                <w:lang w:val="ro-MD"/>
              </w:rPr>
              <w:t>a</w:t>
            </w:r>
            <w:r w:rsidRPr="00B13B9A">
              <w:rPr>
                <w:rFonts w:asciiTheme="majorHAnsi" w:hAnsiTheme="majorHAnsi" w:cstheme="majorHAnsi"/>
                <w:sz w:val="20"/>
                <w:szCs w:val="20"/>
                <w:lang w:val="ro-MD"/>
              </w:rPr>
              <w:t xml:space="preserve"> ONG</w:t>
            </w:r>
          </w:p>
        </w:tc>
        <w:tc>
          <w:tcPr>
            <w:tcW w:w="1134" w:type="dxa"/>
            <w:shd w:val="clear" w:color="auto" w:fill="auto"/>
          </w:tcPr>
          <w:p w14:paraId="31049585" w14:textId="77777777"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Proces-verbal nr.9 din 25.02.2021</w:t>
            </w:r>
          </w:p>
        </w:tc>
        <w:tc>
          <w:tcPr>
            <w:tcW w:w="4820" w:type="dxa"/>
            <w:shd w:val="clear" w:color="auto" w:fill="auto"/>
          </w:tcPr>
          <w:p w14:paraId="17E8D3F4" w14:textId="73925524"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Raportul privind rezultatele activită</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ii </w:t>
            </w:r>
            <w:r w:rsidR="009F5CFF" w:rsidRPr="00B13B9A">
              <w:rPr>
                <w:rFonts w:asciiTheme="majorHAnsi" w:hAnsiTheme="majorHAnsi" w:cstheme="majorHAnsi"/>
                <w:sz w:val="20"/>
                <w:szCs w:val="20"/>
                <w:lang w:val="ro-MD"/>
              </w:rPr>
              <w:t>institu</w:t>
            </w:r>
            <w:r w:rsidR="00B13B9A" w:rsidRPr="00B13B9A">
              <w:rPr>
                <w:rFonts w:asciiTheme="majorHAnsi" w:hAnsiTheme="majorHAnsi" w:cstheme="majorHAnsi"/>
                <w:sz w:val="20"/>
                <w:szCs w:val="20"/>
                <w:lang w:val="ro-MD"/>
              </w:rPr>
              <w:t>ț</w:t>
            </w:r>
            <w:r w:rsidR="009F5CFF" w:rsidRPr="00B13B9A">
              <w:rPr>
                <w:rFonts w:asciiTheme="majorHAnsi" w:hAnsiTheme="majorHAnsi" w:cstheme="majorHAnsi"/>
                <w:sz w:val="20"/>
                <w:szCs w:val="20"/>
                <w:lang w:val="ro-MD"/>
              </w:rPr>
              <w:t>iei</w:t>
            </w:r>
            <w:r w:rsidRPr="00B13B9A">
              <w:rPr>
                <w:rFonts w:asciiTheme="majorHAnsi" w:hAnsiTheme="majorHAnsi" w:cstheme="majorHAnsi"/>
                <w:sz w:val="20"/>
                <w:szCs w:val="20"/>
                <w:lang w:val="ro-MD"/>
              </w:rPr>
              <w:t xml:space="preserve"> pentru anul 2020;</w:t>
            </w:r>
          </w:p>
          <w:p w14:paraId="5A17F9CD" w14:textId="5C5EB601"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Aprobarea Planului de activitate al institu</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iei pentru anul 2021;</w:t>
            </w:r>
          </w:p>
          <w:p w14:paraId="64D71638" w14:textId="77777777"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Aprobarea Statelor de personal pentru anul 2021;</w:t>
            </w:r>
          </w:p>
          <w:p w14:paraId="2A7C6000" w14:textId="70217C12"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Aprobarea devizului de venituri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cheltuieli pentru anul 2021;</w:t>
            </w:r>
          </w:p>
          <w:p w14:paraId="007BAAEF" w14:textId="1B7F8BEF"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Aprobarea Planului de achizi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publice pentru anul 2021</w:t>
            </w:r>
          </w:p>
        </w:tc>
      </w:tr>
      <w:tr w:rsidR="00981ADA" w:rsidRPr="00B13B9A" w14:paraId="38CEEF37" w14:textId="77777777" w:rsidTr="002101A1">
        <w:trPr>
          <w:gridAfter w:val="1"/>
          <w:wAfter w:w="12" w:type="dxa"/>
        </w:trPr>
        <w:tc>
          <w:tcPr>
            <w:tcW w:w="4106" w:type="dxa"/>
            <w:shd w:val="clear" w:color="auto" w:fill="auto"/>
          </w:tcPr>
          <w:p w14:paraId="30D9E171" w14:textId="77777777"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Igor Curov – Secretar de Stat, MS</w:t>
            </w:r>
            <w:r w:rsidR="0007264E" w:rsidRPr="00B13B9A">
              <w:rPr>
                <w:rFonts w:asciiTheme="majorHAnsi" w:hAnsiTheme="majorHAnsi" w:cstheme="majorHAnsi"/>
                <w:sz w:val="20"/>
                <w:szCs w:val="20"/>
                <w:lang w:val="ro-MD"/>
              </w:rPr>
              <w:t>MPS</w:t>
            </w:r>
            <w:r w:rsidRPr="00B13B9A">
              <w:rPr>
                <w:rFonts w:asciiTheme="majorHAnsi" w:hAnsiTheme="majorHAnsi" w:cstheme="majorHAnsi"/>
                <w:sz w:val="20"/>
                <w:szCs w:val="20"/>
                <w:lang w:val="ro-MD"/>
              </w:rPr>
              <w:t>;</w:t>
            </w:r>
          </w:p>
          <w:p w14:paraId="31AA87F4" w14:textId="262A461A"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Daniela Demi</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 xml:space="preserve">can –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ef</w:t>
            </w:r>
            <w:r w:rsidR="00555C8B" w:rsidRPr="00B13B9A">
              <w:rPr>
                <w:rFonts w:asciiTheme="majorHAnsi" w:hAnsiTheme="majorHAnsi" w:cstheme="majorHAnsi"/>
                <w:sz w:val="20"/>
                <w:szCs w:val="20"/>
                <w:lang w:val="ro-MD"/>
              </w:rPr>
              <w:t>ă</w:t>
            </w:r>
            <w:r w:rsidRPr="00B13B9A">
              <w:rPr>
                <w:rFonts w:asciiTheme="majorHAnsi" w:hAnsiTheme="majorHAnsi" w:cstheme="majorHAnsi"/>
                <w:sz w:val="20"/>
                <w:szCs w:val="20"/>
                <w:lang w:val="ro-MD"/>
              </w:rPr>
              <w:t xml:space="preserve"> </w:t>
            </w:r>
            <w:r w:rsidR="00555C8B" w:rsidRPr="00B13B9A">
              <w:rPr>
                <w:rFonts w:asciiTheme="majorHAnsi" w:hAnsiTheme="majorHAnsi" w:cstheme="majorHAnsi"/>
                <w:sz w:val="20"/>
                <w:szCs w:val="20"/>
                <w:lang w:val="ro-MD"/>
              </w:rPr>
              <w:t>D</w:t>
            </w:r>
            <w:r w:rsidRPr="00B13B9A">
              <w:rPr>
                <w:rFonts w:asciiTheme="majorHAnsi" w:hAnsiTheme="majorHAnsi" w:cstheme="majorHAnsi"/>
                <w:sz w:val="20"/>
                <w:szCs w:val="20"/>
                <w:lang w:val="ro-MD"/>
              </w:rPr>
              <w:t>irec</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 politici în sănătate publică, MSMPS;</w:t>
            </w:r>
          </w:p>
          <w:p w14:paraId="762E59F1" w14:textId="77E44AE8"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Anna Donica – reprezentant</w:t>
            </w:r>
            <w:r w:rsidR="00555C8B" w:rsidRPr="00B13B9A">
              <w:rPr>
                <w:rFonts w:asciiTheme="majorHAnsi" w:hAnsiTheme="majorHAnsi" w:cstheme="majorHAnsi"/>
                <w:sz w:val="20"/>
                <w:szCs w:val="20"/>
                <w:lang w:val="ro-MD"/>
              </w:rPr>
              <w:t>a</w:t>
            </w:r>
            <w:r w:rsidRPr="00B13B9A">
              <w:rPr>
                <w:rFonts w:asciiTheme="majorHAnsi" w:hAnsiTheme="majorHAnsi" w:cstheme="majorHAnsi"/>
                <w:sz w:val="20"/>
                <w:szCs w:val="20"/>
                <w:lang w:val="ro-MD"/>
              </w:rPr>
              <w:t xml:space="preserve"> colectivului de muncă;</w:t>
            </w:r>
          </w:p>
          <w:p w14:paraId="6B3D60E1" w14:textId="4C3F7252"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Aliona Turovschi – reprezentant</w:t>
            </w:r>
            <w:r w:rsidR="00555C8B" w:rsidRPr="00B13B9A">
              <w:rPr>
                <w:rFonts w:asciiTheme="majorHAnsi" w:hAnsiTheme="majorHAnsi" w:cstheme="majorHAnsi"/>
                <w:sz w:val="20"/>
                <w:szCs w:val="20"/>
                <w:lang w:val="ro-MD"/>
              </w:rPr>
              <w:t>a</w:t>
            </w:r>
            <w:r w:rsidRPr="00B13B9A">
              <w:rPr>
                <w:rFonts w:asciiTheme="majorHAnsi" w:hAnsiTheme="majorHAnsi" w:cstheme="majorHAnsi"/>
                <w:sz w:val="20"/>
                <w:szCs w:val="20"/>
                <w:lang w:val="ro-MD"/>
              </w:rPr>
              <w:t xml:space="preserve"> colectivului de muncă;</w:t>
            </w:r>
          </w:p>
          <w:p w14:paraId="2CBA96BE" w14:textId="50EAD7C6"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Lucia Pîr</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ina – reprezentant</w:t>
            </w:r>
            <w:r w:rsidR="00555C8B" w:rsidRPr="00B13B9A">
              <w:rPr>
                <w:rFonts w:asciiTheme="majorHAnsi" w:hAnsiTheme="majorHAnsi" w:cstheme="majorHAnsi"/>
                <w:sz w:val="20"/>
                <w:szCs w:val="20"/>
                <w:lang w:val="ro-MD"/>
              </w:rPr>
              <w:t>a</w:t>
            </w:r>
            <w:r w:rsidRPr="00B13B9A">
              <w:rPr>
                <w:rFonts w:asciiTheme="majorHAnsi" w:hAnsiTheme="majorHAnsi" w:cstheme="majorHAnsi"/>
                <w:sz w:val="20"/>
                <w:szCs w:val="20"/>
                <w:lang w:val="ro-MD"/>
              </w:rPr>
              <w:t xml:space="preserve"> ONG</w:t>
            </w:r>
          </w:p>
        </w:tc>
        <w:tc>
          <w:tcPr>
            <w:tcW w:w="1134" w:type="dxa"/>
            <w:shd w:val="clear" w:color="auto" w:fill="auto"/>
          </w:tcPr>
          <w:p w14:paraId="0D35CC5F" w14:textId="77777777"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Proces-verbal nr. 22 din 06.07.2021</w:t>
            </w:r>
          </w:p>
        </w:tc>
        <w:tc>
          <w:tcPr>
            <w:tcW w:w="4820" w:type="dxa"/>
            <w:shd w:val="clear" w:color="auto" w:fill="auto"/>
          </w:tcPr>
          <w:p w14:paraId="63EE07B7" w14:textId="35ADBB44"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Rezultatele </w:t>
            </w:r>
            <w:r w:rsidR="009F5CFF" w:rsidRPr="00B13B9A">
              <w:rPr>
                <w:rFonts w:asciiTheme="majorHAnsi" w:hAnsiTheme="majorHAnsi" w:cstheme="majorHAnsi"/>
                <w:sz w:val="20"/>
                <w:szCs w:val="20"/>
                <w:lang w:val="ro-MD"/>
              </w:rPr>
              <w:t>activită</w:t>
            </w:r>
            <w:r w:rsidR="00B13B9A" w:rsidRPr="00B13B9A">
              <w:rPr>
                <w:rFonts w:asciiTheme="majorHAnsi" w:hAnsiTheme="majorHAnsi" w:cstheme="majorHAnsi"/>
                <w:sz w:val="20"/>
                <w:szCs w:val="20"/>
                <w:lang w:val="ro-MD"/>
              </w:rPr>
              <w:t>ț</w:t>
            </w:r>
            <w:r w:rsidR="009F5CFF" w:rsidRPr="00B13B9A">
              <w:rPr>
                <w:rFonts w:asciiTheme="majorHAnsi" w:hAnsiTheme="majorHAnsi" w:cstheme="majorHAnsi"/>
                <w:sz w:val="20"/>
                <w:szCs w:val="20"/>
                <w:lang w:val="ro-MD"/>
              </w:rPr>
              <w:t>ii</w:t>
            </w:r>
            <w:r w:rsidRPr="00B13B9A">
              <w:rPr>
                <w:rFonts w:asciiTheme="majorHAnsi" w:hAnsiTheme="majorHAnsi" w:cstheme="majorHAnsi"/>
                <w:sz w:val="20"/>
                <w:szCs w:val="20"/>
                <w:lang w:val="ro-MD"/>
              </w:rPr>
              <w:t xml:space="preserve"> medicale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economico-financiare a institu</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iei pentru 6 luni</w:t>
            </w:r>
            <w:r w:rsidR="00555C8B" w:rsidRPr="00B13B9A">
              <w:rPr>
                <w:rFonts w:asciiTheme="majorHAnsi" w:hAnsiTheme="majorHAnsi" w:cstheme="majorHAnsi"/>
                <w:sz w:val="20"/>
                <w:szCs w:val="20"/>
                <w:lang w:val="ro-MD"/>
              </w:rPr>
              <w:t>,</w:t>
            </w:r>
            <w:r w:rsidRPr="00B13B9A">
              <w:rPr>
                <w:rFonts w:asciiTheme="majorHAnsi" w:hAnsiTheme="majorHAnsi" w:cstheme="majorHAnsi"/>
                <w:sz w:val="20"/>
                <w:szCs w:val="20"/>
                <w:lang w:val="ro-MD"/>
              </w:rPr>
              <w:t xml:space="preserve"> anul 2O21;</w:t>
            </w:r>
          </w:p>
          <w:p w14:paraId="3DAAE1F4" w14:textId="47F52363"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Discu</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cu posibile decizii pe marginea Raportului de expertiză tehnică a blocului curativ nr. 2. Clinica Vorniceni din 29.05.2021;</w:t>
            </w:r>
          </w:p>
          <w:p w14:paraId="5FAB2BC0" w14:textId="29CB4442"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Provocări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solu</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în depistarea activă a tuberculozei</w:t>
            </w:r>
          </w:p>
          <w:p w14:paraId="44BA43FC" w14:textId="77777777" w:rsidR="00981ADA" w:rsidRPr="00B13B9A" w:rsidRDefault="00981ADA" w:rsidP="0026741B">
            <w:pPr>
              <w:rPr>
                <w:rFonts w:asciiTheme="majorHAnsi" w:hAnsiTheme="majorHAnsi" w:cstheme="majorHAnsi"/>
                <w:sz w:val="20"/>
                <w:szCs w:val="20"/>
                <w:lang w:val="ro-MD"/>
              </w:rPr>
            </w:pPr>
          </w:p>
        </w:tc>
      </w:tr>
      <w:tr w:rsidR="00981ADA" w:rsidRPr="00B13B9A" w14:paraId="46A1FB26" w14:textId="77777777" w:rsidTr="002101A1">
        <w:tc>
          <w:tcPr>
            <w:tcW w:w="10072" w:type="dxa"/>
            <w:gridSpan w:val="4"/>
            <w:shd w:val="clear" w:color="auto" w:fill="auto"/>
          </w:tcPr>
          <w:p w14:paraId="75BBF48F" w14:textId="77777777" w:rsidR="00981ADA" w:rsidRPr="00B13B9A" w:rsidRDefault="00981ADA" w:rsidP="0026741B">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2022</w:t>
            </w:r>
          </w:p>
        </w:tc>
      </w:tr>
      <w:tr w:rsidR="00981ADA" w:rsidRPr="001924A7" w14:paraId="00691315" w14:textId="77777777" w:rsidTr="002101A1">
        <w:trPr>
          <w:gridAfter w:val="1"/>
          <w:wAfter w:w="12" w:type="dxa"/>
        </w:trPr>
        <w:tc>
          <w:tcPr>
            <w:tcW w:w="4106" w:type="dxa"/>
            <w:vMerge w:val="restart"/>
            <w:shd w:val="clear" w:color="auto" w:fill="auto"/>
          </w:tcPr>
          <w:p w14:paraId="4F2CBB8B" w14:textId="04BBE1A5"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Svetlana Nicolaescu – Secretar</w:t>
            </w:r>
            <w:r w:rsidR="00555C8B" w:rsidRPr="00B13B9A">
              <w:rPr>
                <w:rFonts w:asciiTheme="majorHAnsi" w:hAnsiTheme="majorHAnsi" w:cstheme="majorHAnsi"/>
                <w:sz w:val="20"/>
                <w:szCs w:val="20"/>
                <w:lang w:val="ro-MD"/>
              </w:rPr>
              <w:t>ă</w:t>
            </w:r>
            <w:r w:rsidRPr="00B13B9A">
              <w:rPr>
                <w:rFonts w:asciiTheme="majorHAnsi" w:hAnsiTheme="majorHAnsi" w:cstheme="majorHAnsi"/>
                <w:sz w:val="20"/>
                <w:szCs w:val="20"/>
                <w:lang w:val="ro-MD"/>
              </w:rPr>
              <w:t xml:space="preserve"> de Stat, MS;</w:t>
            </w:r>
          </w:p>
          <w:p w14:paraId="02239C11" w14:textId="6B94C6C8"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Daniela Demi</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 xml:space="preserve">can –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ef</w:t>
            </w:r>
            <w:r w:rsidR="00555C8B" w:rsidRPr="00B13B9A">
              <w:rPr>
                <w:rFonts w:asciiTheme="majorHAnsi" w:hAnsiTheme="majorHAnsi" w:cstheme="majorHAnsi"/>
                <w:sz w:val="20"/>
                <w:szCs w:val="20"/>
                <w:lang w:val="ro-MD"/>
              </w:rPr>
              <w:t>ă</w:t>
            </w:r>
            <w:r w:rsidRPr="00B13B9A">
              <w:rPr>
                <w:rFonts w:asciiTheme="majorHAnsi" w:hAnsiTheme="majorHAnsi" w:cstheme="majorHAnsi"/>
                <w:sz w:val="20"/>
                <w:szCs w:val="20"/>
                <w:lang w:val="ro-MD"/>
              </w:rPr>
              <w:t xml:space="preserve"> </w:t>
            </w:r>
            <w:r w:rsidR="00555C8B" w:rsidRPr="00B13B9A">
              <w:rPr>
                <w:rFonts w:asciiTheme="majorHAnsi" w:hAnsiTheme="majorHAnsi" w:cstheme="majorHAnsi"/>
                <w:sz w:val="20"/>
                <w:szCs w:val="20"/>
                <w:lang w:val="ro-MD"/>
              </w:rPr>
              <w:t>D</w:t>
            </w:r>
            <w:r w:rsidRPr="00B13B9A">
              <w:rPr>
                <w:rFonts w:asciiTheme="majorHAnsi" w:hAnsiTheme="majorHAnsi" w:cstheme="majorHAnsi"/>
                <w:sz w:val="20"/>
                <w:szCs w:val="20"/>
                <w:lang w:val="ro-MD"/>
              </w:rPr>
              <w:t>irec</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 politici în sănătate publică, MS;</w:t>
            </w:r>
          </w:p>
          <w:p w14:paraId="2B26E01D" w14:textId="6F7B6108"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Anna Donica – reprezentant</w:t>
            </w:r>
            <w:r w:rsidR="00555C8B" w:rsidRPr="00B13B9A">
              <w:rPr>
                <w:rFonts w:asciiTheme="majorHAnsi" w:hAnsiTheme="majorHAnsi" w:cstheme="majorHAnsi"/>
                <w:sz w:val="20"/>
                <w:szCs w:val="20"/>
                <w:lang w:val="ro-MD"/>
              </w:rPr>
              <w:t>a</w:t>
            </w:r>
            <w:r w:rsidRPr="00B13B9A">
              <w:rPr>
                <w:rFonts w:asciiTheme="majorHAnsi" w:hAnsiTheme="majorHAnsi" w:cstheme="majorHAnsi"/>
                <w:sz w:val="20"/>
                <w:szCs w:val="20"/>
                <w:lang w:val="ro-MD"/>
              </w:rPr>
              <w:t xml:space="preserve"> colectivului de muncă;</w:t>
            </w:r>
          </w:p>
          <w:p w14:paraId="0D708B43" w14:textId="39C8E947"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Aliona Turovschi – reprezentant</w:t>
            </w:r>
            <w:r w:rsidR="00555C8B" w:rsidRPr="00B13B9A">
              <w:rPr>
                <w:rFonts w:asciiTheme="majorHAnsi" w:hAnsiTheme="majorHAnsi" w:cstheme="majorHAnsi"/>
                <w:sz w:val="20"/>
                <w:szCs w:val="20"/>
                <w:lang w:val="ro-MD"/>
              </w:rPr>
              <w:t>a</w:t>
            </w:r>
            <w:r w:rsidRPr="00B13B9A">
              <w:rPr>
                <w:rFonts w:asciiTheme="majorHAnsi" w:hAnsiTheme="majorHAnsi" w:cstheme="majorHAnsi"/>
                <w:sz w:val="20"/>
                <w:szCs w:val="20"/>
                <w:lang w:val="ro-MD"/>
              </w:rPr>
              <w:t xml:space="preserve"> colectivului de muncă;</w:t>
            </w:r>
          </w:p>
          <w:p w14:paraId="319B41D6" w14:textId="629757AB"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Lucia Pîr</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ina – reprezentant</w:t>
            </w:r>
            <w:r w:rsidR="00555C8B" w:rsidRPr="00B13B9A">
              <w:rPr>
                <w:rFonts w:asciiTheme="majorHAnsi" w:hAnsiTheme="majorHAnsi" w:cstheme="majorHAnsi"/>
                <w:sz w:val="20"/>
                <w:szCs w:val="20"/>
                <w:lang w:val="ro-MD"/>
              </w:rPr>
              <w:t>a</w:t>
            </w:r>
            <w:r w:rsidRPr="00B13B9A">
              <w:rPr>
                <w:rFonts w:asciiTheme="majorHAnsi" w:hAnsiTheme="majorHAnsi" w:cstheme="majorHAnsi"/>
                <w:sz w:val="20"/>
                <w:szCs w:val="20"/>
                <w:lang w:val="ro-MD"/>
              </w:rPr>
              <w:t xml:space="preserve"> ONG</w:t>
            </w:r>
          </w:p>
        </w:tc>
        <w:tc>
          <w:tcPr>
            <w:tcW w:w="1134" w:type="dxa"/>
            <w:shd w:val="clear" w:color="auto" w:fill="auto"/>
          </w:tcPr>
          <w:p w14:paraId="2C3986EF" w14:textId="77777777"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Proces-verbal nr. 10 din 17.02.2022</w:t>
            </w:r>
          </w:p>
        </w:tc>
        <w:tc>
          <w:tcPr>
            <w:tcW w:w="4820" w:type="dxa"/>
            <w:shd w:val="clear" w:color="auto" w:fill="auto"/>
          </w:tcPr>
          <w:p w14:paraId="35FA50A6" w14:textId="5B76160B"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Raport privind rezultatele activită</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ii economico-financiare a </w:t>
            </w:r>
            <w:r w:rsidR="009F5CFF" w:rsidRPr="00B13B9A">
              <w:rPr>
                <w:rFonts w:asciiTheme="majorHAnsi" w:hAnsiTheme="majorHAnsi" w:cstheme="majorHAnsi"/>
                <w:sz w:val="20"/>
                <w:szCs w:val="20"/>
                <w:lang w:val="ro-MD"/>
              </w:rPr>
              <w:t>institu</w:t>
            </w:r>
            <w:r w:rsidR="00B13B9A" w:rsidRPr="00B13B9A">
              <w:rPr>
                <w:rFonts w:asciiTheme="majorHAnsi" w:hAnsiTheme="majorHAnsi" w:cstheme="majorHAnsi"/>
                <w:sz w:val="20"/>
                <w:szCs w:val="20"/>
                <w:lang w:val="ro-MD"/>
              </w:rPr>
              <w:t>ț</w:t>
            </w:r>
            <w:r w:rsidR="009F5CFF" w:rsidRPr="00B13B9A">
              <w:rPr>
                <w:rFonts w:asciiTheme="majorHAnsi" w:hAnsiTheme="majorHAnsi" w:cstheme="majorHAnsi"/>
                <w:sz w:val="20"/>
                <w:szCs w:val="20"/>
                <w:lang w:val="ro-MD"/>
              </w:rPr>
              <w:t>iei</w:t>
            </w:r>
            <w:r w:rsidRPr="00B13B9A">
              <w:rPr>
                <w:rFonts w:asciiTheme="majorHAnsi" w:hAnsiTheme="majorHAnsi" w:cstheme="majorHAnsi"/>
                <w:sz w:val="20"/>
                <w:szCs w:val="20"/>
                <w:lang w:val="ro-MD"/>
              </w:rPr>
              <w:t xml:space="preserve"> pentru anul 2021;</w:t>
            </w:r>
          </w:p>
          <w:p w14:paraId="5EF4B144" w14:textId="01F7C19C"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Aprobarea Planului de activitate al institu</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iei pentru anul 2022;</w:t>
            </w:r>
          </w:p>
          <w:p w14:paraId="6C416A0C" w14:textId="77777777"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Aprobarea Statelor de personal pentru anul 2022;</w:t>
            </w:r>
          </w:p>
          <w:p w14:paraId="248E413A" w14:textId="48A493E6"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Aprobarea Planului de achizi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publice pentru anul 2022</w:t>
            </w:r>
          </w:p>
        </w:tc>
      </w:tr>
      <w:tr w:rsidR="00981ADA" w:rsidRPr="001924A7" w14:paraId="5F45B9FD" w14:textId="77777777" w:rsidTr="002101A1">
        <w:trPr>
          <w:gridAfter w:val="1"/>
          <w:wAfter w:w="12" w:type="dxa"/>
        </w:trPr>
        <w:tc>
          <w:tcPr>
            <w:tcW w:w="4106" w:type="dxa"/>
            <w:vMerge/>
            <w:shd w:val="clear" w:color="auto" w:fill="auto"/>
          </w:tcPr>
          <w:p w14:paraId="5A0DCB45" w14:textId="77777777" w:rsidR="00981ADA" w:rsidRPr="00B13B9A" w:rsidRDefault="00981ADA" w:rsidP="0026741B">
            <w:pPr>
              <w:rPr>
                <w:rFonts w:asciiTheme="majorHAnsi" w:hAnsiTheme="majorHAnsi" w:cstheme="majorHAnsi"/>
                <w:sz w:val="20"/>
                <w:szCs w:val="20"/>
                <w:lang w:val="ro-MD"/>
              </w:rPr>
            </w:pPr>
          </w:p>
        </w:tc>
        <w:tc>
          <w:tcPr>
            <w:tcW w:w="1134" w:type="dxa"/>
            <w:shd w:val="clear" w:color="auto" w:fill="auto"/>
          </w:tcPr>
          <w:p w14:paraId="5E3BEA36" w14:textId="77777777"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Proces-verbal nr. 38 din 14.07.2022</w:t>
            </w:r>
          </w:p>
        </w:tc>
        <w:tc>
          <w:tcPr>
            <w:tcW w:w="4820" w:type="dxa"/>
            <w:shd w:val="clear" w:color="auto" w:fill="auto"/>
          </w:tcPr>
          <w:p w14:paraId="3B95012B" w14:textId="0C304DC3"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Rezultatele activită</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ii medicale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economico-financiare a institu</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iei pentru 6 luni </w:t>
            </w:r>
            <w:r w:rsidR="00555C8B" w:rsidRPr="00B13B9A">
              <w:rPr>
                <w:rFonts w:asciiTheme="majorHAnsi" w:hAnsiTheme="majorHAnsi" w:cstheme="majorHAnsi"/>
                <w:sz w:val="20"/>
                <w:szCs w:val="20"/>
                <w:lang w:val="ro-MD"/>
              </w:rPr>
              <w:t xml:space="preserve">ale </w:t>
            </w:r>
            <w:r w:rsidRPr="00B13B9A">
              <w:rPr>
                <w:rFonts w:asciiTheme="majorHAnsi" w:hAnsiTheme="majorHAnsi" w:cstheme="majorHAnsi"/>
                <w:sz w:val="20"/>
                <w:szCs w:val="20"/>
                <w:lang w:val="ro-MD"/>
              </w:rPr>
              <w:t>anului 2022;</w:t>
            </w:r>
          </w:p>
          <w:p w14:paraId="5E5AA982" w14:textId="5631C8B0"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Raport </w:t>
            </w:r>
            <w:r w:rsidR="00555C8B" w:rsidRPr="00B13B9A">
              <w:rPr>
                <w:rFonts w:asciiTheme="majorHAnsi" w:hAnsiTheme="majorHAnsi" w:cstheme="majorHAnsi"/>
                <w:sz w:val="20"/>
                <w:szCs w:val="20"/>
                <w:lang w:val="ro-MD"/>
              </w:rPr>
              <w:t xml:space="preserve">privind </w:t>
            </w:r>
            <w:r w:rsidRPr="00B13B9A">
              <w:rPr>
                <w:rFonts w:asciiTheme="majorHAnsi" w:hAnsiTheme="majorHAnsi" w:cstheme="majorHAnsi"/>
                <w:sz w:val="20"/>
                <w:szCs w:val="20"/>
                <w:lang w:val="ro-MD"/>
              </w:rPr>
              <w:t>executarea contractelor de achizi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publice în perioada ianuarie - iunie 2022, modificări la planul de achizi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publice pentru anul 2022;</w:t>
            </w:r>
          </w:p>
          <w:p w14:paraId="5725C6BA" w14:textId="694C24B9" w:rsidR="00981ADA" w:rsidRPr="00B13B9A" w:rsidRDefault="00981ADA" w:rsidP="00555C8B">
            <w:pPr>
              <w:rPr>
                <w:rFonts w:asciiTheme="majorHAnsi" w:hAnsiTheme="majorHAnsi" w:cstheme="majorHAnsi"/>
                <w:sz w:val="20"/>
                <w:szCs w:val="20"/>
                <w:lang w:val="ro-MD"/>
              </w:rPr>
            </w:pPr>
            <w:r w:rsidRPr="00B13B9A">
              <w:rPr>
                <w:rFonts w:asciiTheme="majorHAnsi" w:hAnsiTheme="majorHAnsi" w:cstheme="majorHAnsi"/>
                <w:sz w:val="20"/>
                <w:szCs w:val="20"/>
                <w:lang w:val="ro-MD"/>
              </w:rPr>
              <w:t>Reactivarea sec</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iilor clinice cu profil </w:t>
            </w:r>
            <w:r w:rsidR="00555C8B" w:rsidRPr="00B13B9A">
              <w:rPr>
                <w:rFonts w:asciiTheme="majorHAnsi" w:hAnsiTheme="majorHAnsi" w:cstheme="majorHAnsi"/>
                <w:sz w:val="20"/>
                <w:szCs w:val="20"/>
                <w:lang w:val="ro-MD"/>
              </w:rPr>
              <w:t>C</w:t>
            </w:r>
            <w:r w:rsidRPr="00B13B9A">
              <w:rPr>
                <w:rFonts w:asciiTheme="majorHAnsi" w:hAnsiTheme="majorHAnsi" w:cstheme="majorHAnsi"/>
                <w:sz w:val="20"/>
                <w:szCs w:val="20"/>
                <w:lang w:val="ro-MD"/>
              </w:rPr>
              <w:t>ovid din cadrul institu</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iei în contextul cre</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terii numărului cazurilor de infec</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 cu SARS-CoV-2'</w:t>
            </w:r>
          </w:p>
        </w:tc>
      </w:tr>
      <w:tr w:rsidR="00981ADA" w:rsidRPr="001924A7" w14:paraId="734CD7CD" w14:textId="77777777" w:rsidTr="002101A1">
        <w:trPr>
          <w:gridAfter w:val="1"/>
          <w:wAfter w:w="12" w:type="dxa"/>
        </w:trPr>
        <w:tc>
          <w:tcPr>
            <w:tcW w:w="4106" w:type="dxa"/>
            <w:vMerge/>
            <w:shd w:val="clear" w:color="auto" w:fill="auto"/>
          </w:tcPr>
          <w:p w14:paraId="10FD18BF" w14:textId="77777777" w:rsidR="00981ADA" w:rsidRPr="00B13B9A" w:rsidRDefault="00981ADA" w:rsidP="0026741B">
            <w:pPr>
              <w:rPr>
                <w:rFonts w:asciiTheme="majorHAnsi" w:hAnsiTheme="majorHAnsi" w:cstheme="majorHAnsi"/>
                <w:sz w:val="20"/>
                <w:szCs w:val="20"/>
                <w:lang w:val="ro-MD"/>
              </w:rPr>
            </w:pPr>
          </w:p>
        </w:tc>
        <w:tc>
          <w:tcPr>
            <w:tcW w:w="1134" w:type="dxa"/>
            <w:shd w:val="clear" w:color="auto" w:fill="auto"/>
          </w:tcPr>
          <w:p w14:paraId="58AB1833" w14:textId="77777777"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Proces-verbal nr. 43 din 25.08.2022</w:t>
            </w:r>
          </w:p>
        </w:tc>
        <w:tc>
          <w:tcPr>
            <w:tcW w:w="4820" w:type="dxa"/>
            <w:shd w:val="clear" w:color="auto" w:fill="auto"/>
          </w:tcPr>
          <w:p w14:paraId="36CC3AF0" w14:textId="41B75BA1"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Desemnarea unui reprezentant din cadrul Consiliului de administra</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 al institu</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iei pentru</w:t>
            </w:r>
          </w:p>
          <w:p w14:paraId="53FDDDEE" w14:textId="799CE652"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participare în cadrul Comisiei pentru organizarea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desfă</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urarea concursului pentru ocuparea</w:t>
            </w:r>
          </w:p>
          <w:p w14:paraId="4D37DE02" w14:textId="4E7F4792" w:rsidR="00981ADA" w:rsidRPr="00B13B9A" w:rsidRDefault="00981ADA" w:rsidP="00555C8B">
            <w:pPr>
              <w:rPr>
                <w:rFonts w:asciiTheme="majorHAnsi" w:hAnsiTheme="majorHAnsi" w:cstheme="majorHAnsi"/>
                <w:sz w:val="20"/>
                <w:szCs w:val="20"/>
                <w:lang w:val="ro-MD"/>
              </w:rPr>
            </w:pPr>
            <w:r w:rsidRPr="00B13B9A">
              <w:rPr>
                <w:rFonts w:asciiTheme="majorHAnsi" w:hAnsiTheme="majorHAnsi" w:cstheme="majorHAnsi"/>
                <w:sz w:val="20"/>
                <w:szCs w:val="20"/>
                <w:lang w:val="ro-MD"/>
              </w:rPr>
              <w:t>func</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iei de director al IMSP Institutul de Ftiziopneumologie "Chiril Draganiuc"</w:t>
            </w:r>
          </w:p>
        </w:tc>
      </w:tr>
      <w:tr w:rsidR="00981ADA" w:rsidRPr="00B13B9A" w14:paraId="22994353" w14:textId="77777777" w:rsidTr="002101A1">
        <w:tc>
          <w:tcPr>
            <w:tcW w:w="10072" w:type="dxa"/>
            <w:gridSpan w:val="4"/>
            <w:shd w:val="clear" w:color="auto" w:fill="auto"/>
          </w:tcPr>
          <w:p w14:paraId="65FFD4F2" w14:textId="77777777" w:rsidR="00981ADA" w:rsidRPr="00B13B9A" w:rsidRDefault="00981ADA" w:rsidP="0026741B">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2023</w:t>
            </w:r>
          </w:p>
        </w:tc>
      </w:tr>
      <w:tr w:rsidR="00981ADA" w:rsidRPr="001924A7" w14:paraId="17028F58" w14:textId="77777777" w:rsidTr="002101A1">
        <w:trPr>
          <w:gridAfter w:val="1"/>
          <w:wAfter w:w="12" w:type="dxa"/>
        </w:trPr>
        <w:tc>
          <w:tcPr>
            <w:tcW w:w="4106" w:type="dxa"/>
            <w:shd w:val="clear" w:color="auto" w:fill="auto"/>
          </w:tcPr>
          <w:p w14:paraId="6CB880D8" w14:textId="26519437"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Svetlana Nicolaescu – Secretar</w:t>
            </w:r>
            <w:r w:rsidR="00555C8B" w:rsidRPr="00B13B9A">
              <w:rPr>
                <w:rFonts w:asciiTheme="majorHAnsi" w:hAnsiTheme="majorHAnsi" w:cstheme="majorHAnsi"/>
                <w:sz w:val="20"/>
                <w:szCs w:val="20"/>
                <w:lang w:val="ro-MD"/>
              </w:rPr>
              <w:t>ă</w:t>
            </w:r>
            <w:r w:rsidRPr="00B13B9A">
              <w:rPr>
                <w:rFonts w:asciiTheme="majorHAnsi" w:hAnsiTheme="majorHAnsi" w:cstheme="majorHAnsi"/>
                <w:sz w:val="20"/>
                <w:szCs w:val="20"/>
                <w:lang w:val="ro-MD"/>
              </w:rPr>
              <w:t xml:space="preserve"> de Stat, MS;</w:t>
            </w:r>
          </w:p>
          <w:p w14:paraId="7D33D96C" w14:textId="4B734018"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Anna Donica – reprezentant</w:t>
            </w:r>
            <w:r w:rsidR="00555C8B" w:rsidRPr="00B13B9A">
              <w:rPr>
                <w:rFonts w:asciiTheme="majorHAnsi" w:hAnsiTheme="majorHAnsi" w:cstheme="majorHAnsi"/>
                <w:sz w:val="20"/>
                <w:szCs w:val="20"/>
                <w:lang w:val="ro-MD"/>
              </w:rPr>
              <w:t>a</w:t>
            </w:r>
            <w:r w:rsidRPr="00B13B9A">
              <w:rPr>
                <w:rFonts w:asciiTheme="majorHAnsi" w:hAnsiTheme="majorHAnsi" w:cstheme="majorHAnsi"/>
                <w:sz w:val="20"/>
                <w:szCs w:val="20"/>
                <w:lang w:val="ro-MD"/>
              </w:rPr>
              <w:t xml:space="preserve"> colectivului de muncă;</w:t>
            </w:r>
          </w:p>
          <w:p w14:paraId="49290749" w14:textId="6E6FAA30"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Aliona Turovschi – reprezentant</w:t>
            </w:r>
            <w:r w:rsidR="00555C8B" w:rsidRPr="00B13B9A">
              <w:rPr>
                <w:rFonts w:asciiTheme="majorHAnsi" w:hAnsiTheme="majorHAnsi" w:cstheme="majorHAnsi"/>
                <w:sz w:val="20"/>
                <w:szCs w:val="20"/>
                <w:lang w:val="ro-MD"/>
              </w:rPr>
              <w:t>a</w:t>
            </w:r>
            <w:r w:rsidRPr="00B13B9A">
              <w:rPr>
                <w:rFonts w:asciiTheme="majorHAnsi" w:hAnsiTheme="majorHAnsi" w:cstheme="majorHAnsi"/>
                <w:sz w:val="20"/>
                <w:szCs w:val="20"/>
                <w:lang w:val="ro-MD"/>
              </w:rPr>
              <w:t xml:space="preserve"> colectivului de muncă;</w:t>
            </w:r>
          </w:p>
          <w:p w14:paraId="46094985" w14:textId="303220E1"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Lucia Pîr</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ina – reprezentant</w:t>
            </w:r>
            <w:r w:rsidR="00555C8B" w:rsidRPr="00B13B9A">
              <w:rPr>
                <w:rFonts w:asciiTheme="majorHAnsi" w:hAnsiTheme="majorHAnsi" w:cstheme="majorHAnsi"/>
                <w:sz w:val="20"/>
                <w:szCs w:val="20"/>
                <w:lang w:val="ro-MD"/>
              </w:rPr>
              <w:t>a</w:t>
            </w:r>
            <w:r w:rsidRPr="00B13B9A">
              <w:rPr>
                <w:rFonts w:asciiTheme="majorHAnsi" w:hAnsiTheme="majorHAnsi" w:cstheme="majorHAnsi"/>
                <w:sz w:val="20"/>
                <w:szCs w:val="20"/>
                <w:lang w:val="ro-MD"/>
              </w:rPr>
              <w:t xml:space="preserve"> ONG</w:t>
            </w:r>
          </w:p>
        </w:tc>
        <w:tc>
          <w:tcPr>
            <w:tcW w:w="1134" w:type="dxa"/>
            <w:shd w:val="clear" w:color="auto" w:fill="auto"/>
          </w:tcPr>
          <w:p w14:paraId="6D565086" w14:textId="77777777"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Proces-verbal nr. 16 din 30.03.2023</w:t>
            </w:r>
          </w:p>
        </w:tc>
        <w:tc>
          <w:tcPr>
            <w:tcW w:w="4820" w:type="dxa"/>
            <w:shd w:val="clear" w:color="auto" w:fill="auto"/>
          </w:tcPr>
          <w:p w14:paraId="235C2363" w14:textId="76D310FB"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Raport privind rezultatele </w:t>
            </w:r>
            <w:r w:rsidR="009F5CFF" w:rsidRPr="00B13B9A">
              <w:rPr>
                <w:rFonts w:asciiTheme="majorHAnsi" w:hAnsiTheme="majorHAnsi" w:cstheme="majorHAnsi"/>
                <w:sz w:val="20"/>
                <w:szCs w:val="20"/>
                <w:lang w:val="ro-MD"/>
              </w:rPr>
              <w:t>activită</w:t>
            </w:r>
            <w:r w:rsidR="00B13B9A" w:rsidRPr="00B13B9A">
              <w:rPr>
                <w:rFonts w:asciiTheme="majorHAnsi" w:hAnsiTheme="majorHAnsi" w:cstheme="majorHAnsi"/>
                <w:sz w:val="20"/>
                <w:szCs w:val="20"/>
                <w:lang w:val="ro-MD"/>
              </w:rPr>
              <w:t>ț</w:t>
            </w:r>
            <w:r w:rsidR="009F5CFF" w:rsidRPr="00B13B9A">
              <w:rPr>
                <w:rFonts w:asciiTheme="majorHAnsi" w:hAnsiTheme="majorHAnsi" w:cstheme="majorHAnsi"/>
                <w:sz w:val="20"/>
                <w:szCs w:val="20"/>
                <w:lang w:val="ro-MD"/>
              </w:rPr>
              <w:t>ii</w:t>
            </w:r>
            <w:r w:rsidRPr="00B13B9A">
              <w:rPr>
                <w:rFonts w:asciiTheme="majorHAnsi" w:hAnsiTheme="majorHAnsi" w:cstheme="majorHAnsi"/>
                <w:sz w:val="20"/>
                <w:szCs w:val="20"/>
                <w:lang w:val="ro-MD"/>
              </w:rPr>
              <w:t xml:space="preserve"> clinice, economico-financiare a </w:t>
            </w:r>
            <w:r w:rsidR="009F5CFF" w:rsidRPr="00B13B9A">
              <w:rPr>
                <w:rFonts w:asciiTheme="majorHAnsi" w:hAnsiTheme="majorHAnsi" w:cstheme="majorHAnsi"/>
                <w:sz w:val="20"/>
                <w:szCs w:val="20"/>
                <w:lang w:val="ro-MD"/>
              </w:rPr>
              <w:t>institu</w:t>
            </w:r>
            <w:r w:rsidR="00B13B9A" w:rsidRPr="00B13B9A">
              <w:rPr>
                <w:rFonts w:asciiTheme="majorHAnsi" w:hAnsiTheme="majorHAnsi" w:cstheme="majorHAnsi"/>
                <w:sz w:val="20"/>
                <w:szCs w:val="20"/>
                <w:lang w:val="ro-MD"/>
              </w:rPr>
              <w:t>ț</w:t>
            </w:r>
            <w:r w:rsidR="009F5CFF" w:rsidRPr="00B13B9A">
              <w:rPr>
                <w:rFonts w:asciiTheme="majorHAnsi" w:hAnsiTheme="majorHAnsi" w:cstheme="majorHAnsi"/>
                <w:sz w:val="20"/>
                <w:szCs w:val="20"/>
                <w:lang w:val="ro-MD"/>
              </w:rPr>
              <w:t>iei</w:t>
            </w:r>
            <w:r w:rsidRPr="00B13B9A">
              <w:rPr>
                <w:rFonts w:asciiTheme="majorHAnsi" w:hAnsiTheme="majorHAnsi" w:cstheme="majorHAnsi"/>
                <w:sz w:val="20"/>
                <w:szCs w:val="20"/>
                <w:lang w:val="ro-MD"/>
              </w:rPr>
              <w:t xml:space="preserve"> pentru</w:t>
            </w:r>
          </w:p>
          <w:p w14:paraId="20C64670" w14:textId="77777777"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anul 2022;</w:t>
            </w:r>
          </w:p>
          <w:p w14:paraId="7188F660" w14:textId="0CD8D1C9"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Aprobarea Planului de activitate al institu</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iei pentru anul 2023;</w:t>
            </w:r>
          </w:p>
          <w:p w14:paraId="2E60A9DA" w14:textId="77777777"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Aprobarea Statelor de personal pentru anul 2023;</w:t>
            </w:r>
          </w:p>
          <w:p w14:paraId="4D60D61A" w14:textId="6E65C5A8" w:rsidR="00981ADA" w:rsidRPr="00B13B9A" w:rsidRDefault="00981ADA" w:rsidP="00555C8B">
            <w:pPr>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Aprobarea Planului de </w:t>
            </w:r>
            <w:r w:rsidR="009F5CFF" w:rsidRPr="00B13B9A">
              <w:rPr>
                <w:rFonts w:asciiTheme="majorHAnsi" w:hAnsiTheme="majorHAnsi" w:cstheme="majorHAnsi"/>
                <w:sz w:val="20"/>
                <w:szCs w:val="20"/>
                <w:lang w:val="ro-MD"/>
              </w:rPr>
              <w:t>achizi</w:t>
            </w:r>
            <w:r w:rsidR="00B13B9A" w:rsidRPr="00B13B9A">
              <w:rPr>
                <w:rFonts w:asciiTheme="majorHAnsi" w:hAnsiTheme="majorHAnsi" w:cstheme="majorHAnsi"/>
                <w:sz w:val="20"/>
                <w:szCs w:val="20"/>
                <w:lang w:val="ro-MD"/>
              </w:rPr>
              <w:t>ț</w:t>
            </w:r>
            <w:r w:rsidR="009F5CFF" w:rsidRPr="00B13B9A">
              <w:rPr>
                <w:rFonts w:asciiTheme="majorHAnsi" w:hAnsiTheme="majorHAnsi" w:cstheme="majorHAnsi"/>
                <w:sz w:val="20"/>
                <w:szCs w:val="20"/>
                <w:lang w:val="ro-MD"/>
              </w:rPr>
              <w:t>ii</w:t>
            </w:r>
            <w:r w:rsidRPr="00B13B9A">
              <w:rPr>
                <w:rFonts w:asciiTheme="majorHAnsi" w:hAnsiTheme="majorHAnsi" w:cstheme="majorHAnsi"/>
                <w:sz w:val="20"/>
                <w:szCs w:val="20"/>
                <w:lang w:val="ro-MD"/>
              </w:rPr>
              <w:t xml:space="preserve"> publice pentru anul 2023</w:t>
            </w:r>
          </w:p>
        </w:tc>
      </w:tr>
      <w:tr w:rsidR="00981ADA" w:rsidRPr="00B13B9A" w14:paraId="08EDA64D" w14:textId="77777777" w:rsidTr="002101A1">
        <w:trPr>
          <w:gridAfter w:val="1"/>
          <w:wAfter w:w="12" w:type="dxa"/>
        </w:trPr>
        <w:tc>
          <w:tcPr>
            <w:tcW w:w="4106" w:type="dxa"/>
            <w:shd w:val="clear" w:color="auto" w:fill="auto"/>
          </w:tcPr>
          <w:p w14:paraId="5841EC06" w14:textId="2E2921CA"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Svetlana Nicolaescu - secretar</w:t>
            </w:r>
            <w:r w:rsidR="00555C8B" w:rsidRPr="00B13B9A">
              <w:rPr>
                <w:rFonts w:asciiTheme="majorHAnsi" w:hAnsiTheme="majorHAnsi" w:cstheme="majorHAnsi"/>
                <w:sz w:val="20"/>
                <w:szCs w:val="20"/>
                <w:lang w:val="ro-MD"/>
              </w:rPr>
              <w:t>ă</w:t>
            </w:r>
            <w:r w:rsidRPr="00B13B9A">
              <w:rPr>
                <w:rFonts w:asciiTheme="majorHAnsi" w:hAnsiTheme="majorHAnsi" w:cstheme="majorHAnsi"/>
                <w:sz w:val="20"/>
                <w:szCs w:val="20"/>
                <w:lang w:val="ro-MD"/>
              </w:rPr>
              <w:t xml:space="preserve"> de stat, MS;</w:t>
            </w:r>
          </w:p>
          <w:p w14:paraId="74087FD6" w14:textId="5A991755"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Mariana Gîncu -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ef</w:t>
            </w:r>
            <w:r w:rsidR="00555C8B" w:rsidRPr="00B13B9A">
              <w:rPr>
                <w:rFonts w:asciiTheme="majorHAnsi" w:hAnsiTheme="majorHAnsi" w:cstheme="majorHAnsi"/>
                <w:sz w:val="20"/>
                <w:szCs w:val="20"/>
                <w:lang w:val="ro-MD"/>
              </w:rPr>
              <w:t>ă</w:t>
            </w:r>
            <w:r w:rsidRPr="00B13B9A">
              <w:rPr>
                <w:rFonts w:asciiTheme="majorHAnsi" w:hAnsiTheme="majorHAnsi" w:cstheme="majorHAnsi"/>
                <w:sz w:val="20"/>
                <w:szCs w:val="20"/>
                <w:lang w:val="ro-MD"/>
              </w:rPr>
              <w:t xml:space="preserve"> Direc</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ia politici în domeniul sănătă</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ii publice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urgen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e în Sănătate Publică;</w:t>
            </w:r>
          </w:p>
          <w:p w14:paraId="051D36E6" w14:textId="1F3A9592" w:rsidR="00981ADA" w:rsidRPr="00B13B9A" w:rsidRDefault="00981ADA" w:rsidP="00555C8B">
            <w:pPr>
              <w:rPr>
                <w:rFonts w:asciiTheme="majorHAnsi" w:hAnsiTheme="majorHAnsi" w:cstheme="majorHAnsi"/>
                <w:sz w:val="20"/>
                <w:szCs w:val="20"/>
                <w:lang w:val="ro-MD"/>
              </w:rPr>
            </w:pPr>
            <w:r w:rsidRPr="00B13B9A">
              <w:rPr>
                <w:rFonts w:asciiTheme="majorHAnsi" w:hAnsiTheme="majorHAnsi" w:cstheme="majorHAnsi"/>
                <w:sz w:val="20"/>
                <w:szCs w:val="20"/>
                <w:lang w:val="ro-MD"/>
              </w:rPr>
              <w:t>Aliona David - reprezentanta colectivului de muncă</w:t>
            </w:r>
          </w:p>
        </w:tc>
        <w:tc>
          <w:tcPr>
            <w:tcW w:w="1134" w:type="dxa"/>
            <w:shd w:val="clear" w:color="auto" w:fill="auto"/>
          </w:tcPr>
          <w:p w14:paraId="4CCFB64C" w14:textId="77777777"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Proces-verbal nr. 32 din 13.07.2023</w:t>
            </w:r>
          </w:p>
        </w:tc>
        <w:tc>
          <w:tcPr>
            <w:tcW w:w="4820" w:type="dxa"/>
            <w:shd w:val="clear" w:color="auto" w:fill="auto"/>
          </w:tcPr>
          <w:p w14:paraId="579169E9" w14:textId="308C4BC6"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Rezultatele </w:t>
            </w:r>
            <w:r w:rsidR="009F5CFF" w:rsidRPr="00B13B9A">
              <w:rPr>
                <w:rFonts w:asciiTheme="majorHAnsi" w:hAnsiTheme="majorHAnsi" w:cstheme="majorHAnsi"/>
                <w:sz w:val="20"/>
                <w:szCs w:val="20"/>
                <w:lang w:val="ro-MD"/>
              </w:rPr>
              <w:t>activită</w:t>
            </w:r>
            <w:r w:rsidR="00B13B9A" w:rsidRPr="00B13B9A">
              <w:rPr>
                <w:rFonts w:asciiTheme="majorHAnsi" w:hAnsiTheme="majorHAnsi" w:cstheme="majorHAnsi"/>
                <w:sz w:val="20"/>
                <w:szCs w:val="20"/>
                <w:lang w:val="ro-MD"/>
              </w:rPr>
              <w:t>ț</w:t>
            </w:r>
            <w:r w:rsidR="009F5CFF" w:rsidRPr="00B13B9A">
              <w:rPr>
                <w:rFonts w:asciiTheme="majorHAnsi" w:hAnsiTheme="majorHAnsi" w:cstheme="majorHAnsi"/>
                <w:sz w:val="20"/>
                <w:szCs w:val="20"/>
                <w:lang w:val="ro-MD"/>
              </w:rPr>
              <w:t>ii</w:t>
            </w:r>
            <w:r w:rsidRPr="00B13B9A">
              <w:rPr>
                <w:rFonts w:asciiTheme="majorHAnsi" w:hAnsiTheme="majorHAnsi" w:cstheme="majorHAnsi"/>
                <w:sz w:val="20"/>
                <w:szCs w:val="20"/>
                <w:lang w:val="ro-MD"/>
              </w:rPr>
              <w:t xml:space="preserve"> medicale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economico-financiare a institu</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iei pentru semestrul I anul 2023;</w:t>
            </w:r>
          </w:p>
          <w:p w14:paraId="0098E37E" w14:textId="6B73FE31"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Examinarea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aprobarea Planului strategic de dezvoltare a institu</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iei pentru anii 2023-2027;</w:t>
            </w:r>
          </w:p>
          <w:p w14:paraId="045C1612" w14:textId="50F65D96"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Examinarea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 xml:space="preserve">i coordonarea Organigramei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a schemei Statelor de personal;</w:t>
            </w:r>
          </w:p>
          <w:p w14:paraId="5BC753FB" w14:textId="75258BA1" w:rsidR="00981ADA" w:rsidRPr="00B13B9A" w:rsidRDefault="00981ADA" w:rsidP="00555C8B">
            <w:pPr>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Examinarea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aprobarea modificărilor în Planul de achizi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publice pentru anul 2023</w:t>
            </w:r>
          </w:p>
        </w:tc>
      </w:tr>
      <w:tr w:rsidR="00981ADA" w:rsidRPr="00B13B9A" w14:paraId="123BA325" w14:textId="77777777" w:rsidTr="002101A1">
        <w:trPr>
          <w:gridAfter w:val="1"/>
          <w:wAfter w:w="12" w:type="dxa"/>
        </w:trPr>
        <w:tc>
          <w:tcPr>
            <w:tcW w:w="4106" w:type="dxa"/>
            <w:shd w:val="clear" w:color="auto" w:fill="auto"/>
          </w:tcPr>
          <w:p w14:paraId="20119198" w14:textId="4329730E"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Svetlana Nicolaescu - secretar</w:t>
            </w:r>
            <w:r w:rsidR="00555C8B" w:rsidRPr="00B13B9A">
              <w:rPr>
                <w:rFonts w:asciiTheme="majorHAnsi" w:hAnsiTheme="majorHAnsi" w:cstheme="majorHAnsi"/>
                <w:sz w:val="20"/>
                <w:szCs w:val="20"/>
                <w:lang w:val="ro-MD"/>
              </w:rPr>
              <w:t>ă</w:t>
            </w:r>
            <w:r w:rsidRPr="00B13B9A">
              <w:rPr>
                <w:rFonts w:asciiTheme="majorHAnsi" w:hAnsiTheme="majorHAnsi" w:cstheme="majorHAnsi"/>
                <w:sz w:val="20"/>
                <w:szCs w:val="20"/>
                <w:lang w:val="ro-MD"/>
              </w:rPr>
              <w:t xml:space="preserve"> de stat, MS;</w:t>
            </w:r>
          </w:p>
          <w:p w14:paraId="5D0B41D8" w14:textId="164F1C73"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Mariana Gîncu -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ef</w:t>
            </w:r>
            <w:r w:rsidR="00555C8B" w:rsidRPr="00B13B9A">
              <w:rPr>
                <w:rFonts w:asciiTheme="majorHAnsi" w:hAnsiTheme="majorHAnsi" w:cstheme="majorHAnsi"/>
                <w:sz w:val="20"/>
                <w:szCs w:val="20"/>
                <w:lang w:val="ro-MD"/>
              </w:rPr>
              <w:t>ă</w:t>
            </w:r>
            <w:r w:rsidRPr="00B13B9A">
              <w:rPr>
                <w:rFonts w:asciiTheme="majorHAnsi" w:hAnsiTheme="majorHAnsi" w:cstheme="majorHAnsi"/>
                <w:sz w:val="20"/>
                <w:szCs w:val="20"/>
                <w:lang w:val="ro-MD"/>
              </w:rPr>
              <w:t xml:space="preserve"> Direc</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ia politici în domeniul sănătă</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ii publice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urgen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e în Sănătate Publică;</w:t>
            </w:r>
          </w:p>
          <w:p w14:paraId="13E9DC34" w14:textId="237A9367" w:rsidR="00981ADA" w:rsidRPr="00B13B9A" w:rsidRDefault="00981ADA" w:rsidP="00555C8B">
            <w:pPr>
              <w:rPr>
                <w:rFonts w:asciiTheme="majorHAnsi" w:hAnsiTheme="majorHAnsi" w:cstheme="majorHAnsi"/>
                <w:sz w:val="20"/>
                <w:szCs w:val="20"/>
                <w:lang w:val="ro-MD"/>
              </w:rPr>
            </w:pPr>
            <w:r w:rsidRPr="00B13B9A">
              <w:rPr>
                <w:rFonts w:asciiTheme="majorHAnsi" w:hAnsiTheme="majorHAnsi" w:cstheme="majorHAnsi"/>
                <w:sz w:val="20"/>
                <w:szCs w:val="20"/>
                <w:lang w:val="ro-MD"/>
              </w:rPr>
              <w:t>Aliona David - reprezentant</w:t>
            </w:r>
            <w:r w:rsidR="00555C8B" w:rsidRPr="00B13B9A">
              <w:rPr>
                <w:rFonts w:asciiTheme="majorHAnsi" w:hAnsiTheme="majorHAnsi" w:cstheme="majorHAnsi"/>
                <w:sz w:val="20"/>
                <w:szCs w:val="20"/>
                <w:lang w:val="ro-MD"/>
              </w:rPr>
              <w:t>ă</w:t>
            </w:r>
            <w:r w:rsidRPr="00B13B9A">
              <w:rPr>
                <w:rFonts w:asciiTheme="majorHAnsi" w:hAnsiTheme="majorHAnsi" w:cstheme="majorHAnsi"/>
                <w:sz w:val="20"/>
                <w:szCs w:val="20"/>
                <w:lang w:val="ro-MD"/>
              </w:rPr>
              <w:t xml:space="preserve"> colectivului de muncă</w:t>
            </w:r>
          </w:p>
        </w:tc>
        <w:tc>
          <w:tcPr>
            <w:tcW w:w="1134" w:type="dxa"/>
            <w:shd w:val="clear" w:color="auto" w:fill="auto"/>
          </w:tcPr>
          <w:p w14:paraId="0DB17D7A" w14:textId="77777777"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Proces- verbal nr. 33 din 04.08.2023</w:t>
            </w:r>
          </w:p>
        </w:tc>
        <w:tc>
          <w:tcPr>
            <w:tcW w:w="4820" w:type="dxa"/>
            <w:shd w:val="clear" w:color="auto" w:fill="auto"/>
          </w:tcPr>
          <w:p w14:paraId="6D2768D7" w14:textId="755CE149"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Examinarea solicitării Autorită</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Na</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ional</w:t>
            </w:r>
            <w:r w:rsidR="00555C8B" w:rsidRPr="00B13B9A">
              <w:rPr>
                <w:rFonts w:asciiTheme="majorHAnsi" w:hAnsiTheme="majorHAnsi" w:cstheme="majorHAnsi"/>
                <w:sz w:val="20"/>
                <w:szCs w:val="20"/>
                <w:lang w:val="ro-MD"/>
              </w:rPr>
              <w:t>e</w:t>
            </w:r>
            <w:r w:rsidRPr="00B13B9A">
              <w:rPr>
                <w:rFonts w:asciiTheme="majorHAnsi" w:hAnsiTheme="majorHAnsi" w:cstheme="majorHAnsi"/>
                <w:sz w:val="20"/>
                <w:szCs w:val="20"/>
                <w:lang w:val="ro-MD"/>
              </w:rPr>
              <w:t xml:space="preserve"> a Penitenciarelor privind transmiterea în comodat</w:t>
            </w:r>
          </w:p>
          <w:p w14:paraId="1BEDF0CD" w14:textId="2C7F1697" w:rsidR="00981ADA" w:rsidRPr="00B13B9A" w:rsidRDefault="00981ADA" w:rsidP="00AF4631">
            <w:pPr>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a Cabinetului </w:t>
            </w:r>
            <w:r w:rsidR="009F5CFF" w:rsidRPr="00B13B9A">
              <w:rPr>
                <w:rFonts w:asciiTheme="majorHAnsi" w:hAnsiTheme="majorHAnsi" w:cstheme="majorHAnsi"/>
                <w:sz w:val="20"/>
                <w:szCs w:val="20"/>
                <w:lang w:val="ro-MD"/>
              </w:rPr>
              <w:t>fluorografic</w:t>
            </w:r>
            <w:r w:rsidRPr="00B13B9A">
              <w:rPr>
                <w:rFonts w:asciiTheme="majorHAnsi" w:hAnsiTheme="majorHAnsi" w:cstheme="majorHAnsi"/>
                <w:sz w:val="20"/>
                <w:szCs w:val="20"/>
                <w:lang w:val="ro-MD"/>
              </w:rPr>
              <w:t xml:space="preserve"> mobil cu flu</w:t>
            </w:r>
            <w:r w:rsidR="00555C8B" w:rsidRPr="00B13B9A">
              <w:rPr>
                <w:rFonts w:asciiTheme="majorHAnsi" w:hAnsiTheme="majorHAnsi" w:cstheme="majorHAnsi"/>
                <w:sz w:val="20"/>
                <w:szCs w:val="20"/>
                <w:lang w:val="ro-MD"/>
              </w:rPr>
              <w:t>o</w:t>
            </w:r>
            <w:r w:rsidRPr="00B13B9A">
              <w:rPr>
                <w:rFonts w:asciiTheme="majorHAnsi" w:hAnsiTheme="majorHAnsi" w:cstheme="majorHAnsi"/>
                <w:sz w:val="20"/>
                <w:szCs w:val="20"/>
                <w:lang w:val="ro-MD"/>
              </w:rPr>
              <w:t>rograf digital</w:t>
            </w:r>
          </w:p>
        </w:tc>
      </w:tr>
    </w:tbl>
    <w:p w14:paraId="14EE7E89" w14:textId="22927B05" w:rsidR="0007264E" w:rsidRPr="00B13B9A" w:rsidRDefault="0007264E" w:rsidP="0007264E">
      <w:pPr>
        <w:pStyle w:val="cn"/>
        <w:spacing w:line="276" w:lineRule="auto"/>
        <w:ind w:right="71"/>
        <w:jc w:val="both"/>
        <w:rPr>
          <w:rFonts w:asciiTheme="majorHAnsi" w:eastAsiaTheme="minorHAnsi" w:hAnsiTheme="majorHAnsi" w:cstheme="majorHAnsi"/>
          <w:i/>
          <w:sz w:val="20"/>
          <w:szCs w:val="20"/>
          <w:lang w:val="ro-MD" w:eastAsia="en-US"/>
        </w:rPr>
      </w:pPr>
      <w:r w:rsidRPr="00B13B9A">
        <w:rPr>
          <w:rFonts w:asciiTheme="majorHAnsi" w:eastAsiaTheme="minorHAnsi" w:hAnsiTheme="majorHAnsi" w:cstheme="majorHAnsi"/>
          <w:b/>
          <w:i/>
          <w:sz w:val="20"/>
          <w:szCs w:val="20"/>
          <w:lang w:val="ro-MD" w:eastAsia="en-US"/>
        </w:rPr>
        <w:t>Sursa:</w:t>
      </w:r>
      <w:r w:rsidRPr="00B13B9A">
        <w:rPr>
          <w:rFonts w:asciiTheme="majorHAnsi" w:eastAsiaTheme="minorHAnsi" w:hAnsiTheme="majorHAnsi" w:cstheme="majorHAnsi"/>
          <w:i/>
          <w:sz w:val="20"/>
          <w:szCs w:val="20"/>
          <w:lang w:val="ro-MD" w:eastAsia="en-US"/>
        </w:rPr>
        <w:t xml:space="preserve"> </w:t>
      </w:r>
      <w:r w:rsidR="00AF4631" w:rsidRPr="00B13B9A">
        <w:rPr>
          <w:rFonts w:asciiTheme="majorHAnsi" w:eastAsiaTheme="minorHAnsi" w:hAnsiTheme="majorHAnsi" w:cstheme="majorHAnsi"/>
          <w:i/>
          <w:sz w:val="20"/>
          <w:szCs w:val="20"/>
          <w:lang w:val="ro-MD" w:eastAsia="en-US"/>
        </w:rPr>
        <w:t xml:space="preserve">Elaborat </w:t>
      </w:r>
      <w:r w:rsidRPr="00B13B9A">
        <w:rPr>
          <w:rFonts w:asciiTheme="majorHAnsi" w:eastAsiaTheme="minorHAnsi" w:hAnsiTheme="majorHAnsi" w:cstheme="majorHAnsi"/>
          <w:i/>
          <w:sz w:val="20"/>
          <w:szCs w:val="20"/>
          <w:lang w:val="ro-MD" w:eastAsia="en-US"/>
        </w:rPr>
        <w:t>de audit în baza datelor prezentate de entitate</w:t>
      </w:r>
      <w:r w:rsidR="00AF4631" w:rsidRPr="00B13B9A">
        <w:rPr>
          <w:rFonts w:asciiTheme="majorHAnsi" w:eastAsiaTheme="minorHAnsi" w:hAnsiTheme="majorHAnsi" w:cstheme="majorHAnsi"/>
          <w:i/>
          <w:sz w:val="20"/>
          <w:szCs w:val="20"/>
          <w:lang w:val="ro-MD" w:eastAsia="en-US"/>
        </w:rPr>
        <w:t>.</w:t>
      </w:r>
    </w:p>
    <w:p w14:paraId="1C791B2C" w14:textId="77777777" w:rsidR="00EF1983" w:rsidRPr="00B13B9A" w:rsidRDefault="00EF1983" w:rsidP="00EF1983">
      <w:pPr>
        <w:pStyle w:val="a7"/>
        <w:spacing w:after="0"/>
        <w:ind w:left="0"/>
        <w:jc w:val="right"/>
        <w:rPr>
          <w:rFonts w:asciiTheme="majorHAnsi" w:hAnsiTheme="majorHAnsi" w:cstheme="majorHAnsi"/>
          <w:b/>
          <w:i/>
          <w:sz w:val="24"/>
          <w:szCs w:val="24"/>
          <w:lang w:val="ro-MD"/>
        </w:rPr>
      </w:pPr>
    </w:p>
    <w:p w14:paraId="6D1432CF" w14:textId="6495608D" w:rsidR="00EF1983" w:rsidRPr="00934A6F" w:rsidRDefault="00782BD2" w:rsidP="00F169F5">
      <w:pPr>
        <w:pStyle w:val="3"/>
        <w:jc w:val="right"/>
        <w:rPr>
          <w:rFonts w:cstheme="majorHAnsi"/>
          <w:b/>
          <w:iCs/>
          <w:color w:val="auto"/>
        </w:rPr>
      </w:pPr>
      <w:bookmarkStart w:id="55" w:name="_Toc158317257"/>
      <w:r w:rsidRPr="00934A6F">
        <w:rPr>
          <w:rFonts w:cstheme="majorHAnsi"/>
          <w:b/>
          <w:iCs/>
          <w:color w:val="auto"/>
        </w:rPr>
        <w:t xml:space="preserve">Anexa nr. </w:t>
      </w:r>
      <w:r w:rsidR="00A51C46" w:rsidRPr="00934A6F">
        <w:rPr>
          <w:rFonts w:cstheme="majorHAnsi"/>
          <w:b/>
          <w:iCs/>
          <w:color w:val="auto"/>
        </w:rPr>
        <w:t>3</w:t>
      </w:r>
      <w:bookmarkEnd w:id="55"/>
    </w:p>
    <w:p w14:paraId="5D94E010" w14:textId="17BDE15F" w:rsidR="00EF1983" w:rsidRPr="00934A6F" w:rsidRDefault="00EF1983" w:rsidP="00C93D2B">
      <w:pPr>
        <w:spacing w:after="0" w:line="240" w:lineRule="auto"/>
        <w:jc w:val="center"/>
        <w:rPr>
          <w:rFonts w:asciiTheme="majorHAnsi" w:eastAsia="Times New Roman" w:hAnsiTheme="majorHAnsi" w:cstheme="majorHAnsi"/>
          <w:b/>
          <w:bCs/>
          <w:color w:val="000000"/>
          <w:sz w:val="24"/>
          <w:lang w:val="ro-MD"/>
        </w:rPr>
      </w:pPr>
      <w:r w:rsidRPr="00934A6F">
        <w:rPr>
          <w:rFonts w:asciiTheme="majorHAnsi" w:eastAsia="Times New Roman" w:hAnsiTheme="majorHAnsi" w:cstheme="majorHAnsi"/>
          <w:b/>
          <w:bCs/>
          <w:color w:val="000000"/>
          <w:sz w:val="24"/>
          <w:lang w:val="ro-MD"/>
        </w:rPr>
        <w:t>Situa</w:t>
      </w:r>
      <w:r w:rsidR="00B13B9A" w:rsidRPr="00934A6F">
        <w:rPr>
          <w:rFonts w:asciiTheme="majorHAnsi" w:eastAsia="Times New Roman" w:hAnsiTheme="majorHAnsi" w:cstheme="majorHAnsi"/>
          <w:b/>
          <w:bCs/>
          <w:color w:val="000000"/>
          <w:sz w:val="24"/>
          <w:lang w:val="ro-MD"/>
        </w:rPr>
        <w:t>ț</w:t>
      </w:r>
      <w:r w:rsidRPr="00934A6F">
        <w:rPr>
          <w:rFonts w:asciiTheme="majorHAnsi" w:eastAsia="Times New Roman" w:hAnsiTheme="majorHAnsi" w:cstheme="majorHAnsi"/>
          <w:b/>
          <w:bCs/>
          <w:color w:val="000000"/>
          <w:sz w:val="24"/>
          <w:lang w:val="ro-MD"/>
        </w:rPr>
        <w:t xml:space="preserve">ia economico-financiară a </w:t>
      </w:r>
      <w:r w:rsidR="00F431A2" w:rsidRPr="00934A6F">
        <w:rPr>
          <w:rFonts w:asciiTheme="majorHAnsi" w:hAnsiTheme="majorHAnsi" w:cstheme="majorHAnsi"/>
          <w:b/>
          <w:color w:val="000000" w:themeColor="text1"/>
          <w:sz w:val="24"/>
          <w:szCs w:val="24"/>
          <w:lang w:val="ro-MD"/>
        </w:rPr>
        <w:t xml:space="preserve">IMSP IFP </w:t>
      </w:r>
      <w:r w:rsidR="00F431A2" w:rsidRPr="00934A6F">
        <w:rPr>
          <w:rFonts w:asciiTheme="majorHAnsi" w:hAnsiTheme="majorHAnsi" w:cstheme="majorHAnsi"/>
          <w:b/>
          <w:sz w:val="24"/>
          <w:szCs w:val="24"/>
          <w:lang w:val="ro-MD"/>
        </w:rPr>
        <w:t>„Chiril Draganiuc”</w:t>
      </w:r>
      <w:r w:rsidR="00C93D2B" w:rsidRPr="00934A6F">
        <w:rPr>
          <w:rFonts w:asciiTheme="majorHAnsi" w:hAnsiTheme="majorHAnsi" w:cstheme="majorHAnsi"/>
          <w:b/>
          <w:sz w:val="24"/>
          <w:szCs w:val="24"/>
          <w:lang w:val="ro-MD"/>
        </w:rPr>
        <w:t xml:space="preserve"> pe parcursul perioadei auditate</w:t>
      </w:r>
    </w:p>
    <w:tbl>
      <w:tblPr>
        <w:tblStyle w:val="12"/>
        <w:tblW w:w="10206" w:type="dxa"/>
        <w:tblLook w:val="04A0" w:firstRow="1" w:lastRow="0" w:firstColumn="1" w:lastColumn="0" w:noHBand="0" w:noVBand="1"/>
      </w:tblPr>
      <w:tblGrid>
        <w:gridCol w:w="3119"/>
        <w:gridCol w:w="1276"/>
        <w:gridCol w:w="1276"/>
        <w:gridCol w:w="1276"/>
        <w:gridCol w:w="1134"/>
        <w:gridCol w:w="992"/>
        <w:gridCol w:w="1133"/>
      </w:tblGrid>
      <w:tr w:rsidR="00C93D2B" w:rsidRPr="00934A6F" w14:paraId="151309ED" w14:textId="77777777" w:rsidTr="00C93D2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02683050" w14:textId="77777777" w:rsidR="00C93D2B" w:rsidRPr="00934A6F" w:rsidRDefault="00C93D2B" w:rsidP="00C93D2B">
            <w:pPr>
              <w:jc w:val="center"/>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Indicatorii</w:t>
            </w:r>
          </w:p>
        </w:tc>
        <w:tc>
          <w:tcPr>
            <w:tcW w:w="1276" w:type="dxa"/>
            <w:hideMark/>
          </w:tcPr>
          <w:p w14:paraId="72122B7A" w14:textId="77777777" w:rsidR="00C93D2B" w:rsidRPr="00934A6F" w:rsidRDefault="00C93D2B" w:rsidP="00C93D2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Anul 2021, mii lei</w:t>
            </w:r>
          </w:p>
        </w:tc>
        <w:tc>
          <w:tcPr>
            <w:tcW w:w="1276" w:type="dxa"/>
            <w:hideMark/>
          </w:tcPr>
          <w:p w14:paraId="3E1ACCED" w14:textId="77777777" w:rsidR="00C93D2B" w:rsidRPr="00934A6F" w:rsidRDefault="00C93D2B" w:rsidP="00C93D2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Ponderea în total, 2021, %</w:t>
            </w:r>
          </w:p>
        </w:tc>
        <w:tc>
          <w:tcPr>
            <w:tcW w:w="1276" w:type="dxa"/>
            <w:hideMark/>
          </w:tcPr>
          <w:p w14:paraId="25347658" w14:textId="77777777" w:rsidR="00C93D2B" w:rsidRPr="00934A6F" w:rsidRDefault="00C93D2B" w:rsidP="00C93D2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Anul 2022, mii lei</w:t>
            </w:r>
          </w:p>
        </w:tc>
        <w:tc>
          <w:tcPr>
            <w:tcW w:w="1134" w:type="dxa"/>
            <w:hideMark/>
          </w:tcPr>
          <w:p w14:paraId="68ACC411" w14:textId="77777777" w:rsidR="00C93D2B" w:rsidRPr="00934A6F" w:rsidRDefault="00C93D2B" w:rsidP="00C93D2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Ponderea în total, 2022, %</w:t>
            </w:r>
          </w:p>
        </w:tc>
        <w:tc>
          <w:tcPr>
            <w:tcW w:w="992" w:type="dxa"/>
            <w:hideMark/>
          </w:tcPr>
          <w:p w14:paraId="46EA9F8F" w14:textId="77777777" w:rsidR="00C93D2B" w:rsidRPr="00934A6F" w:rsidRDefault="00C93D2B" w:rsidP="00C93D2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Anul 2023, 6 luni, mii lei</w:t>
            </w:r>
          </w:p>
        </w:tc>
        <w:tc>
          <w:tcPr>
            <w:tcW w:w="1133" w:type="dxa"/>
            <w:hideMark/>
          </w:tcPr>
          <w:p w14:paraId="31F8138E" w14:textId="77777777" w:rsidR="00C93D2B" w:rsidRPr="00934A6F" w:rsidRDefault="00C93D2B" w:rsidP="00C93D2B">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i/>
                <w:color w:val="000000"/>
                <w:sz w:val="20"/>
                <w:szCs w:val="20"/>
                <w:lang w:val="ro-MD"/>
              </w:rPr>
            </w:pPr>
            <w:r w:rsidRPr="00934A6F">
              <w:rPr>
                <w:rFonts w:asciiTheme="majorHAnsi" w:eastAsia="Times New Roman" w:hAnsiTheme="majorHAnsi" w:cstheme="majorHAnsi"/>
                <w:b w:val="0"/>
                <w:i/>
                <w:color w:val="000000"/>
                <w:sz w:val="20"/>
                <w:szCs w:val="20"/>
                <w:lang w:val="ro-MD"/>
              </w:rPr>
              <w:t>Ponderea în total, 2023 6 luni, %</w:t>
            </w:r>
          </w:p>
        </w:tc>
      </w:tr>
      <w:tr w:rsidR="00C93D2B" w:rsidRPr="00934A6F" w14:paraId="37D8B707" w14:textId="77777777" w:rsidTr="00C93D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hideMark/>
          </w:tcPr>
          <w:p w14:paraId="16708CB0" w14:textId="77777777" w:rsidR="00C93D2B" w:rsidRPr="00934A6F" w:rsidRDefault="00C93D2B" w:rsidP="00C93D2B">
            <w:pPr>
              <w:jc w:val="right"/>
              <w:rPr>
                <w:rFonts w:asciiTheme="majorHAnsi" w:eastAsia="Times New Roman" w:hAnsiTheme="majorHAnsi" w:cstheme="majorHAnsi"/>
                <w:i/>
                <w:iCs/>
                <w:color w:val="000000"/>
                <w:sz w:val="20"/>
                <w:szCs w:val="20"/>
                <w:lang w:val="ro-MD"/>
              </w:rPr>
            </w:pPr>
            <w:r w:rsidRPr="00934A6F">
              <w:rPr>
                <w:rFonts w:asciiTheme="majorHAnsi" w:eastAsia="Times New Roman" w:hAnsiTheme="majorHAnsi" w:cstheme="majorHAnsi"/>
                <w:i/>
                <w:iCs/>
                <w:color w:val="000000"/>
                <w:sz w:val="20"/>
                <w:szCs w:val="20"/>
                <w:lang w:val="ro-MD"/>
              </w:rPr>
              <w:t>Venituri totale, Inclusiv:</w:t>
            </w:r>
          </w:p>
        </w:tc>
        <w:tc>
          <w:tcPr>
            <w:tcW w:w="1276" w:type="dxa"/>
            <w:noWrap/>
            <w:hideMark/>
          </w:tcPr>
          <w:p w14:paraId="76D1E944"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934A6F">
              <w:rPr>
                <w:rFonts w:asciiTheme="majorHAnsi" w:eastAsia="Times New Roman" w:hAnsiTheme="majorHAnsi" w:cstheme="majorHAnsi"/>
                <w:b/>
                <w:bCs/>
                <w:color w:val="000000"/>
                <w:sz w:val="20"/>
                <w:szCs w:val="20"/>
                <w:lang w:val="ro-MD"/>
              </w:rPr>
              <w:t>157401</w:t>
            </w:r>
          </w:p>
        </w:tc>
        <w:tc>
          <w:tcPr>
            <w:tcW w:w="1276" w:type="dxa"/>
            <w:noWrap/>
            <w:hideMark/>
          </w:tcPr>
          <w:p w14:paraId="6DEED1C8"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934A6F">
              <w:rPr>
                <w:rFonts w:asciiTheme="majorHAnsi" w:eastAsia="Times New Roman" w:hAnsiTheme="majorHAnsi" w:cstheme="majorHAnsi"/>
                <w:b/>
                <w:bCs/>
                <w:color w:val="000000"/>
                <w:sz w:val="20"/>
                <w:szCs w:val="20"/>
                <w:lang w:val="ro-MD"/>
              </w:rPr>
              <w:t>100,00%</w:t>
            </w:r>
          </w:p>
        </w:tc>
        <w:tc>
          <w:tcPr>
            <w:tcW w:w="1276" w:type="dxa"/>
            <w:noWrap/>
            <w:hideMark/>
          </w:tcPr>
          <w:p w14:paraId="7DF2DE10"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934A6F">
              <w:rPr>
                <w:rFonts w:asciiTheme="majorHAnsi" w:eastAsia="Times New Roman" w:hAnsiTheme="majorHAnsi" w:cstheme="majorHAnsi"/>
                <w:b/>
                <w:bCs/>
                <w:color w:val="000000"/>
                <w:sz w:val="20"/>
                <w:szCs w:val="20"/>
                <w:lang w:val="ro-MD"/>
              </w:rPr>
              <w:t>160600,4</w:t>
            </w:r>
          </w:p>
        </w:tc>
        <w:tc>
          <w:tcPr>
            <w:tcW w:w="1134" w:type="dxa"/>
            <w:noWrap/>
            <w:hideMark/>
          </w:tcPr>
          <w:p w14:paraId="693E081E"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934A6F">
              <w:rPr>
                <w:rFonts w:asciiTheme="majorHAnsi" w:eastAsia="Times New Roman" w:hAnsiTheme="majorHAnsi" w:cstheme="majorHAnsi"/>
                <w:b/>
                <w:bCs/>
                <w:color w:val="000000"/>
                <w:sz w:val="20"/>
                <w:szCs w:val="20"/>
                <w:lang w:val="ro-MD"/>
              </w:rPr>
              <w:t>100,00%</w:t>
            </w:r>
          </w:p>
        </w:tc>
        <w:tc>
          <w:tcPr>
            <w:tcW w:w="992" w:type="dxa"/>
            <w:noWrap/>
            <w:hideMark/>
          </w:tcPr>
          <w:p w14:paraId="0BCA4DEE"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sz w:val="20"/>
                <w:szCs w:val="20"/>
                <w:lang w:val="ro-MD"/>
              </w:rPr>
            </w:pPr>
            <w:r w:rsidRPr="00934A6F">
              <w:rPr>
                <w:rFonts w:asciiTheme="majorHAnsi" w:eastAsia="Times New Roman" w:hAnsiTheme="majorHAnsi" w:cstheme="majorHAnsi"/>
                <w:b/>
                <w:color w:val="000000"/>
                <w:sz w:val="20"/>
                <w:szCs w:val="20"/>
                <w:lang w:val="ro-MD"/>
              </w:rPr>
              <w:t>84990,8</w:t>
            </w:r>
          </w:p>
        </w:tc>
        <w:tc>
          <w:tcPr>
            <w:tcW w:w="1133" w:type="dxa"/>
            <w:noWrap/>
            <w:hideMark/>
          </w:tcPr>
          <w:p w14:paraId="6B1C4D91"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934A6F">
              <w:rPr>
                <w:rFonts w:asciiTheme="majorHAnsi" w:eastAsia="Times New Roman" w:hAnsiTheme="majorHAnsi" w:cstheme="majorHAnsi"/>
                <w:b/>
                <w:bCs/>
                <w:color w:val="000000"/>
                <w:sz w:val="20"/>
                <w:szCs w:val="20"/>
                <w:lang w:val="ro-MD"/>
              </w:rPr>
              <w:t>100,00%</w:t>
            </w:r>
          </w:p>
        </w:tc>
      </w:tr>
      <w:tr w:rsidR="00C93D2B" w:rsidRPr="00934A6F" w14:paraId="16D8AA14" w14:textId="77777777" w:rsidTr="00C93D2B">
        <w:trPr>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0FF24B0E" w14:textId="25C7D629"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aloca</w:t>
            </w:r>
            <w:r w:rsidR="00B13B9A" w:rsidRPr="00934A6F">
              <w:rPr>
                <w:rFonts w:asciiTheme="majorHAnsi" w:eastAsia="Times New Roman" w:hAnsiTheme="majorHAnsi" w:cstheme="majorHAnsi"/>
                <w:b w:val="0"/>
                <w:i/>
                <w:iCs/>
                <w:color w:val="000000"/>
                <w:sz w:val="20"/>
                <w:szCs w:val="20"/>
                <w:lang w:val="ro-MD"/>
              </w:rPr>
              <w:t>ț</w:t>
            </w:r>
            <w:r w:rsidRPr="00934A6F">
              <w:rPr>
                <w:rFonts w:asciiTheme="majorHAnsi" w:eastAsia="Times New Roman" w:hAnsiTheme="majorHAnsi" w:cstheme="majorHAnsi"/>
                <w:b w:val="0"/>
                <w:i/>
                <w:iCs/>
                <w:color w:val="000000"/>
                <w:sz w:val="20"/>
                <w:szCs w:val="20"/>
                <w:lang w:val="ro-MD"/>
              </w:rPr>
              <w:t>ii CNAM</w:t>
            </w:r>
          </w:p>
        </w:tc>
        <w:tc>
          <w:tcPr>
            <w:tcW w:w="1276" w:type="dxa"/>
            <w:noWrap/>
            <w:hideMark/>
          </w:tcPr>
          <w:p w14:paraId="5D3624D0"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115657,7</w:t>
            </w:r>
          </w:p>
        </w:tc>
        <w:tc>
          <w:tcPr>
            <w:tcW w:w="1276" w:type="dxa"/>
            <w:noWrap/>
            <w:hideMark/>
          </w:tcPr>
          <w:p w14:paraId="012F1968"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73,48%</w:t>
            </w:r>
          </w:p>
        </w:tc>
        <w:tc>
          <w:tcPr>
            <w:tcW w:w="1276" w:type="dxa"/>
            <w:noWrap/>
            <w:hideMark/>
          </w:tcPr>
          <w:p w14:paraId="06EE5618"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117890,4</w:t>
            </w:r>
          </w:p>
        </w:tc>
        <w:tc>
          <w:tcPr>
            <w:tcW w:w="1134" w:type="dxa"/>
            <w:noWrap/>
            <w:hideMark/>
          </w:tcPr>
          <w:p w14:paraId="006989C0"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73,41%</w:t>
            </w:r>
          </w:p>
        </w:tc>
        <w:tc>
          <w:tcPr>
            <w:tcW w:w="992" w:type="dxa"/>
            <w:noWrap/>
            <w:hideMark/>
          </w:tcPr>
          <w:p w14:paraId="6BD63E1C"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66803,5</w:t>
            </w:r>
          </w:p>
        </w:tc>
        <w:tc>
          <w:tcPr>
            <w:tcW w:w="1133" w:type="dxa"/>
            <w:noWrap/>
            <w:hideMark/>
          </w:tcPr>
          <w:p w14:paraId="1519B8F1"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78,60%</w:t>
            </w:r>
          </w:p>
        </w:tc>
      </w:tr>
      <w:tr w:rsidR="00C93D2B" w:rsidRPr="00934A6F" w14:paraId="00F2B940" w14:textId="77777777" w:rsidTr="00C93D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11018168" w14:textId="3242A712"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aloca</w:t>
            </w:r>
            <w:r w:rsidR="00B13B9A" w:rsidRPr="00934A6F">
              <w:rPr>
                <w:rFonts w:asciiTheme="majorHAnsi" w:eastAsia="Times New Roman" w:hAnsiTheme="majorHAnsi" w:cstheme="majorHAnsi"/>
                <w:b w:val="0"/>
                <w:i/>
                <w:iCs/>
                <w:color w:val="000000"/>
                <w:sz w:val="20"/>
                <w:szCs w:val="20"/>
                <w:lang w:val="ro-MD"/>
              </w:rPr>
              <w:t>ț</w:t>
            </w:r>
            <w:r w:rsidRPr="00934A6F">
              <w:rPr>
                <w:rFonts w:asciiTheme="majorHAnsi" w:eastAsia="Times New Roman" w:hAnsiTheme="majorHAnsi" w:cstheme="majorHAnsi"/>
                <w:b w:val="0"/>
                <w:i/>
                <w:iCs/>
                <w:color w:val="000000"/>
                <w:sz w:val="20"/>
                <w:szCs w:val="20"/>
                <w:lang w:val="ro-MD"/>
              </w:rPr>
              <w:t xml:space="preserve">ii </w:t>
            </w:r>
            <w:r w:rsidR="00B13B9A" w:rsidRPr="00934A6F">
              <w:rPr>
                <w:rFonts w:asciiTheme="majorHAnsi" w:eastAsia="Times New Roman" w:hAnsiTheme="majorHAnsi" w:cstheme="majorHAnsi"/>
                <w:b w:val="0"/>
                <w:i/>
                <w:iCs/>
                <w:color w:val="000000"/>
                <w:sz w:val="20"/>
                <w:szCs w:val="20"/>
                <w:lang w:val="ro-MD"/>
              </w:rPr>
              <w:t>Ș</w:t>
            </w:r>
            <w:r w:rsidRPr="00934A6F">
              <w:rPr>
                <w:rFonts w:asciiTheme="majorHAnsi" w:eastAsia="Times New Roman" w:hAnsiTheme="majorHAnsi" w:cstheme="majorHAnsi"/>
                <w:b w:val="0"/>
                <w:i/>
                <w:iCs/>
                <w:color w:val="000000"/>
                <w:sz w:val="20"/>
                <w:szCs w:val="20"/>
                <w:lang w:val="ro-MD"/>
              </w:rPr>
              <w:t>tiin</w:t>
            </w:r>
            <w:r w:rsidR="00B13B9A" w:rsidRPr="00934A6F">
              <w:rPr>
                <w:rFonts w:asciiTheme="majorHAnsi" w:eastAsia="Times New Roman" w:hAnsiTheme="majorHAnsi" w:cstheme="majorHAnsi"/>
                <w:b w:val="0"/>
                <w:i/>
                <w:iCs/>
                <w:color w:val="000000"/>
                <w:sz w:val="20"/>
                <w:szCs w:val="20"/>
                <w:lang w:val="ro-MD"/>
              </w:rPr>
              <w:t>ț</w:t>
            </w:r>
            <w:r w:rsidRPr="00934A6F">
              <w:rPr>
                <w:rFonts w:asciiTheme="majorHAnsi" w:eastAsia="Times New Roman" w:hAnsiTheme="majorHAnsi" w:cstheme="majorHAnsi"/>
                <w:b w:val="0"/>
                <w:i/>
                <w:iCs/>
                <w:color w:val="000000"/>
                <w:sz w:val="20"/>
                <w:szCs w:val="20"/>
                <w:lang w:val="ro-MD"/>
              </w:rPr>
              <w:t>ă</w:t>
            </w:r>
          </w:p>
        </w:tc>
        <w:tc>
          <w:tcPr>
            <w:tcW w:w="1276" w:type="dxa"/>
            <w:noWrap/>
            <w:hideMark/>
          </w:tcPr>
          <w:p w14:paraId="01CE38D8"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3083,3</w:t>
            </w:r>
          </w:p>
        </w:tc>
        <w:tc>
          <w:tcPr>
            <w:tcW w:w="1276" w:type="dxa"/>
            <w:noWrap/>
            <w:hideMark/>
          </w:tcPr>
          <w:p w14:paraId="5F676393"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1,96%</w:t>
            </w:r>
          </w:p>
        </w:tc>
        <w:tc>
          <w:tcPr>
            <w:tcW w:w="1276" w:type="dxa"/>
            <w:noWrap/>
            <w:hideMark/>
          </w:tcPr>
          <w:p w14:paraId="1C63E595"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1729</w:t>
            </w:r>
          </w:p>
        </w:tc>
        <w:tc>
          <w:tcPr>
            <w:tcW w:w="1134" w:type="dxa"/>
            <w:noWrap/>
            <w:hideMark/>
          </w:tcPr>
          <w:p w14:paraId="3F6B542E"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1,08%</w:t>
            </w:r>
          </w:p>
        </w:tc>
        <w:tc>
          <w:tcPr>
            <w:tcW w:w="992" w:type="dxa"/>
            <w:noWrap/>
            <w:hideMark/>
          </w:tcPr>
          <w:p w14:paraId="13893464"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797,4</w:t>
            </w:r>
          </w:p>
        </w:tc>
        <w:tc>
          <w:tcPr>
            <w:tcW w:w="1133" w:type="dxa"/>
            <w:noWrap/>
            <w:hideMark/>
          </w:tcPr>
          <w:p w14:paraId="11ABA557"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0,94%</w:t>
            </w:r>
          </w:p>
        </w:tc>
      </w:tr>
      <w:tr w:rsidR="00C93D2B" w:rsidRPr="00934A6F" w14:paraId="156EF71A" w14:textId="77777777" w:rsidTr="00C93D2B">
        <w:trPr>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7AB97A07" w14:textId="77777777"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servicii cu plată</w:t>
            </w:r>
          </w:p>
        </w:tc>
        <w:tc>
          <w:tcPr>
            <w:tcW w:w="1276" w:type="dxa"/>
            <w:noWrap/>
            <w:hideMark/>
          </w:tcPr>
          <w:p w14:paraId="388B5E13"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1346,7</w:t>
            </w:r>
          </w:p>
        </w:tc>
        <w:tc>
          <w:tcPr>
            <w:tcW w:w="1276" w:type="dxa"/>
            <w:noWrap/>
            <w:hideMark/>
          </w:tcPr>
          <w:p w14:paraId="55A4C3C3"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0,86%</w:t>
            </w:r>
          </w:p>
        </w:tc>
        <w:tc>
          <w:tcPr>
            <w:tcW w:w="1276" w:type="dxa"/>
            <w:noWrap/>
            <w:hideMark/>
          </w:tcPr>
          <w:p w14:paraId="2CF6E6E8"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2088,6</w:t>
            </w:r>
          </w:p>
        </w:tc>
        <w:tc>
          <w:tcPr>
            <w:tcW w:w="1134" w:type="dxa"/>
            <w:noWrap/>
            <w:hideMark/>
          </w:tcPr>
          <w:p w14:paraId="17052EAC"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1,30%</w:t>
            </w:r>
          </w:p>
        </w:tc>
        <w:tc>
          <w:tcPr>
            <w:tcW w:w="992" w:type="dxa"/>
            <w:noWrap/>
            <w:hideMark/>
          </w:tcPr>
          <w:p w14:paraId="3CDC2E89"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912,7</w:t>
            </w:r>
          </w:p>
        </w:tc>
        <w:tc>
          <w:tcPr>
            <w:tcW w:w="1133" w:type="dxa"/>
            <w:noWrap/>
            <w:hideMark/>
          </w:tcPr>
          <w:p w14:paraId="65F2247F"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1,07%</w:t>
            </w:r>
          </w:p>
        </w:tc>
      </w:tr>
      <w:tr w:rsidR="00C93D2B" w:rsidRPr="00934A6F" w14:paraId="465AB4FD" w14:textId="77777777" w:rsidTr="00C93D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5D0A678D" w14:textId="00F5EF43"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aloca</w:t>
            </w:r>
            <w:r w:rsidR="00B13B9A" w:rsidRPr="00934A6F">
              <w:rPr>
                <w:rFonts w:asciiTheme="majorHAnsi" w:eastAsia="Times New Roman" w:hAnsiTheme="majorHAnsi" w:cstheme="majorHAnsi"/>
                <w:b w:val="0"/>
                <w:i/>
                <w:iCs/>
                <w:color w:val="000000"/>
                <w:sz w:val="20"/>
                <w:szCs w:val="20"/>
                <w:lang w:val="ro-MD"/>
              </w:rPr>
              <w:t>ț</w:t>
            </w:r>
            <w:r w:rsidRPr="00934A6F">
              <w:rPr>
                <w:rFonts w:asciiTheme="majorHAnsi" w:eastAsia="Times New Roman" w:hAnsiTheme="majorHAnsi" w:cstheme="majorHAnsi"/>
                <w:b w:val="0"/>
                <w:i/>
                <w:iCs/>
                <w:color w:val="000000"/>
                <w:sz w:val="20"/>
                <w:szCs w:val="20"/>
                <w:lang w:val="ro-MD"/>
              </w:rPr>
              <w:t>ii proiecte</w:t>
            </w:r>
          </w:p>
        </w:tc>
        <w:tc>
          <w:tcPr>
            <w:tcW w:w="1276" w:type="dxa"/>
            <w:noWrap/>
            <w:hideMark/>
          </w:tcPr>
          <w:p w14:paraId="73337485"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11212,4</w:t>
            </w:r>
          </w:p>
        </w:tc>
        <w:tc>
          <w:tcPr>
            <w:tcW w:w="1276" w:type="dxa"/>
            <w:noWrap/>
            <w:hideMark/>
          </w:tcPr>
          <w:p w14:paraId="180A0C87"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7,12%</w:t>
            </w:r>
          </w:p>
        </w:tc>
        <w:tc>
          <w:tcPr>
            <w:tcW w:w="1276" w:type="dxa"/>
            <w:noWrap/>
            <w:hideMark/>
          </w:tcPr>
          <w:p w14:paraId="548F5469"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9558,3</w:t>
            </w:r>
          </w:p>
        </w:tc>
        <w:tc>
          <w:tcPr>
            <w:tcW w:w="1134" w:type="dxa"/>
            <w:noWrap/>
            <w:hideMark/>
          </w:tcPr>
          <w:p w14:paraId="19A610EB"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5,95%</w:t>
            </w:r>
          </w:p>
        </w:tc>
        <w:tc>
          <w:tcPr>
            <w:tcW w:w="992" w:type="dxa"/>
            <w:noWrap/>
            <w:hideMark/>
          </w:tcPr>
          <w:p w14:paraId="12E3D9DF"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3177,3</w:t>
            </w:r>
          </w:p>
        </w:tc>
        <w:tc>
          <w:tcPr>
            <w:tcW w:w="1133" w:type="dxa"/>
            <w:noWrap/>
            <w:hideMark/>
          </w:tcPr>
          <w:p w14:paraId="4A29F2F6"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3,74%</w:t>
            </w:r>
          </w:p>
        </w:tc>
      </w:tr>
      <w:tr w:rsidR="00C93D2B" w:rsidRPr="00934A6F" w14:paraId="3B48D962" w14:textId="77777777" w:rsidTr="00C93D2B">
        <w:trPr>
          <w:trHeight w:val="20"/>
        </w:trPr>
        <w:tc>
          <w:tcPr>
            <w:cnfStyle w:val="001000000000" w:firstRow="0" w:lastRow="0" w:firstColumn="1" w:lastColumn="0" w:oddVBand="0" w:evenVBand="0" w:oddHBand="0" w:evenHBand="0" w:firstRowFirstColumn="0" w:firstRowLastColumn="0" w:lastRowFirstColumn="0" w:lastRowLastColumn="0"/>
            <w:tcW w:w="3119" w:type="dxa"/>
            <w:hideMark/>
          </w:tcPr>
          <w:p w14:paraId="20DE1DC9" w14:textId="77777777"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ajutor umanitar, medicamente</w:t>
            </w:r>
          </w:p>
        </w:tc>
        <w:tc>
          <w:tcPr>
            <w:tcW w:w="1276" w:type="dxa"/>
            <w:noWrap/>
            <w:hideMark/>
          </w:tcPr>
          <w:p w14:paraId="042973A0"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25837,3</w:t>
            </w:r>
          </w:p>
        </w:tc>
        <w:tc>
          <w:tcPr>
            <w:tcW w:w="1276" w:type="dxa"/>
            <w:noWrap/>
            <w:hideMark/>
          </w:tcPr>
          <w:p w14:paraId="45457F2A"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16,41%</w:t>
            </w:r>
          </w:p>
        </w:tc>
        <w:tc>
          <w:tcPr>
            <w:tcW w:w="1276" w:type="dxa"/>
            <w:noWrap/>
            <w:hideMark/>
          </w:tcPr>
          <w:p w14:paraId="162C5763"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28785,2</w:t>
            </w:r>
          </w:p>
        </w:tc>
        <w:tc>
          <w:tcPr>
            <w:tcW w:w="1134" w:type="dxa"/>
            <w:noWrap/>
            <w:hideMark/>
          </w:tcPr>
          <w:p w14:paraId="3E211E5F"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17,92%</w:t>
            </w:r>
          </w:p>
        </w:tc>
        <w:tc>
          <w:tcPr>
            <w:tcW w:w="992" w:type="dxa"/>
            <w:noWrap/>
            <w:hideMark/>
          </w:tcPr>
          <w:p w14:paraId="1796FF33"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13009,5</w:t>
            </w:r>
          </w:p>
        </w:tc>
        <w:tc>
          <w:tcPr>
            <w:tcW w:w="1133" w:type="dxa"/>
            <w:noWrap/>
            <w:hideMark/>
          </w:tcPr>
          <w:p w14:paraId="16C91575"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15,31%</w:t>
            </w:r>
          </w:p>
        </w:tc>
      </w:tr>
      <w:tr w:rsidR="00C93D2B" w:rsidRPr="00934A6F" w14:paraId="208FB2F8" w14:textId="77777777" w:rsidTr="00C93D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74C8610F" w14:textId="77777777"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alte venituri</w:t>
            </w:r>
          </w:p>
        </w:tc>
        <w:tc>
          <w:tcPr>
            <w:tcW w:w="1276" w:type="dxa"/>
            <w:noWrap/>
            <w:hideMark/>
          </w:tcPr>
          <w:p w14:paraId="46408232"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263,8</w:t>
            </w:r>
          </w:p>
        </w:tc>
        <w:tc>
          <w:tcPr>
            <w:tcW w:w="1276" w:type="dxa"/>
            <w:noWrap/>
            <w:hideMark/>
          </w:tcPr>
          <w:p w14:paraId="33CF9AD8"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0,17%</w:t>
            </w:r>
          </w:p>
        </w:tc>
        <w:tc>
          <w:tcPr>
            <w:tcW w:w="1276" w:type="dxa"/>
            <w:noWrap/>
            <w:hideMark/>
          </w:tcPr>
          <w:p w14:paraId="3E7432C6"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548,9</w:t>
            </w:r>
          </w:p>
        </w:tc>
        <w:tc>
          <w:tcPr>
            <w:tcW w:w="1134" w:type="dxa"/>
            <w:noWrap/>
            <w:hideMark/>
          </w:tcPr>
          <w:p w14:paraId="0ACCBBC3"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0,34%</w:t>
            </w:r>
          </w:p>
        </w:tc>
        <w:tc>
          <w:tcPr>
            <w:tcW w:w="992" w:type="dxa"/>
            <w:noWrap/>
            <w:hideMark/>
          </w:tcPr>
          <w:p w14:paraId="6B4BD58B"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290,4</w:t>
            </w:r>
          </w:p>
        </w:tc>
        <w:tc>
          <w:tcPr>
            <w:tcW w:w="1133" w:type="dxa"/>
            <w:noWrap/>
            <w:hideMark/>
          </w:tcPr>
          <w:p w14:paraId="574C2E0E"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0,34%</w:t>
            </w:r>
          </w:p>
        </w:tc>
      </w:tr>
      <w:tr w:rsidR="00C93D2B" w:rsidRPr="00934A6F" w14:paraId="4CF14262" w14:textId="77777777" w:rsidTr="00C93D2B">
        <w:trPr>
          <w:trHeight w:val="20"/>
        </w:trPr>
        <w:tc>
          <w:tcPr>
            <w:cnfStyle w:val="001000000000" w:firstRow="0" w:lastRow="0" w:firstColumn="1" w:lastColumn="0" w:oddVBand="0" w:evenVBand="0" w:oddHBand="0" w:evenHBand="0" w:firstRowFirstColumn="0" w:firstRowLastColumn="0" w:lastRowFirstColumn="0" w:lastRowLastColumn="0"/>
            <w:tcW w:w="3119" w:type="dxa"/>
            <w:hideMark/>
          </w:tcPr>
          <w:p w14:paraId="43D18C71" w14:textId="77777777" w:rsidR="00C93D2B" w:rsidRPr="00934A6F" w:rsidRDefault="00C93D2B" w:rsidP="00C93D2B">
            <w:pPr>
              <w:jc w:val="right"/>
              <w:rPr>
                <w:rFonts w:asciiTheme="majorHAnsi" w:eastAsia="Times New Roman" w:hAnsiTheme="majorHAnsi" w:cstheme="majorHAnsi"/>
                <w:i/>
                <w:iCs/>
                <w:color w:val="000000"/>
                <w:sz w:val="20"/>
                <w:szCs w:val="20"/>
                <w:lang w:val="ro-MD"/>
              </w:rPr>
            </w:pPr>
            <w:r w:rsidRPr="00934A6F">
              <w:rPr>
                <w:rFonts w:asciiTheme="majorHAnsi" w:eastAsia="Times New Roman" w:hAnsiTheme="majorHAnsi" w:cstheme="majorHAnsi"/>
                <w:i/>
                <w:iCs/>
                <w:color w:val="000000"/>
                <w:sz w:val="20"/>
                <w:szCs w:val="20"/>
                <w:lang w:val="ro-MD"/>
              </w:rPr>
              <w:t>Cheltuieli totale, inclusiv:</w:t>
            </w:r>
          </w:p>
        </w:tc>
        <w:tc>
          <w:tcPr>
            <w:tcW w:w="1276" w:type="dxa"/>
            <w:noWrap/>
            <w:hideMark/>
          </w:tcPr>
          <w:p w14:paraId="5905954E"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934A6F">
              <w:rPr>
                <w:rFonts w:asciiTheme="majorHAnsi" w:eastAsia="Times New Roman" w:hAnsiTheme="majorHAnsi" w:cstheme="majorHAnsi"/>
                <w:b/>
                <w:bCs/>
                <w:color w:val="000000"/>
                <w:sz w:val="20"/>
                <w:szCs w:val="20"/>
                <w:lang w:val="ro-MD"/>
              </w:rPr>
              <w:t>157401</w:t>
            </w:r>
          </w:p>
        </w:tc>
        <w:tc>
          <w:tcPr>
            <w:tcW w:w="1276" w:type="dxa"/>
            <w:noWrap/>
            <w:hideMark/>
          </w:tcPr>
          <w:p w14:paraId="463DAB66"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934A6F">
              <w:rPr>
                <w:rFonts w:asciiTheme="majorHAnsi" w:eastAsia="Times New Roman" w:hAnsiTheme="majorHAnsi" w:cstheme="majorHAnsi"/>
                <w:b/>
                <w:bCs/>
                <w:color w:val="000000"/>
                <w:sz w:val="20"/>
                <w:szCs w:val="20"/>
                <w:lang w:val="ro-MD"/>
              </w:rPr>
              <w:t>100,00%</w:t>
            </w:r>
          </w:p>
        </w:tc>
        <w:tc>
          <w:tcPr>
            <w:tcW w:w="1276" w:type="dxa"/>
            <w:noWrap/>
            <w:hideMark/>
          </w:tcPr>
          <w:p w14:paraId="46E54EA2"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934A6F">
              <w:rPr>
                <w:rFonts w:asciiTheme="majorHAnsi" w:eastAsia="Times New Roman" w:hAnsiTheme="majorHAnsi" w:cstheme="majorHAnsi"/>
                <w:b/>
                <w:bCs/>
                <w:color w:val="000000"/>
                <w:sz w:val="20"/>
                <w:szCs w:val="20"/>
                <w:lang w:val="ro-MD"/>
              </w:rPr>
              <w:t>160600,4</w:t>
            </w:r>
          </w:p>
        </w:tc>
        <w:tc>
          <w:tcPr>
            <w:tcW w:w="1134" w:type="dxa"/>
            <w:noWrap/>
            <w:hideMark/>
          </w:tcPr>
          <w:p w14:paraId="660669E0"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934A6F">
              <w:rPr>
                <w:rFonts w:asciiTheme="majorHAnsi" w:eastAsia="Times New Roman" w:hAnsiTheme="majorHAnsi" w:cstheme="majorHAnsi"/>
                <w:b/>
                <w:bCs/>
                <w:color w:val="000000"/>
                <w:sz w:val="20"/>
                <w:szCs w:val="20"/>
                <w:lang w:val="ro-MD"/>
              </w:rPr>
              <w:t>100,00%</w:t>
            </w:r>
          </w:p>
        </w:tc>
        <w:tc>
          <w:tcPr>
            <w:tcW w:w="992" w:type="dxa"/>
            <w:noWrap/>
            <w:hideMark/>
          </w:tcPr>
          <w:p w14:paraId="1F18AC17"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o-MD"/>
              </w:rPr>
            </w:pPr>
            <w:r w:rsidRPr="00934A6F">
              <w:rPr>
                <w:rFonts w:asciiTheme="majorHAnsi" w:eastAsia="Times New Roman" w:hAnsiTheme="majorHAnsi" w:cstheme="majorHAnsi"/>
                <w:b/>
                <w:color w:val="000000"/>
                <w:sz w:val="20"/>
                <w:szCs w:val="20"/>
                <w:lang w:val="ro-MD"/>
              </w:rPr>
              <w:t>84990,8</w:t>
            </w:r>
          </w:p>
        </w:tc>
        <w:tc>
          <w:tcPr>
            <w:tcW w:w="1133" w:type="dxa"/>
            <w:noWrap/>
            <w:hideMark/>
          </w:tcPr>
          <w:p w14:paraId="108EAF8C"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934A6F">
              <w:rPr>
                <w:rFonts w:asciiTheme="majorHAnsi" w:eastAsia="Times New Roman" w:hAnsiTheme="majorHAnsi" w:cstheme="majorHAnsi"/>
                <w:b/>
                <w:bCs/>
                <w:color w:val="000000"/>
                <w:sz w:val="20"/>
                <w:szCs w:val="20"/>
                <w:lang w:val="ro-MD"/>
              </w:rPr>
              <w:t>100,00%</w:t>
            </w:r>
          </w:p>
        </w:tc>
      </w:tr>
      <w:tr w:rsidR="00C93D2B" w:rsidRPr="00934A6F" w14:paraId="56E2DC8D" w14:textId="77777777" w:rsidTr="00C93D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5E8C901A" w14:textId="77777777"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retribuirea muncii</w:t>
            </w:r>
          </w:p>
        </w:tc>
        <w:tc>
          <w:tcPr>
            <w:tcW w:w="1276" w:type="dxa"/>
            <w:noWrap/>
            <w:hideMark/>
          </w:tcPr>
          <w:p w14:paraId="518121DE"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86529</w:t>
            </w:r>
          </w:p>
        </w:tc>
        <w:tc>
          <w:tcPr>
            <w:tcW w:w="1276" w:type="dxa"/>
            <w:noWrap/>
            <w:hideMark/>
          </w:tcPr>
          <w:p w14:paraId="61FD151E"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54,97%</w:t>
            </w:r>
          </w:p>
        </w:tc>
        <w:tc>
          <w:tcPr>
            <w:tcW w:w="1276" w:type="dxa"/>
            <w:noWrap/>
            <w:hideMark/>
          </w:tcPr>
          <w:p w14:paraId="45200713"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79092,8</w:t>
            </w:r>
          </w:p>
        </w:tc>
        <w:tc>
          <w:tcPr>
            <w:tcW w:w="1134" w:type="dxa"/>
            <w:noWrap/>
            <w:hideMark/>
          </w:tcPr>
          <w:p w14:paraId="78BC424F"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49,25%</w:t>
            </w:r>
          </w:p>
        </w:tc>
        <w:tc>
          <w:tcPr>
            <w:tcW w:w="992" w:type="dxa"/>
            <w:noWrap/>
            <w:hideMark/>
          </w:tcPr>
          <w:p w14:paraId="6948CBCE"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42410,7</w:t>
            </w:r>
          </w:p>
        </w:tc>
        <w:tc>
          <w:tcPr>
            <w:tcW w:w="1133" w:type="dxa"/>
            <w:noWrap/>
            <w:hideMark/>
          </w:tcPr>
          <w:p w14:paraId="28BF8876"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49,90%</w:t>
            </w:r>
          </w:p>
        </w:tc>
      </w:tr>
      <w:tr w:rsidR="00C93D2B" w:rsidRPr="00934A6F" w14:paraId="0E2C66A5" w14:textId="77777777" w:rsidTr="00C93D2B">
        <w:trPr>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5833E437" w14:textId="4767E84D"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alimenta</w:t>
            </w:r>
            <w:r w:rsidR="00B13B9A" w:rsidRPr="00934A6F">
              <w:rPr>
                <w:rFonts w:asciiTheme="majorHAnsi" w:eastAsia="Times New Roman" w:hAnsiTheme="majorHAnsi" w:cstheme="majorHAnsi"/>
                <w:b w:val="0"/>
                <w:i/>
                <w:iCs/>
                <w:color w:val="000000"/>
                <w:sz w:val="20"/>
                <w:szCs w:val="20"/>
                <w:lang w:val="ro-MD"/>
              </w:rPr>
              <w:t>ț</w:t>
            </w:r>
            <w:r w:rsidRPr="00934A6F">
              <w:rPr>
                <w:rFonts w:asciiTheme="majorHAnsi" w:eastAsia="Times New Roman" w:hAnsiTheme="majorHAnsi" w:cstheme="majorHAnsi"/>
                <w:b w:val="0"/>
                <w:i/>
                <w:iCs/>
                <w:color w:val="000000"/>
                <w:sz w:val="20"/>
                <w:szCs w:val="20"/>
                <w:lang w:val="ro-MD"/>
              </w:rPr>
              <w:t>ia pacien</w:t>
            </w:r>
            <w:r w:rsidR="00B13B9A" w:rsidRPr="00934A6F">
              <w:rPr>
                <w:rFonts w:asciiTheme="majorHAnsi" w:eastAsia="Times New Roman" w:hAnsiTheme="majorHAnsi" w:cstheme="majorHAnsi"/>
                <w:b w:val="0"/>
                <w:i/>
                <w:iCs/>
                <w:color w:val="000000"/>
                <w:sz w:val="20"/>
                <w:szCs w:val="20"/>
                <w:lang w:val="ro-MD"/>
              </w:rPr>
              <w:t>ț</w:t>
            </w:r>
            <w:r w:rsidRPr="00934A6F">
              <w:rPr>
                <w:rFonts w:asciiTheme="majorHAnsi" w:eastAsia="Times New Roman" w:hAnsiTheme="majorHAnsi" w:cstheme="majorHAnsi"/>
                <w:b w:val="0"/>
                <w:i/>
                <w:iCs/>
                <w:color w:val="000000"/>
                <w:sz w:val="20"/>
                <w:szCs w:val="20"/>
                <w:lang w:val="ro-MD"/>
              </w:rPr>
              <w:t>ilor</w:t>
            </w:r>
          </w:p>
        </w:tc>
        <w:tc>
          <w:tcPr>
            <w:tcW w:w="1276" w:type="dxa"/>
            <w:noWrap/>
            <w:hideMark/>
          </w:tcPr>
          <w:p w14:paraId="59C6E766"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3714,7</w:t>
            </w:r>
          </w:p>
        </w:tc>
        <w:tc>
          <w:tcPr>
            <w:tcW w:w="1276" w:type="dxa"/>
            <w:noWrap/>
            <w:hideMark/>
          </w:tcPr>
          <w:p w14:paraId="3EA81097"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2,36%</w:t>
            </w:r>
          </w:p>
        </w:tc>
        <w:tc>
          <w:tcPr>
            <w:tcW w:w="1276" w:type="dxa"/>
            <w:noWrap/>
            <w:hideMark/>
          </w:tcPr>
          <w:p w14:paraId="50915735"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4677,2</w:t>
            </w:r>
          </w:p>
        </w:tc>
        <w:tc>
          <w:tcPr>
            <w:tcW w:w="1134" w:type="dxa"/>
            <w:noWrap/>
            <w:hideMark/>
          </w:tcPr>
          <w:p w14:paraId="72CB6ABC"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2,91%</w:t>
            </w:r>
          </w:p>
        </w:tc>
        <w:tc>
          <w:tcPr>
            <w:tcW w:w="992" w:type="dxa"/>
            <w:noWrap/>
            <w:hideMark/>
          </w:tcPr>
          <w:p w14:paraId="00CAB060"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2888,7</w:t>
            </w:r>
          </w:p>
        </w:tc>
        <w:tc>
          <w:tcPr>
            <w:tcW w:w="1133" w:type="dxa"/>
            <w:noWrap/>
            <w:hideMark/>
          </w:tcPr>
          <w:p w14:paraId="7ADD12EF"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3,40%</w:t>
            </w:r>
          </w:p>
        </w:tc>
      </w:tr>
      <w:tr w:rsidR="00C93D2B" w:rsidRPr="00934A6F" w14:paraId="2ADA14A6" w14:textId="77777777" w:rsidTr="00C93D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586A84B5" w14:textId="77777777"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medicamente</w:t>
            </w:r>
          </w:p>
        </w:tc>
        <w:tc>
          <w:tcPr>
            <w:tcW w:w="1276" w:type="dxa"/>
            <w:noWrap/>
            <w:hideMark/>
          </w:tcPr>
          <w:p w14:paraId="0971F983"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23546,3</w:t>
            </w:r>
          </w:p>
        </w:tc>
        <w:tc>
          <w:tcPr>
            <w:tcW w:w="1276" w:type="dxa"/>
            <w:noWrap/>
            <w:hideMark/>
          </w:tcPr>
          <w:p w14:paraId="747DBD53"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14,96%</w:t>
            </w:r>
          </w:p>
        </w:tc>
        <w:tc>
          <w:tcPr>
            <w:tcW w:w="1276" w:type="dxa"/>
            <w:noWrap/>
            <w:hideMark/>
          </w:tcPr>
          <w:p w14:paraId="16D515D6"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31772,9</w:t>
            </w:r>
          </w:p>
        </w:tc>
        <w:tc>
          <w:tcPr>
            <w:tcW w:w="1134" w:type="dxa"/>
            <w:noWrap/>
            <w:hideMark/>
          </w:tcPr>
          <w:p w14:paraId="07B36FD0"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19,78%</w:t>
            </w:r>
          </w:p>
        </w:tc>
        <w:tc>
          <w:tcPr>
            <w:tcW w:w="992" w:type="dxa"/>
            <w:noWrap/>
            <w:hideMark/>
          </w:tcPr>
          <w:p w14:paraId="09D53377"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15434,2</w:t>
            </w:r>
          </w:p>
        </w:tc>
        <w:tc>
          <w:tcPr>
            <w:tcW w:w="1133" w:type="dxa"/>
            <w:noWrap/>
            <w:hideMark/>
          </w:tcPr>
          <w:p w14:paraId="532418D9"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18,16%</w:t>
            </w:r>
          </w:p>
        </w:tc>
      </w:tr>
      <w:tr w:rsidR="00C93D2B" w:rsidRPr="00934A6F" w14:paraId="769A53F1" w14:textId="77777777" w:rsidTr="00C93D2B">
        <w:trPr>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0B56F9A7" w14:textId="7209EB8C"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cotiza</w:t>
            </w:r>
            <w:r w:rsidR="00B13B9A" w:rsidRPr="00934A6F">
              <w:rPr>
                <w:rFonts w:asciiTheme="majorHAnsi" w:eastAsia="Times New Roman" w:hAnsiTheme="majorHAnsi" w:cstheme="majorHAnsi"/>
                <w:b w:val="0"/>
                <w:i/>
                <w:iCs/>
                <w:color w:val="000000"/>
                <w:sz w:val="20"/>
                <w:szCs w:val="20"/>
                <w:lang w:val="ro-MD"/>
              </w:rPr>
              <w:t>ț</w:t>
            </w:r>
            <w:r w:rsidRPr="00934A6F">
              <w:rPr>
                <w:rFonts w:asciiTheme="majorHAnsi" w:eastAsia="Times New Roman" w:hAnsiTheme="majorHAnsi" w:cstheme="majorHAnsi"/>
                <w:b w:val="0"/>
                <w:i/>
                <w:iCs/>
                <w:color w:val="000000"/>
                <w:sz w:val="20"/>
                <w:szCs w:val="20"/>
                <w:lang w:val="ro-MD"/>
              </w:rPr>
              <w:t>ii, asigurări sociale</w:t>
            </w:r>
          </w:p>
        </w:tc>
        <w:tc>
          <w:tcPr>
            <w:tcW w:w="1276" w:type="dxa"/>
            <w:noWrap/>
            <w:hideMark/>
          </w:tcPr>
          <w:p w14:paraId="22B42AE0"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20765,1</w:t>
            </w:r>
          </w:p>
        </w:tc>
        <w:tc>
          <w:tcPr>
            <w:tcW w:w="1276" w:type="dxa"/>
            <w:noWrap/>
            <w:hideMark/>
          </w:tcPr>
          <w:p w14:paraId="74DD977B"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13,19%</w:t>
            </w:r>
          </w:p>
        </w:tc>
        <w:tc>
          <w:tcPr>
            <w:tcW w:w="1276" w:type="dxa"/>
            <w:noWrap/>
            <w:hideMark/>
          </w:tcPr>
          <w:p w14:paraId="74094E27"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18893,4</w:t>
            </w:r>
          </w:p>
        </w:tc>
        <w:tc>
          <w:tcPr>
            <w:tcW w:w="1134" w:type="dxa"/>
            <w:noWrap/>
            <w:hideMark/>
          </w:tcPr>
          <w:p w14:paraId="240833C4"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11,76%</w:t>
            </w:r>
          </w:p>
        </w:tc>
        <w:tc>
          <w:tcPr>
            <w:tcW w:w="992" w:type="dxa"/>
            <w:noWrap/>
            <w:hideMark/>
          </w:tcPr>
          <w:p w14:paraId="69B6BAF2"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10139,9</w:t>
            </w:r>
          </w:p>
        </w:tc>
        <w:tc>
          <w:tcPr>
            <w:tcW w:w="1133" w:type="dxa"/>
            <w:noWrap/>
            <w:hideMark/>
          </w:tcPr>
          <w:p w14:paraId="222EC077"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11,93%</w:t>
            </w:r>
          </w:p>
        </w:tc>
      </w:tr>
      <w:tr w:rsidR="00C93D2B" w:rsidRPr="00934A6F" w14:paraId="2AC6DBEF" w14:textId="77777777" w:rsidTr="00C93D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19934608" w14:textId="33B560C4"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perfec</w:t>
            </w:r>
            <w:r w:rsidR="00B13B9A" w:rsidRPr="00934A6F">
              <w:rPr>
                <w:rFonts w:asciiTheme="majorHAnsi" w:eastAsia="Times New Roman" w:hAnsiTheme="majorHAnsi" w:cstheme="majorHAnsi"/>
                <w:b w:val="0"/>
                <w:i/>
                <w:iCs/>
                <w:color w:val="000000"/>
                <w:sz w:val="20"/>
                <w:szCs w:val="20"/>
                <w:lang w:val="ro-MD"/>
              </w:rPr>
              <w:t>ț</w:t>
            </w:r>
            <w:r w:rsidRPr="00934A6F">
              <w:rPr>
                <w:rFonts w:asciiTheme="majorHAnsi" w:eastAsia="Times New Roman" w:hAnsiTheme="majorHAnsi" w:cstheme="majorHAnsi"/>
                <w:b w:val="0"/>
                <w:i/>
                <w:iCs/>
                <w:color w:val="000000"/>
                <w:sz w:val="20"/>
                <w:szCs w:val="20"/>
                <w:lang w:val="ro-MD"/>
              </w:rPr>
              <w:t>ionare cadre</w:t>
            </w:r>
          </w:p>
        </w:tc>
        <w:tc>
          <w:tcPr>
            <w:tcW w:w="1276" w:type="dxa"/>
            <w:noWrap/>
            <w:hideMark/>
          </w:tcPr>
          <w:p w14:paraId="41F24F96"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120,6</w:t>
            </w:r>
          </w:p>
        </w:tc>
        <w:tc>
          <w:tcPr>
            <w:tcW w:w="1276" w:type="dxa"/>
            <w:noWrap/>
            <w:hideMark/>
          </w:tcPr>
          <w:p w14:paraId="07E40D8E"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0,08%</w:t>
            </w:r>
          </w:p>
        </w:tc>
        <w:tc>
          <w:tcPr>
            <w:tcW w:w="1276" w:type="dxa"/>
            <w:noWrap/>
            <w:hideMark/>
          </w:tcPr>
          <w:p w14:paraId="52E8AED1"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244,9</w:t>
            </w:r>
          </w:p>
        </w:tc>
        <w:tc>
          <w:tcPr>
            <w:tcW w:w="1134" w:type="dxa"/>
            <w:noWrap/>
            <w:hideMark/>
          </w:tcPr>
          <w:p w14:paraId="4387648A"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0,15%</w:t>
            </w:r>
          </w:p>
        </w:tc>
        <w:tc>
          <w:tcPr>
            <w:tcW w:w="992" w:type="dxa"/>
            <w:noWrap/>
            <w:hideMark/>
          </w:tcPr>
          <w:p w14:paraId="3C28C917"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157,8</w:t>
            </w:r>
          </w:p>
        </w:tc>
        <w:tc>
          <w:tcPr>
            <w:tcW w:w="1133" w:type="dxa"/>
            <w:noWrap/>
            <w:hideMark/>
          </w:tcPr>
          <w:p w14:paraId="03B751B9"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0,19%</w:t>
            </w:r>
          </w:p>
        </w:tc>
      </w:tr>
      <w:tr w:rsidR="00C93D2B" w:rsidRPr="00934A6F" w14:paraId="63C0F027" w14:textId="77777777" w:rsidTr="00C93D2B">
        <w:trPr>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29F01C5E" w14:textId="77777777"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produse petroliere</w:t>
            </w:r>
          </w:p>
        </w:tc>
        <w:tc>
          <w:tcPr>
            <w:tcW w:w="1276" w:type="dxa"/>
            <w:noWrap/>
            <w:hideMark/>
          </w:tcPr>
          <w:p w14:paraId="7B7D12FE"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693,7</w:t>
            </w:r>
          </w:p>
        </w:tc>
        <w:tc>
          <w:tcPr>
            <w:tcW w:w="1276" w:type="dxa"/>
            <w:noWrap/>
            <w:hideMark/>
          </w:tcPr>
          <w:p w14:paraId="084E9A1B"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0,44%</w:t>
            </w:r>
          </w:p>
        </w:tc>
        <w:tc>
          <w:tcPr>
            <w:tcW w:w="1276" w:type="dxa"/>
            <w:noWrap/>
            <w:hideMark/>
          </w:tcPr>
          <w:p w14:paraId="4A7AACCA"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885,5</w:t>
            </w:r>
          </w:p>
        </w:tc>
        <w:tc>
          <w:tcPr>
            <w:tcW w:w="1134" w:type="dxa"/>
            <w:noWrap/>
            <w:hideMark/>
          </w:tcPr>
          <w:p w14:paraId="5F4396F3"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0,55%</w:t>
            </w:r>
          </w:p>
        </w:tc>
        <w:tc>
          <w:tcPr>
            <w:tcW w:w="992" w:type="dxa"/>
            <w:noWrap/>
            <w:hideMark/>
          </w:tcPr>
          <w:p w14:paraId="3F02D2C0"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403,9</w:t>
            </w:r>
          </w:p>
        </w:tc>
        <w:tc>
          <w:tcPr>
            <w:tcW w:w="1133" w:type="dxa"/>
            <w:noWrap/>
            <w:hideMark/>
          </w:tcPr>
          <w:p w14:paraId="6A5BEDDC"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0,48%</w:t>
            </w:r>
          </w:p>
        </w:tc>
      </w:tr>
      <w:tr w:rsidR="00C93D2B" w:rsidRPr="00934A6F" w14:paraId="4DC4D569" w14:textId="77777777" w:rsidTr="00C93D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7BCA0332" w14:textId="77777777"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gaze</w:t>
            </w:r>
          </w:p>
        </w:tc>
        <w:tc>
          <w:tcPr>
            <w:tcW w:w="1276" w:type="dxa"/>
            <w:noWrap/>
            <w:hideMark/>
          </w:tcPr>
          <w:p w14:paraId="0FE99F1C"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1140,3</w:t>
            </w:r>
          </w:p>
        </w:tc>
        <w:tc>
          <w:tcPr>
            <w:tcW w:w="1276" w:type="dxa"/>
            <w:noWrap/>
            <w:hideMark/>
          </w:tcPr>
          <w:p w14:paraId="1089B816"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0,72%</w:t>
            </w:r>
          </w:p>
        </w:tc>
        <w:tc>
          <w:tcPr>
            <w:tcW w:w="1276" w:type="dxa"/>
            <w:noWrap/>
            <w:hideMark/>
          </w:tcPr>
          <w:p w14:paraId="0E67DF57"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1882</w:t>
            </w:r>
          </w:p>
        </w:tc>
        <w:tc>
          <w:tcPr>
            <w:tcW w:w="1134" w:type="dxa"/>
            <w:noWrap/>
            <w:hideMark/>
          </w:tcPr>
          <w:p w14:paraId="41EFBAB0"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1,17%</w:t>
            </w:r>
          </w:p>
        </w:tc>
        <w:tc>
          <w:tcPr>
            <w:tcW w:w="992" w:type="dxa"/>
            <w:noWrap/>
            <w:hideMark/>
          </w:tcPr>
          <w:p w14:paraId="24D9C09D"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978,7</w:t>
            </w:r>
          </w:p>
        </w:tc>
        <w:tc>
          <w:tcPr>
            <w:tcW w:w="1133" w:type="dxa"/>
            <w:noWrap/>
            <w:hideMark/>
          </w:tcPr>
          <w:p w14:paraId="50BF163C"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1,15%</w:t>
            </w:r>
          </w:p>
        </w:tc>
      </w:tr>
      <w:tr w:rsidR="00C93D2B" w:rsidRPr="00934A6F" w14:paraId="2B4BCDEA" w14:textId="77777777" w:rsidTr="00C93D2B">
        <w:trPr>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133C0047" w14:textId="5E5D4117"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repara</w:t>
            </w:r>
            <w:r w:rsidR="00B13B9A" w:rsidRPr="00934A6F">
              <w:rPr>
                <w:rFonts w:asciiTheme="majorHAnsi" w:eastAsia="Times New Roman" w:hAnsiTheme="majorHAnsi" w:cstheme="majorHAnsi"/>
                <w:b w:val="0"/>
                <w:i/>
                <w:iCs/>
                <w:color w:val="000000"/>
                <w:sz w:val="20"/>
                <w:szCs w:val="20"/>
                <w:lang w:val="ro-MD"/>
              </w:rPr>
              <w:t>ț</w:t>
            </w:r>
            <w:r w:rsidRPr="00934A6F">
              <w:rPr>
                <w:rFonts w:asciiTheme="majorHAnsi" w:eastAsia="Times New Roman" w:hAnsiTheme="majorHAnsi" w:cstheme="majorHAnsi"/>
                <w:b w:val="0"/>
                <w:i/>
                <w:iCs/>
                <w:color w:val="000000"/>
                <w:sz w:val="20"/>
                <w:szCs w:val="20"/>
                <w:lang w:val="ro-MD"/>
              </w:rPr>
              <w:t xml:space="preserve">ie curentă </w:t>
            </w:r>
          </w:p>
        </w:tc>
        <w:tc>
          <w:tcPr>
            <w:tcW w:w="1276" w:type="dxa"/>
            <w:noWrap/>
            <w:hideMark/>
          </w:tcPr>
          <w:p w14:paraId="7FE3632E"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847,1</w:t>
            </w:r>
          </w:p>
        </w:tc>
        <w:tc>
          <w:tcPr>
            <w:tcW w:w="1276" w:type="dxa"/>
            <w:noWrap/>
            <w:hideMark/>
          </w:tcPr>
          <w:p w14:paraId="5160CF2D"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0,54%</w:t>
            </w:r>
          </w:p>
        </w:tc>
        <w:tc>
          <w:tcPr>
            <w:tcW w:w="1276" w:type="dxa"/>
            <w:noWrap/>
            <w:hideMark/>
          </w:tcPr>
          <w:p w14:paraId="09F8C7BE"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892,5</w:t>
            </w:r>
          </w:p>
        </w:tc>
        <w:tc>
          <w:tcPr>
            <w:tcW w:w="1134" w:type="dxa"/>
            <w:noWrap/>
            <w:hideMark/>
          </w:tcPr>
          <w:p w14:paraId="2813880F"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0,56%</w:t>
            </w:r>
          </w:p>
        </w:tc>
        <w:tc>
          <w:tcPr>
            <w:tcW w:w="992" w:type="dxa"/>
            <w:noWrap/>
            <w:hideMark/>
          </w:tcPr>
          <w:p w14:paraId="10577E98"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456,0</w:t>
            </w:r>
          </w:p>
        </w:tc>
        <w:tc>
          <w:tcPr>
            <w:tcW w:w="1133" w:type="dxa"/>
            <w:noWrap/>
            <w:hideMark/>
          </w:tcPr>
          <w:p w14:paraId="07A04A37"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0,54%</w:t>
            </w:r>
          </w:p>
        </w:tc>
      </w:tr>
      <w:tr w:rsidR="00C93D2B" w:rsidRPr="00934A6F" w14:paraId="5439BAB4" w14:textId="77777777" w:rsidTr="00C93D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16274AC0" w14:textId="77777777"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energie electrică</w:t>
            </w:r>
          </w:p>
        </w:tc>
        <w:tc>
          <w:tcPr>
            <w:tcW w:w="1276" w:type="dxa"/>
            <w:noWrap/>
            <w:hideMark/>
          </w:tcPr>
          <w:p w14:paraId="7C6B58D3"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2113,6</w:t>
            </w:r>
          </w:p>
        </w:tc>
        <w:tc>
          <w:tcPr>
            <w:tcW w:w="1276" w:type="dxa"/>
            <w:noWrap/>
            <w:hideMark/>
          </w:tcPr>
          <w:p w14:paraId="3D3B95E2"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1,34%</w:t>
            </w:r>
          </w:p>
        </w:tc>
        <w:tc>
          <w:tcPr>
            <w:tcW w:w="1276" w:type="dxa"/>
            <w:noWrap/>
            <w:hideMark/>
          </w:tcPr>
          <w:p w14:paraId="31F1C310"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2993,7</w:t>
            </w:r>
          </w:p>
        </w:tc>
        <w:tc>
          <w:tcPr>
            <w:tcW w:w="1134" w:type="dxa"/>
            <w:noWrap/>
            <w:hideMark/>
          </w:tcPr>
          <w:p w14:paraId="22D50CFD"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1,86%</w:t>
            </w:r>
          </w:p>
        </w:tc>
        <w:tc>
          <w:tcPr>
            <w:tcW w:w="992" w:type="dxa"/>
            <w:noWrap/>
            <w:hideMark/>
          </w:tcPr>
          <w:p w14:paraId="62600705"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2203,2</w:t>
            </w:r>
          </w:p>
        </w:tc>
        <w:tc>
          <w:tcPr>
            <w:tcW w:w="1133" w:type="dxa"/>
            <w:noWrap/>
            <w:hideMark/>
          </w:tcPr>
          <w:p w14:paraId="18FA451A"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2,59%</w:t>
            </w:r>
          </w:p>
        </w:tc>
      </w:tr>
      <w:tr w:rsidR="00C93D2B" w:rsidRPr="00934A6F" w14:paraId="0605B46F" w14:textId="77777777" w:rsidTr="00C93D2B">
        <w:trPr>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45BC7770" w14:textId="77777777"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energie termică</w:t>
            </w:r>
          </w:p>
        </w:tc>
        <w:tc>
          <w:tcPr>
            <w:tcW w:w="1276" w:type="dxa"/>
            <w:noWrap/>
            <w:hideMark/>
          </w:tcPr>
          <w:p w14:paraId="6A3EDAAD"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2140,3</w:t>
            </w:r>
          </w:p>
        </w:tc>
        <w:tc>
          <w:tcPr>
            <w:tcW w:w="1276" w:type="dxa"/>
            <w:noWrap/>
            <w:hideMark/>
          </w:tcPr>
          <w:p w14:paraId="08581AA2"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1,36%</w:t>
            </w:r>
          </w:p>
        </w:tc>
        <w:tc>
          <w:tcPr>
            <w:tcW w:w="1276" w:type="dxa"/>
            <w:noWrap/>
            <w:hideMark/>
          </w:tcPr>
          <w:p w14:paraId="37026F07"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3465,3</w:t>
            </w:r>
          </w:p>
        </w:tc>
        <w:tc>
          <w:tcPr>
            <w:tcW w:w="1134" w:type="dxa"/>
            <w:noWrap/>
            <w:hideMark/>
          </w:tcPr>
          <w:p w14:paraId="736A1F87"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2,16%</w:t>
            </w:r>
          </w:p>
        </w:tc>
        <w:tc>
          <w:tcPr>
            <w:tcW w:w="992" w:type="dxa"/>
            <w:noWrap/>
            <w:hideMark/>
          </w:tcPr>
          <w:p w14:paraId="494882E4"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2686,5</w:t>
            </w:r>
          </w:p>
        </w:tc>
        <w:tc>
          <w:tcPr>
            <w:tcW w:w="1133" w:type="dxa"/>
            <w:noWrap/>
            <w:hideMark/>
          </w:tcPr>
          <w:p w14:paraId="7DD2409D"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3,16%</w:t>
            </w:r>
          </w:p>
        </w:tc>
      </w:tr>
      <w:tr w:rsidR="00C93D2B" w:rsidRPr="00934A6F" w14:paraId="5BE83A88" w14:textId="77777777" w:rsidTr="00C93D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23E7C14B" w14:textId="77777777"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apă, canalizare</w:t>
            </w:r>
          </w:p>
        </w:tc>
        <w:tc>
          <w:tcPr>
            <w:tcW w:w="1276" w:type="dxa"/>
            <w:noWrap/>
            <w:hideMark/>
          </w:tcPr>
          <w:p w14:paraId="0CEF3237"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1210,7</w:t>
            </w:r>
          </w:p>
        </w:tc>
        <w:tc>
          <w:tcPr>
            <w:tcW w:w="1276" w:type="dxa"/>
            <w:noWrap/>
            <w:hideMark/>
          </w:tcPr>
          <w:p w14:paraId="4F6624E6"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0,77%</w:t>
            </w:r>
          </w:p>
        </w:tc>
        <w:tc>
          <w:tcPr>
            <w:tcW w:w="1276" w:type="dxa"/>
            <w:noWrap/>
            <w:hideMark/>
          </w:tcPr>
          <w:p w14:paraId="1CA258E2"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928,2</w:t>
            </w:r>
          </w:p>
        </w:tc>
        <w:tc>
          <w:tcPr>
            <w:tcW w:w="1134" w:type="dxa"/>
            <w:noWrap/>
            <w:hideMark/>
          </w:tcPr>
          <w:p w14:paraId="1B389AF7"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0,58%</w:t>
            </w:r>
          </w:p>
        </w:tc>
        <w:tc>
          <w:tcPr>
            <w:tcW w:w="992" w:type="dxa"/>
            <w:noWrap/>
            <w:hideMark/>
          </w:tcPr>
          <w:p w14:paraId="659DA66F"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514,5</w:t>
            </w:r>
          </w:p>
        </w:tc>
        <w:tc>
          <w:tcPr>
            <w:tcW w:w="1133" w:type="dxa"/>
            <w:noWrap/>
            <w:hideMark/>
          </w:tcPr>
          <w:p w14:paraId="6C06CCB5"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0,61%</w:t>
            </w:r>
          </w:p>
        </w:tc>
      </w:tr>
      <w:tr w:rsidR="00C93D2B" w:rsidRPr="00934A6F" w14:paraId="72C3A928" w14:textId="77777777" w:rsidTr="00C93D2B">
        <w:trPr>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771A5A21" w14:textId="77777777"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inventar OMVSD</w:t>
            </w:r>
          </w:p>
        </w:tc>
        <w:tc>
          <w:tcPr>
            <w:tcW w:w="1276" w:type="dxa"/>
            <w:noWrap/>
            <w:hideMark/>
          </w:tcPr>
          <w:p w14:paraId="4900A550"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945</w:t>
            </w:r>
          </w:p>
        </w:tc>
        <w:tc>
          <w:tcPr>
            <w:tcW w:w="1276" w:type="dxa"/>
            <w:noWrap/>
            <w:hideMark/>
          </w:tcPr>
          <w:p w14:paraId="38D2DBAF"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0,60%</w:t>
            </w:r>
          </w:p>
        </w:tc>
        <w:tc>
          <w:tcPr>
            <w:tcW w:w="1276" w:type="dxa"/>
            <w:noWrap/>
            <w:hideMark/>
          </w:tcPr>
          <w:p w14:paraId="0C429874"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1874,5</w:t>
            </w:r>
          </w:p>
        </w:tc>
        <w:tc>
          <w:tcPr>
            <w:tcW w:w="1134" w:type="dxa"/>
            <w:noWrap/>
            <w:hideMark/>
          </w:tcPr>
          <w:p w14:paraId="71DF3F61"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1,17%</w:t>
            </w:r>
          </w:p>
        </w:tc>
        <w:tc>
          <w:tcPr>
            <w:tcW w:w="992" w:type="dxa"/>
            <w:noWrap/>
            <w:hideMark/>
          </w:tcPr>
          <w:p w14:paraId="1C8F50A5"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257,00</w:t>
            </w:r>
          </w:p>
        </w:tc>
        <w:tc>
          <w:tcPr>
            <w:tcW w:w="1133" w:type="dxa"/>
            <w:noWrap/>
            <w:hideMark/>
          </w:tcPr>
          <w:p w14:paraId="41158CB4"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0,30%</w:t>
            </w:r>
          </w:p>
        </w:tc>
      </w:tr>
      <w:tr w:rsidR="00C93D2B" w:rsidRPr="00934A6F" w14:paraId="69B5AA57" w14:textId="77777777" w:rsidTr="00C93D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573D6694" w14:textId="77777777"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cheltuieli de transport</w:t>
            </w:r>
          </w:p>
        </w:tc>
        <w:tc>
          <w:tcPr>
            <w:tcW w:w="1276" w:type="dxa"/>
            <w:noWrap/>
            <w:hideMark/>
          </w:tcPr>
          <w:p w14:paraId="69953021"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154,5</w:t>
            </w:r>
          </w:p>
        </w:tc>
        <w:tc>
          <w:tcPr>
            <w:tcW w:w="1276" w:type="dxa"/>
            <w:noWrap/>
            <w:hideMark/>
          </w:tcPr>
          <w:p w14:paraId="1B643F34"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0,10%</w:t>
            </w:r>
          </w:p>
        </w:tc>
        <w:tc>
          <w:tcPr>
            <w:tcW w:w="1276" w:type="dxa"/>
            <w:noWrap/>
            <w:hideMark/>
          </w:tcPr>
          <w:p w14:paraId="6FD95FDD"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112,3</w:t>
            </w:r>
          </w:p>
        </w:tc>
        <w:tc>
          <w:tcPr>
            <w:tcW w:w="1134" w:type="dxa"/>
            <w:noWrap/>
            <w:hideMark/>
          </w:tcPr>
          <w:p w14:paraId="013FA769"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0,07%</w:t>
            </w:r>
          </w:p>
        </w:tc>
        <w:tc>
          <w:tcPr>
            <w:tcW w:w="992" w:type="dxa"/>
            <w:noWrap/>
            <w:hideMark/>
          </w:tcPr>
          <w:p w14:paraId="02062005"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91,2</w:t>
            </w:r>
          </w:p>
        </w:tc>
        <w:tc>
          <w:tcPr>
            <w:tcW w:w="1133" w:type="dxa"/>
            <w:noWrap/>
            <w:hideMark/>
          </w:tcPr>
          <w:p w14:paraId="40070E20"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0,11%</w:t>
            </w:r>
          </w:p>
        </w:tc>
      </w:tr>
      <w:tr w:rsidR="00C93D2B" w:rsidRPr="00934A6F" w14:paraId="77B16C87" w14:textId="77777777" w:rsidTr="00C93D2B">
        <w:trPr>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7954AC7C" w14:textId="4EFDA0FA"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comunica</w:t>
            </w:r>
            <w:r w:rsidR="00B13B9A" w:rsidRPr="00934A6F">
              <w:rPr>
                <w:rFonts w:asciiTheme="majorHAnsi" w:eastAsia="Times New Roman" w:hAnsiTheme="majorHAnsi" w:cstheme="majorHAnsi"/>
                <w:b w:val="0"/>
                <w:i/>
                <w:iCs/>
                <w:color w:val="000000"/>
                <w:sz w:val="20"/>
                <w:szCs w:val="20"/>
                <w:lang w:val="ro-MD"/>
              </w:rPr>
              <w:t>ț</w:t>
            </w:r>
            <w:r w:rsidRPr="00934A6F">
              <w:rPr>
                <w:rFonts w:asciiTheme="majorHAnsi" w:eastAsia="Times New Roman" w:hAnsiTheme="majorHAnsi" w:cstheme="majorHAnsi"/>
                <w:b w:val="0"/>
                <w:i/>
                <w:iCs/>
                <w:color w:val="000000"/>
                <w:sz w:val="20"/>
                <w:szCs w:val="20"/>
                <w:lang w:val="ro-MD"/>
              </w:rPr>
              <w:t xml:space="preserve">ii </w:t>
            </w:r>
            <w:r w:rsidR="00B13B9A" w:rsidRPr="00934A6F">
              <w:rPr>
                <w:rFonts w:asciiTheme="majorHAnsi" w:eastAsia="Times New Roman" w:hAnsiTheme="majorHAnsi" w:cstheme="majorHAnsi"/>
                <w:b w:val="0"/>
                <w:i/>
                <w:iCs/>
                <w:color w:val="000000"/>
                <w:sz w:val="20"/>
                <w:szCs w:val="20"/>
                <w:lang w:val="ro-MD"/>
              </w:rPr>
              <w:t>ș</w:t>
            </w:r>
            <w:r w:rsidRPr="00934A6F">
              <w:rPr>
                <w:rFonts w:asciiTheme="majorHAnsi" w:eastAsia="Times New Roman" w:hAnsiTheme="majorHAnsi" w:cstheme="majorHAnsi"/>
                <w:b w:val="0"/>
                <w:i/>
                <w:iCs/>
                <w:color w:val="000000"/>
                <w:sz w:val="20"/>
                <w:szCs w:val="20"/>
                <w:lang w:val="ro-MD"/>
              </w:rPr>
              <w:t>i po</w:t>
            </w:r>
            <w:r w:rsidR="00B13B9A" w:rsidRPr="00934A6F">
              <w:rPr>
                <w:rFonts w:asciiTheme="majorHAnsi" w:eastAsia="Times New Roman" w:hAnsiTheme="majorHAnsi" w:cstheme="majorHAnsi"/>
                <w:b w:val="0"/>
                <w:i/>
                <w:iCs/>
                <w:color w:val="000000"/>
                <w:sz w:val="20"/>
                <w:szCs w:val="20"/>
                <w:lang w:val="ro-MD"/>
              </w:rPr>
              <w:t>ș</w:t>
            </w:r>
            <w:r w:rsidRPr="00934A6F">
              <w:rPr>
                <w:rFonts w:asciiTheme="majorHAnsi" w:eastAsia="Times New Roman" w:hAnsiTheme="majorHAnsi" w:cstheme="majorHAnsi"/>
                <w:b w:val="0"/>
                <w:i/>
                <w:iCs/>
                <w:color w:val="000000"/>
                <w:sz w:val="20"/>
                <w:szCs w:val="20"/>
                <w:lang w:val="ro-MD"/>
              </w:rPr>
              <w:t>tă</w:t>
            </w:r>
          </w:p>
        </w:tc>
        <w:tc>
          <w:tcPr>
            <w:tcW w:w="1276" w:type="dxa"/>
            <w:noWrap/>
            <w:hideMark/>
          </w:tcPr>
          <w:p w14:paraId="406A0BEE"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280,9</w:t>
            </w:r>
          </w:p>
        </w:tc>
        <w:tc>
          <w:tcPr>
            <w:tcW w:w="1276" w:type="dxa"/>
            <w:noWrap/>
            <w:hideMark/>
          </w:tcPr>
          <w:p w14:paraId="3F587F1B"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0,18%</w:t>
            </w:r>
          </w:p>
        </w:tc>
        <w:tc>
          <w:tcPr>
            <w:tcW w:w="1276" w:type="dxa"/>
            <w:noWrap/>
            <w:hideMark/>
          </w:tcPr>
          <w:p w14:paraId="4110F9E3"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315,9</w:t>
            </w:r>
          </w:p>
        </w:tc>
        <w:tc>
          <w:tcPr>
            <w:tcW w:w="1134" w:type="dxa"/>
            <w:noWrap/>
            <w:hideMark/>
          </w:tcPr>
          <w:p w14:paraId="434F5374"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0,20%</w:t>
            </w:r>
          </w:p>
        </w:tc>
        <w:tc>
          <w:tcPr>
            <w:tcW w:w="992" w:type="dxa"/>
            <w:noWrap/>
            <w:hideMark/>
          </w:tcPr>
          <w:p w14:paraId="554168C0"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417,9</w:t>
            </w:r>
          </w:p>
        </w:tc>
        <w:tc>
          <w:tcPr>
            <w:tcW w:w="1133" w:type="dxa"/>
            <w:noWrap/>
            <w:hideMark/>
          </w:tcPr>
          <w:p w14:paraId="495C5EE6"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0,49%</w:t>
            </w:r>
          </w:p>
        </w:tc>
      </w:tr>
      <w:tr w:rsidR="00C93D2B" w:rsidRPr="00934A6F" w14:paraId="2BFEC4B1" w14:textId="77777777" w:rsidTr="00C93D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6C9D621D" w14:textId="77777777"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deplasări</w:t>
            </w:r>
          </w:p>
        </w:tc>
        <w:tc>
          <w:tcPr>
            <w:tcW w:w="1276" w:type="dxa"/>
            <w:noWrap/>
            <w:hideMark/>
          </w:tcPr>
          <w:p w14:paraId="6CC9E21A"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130,7</w:t>
            </w:r>
          </w:p>
        </w:tc>
        <w:tc>
          <w:tcPr>
            <w:tcW w:w="1276" w:type="dxa"/>
            <w:noWrap/>
            <w:hideMark/>
          </w:tcPr>
          <w:p w14:paraId="17F3EB1F"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0,08%</w:t>
            </w:r>
          </w:p>
        </w:tc>
        <w:tc>
          <w:tcPr>
            <w:tcW w:w="1276" w:type="dxa"/>
            <w:noWrap/>
            <w:hideMark/>
          </w:tcPr>
          <w:p w14:paraId="038FB87E"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154,6</w:t>
            </w:r>
          </w:p>
        </w:tc>
        <w:tc>
          <w:tcPr>
            <w:tcW w:w="1134" w:type="dxa"/>
            <w:noWrap/>
            <w:hideMark/>
          </w:tcPr>
          <w:p w14:paraId="3BA55E0A"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0,10%</w:t>
            </w:r>
          </w:p>
        </w:tc>
        <w:tc>
          <w:tcPr>
            <w:tcW w:w="992" w:type="dxa"/>
            <w:noWrap/>
            <w:hideMark/>
          </w:tcPr>
          <w:p w14:paraId="52157C2D"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4201,8</w:t>
            </w:r>
          </w:p>
        </w:tc>
        <w:tc>
          <w:tcPr>
            <w:tcW w:w="1133" w:type="dxa"/>
            <w:noWrap/>
            <w:hideMark/>
          </w:tcPr>
          <w:p w14:paraId="1D499C52"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4,94%</w:t>
            </w:r>
          </w:p>
        </w:tc>
      </w:tr>
      <w:tr w:rsidR="00C93D2B" w:rsidRPr="00934A6F" w14:paraId="617C0224" w14:textId="77777777" w:rsidTr="00C93D2B">
        <w:trPr>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67CC780A" w14:textId="77777777"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servicii medicale</w:t>
            </w:r>
          </w:p>
        </w:tc>
        <w:tc>
          <w:tcPr>
            <w:tcW w:w="1276" w:type="dxa"/>
            <w:noWrap/>
            <w:hideMark/>
          </w:tcPr>
          <w:p w14:paraId="2A260B40"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432,7</w:t>
            </w:r>
          </w:p>
        </w:tc>
        <w:tc>
          <w:tcPr>
            <w:tcW w:w="1276" w:type="dxa"/>
            <w:noWrap/>
            <w:hideMark/>
          </w:tcPr>
          <w:p w14:paraId="108A5425"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0,27%</w:t>
            </w:r>
          </w:p>
        </w:tc>
        <w:tc>
          <w:tcPr>
            <w:tcW w:w="1276" w:type="dxa"/>
            <w:noWrap/>
            <w:hideMark/>
          </w:tcPr>
          <w:p w14:paraId="25CAC445"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355,1</w:t>
            </w:r>
          </w:p>
        </w:tc>
        <w:tc>
          <w:tcPr>
            <w:tcW w:w="1134" w:type="dxa"/>
            <w:noWrap/>
            <w:hideMark/>
          </w:tcPr>
          <w:p w14:paraId="6ED840B6"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0,22%</w:t>
            </w:r>
          </w:p>
        </w:tc>
        <w:tc>
          <w:tcPr>
            <w:tcW w:w="992" w:type="dxa"/>
            <w:noWrap/>
            <w:hideMark/>
          </w:tcPr>
          <w:p w14:paraId="7937886A"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142,9</w:t>
            </w:r>
          </w:p>
        </w:tc>
        <w:tc>
          <w:tcPr>
            <w:tcW w:w="1133" w:type="dxa"/>
            <w:noWrap/>
            <w:hideMark/>
          </w:tcPr>
          <w:p w14:paraId="627945EA"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0,17%</w:t>
            </w:r>
          </w:p>
        </w:tc>
      </w:tr>
      <w:tr w:rsidR="00C93D2B" w:rsidRPr="00934A6F" w14:paraId="75D5E9D1" w14:textId="77777777" w:rsidTr="00C93D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6D6AFAA3" w14:textId="77777777"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amortizare, uzură</w:t>
            </w:r>
          </w:p>
        </w:tc>
        <w:tc>
          <w:tcPr>
            <w:tcW w:w="1276" w:type="dxa"/>
            <w:noWrap/>
            <w:hideMark/>
          </w:tcPr>
          <w:p w14:paraId="3C1E3E12"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8074,1</w:t>
            </w:r>
          </w:p>
        </w:tc>
        <w:tc>
          <w:tcPr>
            <w:tcW w:w="1276" w:type="dxa"/>
            <w:noWrap/>
            <w:hideMark/>
          </w:tcPr>
          <w:p w14:paraId="6F3FFFF1"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5,13%</w:t>
            </w:r>
          </w:p>
        </w:tc>
        <w:tc>
          <w:tcPr>
            <w:tcW w:w="1276" w:type="dxa"/>
            <w:noWrap/>
            <w:hideMark/>
          </w:tcPr>
          <w:p w14:paraId="054AC4BA"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8236,1</w:t>
            </w:r>
          </w:p>
        </w:tc>
        <w:tc>
          <w:tcPr>
            <w:tcW w:w="1134" w:type="dxa"/>
            <w:noWrap/>
            <w:hideMark/>
          </w:tcPr>
          <w:p w14:paraId="2069D6EF"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5,13%</w:t>
            </w:r>
          </w:p>
        </w:tc>
        <w:tc>
          <w:tcPr>
            <w:tcW w:w="992" w:type="dxa"/>
            <w:noWrap/>
            <w:hideMark/>
          </w:tcPr>
          <w:p w14:paraId="17674D9E"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112,4</w:t>
            </w:r>
          </w:p>
        </w:tc>
        <w:tc>
          <w:tcPr>
            <w:tcW w:w="1133" w:type="dxa"/>
            <w:noWrap/>
            <w:hideMark/>
          </w:tcPr>
          <w:p w14:paraId="7119621D"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0,13%</w:t>
            </w:r>
          </w:p>
        </w:tc>
      </w:tr>
      <w:tr w:rsidR="00C93D2B" w:rsidRPr="00934A6F" w14:paraId="7D02D37F" w14:textId="77777777" w:rsidTr="00C93D2B">
        <w:trPr>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2A77FDB9" w14:textId="180E7AE4"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protec</w:t>
            </w:r>
            <w:r w:rsidR="00B13B9A" w:rsidRPr="00934A6F">
              <w:rPr>
                <w:rFonts w:asciiTheme="majorHAnsi" w:eastAsia="Times New Roman" w:hAnsiTheme="majorHAnsi" w:cstheme="majorHAnsi"/>
                <w:b w:val="0"/>
                <w:i/>
                <w:iCs/>
                <w:color w:val="000000"/>
                <w:sz w:val="20"/>
                <w:szCs w:val="20"/>
                <w:lang w:val="ro-MD"/>
              </w:rPr>
              <w:t>ț</w:t>
            </w:r>
            <w:r w:rsidRPr="00934A6F">
              <w:rPr>
                <w:rFonts w:asciiTheme="majorHAnsi" w:eastAsia="Times New Roman" w:hAnsiTheme="majorHAnsi" w:cstheme="majorHAnsi"/>
                <w:b w:val="0"/>
                <w:i/>
                <w:iCs/>
                <w:color w:val="000000"/>
                <w:sz w:val="20"/>
                <w:szCs w:val="20"/>
                <w:lang w:val="ro-MD"/>
              </w:rPr>
              <w:t>ia muncii</w:t>
            </w:r>
          </w:p>
        </w:tc>
        <w:tc>
          <w:tcPr>
            <w:tcW w:w="1276" w:type="dxa"/>
            <w:noWrap/>
            <w:hideMark/>
          </w:tcPr>
          <w:p w14:paraId="584D735A"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232,9</w:t>
            </w:r>
          </w:p>
        </w:tc>
        <w:tc>
          <w:tcPr>
            <w:tcW w:w="1276" w:type="dxa"/>
            <w:noWrap/>
            <w:hideMark/>
          </w:tcPr>
          <w:p w14:paraId="2E4F3909"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0,15%</w:t>
            </w:r>
          </w:p>
        </w:tc>
        <w:tc>
          <w:tcPr>
            <w:tcW w:w="1276" w:type="dxa"/>
            <w:noWrap/>
            <w:hideMark/>
          </w:tcPr>
          <w:p w14:paraId="304BD2FB"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283,7</w:t>
            </w:r>
          </w:p>
        </w:tc>
        <w:tc>
          <w:tcPr>
            <w:tcW w:w="1134" w:type="dxa"/>
            <w:noWrap/>
            <w:hideMark/>
          </w:tcPr>
          <w:p w14:paraId="67E9B050"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0,18%</w:t>
            </w:r>
          </w:p>
        </w:tc>
        <w:tc>
          <w:tcPr>
            <w:tcW w:w="992" w:type="dxa"/>
            <w:noWrap/>
            <w:hideMark/>
          </w:tcPr>
          <w:p w14:paraId="0B1DD1B2"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41,5</w:t>
            </w:r>
          </w:p>
        </w:tc>
        <w:tc>
          <w:tcPr>
            <w:tcW w:w="1133" w:type="dxa"/>
            <w:noWrap/>
            <w:hideMark/>
          </w:tcPr>
          <w:p w14:paraId="12024AF8"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0,05%</w:t>
            </w:r>
          </w:p>
        </w:tc>
      </w:tr>
      <w:tr w:rsidR="00C93D2B" w:rsidRPr="00934A6F" w14:paraId="3F177860" w14:textId="77777777" w:rsidTr="00C93D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7078B34F" w14:textId="77777777"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alte cheltuieli</w:t>
            </w:r>
          </w:p>
        </w:tc>
        <w:tc>
          <w:tcPr>
            <w:tcW w:w="1276" w:type="dxa"/>
            <w:noWrap/>
            <w:hideMark/>
          </w:tcPr>
          <w:p w14:paraId="6183C76C"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4329</w:t>
            </w:r>
          </w:p>
        </w:tc>
        <w:tc>
          <w:tcPr>
            <w:tcW w:w="1276" w:type="dxa"/>
            <w:noWrap/>
            <w:hideMark/>
          </w:tcPr>
          <w:p w14:paraId="17865F77"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2,75%</w:t>
            </w:r>
          </w:p>
        </w:tc>
        <w:tc>
          <w:tcPr>
            <w:tcW w:w="1276" w:type="dxa"/>
            <w:noWrap/>
            <w:hideMark/>
          </w:tcPr>
          <w:p w14:paraId="19091AEB"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3539,8</w:t>
            </w:r>
          </w:p>
        </w:tc>
        <w:tc>
          <w:tcPr>
            <w:tcW w:w="1134" w:type="dxa"/>
            <w:noWrap/>
            <w:hideMark/>
          </w:tcPr>
          <w:p w14:paraId="0D5A762D"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2,20%</w:t>
            </w:r>
          </w:p>
        </w:tc>
        <w:tc>
          <w:tcPr>
            <w:tcW w:w="992" w:type="dxa"/>
            <w:noWrap/>
            <w:hideMark/>
          </w:tcPr>
          <w:p w14:paraId="627456CA"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1452,00</w:t>
            </w:r>
          </w:p>
        </w:tc>
        <w:tc>
          <w:tcPr>
            <w:tcW w:w="1133" w:type="dxa"/>
            <w:noWrap/>
            <w:hideMark/>
          </w:tcPr>
          <w:p w14:paraId="2432774D"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1,71%</w:t>
            </w:r>
          </w:p>
        </w:tc>
      </w:tr>
    </w:tbl>
    <w:p w14:paraId="310811CE" w14:textId="77777777" w:rsidR="00C93D2B" w:rsidRPr="00934A6F" w:rsidRDefault="00C93D2B" w:rsidP="00EF1983">
      <w:pPr>
        <w:pStyle w:val="a7"/>
        <w:spacing w:after="0"/>
        <w:ind w:left="0"/>
        <w:rPr>
          <w:rFonts w:ascii="Calibri Light" w:eastAsia="Times New Roman" w:hAnsi="Calibri Light" w:cs="Calibri Light"/>
          <w:b/>
          <w:bCs/>
          <w:i/>
          <w:iCs/>
          <w:color w:val="000000"/>
          <w:sz w:val="20"/>
          <w:szCs w:val="20"/>
          <w:lang w:val="ro-MD"/>
        </w:rPr>
      </w:pPr>
    </w:p>
    <w:p w14:paraId="731F3CFC" w14:textId="6C21EADF" w:rsidR="00EF1983" w:rsidRPr="00934A6F" w:rsidRDefault="00EF1983" w:rsidP="00EF1983">
      <w:pPr>
        <w:pStyle w:val="a7"/>
        <w:spacing w:after="0"/>
        <w:ind w:left="0"/>
        <w:rPr>
          <w:rFonts w:ascii="Calibri Light" w:eastAsia="Times New Roman" w:hAnsi="Calibri Light" w:cs="Calibri Light"/>
          <w:i/>
          <w:iCs/>
          <w:color w:val="000000"/>
          <w:sz w:val="20"/>
          <w:szCs w:val="20"/>
          <w:lang w:val="ro-MD"/>
        </w:rPr>
      </w:pPr>
      <w:r w:rsidRPr="00934A6F">
        <w:rPr>
          <w:rFonts w:ascii="Calibri Light" w:eastAsia="Times New Roman" w:hAnsi="Calibri Light" w:cs="Calibri Light"/>
          <w:b/>
          <w:bCs/>
          <w:i/>
          <w:iCs/>
          <w:color w:val="000000"/>
          <w:sz w:val="20"/>
          <w:szCs w:val="20"/>
          <w:lang w:val="ro-MD"/>
        </w:rPr>
        <w:t>Sursă:</w:t>
      </w:r>
      <w:r w:rsidRPr="00934A6F">
        <w:rPr>
          <w:rFonts w:ascii="Calibri Light" w:eastAsia="Times New Roman" w:hAnsi="Calibri Light" w:cs="Calibri Light"/>
          <w:i/>
          <w:iCs/>
          <w:color w:val="000000"/>
          <w:sz w:val="20"/>
          <w:szCs w:val="20"/>
          <w:lang w:val="ro-MD"/>
        </w:rPr>
        <w:t xml:space="preserve"> Informa</w:t>
      </w:r>
      <w:r w:rsidR="00B13B9A" w:rsidRPr="00934A6F">
        <w:rPr>
          <w:rFonts w:ascii="Calibri Light" w:eastAsia="Times New Roman" w:hAnsi="Calibri Light" w:cs="Calibri Light"/>
          <w:i/>
          <w:iCs/>
          <w:color w:val="000000"/>
          <w:sz w:val="20"/>
          <w:szCs w:val="20"/>
          <w:lang w:val="ro-MD"/>
        </w:rPr>
        <w:t>ț</w:t>
      </w:r>
      <w:r w:rsidRPr="00934A6F">
        <w:rPr>
          <w:rFonts w:ascii="Calibri Light" w:eastAsia="Times New Roman" w:hAnsi="Calibri Light" w:cs="Calibri Light"/>
          <w:i/>
          <w:iCs/>
          <w:color w:val="000000"/>
          <w:sz w:val="20"/>
          <w:szCs w:val="20"/>
          <w:lang w:val="ro-MD"/>
        </w:rPr>
        <w:t>ii generate din eviden</w:t>
      </w:r>
      <w:r w:rsidR="00B13B9A" w:rsidRPr="00934A6F">
        <w:rPr>
          <w:rFonts w:ascii="Calibri Light" w:eastAsia="Times New Roman" w:hAnsi="Calibri Light" w:cs="Calibri Light"/>
          <w:i/>
          <w:iCs/>
          <w:color w:val="000000"/>
          <w:sz w:val="20"/>
          <w:szCs w:val="20"/>
          <w:lang w:val="ro-MD"/>
        </w:rPr>
        <w:t>ț</w:t>
      </w:r>
      <w:r w:rsidRPr="00934A6F">
        <w:rPr>
          <w:rFonts w:ascii="Calibri Light" w:eastAsia="Times New Roman" w:hAnsi="Calibri Light" w:cs="Calibri Light"/>
          <w:i/>
          <w:iCs/>
          <w:color w:val="000000"/>
          <w:sz w:val="20"/>
          <w:szCs w:val="20"/>
          <w:lang w:val="ro-MD"/>
        </w:rPr>
        <w:t xml:space="preserve">a contabilă a </w:t>
      </w:r>
      <w:r w:rsidR="005D56E4" w:rsidRPr="00934A6F">
        <w:rPr>
          <w:rFonts w:asciiTheme="majorHAnsi" w:hAnsiTheme="majorHAnsi" w:cstheme="majorHAnsi"/>
          <w:i/>
          <w:color w:val="000000" w:themeColor="text1"/>
          <w:sz w:val="20"/>
          <w:szCs w:val="20"/>
          <w:lang w:val="ro-MD"/>
        </w:rPr>
        <w:t xml:space="preserve">IMSP IFP </w:t>
      </w:r>
      <w:r w:rsidR="005D56E4" w:rsidRPr="00934A6F">
        <w:rPr>
          <w:rFonts w:asciiTheme="majorHAnsi" w:hAnsiTheme="majorHAnsi" w:cstheme="majorHAnsi"/>
          <w:i/>
          <w:sz w:val="20"/>
          <w:szCs w:val="20"/>
          <w:lang w:val="ro-MD"/>
        </w:rPr>
        <w:t>„Chiril Draganiuc”</w:t>
      </w:r>
      <w:r w:rsidR="00675B54" w:rsidRPr="00934A6F">
        <w:rPr>
          <w:rFonts w:asciiTheme="majorHAnsi" w:hAnsiTheme="majorHAnsi" w:cstheme="majorHAnsi"/>
          <w:i/>
          <w:sz w:val="20"/>
          <w:szCs w:val="20"/>
          <w:lang w:val="ro-MD"/>
        </w:rPr>
        <w:t>.</w:t>
      </w:r>
    </w:p>
    <w:p w14:paraId="1073918D" w14:textId="77777777" w:rsidR="00EF1983" w:rsidRPr="00934A6F" w:rsidRDefault="00EF1983" w:rsidP="00EF1983">
      <w:pPr>
        <w:spacing w:after="0" w:line="276" w:lineRule="auto"/>
        <w:ind w:firstLine="567"/>
        <w:jc w:val="both"/>
        <w:rPr>
          <w:rFonts w:ascii="Calibri Light" w:eastAsia="Times New Roman" w:hAnsi="Calibri Light" w:cs="Calibri Light"/>
          <w:i/>
          <w:iCs/>
          <w:color w:val="000000"/>
          <w:sz w:val="20"/>
          <w:szCs w:val="20"/>
          <w:lang w:val="ro-MD"/>
        </w:rPr>
      </w:pPr>
    </w:p>
    <w:p w14:paraId="1A8EE411" w14:textId="77777777" w:rsidR="00A51C46" w:rsidRPr="00934A6F" w:rsidRDefault="00A51C46" w:rsidP="001A0E43">
      <w:pPr>
        <w:spacing w:after="0" w:line="240" w:lineRule="auto"/>
        <w:jc w:val="right"/>
        <w:rPr>
          <w:rFonts w:asciiTheme="majorHAnsi" w:hAnsiTheme="majorHAnsi" w:cstheme="majorHAnsi"/>
          <w:i/>
          <w:iCs/>
          <w:sz w:val="24"/>
          <w:szCs w:val="24"/>
          <w:lang w:val="ro-MD"/>
        </w:rPr>
        <w:sectPr w:rsidR="00A51C46" w:rsidRPr="00934A6F" w:rsidSect="00DB333D">
          <w:pgSz w:w="12240" w:h="15840"/>
          <w:pgMar w:top="851" w:right="758" w:bottom="1134" w:left="1701" w:header="708" w:footer="708" w:gutter="0"/>
          <w:cols w:space="708"/>
          <w:titlePg/>
          <w:docGrid w:linePitch="360"/>
        </w:sectPr>
      </w:pPr>
    </w:p>
    <w:p w14:paraId="64422AAE" w14:textId="141A351C" w:rsidR="00A51C46" w:rsidRPr="00B13B9A" w:rsidRDefault="00A51C46" w:rsidP="00A51C46">
      <w:pPr>
        <w:pStyle w:val="3"/>
        <w:spacing w:before="0" w:line="240" w:lineRule="auto"/>
        <w:jc w:val="right"/>
        <w:rPr>
          <w:rFonts w:cstheme="majorHAnsi"/>
          <w:b/>
          <w:iCs/>
          <w:color w:val="auto"/>
        </w:rPr>
      </w:pPr>
      <w:bookmarkStart w:id="56" w:name="_Toc158317258"/>
      <w:r w:rsidRPr="00934A6F">
        <w:rPr>
          <w:rFonts w:cstheme="majorHAnsi"/>
          <w:b/>
          <w:iCs/>
          <w:color w:val="auto"/>
        </w:rPr>
        <w:t>Anexa nr. 4</w:t>
      </w:r>
      <w:bookmarkEnd w:id="56"/>
    </w:p>
    <w:p w14:paraId="596C3917" w14:textId="77777777" w:rsidR="00A51C46" w:rsidRPr="00B13B9A" w:rsidRDefault="00A51C46" w:rsidP="00A51C46">
      <w:pPr>
        <w:pStyle w:val="a7"/>
        <w:spacing w:after="0" w:line="240" w:lineRule="auto"/>
        <w:ind w:left="0"/>
        <w:jc w:val="center"/>
        <w:rPr>
          <w:rFonts w:asciiTheme="majorHAnsi" w:hAnsiTheme="majorHAnsi" w:cstheme="majorHAnsi"/>
          <w:b/>
          <w:i/>
          <w:sz w:val="24"/>
          <w:szCs w:val="24"/>
          <w:lang w:val="ro-MD"/>
        </w:rPr>
      </w:pPr>
      <w:r w:rsidRPr="00B13B9A">
        <w:rPr>
          <w:rFonts w:asciiTheme="majorHAnsi" w:hAnsiTheme="majorHAnsi" w:cstheme="majorHAnsi"/>
          <w:b/>
          <w:i/>
          <w:sz w:val="24"/>
          <w:szCs w:val="24"/>
          <w:lang w:val="ro-MD"/>
        </w:rPr>
        <w:t>Sursa veniturilor și executarea CNAM</w:t>
      </w:r>
    </w:p>
    <w:tbl>
      <w:tblPr>
        <w:tblW w:w="9647" w:type="dxa"/>
        <w:tblLook w:val="04A0" w:firstRow="1" w:lastRow="0" w:firstColumn="1" w:lastColumn="0" w:noHBand="0" w:noVBand="1"/>
      </w:tblPr>
      <w:tblGrid>
        <w:gridCol w:w="993"/>
        <w:gridCol w:w="1559"/>
        <w:gridCol w:w="1501"/>
        <w:gridCol w:w="1300"/>
        <w:gridCol w:w="1105"/>
        <w:gridCol w:w="1843"/>
        <w:gridCol w:w="1306"/>
        <w:gridCol w:w="40"/>
      </w:tblGrid>
      <w:tr w:rsidR="00A51C46" w:rsidRPr="00B13B9A" w14:paraId="2F2E4B40" w14:textId="77777777" w:rsidTr="00A51C46">
        <w:trPr>
          <w:gridAfter w:val="1"/>
          <w:wAfter w:w="40" w:type="dxa"/>
          <w:trHeight w:val="20"/>
        </w:trPr>
        <w:tc>
          <w:tcPr>
            <w:tcW w:w="993" w:type="dxa"/>
            <w:tcBorders>
              <w:top w:val="nil"/>
              <w:left w:val="nil"/>
              <w:bottom w:val="nil"/>
              <w:right w:val="nil"/>
            </w:tcBorders>
            <w:shd w:val="clear" w:color="auto" w:fill="auto"/>
            <w:noWrap/>
            <w:vAlign w:val="bottom"/>
            <w:hideMark/>
          </w:tcPr>
          <w:p w14:paraId="27D70611" w14:textId="77777777" w:rsidR="00A51C46" w:rsidRPr="00B13B9A" w:rsidRDefault="00A51C46" w:rsidP="00A51C46">
            <w:pPr>
              <w:spacing w:after="0" w:line="240" w:lineRule="auto"/>
              <w:rPr>
                <w:rFonts w:asciiTheme="majorHAnsi" w:eastAsia="Times New Roman" w:hAnsiTheme="majorHAnsi" w:cstheme="majorHAnsi"/>
                <w:sz w:val="20"/>
                <w:szCs w:val="20"/>
                <w:lang w:val="ro-MD"/>
              </w:rPr>
            </w:pPr>
          </w:p>
        </w:tc>
        <w:tc>
          <w:tcPr>
            <w:tcW w:w="1559" w:type="dxa"/>
            <w:tcBorders>
              <w:top w:val="nil"/>
              <w:left w:val="nil"/>
              <w:bottom w:val="nil"/>
              <w:right w:val="nil"/>
            </w:tcBorders>
            <w:shd w:val="clear" w:color="auto" w:fill="auto"/>
            <w:noWrap/>
            <w:vAlign w:val="bottom"/>
            <w:hideMark/>
          </w:tcPr>
          <w:p w14:paraId="7F10846D" w14:textId="77777777" w:rsidR="00A51C46" w:rsidRPr="00B13B9A" w:rsidRDefault="00A51C46" w:rsidP="00A51C46">
            <w:pPr>
              <w:spacing w:after="0" w:line="240" w:lineRule="auto"/>
              <w:rPr>
                <w:rFonts w:asciiTheme="majorHAnsi" w:eastAsia="Times New Roman" w:hAnsiTheme="majorHAnsi" w:cstheme="majorHAnsi"/>
                <w:sz w:val="20"/>
                <w:szCs w:val="20"/>
                <w:lang w:val="ro-MD"/>
              </w:rPr>
            </w:pPr>
          </w:p>
        </w:tc>
        <w:tc>
          <w:tcPr>
            <w:tcW w:w="1501" w:type="dxa"/>
            <w:tcBorders>
              <w:top w:val="nil"/>
              <w:left w:val="nil"/>
              <w:bottom w:val="nil"/>
              <w:right w:val="nil"/>
            </w:tcBorders>
            <w:shd w:val="clear" w:color="auto" w:fill="auto"/>
            <w:noWrap/>
            <w:vAlign w:val="bottom"/>
            <w:hideMark/>
          </w:tcPr>
          <w:p w14:paraId="37B54A07" w14:textId="77777777" w:rsidR="00A51C46" w:rsidRPr="00B13B9A" w:rsidRDefault="00A51C46" w:rsidP="00A51C46">
            <w:pPr>
              <w:spacing w:after="0" w:line="240" w:lineRule="auto"/>
              <w:rPr>
                <w:rFonts w:asciiTheme="majorHAnsi" w:eastAsia="Times New Roman" w:hAnsiTheme="majorHAnsi" w:cstheme="majorHAnsi"/>
                <w:sz w:val="20"/>
                <w:szCs w:val="20"/>
                <w:lang w:val="ro-MD"/>
              </w:rPr>
            </w:pPr>
          </w:p>
        </w:tc>
        <w:tc>
          <w:tcPr>
            <w:tcW w:w="1300" w:type="dxa"/>
            <w:tcBorders>
              <w:top w:val="nil"/>
              <w:left w:val="nil"/>
              <w:bottom w:val="nil"/>
              <w:right w:val="nil"/>
            </w:tcBorders>
            <w:shd w:val="clear" w:color="auto" w:fill="auto"/>
            <w:noWrap/>
            <w:vAlign w:val="bottom"/>
            <w:hideMark/>
          </w:tcPr>
          <w:p w14:paraId="40E5AEE8" w14:textId="77777777" w:rsidR="00A51C46" w:rsidRPr="00B13B9A" w:rsidRDefault="00A51C46" w:rsidP="00A51C46">
            <w:pPr>
              <w:spacing w:after="0" w:line="240" w:lineRule="auto"/>
              <w:rPr>
                <w:rFonts w:asciiTheme="majorHAnsi" w:eastAsia="Times New Roman" w:hAnsiTheme="majorHAnsi" w:cstheme="majorHAnsi"/>
                <w:sz w:val="20"/>
                <w:szCs w:val="20"/>
                <w:lang w:val="ro-MD"/>
              </w:rPr>
            </w:pPr>
          </w:p>
        </w:tc>
        <w:tc>
          <w:tcPr>
            <w:tcW w:w="1105" w:type="dxa"/>
            <w:tcBorders>
              <w:top w:val="nil"/>
              <w:left w:val="nil"/>
              <w:bottom w:val="nil"/>
              <w:right w:val="nil"/>
            </w:tcBorders>
            <w:shd w:val="clear" w:color="auto" w:fill="auto"/>
            <w:noWrap/>
            <w:vAlign w:val="bottom"/>
            <w:hideMark/>
          </w:tcPr>
          <w:p w14:paraId="4673D53E" w14:textId="77777777" w:rsidR="00A51C46" w:rsidRPr="00B13B9A" w:rsidRDefault="00A51C46" w:rsidP="00A51C46">
            <w:pPr>
              <w:spacing w:after="0" w:line="240" w:lineRule="auto"/>
              <w:rPr>
                <w:rFonts w:asciiTheme="majorHAnsi" w:eastAsia="Times New Roman" w:hAnsiTheme="majorHAnsi" w:cstheme="majorHAnsi"/>
                <w:sz w:val="20"/>
                <w:szCs w:val="20"/>
                <w:lang w:val="ro-MD"/>
              </w:rPr>
            </w:pPr>
          </w:p>
        </w:tc>
        <w:tc>
          <w:tcPr>
            <w:tcW w:w="1843" w:type="dxa"/>
            <w:tcBorders>
              <w:top w:val="nil"/>
              <w:left w:val="nil"/>
              <w:bottom w:val="nil"/>
              <w:right w:val="nil"/>
            </w:tcBorders>
            <w:shd w:val="clear" w:color="auto" w:fill="auto"/>
            <w:noWrap/>
            <w:vAlign w:val="bottom"/>
            <w:hideMark/>
          </w:tcPr>
          <w:p w14:paraId="64C898FE" w14:textId="77777777" w:rsidR="00A51C46" w:rsidRPr="00B13B9A" w:rsidRDefault="00A51C46" w:rsidP="00A51C46">
            <w:pPr>
              <w:spacing w:after="0" w:line="240" w:lineRule="auto"/>
              <w:rPr>
                <w:rFonts w:asciiTheme="majorHAnsi" w:eastAsia="Times New Roman" w:hAnsiTheme="majorHAnsi" w:cstheme="majorHAnsi"/>
                <w:sz w:val="20"/>
                <w:szCs w:val="20"/>
                <w:lang w:val="ro-MD"/>
              </w:rPr>
            </w:pPr>
          </w:p>
        </w:tc>
        <w:tc>
          <w:tcPr>
            <w:tcW w:w="1306" w:type="dxa"/>
            <w:tcBorders>
              <w:top w:val="nil"/>
              <w:left w:val="nil"/>
              <w:bottom w:val="nil"/>
              <w:right w:val="nil"/>
            </w:tcBorders>
            <w:shd w:val="clear" w:color="auto" w:fill="auto"/>
            <w:noWrap/>
            <w:vAlign w:val="bottom"/>
            <w:hideMark/>
          </w:tcPr>
          <w:p w14:paraId="7EA23092" w14:textId="77777777" w:rsidR="00A51C46" w:rsidRPr="00B13B9A" w:rsidRDefault="00A51C46" w:rsidP="00A51C46">
            <w:pPr>
              <w:spacing w:after="0" w:line="240" w:lineRule="auto"/>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(mii lei)</w:t>
            </w:r>
          </w:p>
        </w:tc>
      </w:tr>
      <w:tr w:rsidR="00A51C46" w:rsidRPr="00B13B9A" w14:paraId="23F1C0C1" w14:textId="77777777" w:rsidTr="00A51C46">
        <w:trPr>
          <w:gridAfter w:val="1"/>
          <w:wAfter w:w="40" w:type="dxa"/>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9939E" w14:textId="77777777" w:rsidR="00A51C46" w:rsidRPr="00B13B9A" w:rsidRDefault="00A51C46" w:rsidP="00A51C46">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Tipuri de servicii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070E52B" w14:textId="77777777" w:rsidR="00A51C46" w:rsidRPr="00B13B9A" w:rsidRDefault="00A51C46" w:rsidP="00A51C46">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Venituri aprobate inițial</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14:paraId="36149B7B" w14:textId="77777777" w:rsidR="00A51C46" w:rsidRPr="00B13B9A" w:rsidRDefault="00A51C46" w:rsidP="00A51C46">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Venituri precizate pe an</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F9D9713" w14:textId="77777777" w:rsidR="00A51C46" w:rsidRPr="00B13B9A" w:rsidRDefault="00A51C46" w:rsidP="00A51C46">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Suma contractată</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6BB98220" w14:textId="77777777" w:rsidR="00A51C46" w:rsidRPr="00B13B9A" w:rsidRDefault="00A51C46" w:rsidP="00A51C46">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Cheltuieli efective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6C1F7BE" w14:textId="77777777" w:rsidR="00A51C46" w:rsidRPr="00B13B9A" w:rsidRDefault="00A51C46" w:rsidP="00A51C46">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Îndeplinirea contractelor, sumă</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1A4A0014" w14:textId="77777777" w:rsidR="00A51C46" w:rsidRPr="00B13B9A" w:rsidRDefault="00A51C46" w:rsidP="00A51C46">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 îndeplinirii contractelor</w:t>
            </w:r>
          </w:p>
        </w:tc>
      </w:tr>
      <w:tr w:rsidR="00A51C46" w:rsidRPr="00B13B9A" w14:paraId="1EC1839C" w14:textId="77777777" w:rsidTr="00A51C46">
        <w:trPr>
          <w:trHeight w:val="20"/>
        </w:trPr>
        <w:tc>
          <w:tcPr>
            <w:tcW w:w="964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7C7C84" w14:textId="77777777" w:rsidR="00A51C46" w:rsidRPr="00B13B9A" w:rsidRDefault="00A51C46" w:rsidP="00A51C46">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2021</w:t>
            </w:r>
          </w:p>
        </w:tc>
      </w:tr>
      <w:tr w:rsidR="00A51C46" w:rsidRPr="00B13B9A" w14:paraId="548CF3F4" w14:textId="77777777" w:rsidTr="00A51C46">
        <w:trPr>
          <w:gridAfter w:val="1"/>
          <w:wAfter w:w="40" w:type="dxa"/>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0E2BF3C" w14:textId="77777777" w:rsidR="00A51C46" w:rsidRPr="00B13B9A" w:rsidRDefault="00A51C46" w:rsidP="00A51C46">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AMSA</w:t>
            </w:r>
          </w:p>
        </w:tc>
        <w:tc>
          <w:tcPr>
            <w:tcW w:w="1559" w:type="dxa"/>
            <w:tcBorders>
              <w:top w:val="nil"/>
              <w:left w:val="nil"/>
              <w:bottom w:val="single" w:sz="4" w:space="0" w:color="auto"/>
              <w:right w:val="single" w:sz="4" w:space="0" w:color="auto"/>
            </w:tcBorders>
            <w:shd w:val="clear" w:color="auto" w:fill="auto"/>
            <w:noWrap/>
            <w:vAlign w:val="bottom"/>
            <w:hideMark/>
          </w:tcPr>
          <w:p w14:paraId="15CEFFD2"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12451,9</w:t>
            </w:r>
          </w:p>
        </w:tc>
        <w:tc>
          <w:tcPr>
            <w:tcW w:w="1501" w:type="dxa"/>
            <w:tcBorders>
              <w:top w:val="nil"/>
              <w:left w:val="nil"/>
              <w:bottom w:val="single" w:sz="4" w:space="0" w:color="auto"/>
              <w:right w:val="single" w:sz="4" w:space="0" w:color="auto"/>
            </w:tcBorders>
            <w:shd w:val="clear" w:color="auto" w:fill="auto"/>
            <w:noWrap/>
            <w:vAlign w:val="bottom"/>
            <w:hideMark/>
          </w:tcPr>
          <w:p w14:paraId="4138D669"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12451,9</w:t>
            </w:r>
          </w:p>
        </w:tc>
        <w:tc>
          <w:tcPr>
            <w:tcW w:w="1300" w:type="dxa"/>
            <w:tcBorders>
              <w:top w:val="nil"/>
              <w:left w:val="nil"/>
              <w:bottom w:val="single" w:sz="4" w:space="0" w:color="auto"/>
              <w:right w:val="single" w:sz="4" w:space="0" w:color="auto"/>
            </w:tcBorders>
            <w:shd w:val="clear" w:color="auto" w:fill="auto"/>
            <w:noWrap/>
            <w:vAlign w:val="bottom"/>
            <w:hideMark/>
          </w:tcPr>
          <w:p w14:paraId="3C864530"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12451,9</w:t>
            </w:r>
          </w:p>
        </w:tc>
        <w:tc>
          <w:tcPr>
            <w:tcW w:w="1105" w:type="dxa"/>
            <w:tcBorders>
              <w:top w:val="nil"/>
              <w:left w:val="nil"/>
              <w:bottom w:val="nil"/>
              <w:right w:val="nil"/>
            </w:tcBorders>
            <w:shd w:val="clear" w:color="auto" w:fill="auto"/>
            <w:noWrap/>
            <w:vAlign w:val="bottom"/>
            <w:hideMark/>
          </w:tcPr>
          <w:p w14:paraId="061905BA"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12349,3</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8FD6865"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-102,6</w:t>
            </w:r>
          </w:p>
        </w:tc>
        <w:tc>
          <w:tcPr>
            <w:tcW w:w="1306" w:type="dxa"/>
            <w:tcBorders>
              <w:top w:val="nil"/>
              <w:left w:val="nil"/>
              <w:bottom w:val="single" w:sz="4" w:space="0" w:color="auto"/>
              <w:right w:val="single" w:sz="4" w:space="0" w:color="auto"/>
            </w:tcBorders>
            <w:shd w:val="clear" w:color="auto" w:fill="auto"/>
            <w:noWrap/>
            <w:vAlign w:val="bottom"/>
            <w:hideMark/>
          </w:tcPr>
          <w:p w14:paraId="7C9AAA87"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99,2%</w:t>
            </w:r>
          </w:p>
        </w:tc>
      </w:tr>
      <w:tr w:rsidR="00A51C46" w:rsidRPr="00B13B9A" w14:paraId="3A5A8F1D" w14:textId="77777777" w:rsidTr="00A51C46">
        <w:trPr>
          <w:gridAfter w:val="1"/>
          <w:wAfter w:w="40" w:type="dxa"/>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E77BBAC" w14:textId="77777777" w:rsidR="00A51C46" w:rsidRPr="00B13B9A" w:rsidRDefault="00A51C46" w:rsidP="00A51C46">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AMS</w:t>
            </w:r>
          </w:p>
        </w:tc>
        <w:tc>
          <w:tcPr>
            <w:tcW w:w="1559" w:type="dxa"/>
            <w:tcBorders>
              <w:top w:val="nil"/>
              <w:left w:val="nil"/>
              <w:bottom w:val="single" w:sz="4" w:space="0" w:color="auto"/>
              <w:right w:val="single" w:sz="4" w:space="0" w:color="auto"/>
            </w:tcBorders>
            <w:shd w:val="clear" w:color="auto" w:fill="auto"/>
            <w:noWrap/>
            <w:vAlign w:val="bottom"/>
            <w:hideMark/>
          </w:tcPr>
          <w:p w14:paraId="12677BC5"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87594,5</w:t>
            </w:r>
          </w:p>
        </w:tc>
        <w:tc>
          <w:tcPr>
            <w:tcW w:w="1501" w:type="dxa"/>
            <w:tcBorders>
              <w:top w:val="nil"/>
              <w:left w:val="nil"/>
              <w:bottom w:val="single" w:sz="4" w:space="0" w:color="auto"/>
              <w:right w:val="single" w:sz="4" w:space="0" w:color="auto"/>
            </w:tcBorders>
            <w:shd w:val="clear" w:color="auto" w:fill="auto"/>
            <w:noWrap/>
            <w:vAlign w:val="bottom"/>
            <w:hideMark/>
          </w:tcPr>
          <w:p w14:paraId="2703F695"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103666,8</w:t>
            </w:r>
          </w:p>
        </w:tc>
        <w:tc>
          <w:tcPr>
            <w:tcW w:w="1300" w:type="dxa"/>
            <w:tcBorders>
              <w:top w:val="nil"/>
              <w:left w:val="nil"/>
              <w:bottom w:val="single" w:sz="4" w:space="0" w:color="auto"/>
              <w:right w:val="single" w:sz="4" w:space="0" w:color="auto"/>
            </w:tcBorders>
            <w:shd w:val="clear" w:color="auto" w:fill="auto"/>
            <w:noWrap/>
            <w:vAlign w:val="bottom"/>
            <w:hideMark/>
          </w:tcPr>
          <w:p w14:paraId="5E176694"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102804,9</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42C71B4D"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107727,9</w:t>
            </w:r>
          </w:p>
        </w:tc>
        <w:tc>
          <w:tcPr>
            <w:tcW w:w="1843" w:type="dxa"/>
            <w:tcBorders>
              <w:top w:val="nil"/>
              <w:left w:val="nil"/>
              <w:bottom w:val="single" w:sz="4" w:space="0" w:color="auto"/>
              <w:right w:val="single" w:sz="4" w:space="0" w:color="auto"/>
            </w:tcBorders>
            <w:shd w:val="clear" w:color="auto" w:fill="auto"/>
            <w:noWrap/>
            <w:vAlign w:val="bottom"/>
            <w:hideMark/>
          </w:tcPr>
          <w:p w14:paraId="6B6F2326"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4923,0</w:t>
            </w:r>
          </w:p>
        </w:tc>
        <w:tc>
          <w:tcPr>
            <w:tcW w:w="1306" w:type="dxa"/>
            <w:tcBorders>
              <w:top w:val="nil"/>
              <w:left w:val="nil"/>
              <w:bottom w:val="single" w:sz="4" w:space="0" w:color="auto"/>
              <w:right w:val="single" w:sz="4" w:space="0" w:color="auto"/>
            </w:tcBorders>
            <w:shd w:val="clear" w:color="auto" w:fill="auto"/>
            <w:noWrap/>
            <w:vAlign w:val="bottom"/>
            <w:hideMark/>
          </w:tcPr>
          <w:p w14:paraId="21A46244"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104,8%</w:t>
            </w:r>
          </w:p>
        </w:tc>
      </w:tr>
      <w:tr w:rsidR="00A51C46" w:rsidRPr="00B13B9A" w14:paraId="5A851048" w14:textId="77777777" w:rsidTr="00A51C46">
        <w:trPr>
          <w:trHeight w:val="20"/>
        </w:trPr>
        <w:tc>
          <w:tcPr>
            <w:tcW w:w="964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311F28" w14:textId="77777777" w:rsidR="00A51C46" w:rsidRPr="00B13B9A" w:rsidRDefault="00A51C46" w:rsidP="00A51C46">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2022</w:t>
            </w:r>
          </w:p>
        </w:tc>
      </w:tr>
      <w:tr w:rsidR="00A51C46" w:rsidRPr="00B13B9A" w14:paraId="1A2B4918" w14:textId="77777777" w:rsidTr="00A51C46">
        <w:trPr>
          <w:gridAfter w:val="1"/>
          <w:wAfter w:w="40" w:type="dxa"/>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DCE7053" w14:textId="77777777" w:rsidR="00A51C46" w:rsidRPr="00B13B9A" w:rsidRDefault="00A51C46" w:rsidP="00A51C46">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AMSA</w:t>
            </w:r>
          </w:p>
        </w:tc>
        <w:tc>
          <w:tcPr>
            <w:tcW w:w="1559" w:type="dxa"/>
            <w:tcBorders>
              <w:top w:val="nil"/>
              <w:left w:val="nil"/>
              <w:bottom w:val="single" w:sz="4" w:space="0" w:color="auto"/>
              <w:right w:val="single" w:sz="4" w:space="0" w:color="auto"/>
            </w:tcBorders>
            <w:shd w:val="clear" w:color="auto" w:fill="auto"/>
            <w:noWrap/>
            <w:vAlign w:val="bottom"/>
            <w:hideMark/>
          </w:tcPr>
          <w:p w14:paraId="33B7F5A6"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12761,7</w:t>
            </w:r>
          </w:p>
        </w:tc>
        <w:tc>
          <w:tcPr>
            <w:tcW w:w="1501" w:type="dxa"/>
            <w:tcBorders>
              <w:top w:val="nil"/>
              <w:left w:val="nil"/>
              <w:bottom w:val="single" w:sz="4" w:space="0" w:color="auto"/>
              <w:right w:val="single" w:sz="4" w:space="0" w:color="auto"/>
            </w:tcBorders>
            <w:shd w:val="clear" w:color="auto" w:fill="auto"/>
            <w:noWrap/>
            <w:vAlign w:val="bottom"/>
            <w:hideMark/>
          </w:tcPr>
          <w:p w14:paraId="33579E73"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13510,1</w:t>
            </w:r>
          </w:p>
        </w:tc>
        <w:tc>
          <w:tcPr>
            <w:tcW w:w="1300" w:type="dxa"/>
            <w:tcBorders>
              <w:top w:val="nil"/>
              <w:left w:val="nil"/>
              <w:bottom w:val="single" w:sz="4" w:space="0" w:color="auto"/>
              <w:right w:val="single" w:sz="4" w:space="0" w:color="auto"/>
            </w:tcBorders>
            <w:shd w:val="clear" w:color="auto" w:fill="auto"/>
            <w:noWrap/>
            <w:vAlign w:val="bottom"/>
            <w:hideMark/>
          </w:tcPr>
          <w:p w14:paraId="43665DA5"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13510,1</w:t>
            </w:r>
          </w:p>
        </w:tc>
        <w:tc>
          <w:tcPr>
            <w:tcW w:w="1105" w:type="dxa"/>
            <w:tcBorders>
              <w:top w:val="nil"/>
              <w:left w:val="nil"/>
              <w:bottom w:val="single" w:sz="4" w:space="0" w:color="auto"/>
              <w:right w:val="single" w:sz="4" w:space="0" w:color="auto"/>
            </w:tcBorders>
            <w:shd w:val="clear" w:color="auto" w:fill="auto"/>
            <w:noWrap/>
            <w:vAlign w:val="bottom"/>
            <w:hideMark/>
          </w:tcPr>
          <w:p w14:paraId="492361CD"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13498,5</w:t>
            </w:r>
          </w:p>
        </w:tc>
        <w:tc>
          <w:tcPr>
            <w:tcW w:w="1843" w:type="dxa"/>
            <w:tcBorders>
              <w:top w:val="nil"/>
              <w:left w:val="nil"/>
              <w:bottom w:val="single" w:sz="4" w:space="0" w:color="auto"/>
              <w:right w:val="single" w:sz="4" w:space="0" w:color="auto"/>
            </w:tcBorders>
            <w:shd w:val="clear" w:color="auto" w:fill="auto"/>
            <w:noWrap/>
            <w:vAlign w:val="bottom"/>
            <w:hideMark/>
          </w:tcPr>
          <w:p w14:paraId="6D6BCDA9"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-11,6</w:t>
            </w:r>
          </w:p>
        </w:tc>
        <w:tc>
          <w:tcPr>
            <w:tcW w:w="1306" w:type="dxa"/>
            <w:tcBorders>
              <w:top w:val="nil"/>
              <w:left w:val="nil"/>
              <w:bottom w:val="single" w:sz="4" w:space="0" w:color="auto"/>
              <w:right w:val="single" w:sz="4" w:space="0" w:color="auto"/>
            </w:tcBorders>
            <w:shd w:val="clear" w:color="auto" w:fill="auto"/>
            <w:noWrap/>
            <w:vAlign w:val="bottom"/>
            <w:hideMark/>
          </w:tcPr>
          <w:p w14:paraId="5BBDC494"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99,9%</w:t>
            </w:r>
          </w:p>
        </w:tc>
      </w:tr>
      <w:tr w:rsidR="00A51C46" w:rsidRPr="00B13B9A" w14:paraId="7CBA9C83" w14:textId="77777777" w:rsidTr="00A51C46">
        <w:trPr>
          <w:gridAfter w:val="1"/>
          <w:wAfter w:w="40" w:type="dxa"/>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99FE3B5" w14:textId="77777777" w:rsidR="00A51C46" w:rsidRPr="00B13B9A" w:rsidRDefault="00A51C46" w:rsidP="00A51C46">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AMS</w:t>
            </w:r>
          </w:p>
        </w:tc>
        <w:tc>
          <w:tcPr>
            <w:tcW w:w="1559" w:type="dxa"/>
            <w:tcBorders>
              <w:top w:val="nil"/>
              <w:left w:val="nil"/>
              <w:bottom w:val="single" w:sz="4" w:space="0" w:color="auto"/>
              <w:right w:val="single" w:sz="4" w:space="0" w:color="auto"/>
            </w:tcBorders>
            <w:shd w:val="clear" w:color="auto" w:fill="auto"/>
            <w:noWrap/>
            <w:vAlign w:val="bottom"/>
            <w:hideMark/>
          </w:tcPr>
          <w:p w14:paraId="55EF3CE4"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100965,3</w:t>
            </w:r>
          </w:p>
        </w:tc>
        <w:tc>
          <w:tcPr>
            <w:tcW w:w="1501" w:type="dxa"/>
            <w:tcBorders>
              <w:top w:val="nil"/>
              <w:left w:val="nil"/>
              <w:bottom w:val="single" w:sz="4" w:space="0" w:color="auto"/>
              <w:right w:val="single" w:sz="4" w:space="0" w:color="auto"/>
            </w:tcBorders>
            <w:shd w:val="clear" w:color="auto" w:fill="auto"/>
            <w:noWrap/>
            <w:vAlign w:val="bottom"/>
            <w:hideMark/>
          </w:tcPr>
          <w:p w14:paraId="55FFE220"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108247,3</w:t>
            </w:r>
          </w:p>
        </w:tc>
        <w:tc>
          <w:tcPr>
            <w:tcW w:w="1300" w:type="dxa"/>
            <w:tcBorders>
              <w:top w:val="nil"/>
              <w:left w:val="nil"/>
              <w:bottom w:val="single" w:sz="4" w:space="0" w:color="auto"/>
              <w:right w:val="single" w:sz="4" w:space="0" w:color="auto"/>
            </w:tcBorders>
            <w:shd w:val="clear" w:color="auto" w:fill="auto"/>
            <w:noWrap/>
            <w:vAlign w:val="bottom"/>
            <w:hideMark/>
          </w:tcPr>
          <w:p w14:paraId="5492C3A9"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103227,1</w:t>
            </w:r>
          </w:p>
        </w:tc>
        <w:tc>
          <w:tcPr>
            <w:tcW w:w="1105" w:type="dxa"/>
            <w:tcBorders>
              <w:top w:val="nil"/>
              <w:left w:val="nil"/>
              <w:bottom w:val="single" w:sz="4" w:space="0" w:color="auto"/>
              <w:right w:val="single" w:sz="4" w:space="0" w:color="auto"/>
            </w:tcBorders>
            <w:shd w:val="clear" w:color="auto" w:fill="auto"/>
            <w:noWrap/>
            <w:vAlign w:val="bottom"/>
            <w:hideMark/>
          </w:tcPr>
          <w:p w14:paraId="1D6902AA"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101606,0</w:t>
            </w:r>
          </w:p>
        </w:tc>
        <w:tc>
          <w:tcPr>
            <w:tcW w:w="1843" w:type="dxa"/>
            <w:tcBorders>
              <w:top w:val="nil"/>
              <w:left w:val="nil"/>
              <w:bottom w:val="single" w:sz="4" w:space="0" w:color="auto"/>
              <w:right w:val="single" w:sz="4" w:space="0" w:color="auto"/>
            </w:tcBorders>
            <w:shd w:val="clear" w:color="auto" w:fill="auto"/>
            <w:noWrap/>
            <w:vAlign w:val="bottom"/>
            <w:hideMark/>
          </w:tcPr>
          <w:p w14:paraId="6097E62F"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-1621,1</w:t>
            </w:r>
          </w:p>
        </w:tc>
        <w:tc>
          <w:tcPr>
            <w:tcW w:w="1306" w:type="dxa"/>
            <w:tcBorders>
              <w:top w:val="nil"/>
              <w:left w:val="nil"/>
              <w:bottom w:val="single" w:sz="4" w:space="0" w:color="auto"/>
              <w:right w:val="single" w:sz="4" w:space="0" w:color="auto"/>
            </w:tcBorders>
            <w:shd w:val="clear" w:color="auto" w:fill="auto"/>
            <w:noWrap/>
            <w:vAlign w:val="bottom"/>
            <w:hideMark/>
          </w:tcPr>
          <w:p w14:paraId="3E667C48"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98,4%</w:t>
            </w:r>
          </w:p>
        </w:tc>
      </w:tr>
      <w:tr w:rsidR="00A51C46" w:rsidRPr="00B13B9A" w14:paraId="631573AA" w14:textId="77777777" w:rsidTr="00A51C46">
        <w:trPr>
          <w:trHeight w:val="20"/>
        </w:trPr>
        <w:tc>
          <w:tcPr>
            <w:tcW w:w="964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133CF0" w14:textId="77777777" w:rsidR="00A51C46" w:rsidRPr="00B13B9A" w:rsidRDefault="00A51C46" w:rsidP="00A51C46">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2023 (I sem)</w:t>
            </w:r>
          </w:p>
        </w:tc>
      </w:tr>
      <w:tr w:rsidR="00A51C46" w:rsidRPr="00B13B9A" w14:paraId="633FED6C" w14:textId="77777777" w:rsidTr="00A51C46">
        <w:trPr>
          <w:gridAfter w:val="1"/>
          <w:wAfter w:w="40" w:type="dxa"/>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9032E9A" w14:textId="77777777" w:rsidR="00A51C46" w:rsidRPr="00B13B9A" w:rsidRDefault="00A51C46" w:rsidP="00A51C46">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AMSA</w:t>
            </w:r>
          </w:p>
        </w:tc>
        <w:tc>
          <w:tcPr>
            <w:tcW w:w="1559" w:type="dxa"/>
            <w:tcBorders>
              <w:top w:val="nil"/>
              <w:left w:val="nil"/>
              <w:bottom w:val="single" w:sz="4" w:space="0" w:color="auto"/>
              <w:right w:val="single" w:sz="4" w:space="0" w:color="auto"/>
            </w:tcBorders>
            <w:shd w:val="clear" w:color="auto" w:fill="auto"/>
            <w:noWrap/>
            <w:vAlign w:val="bottom"/>
            <w:hideMark/>
          </w:tcPr>
          <w:p w14:paraId="1A1FAEBA"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21333,9</w:t>
            </w:r>
          </w:p>
        </w:tc>
        <w:tc>
          <w:tcPr>
            <w:tcW w:w="1501" w:type="dxa"/>
            <w:tcBorders>
              <w:top w:val="nil"/>
              <w:left w:val="nil"/>
              <w:bottom w:val="single" w:sz="4" w:space="0" w:color="auto"/>
              <w:right w:val="single" w:sz="4" w:space="0" w:color="auto"/>
            </w:tcBorders>
            <w:shd w:val="clear" w:color="auto" w:fill="auto"/>
            <w:noWrap/>
            <w:vAlign w:val="bottom"/>
            <w:hideMark/>
          </w:tcPr>
          <w:p w14:paraId="4C7ED4CF"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21343,7</w:t>
            </w:r>
          </w:p>
        </w:tc>
        <w:tc>
          <w:tcPr>
            <w:tcW w:w="1300" w:type="dxa"/>
            <w:tcBorders>
              <w:top w:val="nil"/>
              <w:left w:val="nil"/>
              <w:bottom w:val="single" w:sz="4" w:space="0" w:color="auto"/>
              <w:right w:val="single" w:sz="4" w:space="0" w:color="auto"/>
            </w:tcBorders>
            <w:shd w:val="clear" w:color="auto" w:fill="auto"/>
            <w:noWrap/>
            <w:vAlign w:val="bottom"/>
            <w:hideMark/>
          </w:tcPr>
          <w:p w14:paraId="38B6EEBA"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10676,7</w:t>
            </w:r>
          </w:p>
        </w:tc>
        <w:tc>
          <w:tcPr>
            <w:tcW w:w="1105" w:type="dxa"/>
            <w:tcBorders>
              <w:top w:val="nil"/>
              <w:left w:val="nil"/>
              <w:bottom w:val="single" w:sz="4" w:space="0" w:color="auto"/>
              <w:right w:val="single" w:sz="4" w:space="0" w:color="auto"/>
            </w:tcBorders>
            <w:shd w:val="clear" w:color="auto" w:fill="auto"/>
            <w:noWrap/>
            <w:vAlign w:val="bottom"/>
            <w:hideMark/>
          </w:tcPr>
          <w:p w14:paraId="5CF13421"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9346,7</w:t>
            </w:r>
          </w:p>
        </w:tc>
        <w:tc>
          <w:tcPr>
            <w:tcW w:w="1843" w:type="dxa"/>
            <w:tcBorders>
              <w:top w:val="nil"/>
              <w:left w:val="nil"/>
              <w:bottom w:val="single" w:sz="4" w:space="0" w:color="auto"/>
              <w:right w:val="single" w:sz="4" w:space="0" w:color="auto"/>
            </w:tcBorders>
            <w:shd w:val="clear" w:color="auto" w:fill="auto"/>
            <w:noWrap/>
            <w:vAlign w:val="bottom"/>
            <w:hideMark/>
          </w:tcPr>
          <w:p w14:paraId="2C69B8AC"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-1330,0</w:t>
            </w:r>
          </w:p>
        </w:tc>
        <w:tc>
          <w:tcPr>
            <w:tcW w:w="1306" w:type="dxa"/>
            <w:tcBorders>
              <w:top w:val="nil"/>
              <w:left w:val="nil"/>
              <w:bottom w:val="single" w:sz="4" w:space="0" w:color="auto"/>
              <w:right w:val="single" w:sz="4" w:space="0" w:color="auto"/>
            </w:tcBorders>
            <w:shd w:val="clear" w:color="auto" w:fill="auto"/>
            <w:noWrap/>
            <w:vAlign w:val="bottom"/>
            <w:hideMark/>
          </w:tcPr>
          <w:p w14:paraId="6EDE5A6D"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87,5%</w:t>
            </w:r>
          </w:p>
        </w:tc>
      </w:tr>
      <w:tr w:rsidR="00A51C46" w:rsidRPr="00B13B9A" w14:paraId="347D5870" w14:textId="77777777" w:rsidTr="00A51C46">
        <w:trPr>
          <w:gridAfter w:val="1"/>
          <w:wAfter w:w="40" w:type="dxa"/>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68442BE" w14:textId="77777777" w:rsidR="00A51C46" w:rsidRPr="00B13B9A" w:rsidRDefault="00A51C46" w:rsidP="00A51C46">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AMS</w:t>
            </w:r>
          </w:p>
        </w:tc>
        <w:tc>
          <w:tcPr>
            <w:tcW w:w="1559" w:type="dxa"/>
            <w:tcBorders>
              <w:top w:val="nil"/>
              <w:left w:val="nil"/>
              <w:bottom w:val="single" w:sz="4" w:space="0" w:color="auto"/>
              <w:right w:val="single" w:sz="4" w:space="0" w:color="auto"/>
            </w:tcBorders>
            <w:shd w:val="clear" w:color="auto" w:fill="auto"/>
            <w:noWrap/>
            <w:vAlign w:val="bottom"/>
            <w:hideMark/>
          </w:tcPr>
          <w:p w14:paraId="3B014C30"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111230,2</w:t>
            </w:r>
          </w:p>
        </w:tc>
        <w:tc>
          <w:tcPr>
            <w:tcW w:w="1501" w:type="dxa"/>
            <w:tcBorders>
              <w:top w:val="nil"/>
              <w:left w:val="nil"/>
              <w:bottom w:val="single" w:sz="4" w:space="0" w:color="auto"/>
              <w:right w:val="single" w:sz="4" w:space="0" w:color="auto"/>
            </w:tcBorders>
            <w:shd w:val="clear" w:color="auto" w:fill="auto"/>
            <w:noWrap/>
            <w:vAlign w:val="bottom"/>
            <w:hideMark/>
          </w:tcPr>
          <w:p w14:paraId="3BD4AD1F"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111407,0</w:t>
            </w:r>
          </w:p>
        </w:tc>
        <w:tc>
          <w:tcPr>
            <w:tcW w:w="1300" w:type="dxa"/>
            <w:tcBorders>
              <w:top w:val="nil"/>
              <w:left w:val="nil"/>
              <w:bottom w:val="single" w:sz="4" w:space="0" w:color="auto"/>
              <w:right w:val="single" w:sz="4" w:space="0" w:color="auto"/>
            </w:tcBorders>
            <w:shd w:val="clear" w:color="auto" w:fill="auto"/>
            <w:noWrap/>
            <w:vAlign w:val="bottom"/>
            <w:hideMark/>
          </w:tcPr>
          <w:p w14:paraId="69025660"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55578,2</w:t>
            </w:r>
          </w:p>
        </w:tc>
        <w:tc>
          <w:tcPr>
            <w:tcW w:w="1105" w:type="dxa"/>
            <w:tcBorders>
              <w:top w:val="nil"/>
              <w:left w:val="nil"/>
              <w:bottom w:val="single" w:sz="4" w:space="0" w:color="auto"/>
              <w:right w:val="single" w:sz="4" w:space="0" w:color="auto"/>
            </w:tcBorders>
            <w:shd w:val="clear" w:color="auto" w:fill="auto"/>
            <w:noWrap/>
            <w:vAlign w:val="bottom"/>
            <w:hideMark/>
          </w:tcPr>
          <w:p w14:paraId="19B89218"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53744,8</w:t>
            </w:r>
          </w:p>
        </w:tc>
        <w:tc>
          <w:tcPr>
            <w:tcW w:w="1843" w:type="dxa"/>
            <w:tcBorders>
              <w:top w:val="nil"/>
              <w:left w:val="nil"/>
              <w:bottom w:val="single" w:sz="4" w:space="0" w:color="auto"/>
              <w:right w:val="single" w:sz="4" w:space="0" w:color="auto"/>
            </w:tcBorders>
            <w:shd w:val="clear" w:color="auto" w:fill="auto"/>
            <w:noWrap/>
            <w:vAlign w:val="bottom"/>
            <w:hideMark/>
          </w:tcPr>
          <w:p w14:paraId="58C967CD"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-1833,4</w:t>
            </w:r>
          </w:p>
        </w:tc>
        <w:tc>
          <w:tcPr>
            <w:tcW w:w="1306" w:type="dxa"/>
            <w:tcBorders>
              <w:top w:val="nil"/>
              <w:left w:val="nil"/>
              <w:bottom w:val="single" w:sz="4" w:space="0" w:color="auto"/>
              <w:right w:val="single" w:sz="4" w:space="0" w:color="auto"/>
            </w:tcBorders>
            <w:shd w:val="clear" w:color="auto" w:fill="auto"/>
            <w:noWrap/>
            <w:vAlign w:val="bottom"/>
            <w:hideMark/>
          </w:tcPr>
          <w:p w14:paraId="41A00F72"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96,7%</w:t>
            </w:r>
          </w:p>
        </w:tc>
      </w:tr>
    </w:tbl>
    <w:p w14:paraId="47B69A3A" w14:textId="77777777" w:rsidR="00A51C46" w:rsidRPr="00B13B9A" w:rsidRDefault="00A51C46" w:rsidP="00A51C46">
      <w:pPr>
        <w:pStyle w:val="cn"/>
        <w:ind w:right="71"/>
        <w:jc w:val="both"/>
        <w:rPr>
          <w:rFonts w:asciiTheme="majorHAnsi" w:eastAsiaTheme="minorHAnsi" w:hAnsiTheme="majorHAnsi" w:cstheme="majorHAnsi"/>
          <w:i/>
          <w:sz w:val="20"/>
          <w:szCs w:val="20"/>
          <w:lang w:val="ro-MD" w:eastAsia="en-US"/>
        </w:rPr>
      </w:pPr>
      <w:r w:rsidRPr="00B13B9A">
        <w:rPr>
          <w:rFonts w:asciiTheme="majorHAnsi" w:eastAsiaTheme="minorHAnsi" w:hAnsiTheme="majorHAnsi" w:cstheme="majorHAnsi"/>
          <w:b/>
          <w:i/>
          <w:sz w:val="20"/>
          <w:szCs w:val="20"/>
          <w:lang w:val="ro-MD" w:eastAsia="en-US"/>
        </w:rPr>
        <w:t>Sursa:</w:t>
      </w:r>
      <w:r w:rsidRPr="00B13B9A">
        <w:rPr>
          <w:rFonts w:asciiTheme="majorHAnsi" w:eastAsiaTheme="minorHAnsi" w:hAnsiTheme="majorHAnsi" w:cstheme="majorHAnsi"/>
          <w:i/>
          <w:sz w:val="20"/>
          <w:szCs w:val="20"/>
          <w:lang w:val="ro-MD" w:eastAsia="en-US"/>
        </w:rPr>
        <w:t xml:space="preserve"> Elaborat de audit în baza datelor prezentate de entitate.</w:t>
      </w:r>
    </w:p>
    <w:p w14:paraId="4BF2A3F9" w14:textId="77777777" w:rsidR="00A51C46" w:rsidRPr="00B954D3" w:rsidRDefault="00A51C46" w:rsidP="00A51C46">
      <w:pPr>
        <w:spacing w:after="0"/>
        <w:rPr>
          <w:sz w:val="16"/>
          <w:szCs w:val="16"/>
          <w:lang w:val="fr-FR"/>
        </w:rPr>
      </w:pPr>
    </w:p>
    <w:p w14:paraId="688DF7DE" w14:textId="6A61FB4D" w:rsidR="00782BD2" w:rsidRPr="00B13B9A" w:rsidRDefault="00782BD2" w:rsidP="00A51C46">
      <w:pPr>
        <w:pStyle w:val="3"/>
        <w:spacing w:before="0" w:line="240" w:lineRule="auto"/>
        <w:jc w:val="right"/>
        <w:rPr>
          <w:rFonts w:cstheme="majorHAnsi"/>
          <w:b/>
          <w:iCs/>
          <w:color w:val="auto"/>
        </w:rPr>
      </w:pPr>
      <w:bookmarkStart w:id="57" w:name="_Toc158317259"/>
      <w:r w:rsidRPr="00B13B9A">
        <w:rPr>
          <w:rFonts w:cstheme="majorHAnsi"/>
          <w:b/>
          <w:iCs/>
          <w:color w:val="auto"/>
        </w:rPr>
        <w:t>Anexa nr. 5</w:t>
      </w:r>
      <w:bookmarkEnd w:id="57"/>
    </w:p>
    <w:p w14:paraId="296AF91C" w14:textId="649B6FB5" w:rsidR="00012402" w:rsidRPr="00B13B9A" w:rsidRDefault="00012402" w:rsidP="00A51C46">
      <w:pPr>
        <w:pStyle w:val="a7"/>
        <w:spacing w:after="0" w:line="240" w:lineRule="auto"/>
        <w:ind w:left="0"/>
        <w:jc w:val="center"/>
        <w:rPr>
          <w:rFonts w:asciiTheme="majorHAnsi" w:hAnsiTheme="majorHAnsi" w:cstheme="majorHAnsi"/>
          <w:b/>
          <w:sz w:val="24"/>
          <w:szCs w:val="24"/>
          <w:lang w:val="ro-MD"/>
        </w:rPr>
      </w:pPr>
      <w:r w:rsidRPr="00B13B9A">
        <w:rPr>
          <w:rFonts w:asciiTheme="majorHAnsi" w:hAnsiTheme="majorHAnsi" w:cstheme="majorHAnsi"/>
          <w:b/>
          <w:sz w:val="24"/>
          <w:szCs w:val="24"/>
          <w:lang w:val="ro-MD"/>
        </w:rPr>
        <w:t>Situa</w:t>
      </w:r>
      <w:r w:rsidR="00B13B9A" w:rsidRPr="00B13B9A">
        <w:rPr>
          <w:rFonts w:asciiTheme="majorHAnsi" w:hAnsiTheme="majorHAnsi" w:cstheme="majorHAnsi"/>
          <w:b/>
          <w:sz w:val="24"/>
          <w:szCs w:val="24"/>
          <w:lang w:val="ro-MD"/>
        </w:rPr>
        <w:t>ț</w:t>
      </w:r>
      <w:r w:rsidRPr="00B13B9A">
        <w:rPr>
          <w:rFonts w:asciiTheme="majorHAnsi" w:hAnsiTheme="majorHAnsi" w:cstheme="majorHAnsi"/>
          <w:b/>
          <w:sz w:val="24"/>
          <w:szCs w:val="24"/>
          <w:lang w:val="ro-MD"/>
        </w:rPr>
        <w:t xml:space="preserve">ia patrimonial-financiară a </w:t>
      </w:r>
      <w:r w:rsidR="005D56E4" w:rsidRPr="00B13B9A">
        <w:rPr>
          <w:rFonts w:asciiTheme="majorHAnsi" w:hAnsiTheme="majorHAnsi" w:cstheme="majorHAnsi"/>
          <w:b/>
          <w:color w:val="000000" w:themeColor="text1"/>
          <w:sz w:val="24"/>
          <w:szCs w:val="24"/>
          <w:lang w:val="ro-MD"/>
        </w:rPr>
        <w:t xml:space="preserve">IMSP IFP </w:t>
      </w:r>
      <w:r w:rsidR="005D56E4" w:rsidRPr="00B13B9A">
        <w:rPr>
          <w:rFonts w:asciiTheme="majorHAnsi" w:hAnsiTheme="majorHAnsi" w:cstheme="majorHAnsi"/>
          <w:b/>
          <w:sz w:val="24"/>
          <w:szCs w:val="24"/>
          <w:lang w:val="ro-MD"/>
        </w:rPr>
        <w:t>„Chiril Draganiuc”</w:t>
      </w:r>
      <w:r w:rsidRPr="00B13B9A">
        <w:rPr>
          <w:rFonts w:asciiTheme="majorHAnsi" w:hAnsiTheme="majorHAnsi" w:cstheme="majorHAnsi"/>
          <w:b/>
          <w:sz w:val="24"/>
          <w:szCs w:val="24"/>
          <w:lang w:val="ro-MD"/>
        </w:rPr>
        <w:t xml:space="preserve"> pe anii 2021-2022</w:t>
      </w:r>
    </w:p>
    <w:p w14:paraId="07E36B83" w14:textId="77777777" w:rsidR="00012402" w:rsidRPr="00B13B9A" w:rsidRDefault="00012402" w:rsidP="00A51C46">
      <w:pPr>
        <w:pStyle w:val="a7"/>
        <w:spacing w:after="0" w:line="240" w:lineRule="auto"/>
        <w:ind w:left="0"/>
        <w:jc w:val="right"/>
        <w:rPr>
          <w:rFonts w:asciiTheme="majorHAnsi" w:hAnsiTheme="majorHAnsi" w:cstheme="majorHAnsi"/>
          <w:sz w:val="24"/>
          <w:szCs w:val="24"/>
          <w:lang w:val="ro-MD"/>
        </w:rPr>
      </w:pPr>
      <w:r w:rsidRPr="00B13B9A">
        <w:rPr>
          <w:rFonts w:asciiTheme="majorHAnsi" w:hAnsiTheme="majorHAnsi" w:cstheme="majorHAnsi"/>
          <w:sz w:val="24"/>
          <w:szCs w:val="24"/>
          <w:lang w:val="ro-MD"/>
        </w:rPr>
        <w:t>(mii lei)</w:t>
      </w:r>
    </w:p>
    <w:tbl>
      <w:tblPr>
        <w:tblStyle w:val="5"/>
        <w:tblW w:w="99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79"/>
        <w:gridCol w:w="1395"/>
        <w:gridCol w:w="1395"/>
        <w:gridCol w:w="1106"/>
        <w:gridCol w:w="1134"/>
      </w:tblGrid>
      <w:tr w:rsidR="004676E1" w:rsidRPr="00B13B9A" w14:paraId="3828B0B6" w14:textId="77777777" w:rsidTr="00A51C46">
        <w:trPr>
          <w:cnfStyle w:val="100000000000" w:firstRow="1" w:lastRow="0" w:firstColumn="0" w:lastColumn="0" w:oddVBand="0" w:evenVBand="0" w:oddHBand="0" w:evenHBand="0" w:firstRowFirstColumn="0" w:firstRowLastColumn="0" w:lastRowFirstColumn="0" w:lastRowLastColumn="0"/>
          <w:trHeight w:val="19"/>
        </w:trPr>
        <w:tc>
          <w:tcPr>
            <w:cnfStyle w:val="001000000100" w:firstRow="0" w:lastRow="0" w:firstColumn="1" w:lastColumn="0" w:oddVBand="0" w:evenVBand="0" w:oddHBand="0" w:evenHBand="0" w:firstRowFirstColumn="1" w:firstRowLastColumn="0" w:lastRowFirstColumn="0" w:lastRowLastColumn="0"/>
            <w:tcW w:w="3397" w:type="dxa"/>
            <w:vMerge w:val="restart"/>
            <w:vAlign w:val="center"/>
            <w:hideMark/>
          </w:tcPr>
          <w:p w14:paraId="3AA026E1" w14:textId="77777777" w:rsidR="004676E1" w:rsidRPr="00B13B9A" w:rsidRDefault="004676E1" w:rsidP="00A51C46">
            <w:pPr>
              <w:jc w:val="center"/>
              <w:rPr>
                <w:rFonts w:eastAsia="Times New Roman" w:cstheme="majorHAnsi"/>
                <w:b/>
                <w:bCs/>
                <w:color w:val="000000"/>
                <w:sz w:val="20"/>
                <w:szCs w:val="20"/>
                <w:lang w:val="ro-MD"/>
              </w:rPr>
            </w:pPr>
            <w:r w:rsidRPr="00B13B9A">
              <w:rPr>
                <w:rFonts w:eastAsia="Times New Roman" w:cstheme="majorHAnsi"/>
                <w:b/>
                <w:bCs/>
                <w:color w:val="000000"/>
                <w:sz w:val="20"/>
                <w:szCs w:val="20"/>
                <w:lang w:val="ro-MD"/>
              </w:rPr>
              <w:t>Denumirea indicatorului</w:t>
            </w:r>
          </w:p>
        </w:tc>
        <w:tc>
          <w:tcPr>
            <w:tcW w:w="1479" w:type="dxa"/>
            <w:vMerge w:val="restart"/>
            <w:vAlign w:val="center"/>
            <w:hideMark/>
          </w:tcPr>
          <w:p w14:paraId="2D00589C" w14:textId="77777777" w:rsidR="004676E1" w:rsidRPr="00B13B9A" w:rsidRDefault="004676E1" w:rsidP="00A51C46">
            <w:pPr>
              <w:jc w:val="center"/>
              <w:cnfStyle w:val="100000000000" w:firstRow="1" w:lastRow="0" w:firstColumn="0" w:lastColumn="0" w:oddVBand="0" w:evenVBand="0" w:oddHBand="0" w:evenHBand="0" w:firstRowFirstColumn="0" w:firstRowLastColumn="0" w:lastRowFirstColumn="0" w:lastRowLastColumn="0"/>
              <w:rPr>
                <w:rFonts w:eastAsia="Times New Roman" w:cstheme="majorHAnsi"/>
                <w:b/>
                <w:bCs/>
                <w:color w:val="000000"/>
                <w:sz w:val="20"/>
                <w:szCs w:val="20"/>
                <w:lang w:val="ro-MD"/>
              </w:rPr>
            </w:pPr>
            <w:r w:rsidRPr="00B13B9A">
              <w:rPr>
                <w:rFonts w:eastAsia="Times New Roman" w:cstheme="majorHAnsi"/>
                <w:b/>
                <w:bCs/>
                <w:color w:val="000000"/>
                <w:sz w:val="20"/>
                <w:szCs w:val="20"/>
                <w:lang w:val="ro-MD"/>
              </w:rPr>
              <w:t>La 01.01.2021</w:t>
            </w:r>
          </w:p>
        </w:tc>
        <w:tc>
          <w:tcPr>
            <w:tcW w:w="1395" w:type="dxa"/>
            <w:vMerge w:val="restart"/>
            <w:vAlign w:val="center"/>
            <w:hideMark/>
          </w:tcPr>
          <w:p w14:paraId="01542E78" w14:textId="77777777" w:rsidR="004676E1" w:rsidRPr="00B13B9A" w:rsidRDefault="004676E1" w:rsidP="00A51C46">
            <w:pPr>
              <w:jc w:val="center"/>
              <w:cnfStyle w:val="100000000000" w:firstRow="1" w:lastRow="0" w:firstColumn="0" w:lastColumn="0" w:oddVBand="0" w:evenVBand="0" w:oddHBand="0" w:evenHBand="0" w:firstRowFirstColumn="0" w:firstRowLastColumn="0" w:lastRowFirstColumn="0" w:lastRowLastColumn="0"/>
              <w:rPr>
                <w:rFonts w:eastAsia="Times New Roman" w:cstheme="majorHAnsi"/>
                <w:b/>
                <w:bCs/>
                <w:color w:val="000000"/>
                <w:sz w:val="20"/>
                <w:szCs w:val="20"/>
                <w:lang w:val="ro-MD"/>
              </w:rPr>
            </w:pPr>
            <w:r w:rsidRPr="00B13B9A">
              <w:rPr>
                <w:rFonts w:eastAsia="Times New Roman" w:cstheme="majorHAnsi"/>
                <w:b/>
                <w:bCs/>
                <w:color w:val="000000"/>
                <w:sz w:val="20"/>
                <w:szCs w:val="20"/>
                <w:lang w:val="ro-MD"/>
              </w:rPr>
              <w:t>la 31.12.2021</w:t>
            </w:r>
          </w:p>
        </w:tc>
        <w:tc>
          <w:tcPr>
            <w:tcW w:w="1395" w:type="dxa"/>
            <w:vMerge w:val="restart"/>
            <w:vAlign w:val="center"/>
            <w:hideMark/>
          </w:tcPr>
          <w:p w14:paraId="15876440" w14:textId="77777777" w:rsidR="004676E1" w:rsidRPr="00B13B9A" w:rsidRDefault="004676E1" w:rsidP="00A51C46">
            <w:pPr>
              <w:jc w:val="center"/>
              <w:cnfStyle w:val="100000000000" w:firstRow="1" w:lastRow="0" w:firstColumn="0" w:lastColumn="0" w:oddVBand="0" w:evenVBand="0" w:oddHBand="0" w:evenHBand="0" w:firstRowFirstColumn="0" w:firstRowLastColumn="0" w:lastRowFirstColumn="0" w:lastRowLastColumn="0"/>
              <w:rPr>
                <w:rFonts w:eastAsia="Times New Roman" w:cstheme="majorHAnsi"/>
                <w:b/>
                <w:bCs/>
                <w:color w:val="000000"/>
                <w:sz w:val="20"/>
                <w:szCs w:val="20"/>
                <w:lang w:val="ro-MD"/>
              </w:rPr>
            </w:pPr>
            <w:r w:rsidRPr="00B13B9A">
              <w:rPr>
                <w:rFonts w:eastAsia="Times New Roman" w:cstheme="majorHAnsi"/>
                <w:b/>
                <w:bCs/>
                <w:color w:val="000000"/>
                <w:sz w:val="20"/>
                <w:szCs w:val="20"/>
                <w:lang w:val="ro-MD"/>
              </w:rPr>
              <w:t>la 31.12.2022</w:t>
            </w:r>
          </w:p>
        </w:tc>
        <w:tc>
          <w:tcPr>
            <w:tcW w:w="2240" w:type="dxa"/>
            <w:gridSpan w:val="2"/>
            <w:vAlign w:val="center"/>
            <w:hideMark/>
          </w:tcPr>
          <w:p w14:paraId="061D96A3" w14:textId="551D8887" w:rsidR="004676E1" w:rsidRPr="00B13B9A" w:rsidRDefault="004676E1" w:rsidP="00A51C46">
            <w:pPr>
              <w:jc w:val="center"/>
              <w:cnfStyle w:val="100000000000" w:firstRow="1" w:lastRow="0" w:firstColumn="0" w:lastColumn="0" w:oddVBand="0" w:evenVBand="0" w:oddHBand="0" w:evenHBand="0" w:firstRowFirstColumn="0" w:firstRowLastColumn="0" w:lastRowFirstColumn="0" w:lastRowLastColumn="0"/>
              <w:rPr>
                <w:rFonts w:eastAsia="Times New Roman" w:cstheme="majorHAnsi"/>
                <w:b/>
                <w:bCs/>
                <w:sz w:val="20"/>
                <w:szCs w:val="20"/>
                <w:lang w:val="ro-MD"/>
              </w:rPr>
            </w:pPr>
            <w:r w:rsidRPr="00B13B9A">
              <w:rPr>
                <w:rFonts w:eastAsia="Times New Roman" w:cstheme="majorHAnsi"/>
                <w:b/>
                <w:bCs/>
                <w:sz w:val="20"/>
                <w:szCs w:val="20"/>
                <w:lang w:val="ro-MD"/>
              </w:rPr>
              <w:t>Devieri</w:t>
            </w:r>
            <w:r w:rsidR="00A51C46">
              <w:rPr>
                <w:rFonts w:eastAsia="Times New Roman" w:cstheme="majorHAnsi"/>
                <w:b/>
                <w:bCs/>
                <w:sz w:val="20"/>
                <w:szCs w:val="20"/>
                <w:lang w:val="ro-MD"/>
              </w:rPr>
              <w:t xml:space="preserve"> </w:t>
            </w:r>
            <w:r w:rsidR="00A51C46" w:rsidRPr="00B13B9A">
              <w:rPr>
                <w:rFonts w:eastAsia="Times New Roman" w:cstheme="majorHAnsi"/>
                <w:b/>
                <w:bCs/>
                <w:sz w:val="20"/>
                <w:szCs w:val="20"/>
                <w:lang w:val="ro-MD"/>
              </w:rPr>
              <w:t>2022/2021</w:t>
            </w:r>
          </w:p>
        </w:tc>
      </w:tr>
      <w:tr w:rsidR="004676E1" w:rsidRPr="00B13B9A" w14:paraId="182AE663" w14:textId="77777777" w:rsidTr="00A51C4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3397" w:type="dxa"/>
            <w:vMerge/>
            <w:vAlign w:val="center"/>
            <w:hideMark/>
          </w:tcPr>
          <w:p w14:paraId="0C100EE0" w14:textId="77777777" w:rsidR="004676E1" w:rsidRPr="00B13B9A" w:rsidRDefault="004676E1" w:rsidP="00A51C46">
            <w:pPr>
              <w:jc w:val="center"/>
              <w:rPr>
                <w:rFonts w:eastAsia="Times New Roman" w:cstheme="majorHAnsi"/>
                <w:b/>
                <w:bCs/>
                <w:color w:val="000000"/>
                <w:sz w:val="20"/>
                <w:szCs w:val="20"/>
                <w:lang w:val="ro-MD"/>
              </w:rPr>
            </w:pPr>
          </w:p>
        </w:tc>
        <w:tc>
          <w:tcPr>
            <w:tcW w:w="1479" w:type="dxa"/>
            <w:vMerge/>
            <w:vAlign w:val="center"/>
            <w:hideMark/>
          </w:tcPr>
          <w:p w14:paraId="5F174D96" w14:textId="77777777" w:rsidR="004676E1" w:rsidRPr="00B13B9A" w:rsidRDefault="004676E1" w:rsidP="00A51C4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p>
        </w:tc>
        <w:tc>
          <w:tcPr>
            <w:tcW w:w="1395" w:type="dxa"/>
            <w:vMerge/>
            <w:vAlign w:val="center"/>
            <w:hideMark/>
          </w:tcPr>
          <w:p w14:paraId="1C0865C3" w14:textId="77777777" w:rsidR="004676E1" w:rsidRPr="00B13B9A" w:rsidRDefault="004676E1" w:rsidP="00A51C4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p>
        </w:tc>
        <w:tc>
          <w:tcPr>
            <w:tcW w:w="1395" w:type="dxa"/>
            <w:vMerge/>
            <w:vAlign w:val="center"/>
            <w:hideMark/>
          </w:tcPr>
          <w:p w14:paraId="09349D65" w14:textId="77777777" w:rsidR="004676E1" w:rsidRPr="00B13B9A" w:rsidRDefault="004676E1" w:rsidP="00A51C4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p>
        </w:tc>
        <w:tc>
          <w:tcPr>
            <w:tcW w:w="1106" w:type="dxa"/>
            <w:vAlign w:val="center"/>
            <w:hideMark/>
          </w:tcPr>
          <w:p w14:paraId="4286DDF8" w14:textId="2ECA89E2" w:rsidR="004676E1" w:rsidRPr="00B13B9A" w:rsidRDefault="00A51C46" w:rsidP="00A51C4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Mii lei</w:t>
            </w:r>
          </w:p>
        </w:tc>
        <w:tc>
          <w:tcPr>
            <w:tcW w:w="1134" w:type="dxa"/>
            <w:vAlign w:val="center"/>
            <w:hideMark/>
          </w:tcPr>
          <w:p w14:paraId="4AFE485D" w14:textId="71AB5013" w:rsidR="004676E1" w:rsidRPr="00B13B9A" w:rsidRDefault="004676E1" w:rsidP="00A51C4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w:t>
            </w:r>
          </w:p>
        </w:tc>
      </w:tr>
      <w:tr w:rsidR="004676E1" w:rsidRPr="00B13B9A" w14:paraId="0AD70D12" w14:textId="77777777" w:rsidTr="00A51C46">
        <w:trPr>
          <w:trHeight w:val="19"/>
        </w:trPr>
        <w:tc>
          <w:tcPr>
            <w:cnfStyle w:val="001000000000" w:firstRow="0" w:lastRow="0" w:firstColumn="1" w:lastColumn="0" w:oddVBand="0" w:evenVBand="0" w:oddHBand="0" w:evenHBand="0" w:firstRowFirstColumn="0" w:firstRowLastColumn="0" w:lastRowFirstColumn="0" w:lastRowLastColumn="0"/>
            <w:tcW w:w="3397" w:type="dxa"/>
            <w:hideMark/>
          </w:tcPr>
          <w:p w14:paraId="40D52C32" w14:textId="77777777" w:rsidR="004676E1" w:rsidRPr="00B13B9A" w:rsidRDefault="004676E1" w:rsidP="00A51C46">
            <w:pPr>
              <w:jc w:val="left"/>
              <w:rPr>
                <w:rFonts w:eastAsia="Times New Roman" w:cstheme="majorHAnsi"/>
                <w:b/>
                <w:bCs/>
                <w:color w:val="000000"/>
                <w:sz w:val="20"/>
                <w:szCs w:val="20"/>
                <w:lang w:val="ro-MD"/>
              </w:rPr>
            </w:pPr>
            <w:r w:rsidRPr="00B13B9A">
              <w:rPr>
                <w:rFonts w:eastAsia="Times New Roman" w:cstheme="majorHAnsi"/>
                <w:b/>
                <w:bCs/>
                <w:color w:val="000000"/>
                <w:sz w:val="20"/>
                <w:szCs w:val="20"/>
                <w:lang w:val="ro-MD"/>
              </w:rPr>
              <w:t>Active imobilizate, TOTAL:</w:t>
            </w:r>
          </w:p>
        </w:tc>
        <w:tc>
          <w:tcPr>
            <w:tcW w:w="1479" w:type="dxa"/>
            <w:hideMark/>
          </w:tcPr>
          <w:p w14:paraId="4D0D57E6"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222005,322</w:t>
            </w:r>
          </w:p>
        </w:tc>
        <w:tc>
          <w:tcPr>
            <w:tcW w:w="1395" w:type="dxa"/>
            <w:hideMark/>
          </w:tcPr>
          <w:p w14:paraId="13F1F550"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217.330,6</w:t>
            </w:r>
          </w:p>
        </w:tc>
        <w:tc>
          <w:tcPr>
            <w:tcW w:w="1395" w:type="dxa"/>
            <w:hideMark/>
          </w:tcPr>
          <w:p w14:paraId="445CC0F9"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216.130,4</w:t>
            </w:r>
          </w:p>
        </w:tc>
        <w:tc>
          <w:tcPr>
            <w:tcW w:w="1106" w:type="dxa"/>
            <w:noWrap/>
            <w:hideMark/>
          </w:tcPr>
          <w:p w14:paraId="3563F22A" w14:textId="11B3BEF5"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-1.200,1</w:t>
            </w:r>
          </w:p>
        </w:tc>
        <w:tc>
          <w:tcPr>
            <w:tcW w:w="1134" w:type="dxa"/>
            <w:noWrap/>
            <w:hideMark/>
          </w:tcPr>
          <w:p w14:paraId="564E09B3"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99,4%</w:t>
            </w:r>
          </w:p>
        </w:tc>
      </w:tr>
      <w:tr w:rsidR="004676E1" w:rsidRPr="00B13B9A" w14:paraId="7E6FB9B3" w14:textId="77777777" w:rsidTr="00A51C4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3397" w:type="dxa"/>
            <w:hideMark/>
          </w:tcPr>
          <w:p w14:paraId="771D145F" w14:textId="77777777" w:rsidR="004676E1" w:rsidRPr="00B13B9A" w:rsidRDefault="004676E1" w:rsidP="00A51C46">
            <w:pPr>
              <w:jc w:val="left"/>
              <w:rPr>
                <w:rFonts w:eastAsia="Times New Roman" w:cstheme="majorHAnsi"/>
                <w:b/>
                <w:bCs/>
                <w:color w:val="000000"/>
                <w:sz w:val="20"/>
                <w:szCs w:val="20"/>
                <w:lang w:val="ro-MD"/>
              </w:rPr>
            </w:pPr>
            <w:r w:rsidRPr="00B13B9A">
              <w:rPr>
                <w:rFonts w:eastAsia="Times New Roman" w:cstheme="majorHAnsi"/>
                <w:b/>
                <w:bCs/>
                <w:color w:val="000000"/>
                <w:sz w:val="20"/>
                <w:szCs w:val="20"/>
                <w:lang w:val="ro-MD"/>
              </w:rPr>
              <w:t>Imobilizări necorporale</w:t>
            </w:r>
          </w:p>
        </w:tc>
        <w:tc>
          <w:tcPr>
            <w:tcW w:w="1479" w:type="dxa"/>
            <w:hideMark/>
          </w:tcPr>
          <w:p w14:paraId="31A3807E"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439,024</w:t>
            </w:r>
          </w:p>
        </w:tc>
        <w:tc>
          <w:tcPr>
            <w:tcW w:w="1395" w:type="dxa"/>
            <w:hideMark/>
          </w:tcPr>
          <w:p w14:paraId="68851E8A"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456,2</w:t>
            </w:r>
          </w:p>
        </w:tc>
        <w:tc>
          <w:tcPr>
            <w:tcW w:w="1395" w:type="dxa"/>
            <w:hideMark/>
          </w:tcPr>
          <w:p w14:paraId="55F179E2"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578,4</w:t>
            </w:r>
          </w:p>
        </w:tc>
        <w:tc>
          <w:tcPr>
            <w:tcW w:w="1106" w:type="dxa"/>
            <w:noWrap/>
            <w:hideMark/>
          </w:tcPr>
          <w:p w14:paraId="2BDDC691" w14:textId="2F79963C"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122,3</w:t>
            </w:r>
          </w:p>
        </w:tc>
        <w:tc>
          <w:tcPr>
            <w:tcW w:w="1134" w:type="dxa"/>
            <w:noWrap/>
            <w:hideMark/>
          </w:tcPr>
          <w:p w14:paraId="76177EFD"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126,8%</w:t>
            </w:r>
          </w:p>
        </w:tc>
      </w:tr>
      <w:tr w:rsidR="004676E1" w:rsidRPr="00B13B9A" w14:paraId="2F440C01" w14:textId="77777777" w:rsidTr="00A51C46">
        <w:trPr>
          <w:trHeight w:val="19"/>
        </w:trPr>
        <w:tc>
          <w:tcPr>
            <w:cnfStyle w:val="001000000000" w:firstRow="0" w:lastRow="0" w:firstColumn="1" w:lastColumn="0" w:oddVBand="0" w:evenVBand="0" w:oddHBand="0" w:evenHBand="0" w:firstRowFirstColumn="0" w:firstRowLastColumn="0" w:lastRowFirstColumn="0" w:lastRowLastColumn="0"/>
            <w:tcW w:w="3397" w:type="dxa"/>
            <w:hideMark/>
          </w:tcPr>
          <w:p w14:paraId="1F3409BB" w14:textId="77777777" w:rsidR="004676E1" w:rsidRPr="00B13B9A" w:rsidRDefault="004676E1" w:rsidP="00A51C46">
            <w:pPr>
              <w:jc w:val="left"/>
              <w:rPr>
                <w:rFonts w:eastAsia="Times New Roman" w:cstheme="majorHAnsi"/>
                <w:b/>
                <w:bCs/>
                <w:color w:val="000000"/>
                <w:sz w:val="20"/>
                <w:szCs w:val="20"/>
                <w:lang w:val="ro-MD"/>
              </w:rPr>
            </w:pPr>
            <w:r w:rsidRPr="00B13B9A">
              <w:rPr>
                <w:rFonts w:eastAsia="Times New Roman" w:cstheme="majorHAnsi"/>
                <w:b/>
                <w:bCs/>
                <w:color w:val="000000"/>
                <w:sz w:val="20"/>
                <w:szCs w:val="20"/>
                <w:lang w:val="ro-MD"/>
              </w:rPr>
              <w:t>Imobilizări corporale</w:t>
            </w:r>
          </w:p>
        </w:tc>
        <w:tc>
          <w:tcPr>
            <w:tcW w:w="1479" w:type="dxa"/>
            <w:hideMark/>
          </w:tcPr>
          <w:p w14:paraId="2A660E98"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221566,298</w:t>
            </w:r>
          </w:p>
        </w:tc>
        <w:tc>
          <w:tcPr>
            <w:tcW w:w="1395" w:type="dxa"/>
            <w:hideMark/>
          </w:tcPr>
          <w:p w14:paraId="284AB7E2"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216.874,4</w:t>
            </w:r>
          </w:p>
        </w:tc>
        <w:tc>
          <w:tcPr>
            <w:tcW w:w="1395" w:type="dxa"/>
            <w:hideMark/>
          </w:tcPr>
          <w:p w14:paraId="557D2AB3"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215.552,0</w:t>
            </w:r>
          </w:p>
        </w:tc>
        <w:tc>
          <w:tcPr>
            <w:tcW w:w="1106" w:type="dxa"/>
            <w:noWrap/>
            <w:hideMark/>
          </w:tcPr>
          <w:p w14:paraId="3DDBE773" w14:textId="201CCEF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-1.322,4</w:t>
            </w:r>
          </w:p>
        </w:tc>
        <w:tc>
          <w:tcPr>
            <w:tcW w:w="1134" w:type="dxa"/>
            <w:noWrap/>
            <w:hideMark/>
          </w:tcPr>
          <w:p w14:paraId="384AF920"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99,4%</w:t>
            </w:r>
          </w:p>
        </w:tc>
      </w:tr>
      <w:tr w:rsidR="004676E1" w:rsidRPr="00B13B9A" w14:paraId="725FB402" w14:textId="77777777" w:rsidTr="00A51C4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3397" w:type="dxa"/>
            <w:hideMark/>
          </w:tcPr>
          <w:p w14:paraId="608D51DC" w14:textId="77777777" w:rsidR="004676E1" w:rsidRPr="00B13B9A" w:rsidRDefault="004676E1" w:rsidP="00A51C46">
            <w:pPr>
              <w:jc w:val="left"/>
              <w:rPr>
                <w:rFonts w:eastAsia="Times New Roman" w:cstheme="majorHAnsi"/>
                <w:b/>
                <w:bCs/>
                <w:color w:val="000000"/>
                <w:sz w:val="20"/>
                <w:szCs w:val="20"/>
                <w:lang w:val="ro-MD"/>
              </w:rPr>
            </w:pPr>
            <w:r w:rsidRPr="00B13B9A">
              <w:rPr>
                <w:rFonts w:eastAsia="Times New Roman" w:cstheme="majorHAnsi"/>
                <w:b/>
                <w:bCs/>
                <w:color w:val="000000"/>
                <w:sz w:val="20"/>
                <w:szCs w:val="20"/>
                <w:lang w:val="ro-MD"/>
              </w:rPr>
              <w:t>Active circulante, TOTAL:</w:t>
            </w:r>
          </w:p>
        </w:tc>
        <w:tc>
          <w:tcPr>
            <w:tcW w:w="1479" w:type="dxa"/>
            <w:hideMark/>
          </w:tcPr>
          <w:p w14:paraId="288A5A69"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75510,298</w:t>
            </w:r>
          </w:p>
        </w:tc>
        <w:tc>
          <w:tcPr>
            <w:tcW w:w="1395" w:type="dxa"/>
            <w:hideMark/>
          </w:tcPr>
          <w:p w14:paraId="5EBB40CA"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67.358,8</w:t>
            </w:r>
          </w:p>
        </w:tc>
        <w:tc>
          <w:tcPr>
            <w:tcW w:w="1395" w:type="dxa"/>
            <w:hideMark/>
          </w:tcPr>
          <w:p w14:paraId="50B16CA2"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57.001,5</w:t>
            </w:r>
          </w:p>
        </w:tc>
        <w:tc>
          <w:tcPr>
            <w:tcW w:w="1106" w:type="dxa"/>
            <w:noWrap/>
            <w:hideMark/>
          </w:tcPr>
          <w:p w14:paraId="41A1683B" w14:textId="0A8635FB"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-10.357,3</w:t>
            </w:r>
          </w:p>
        </w:tc>
        <w:tc>
          <w:tcPr>
            <w:tcW w:w="1134" w:type="dxa"/>
            <w:noWrap/>
            <w:hideMark/>
          </w:tcPr>
          <w:p w14:paraId="6828700E"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84,6%</w:t>
            </w:r>
          </w:p>
        </w:tc>
      </w:tr>
      <w:tr w:rsidR="004676E1" w:rsidRPr="00B13B9A" w14:paraId="15523621" w14:textId="77777777" w:rsidTr="00A51C46">
        <w:trPr>
          <w:trHeight w:val="19"/>
        </w:trPr>
        <w:tc>
          <w:tcPr>
            <w:cnfStyle w:val="001000000000" w:firstRow="0" w:lastRow="0" w:firstColumn="1" w:lastColumn="0" w:oddVBand="0" w:evenVBand="0" w:oddHBand="0" w:evenHBand="0" w:firstRowFirstColumn="0" w:firstRowLastColumn="0" w:lastRowFirstColumn="0" w:lastRowLastColumn="0"/>
            <w:tcW w:w="3397" w:type="dxa"/>
            <w:hideMark/>
          </w:tcPr>
          <w:p w14:paraId="5C899248" w14:textId="77777777" w:rsidR="004676E1" w:rsidRPr="00B13B9A" w:rsidRDefault="004676E1" w:rsidP="00A51C46">
            <w:pPr>
              <w:jc w:val="left"/>
              <w:rPr>
                <w:rFonts w:eastAsia="Times New Roman" w:cstheme="majorHAnsi"/>
                <w:b/>
                <w:bCs/>
                <w:color w:val="000000"/>
                <w:sz w:val="20"/>
                <w:szCs w:val="20"/>
                <w:lang w:val="ro-MD"/>
              </w:rPr>
            </w:pPr>
            <w:r w:rsidRPr="00B13B9A">
              <w:rPr>
                <w:rFonts w:eastAsia="Times New Roman" w:cstheme="majorHAnsi"/>
                <w:b/>
                <w:bCs/>
                <w:color w:val="000000"/>
                <w:sz w:val="20"/>
                <w:szCs w:val="20"/>
                <w:lang w:val="ro-MD"/>
              </w:rPr>
              <w:t>Stocuri</w:t>
            </w:r>
          </w:p>
        </w:tc>
        <w:tc>
          <w:tcPr>
            <w:tcW w:w="1479" w:type="dxa"/>
            <w:hideMark/>
          </w:tcPr>
          <w:p w14:paraId="24BDC12E"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65958,437</w:t>
            </w:r>
          </w:p>
        </w:tc>
        <w:tc>
          <w:tcPr>
            <w:tcW w:w="1395" w:type="dxa"/>
            <w:hideMark/>
          </w:tcPr>
          <w:p w14:paraId="1EA8C034"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58.366,5</w:t>
            </w:r>
          </w:p>
        </w:tc>
        <w:tc>
          <w:tcPr>
            <w:tcW w:w="1395" w:type="dxa"/>
            <w:hideMark/>
          </w:tcPr>
          <w:p w14:paraId="4AE25119"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45.704,3</w:t>
            </w:r>
          </w:p>
        </w:tc>
        <w:tc>
          <w:tcPr>
            <w:tcW w:w="1106" w:type="dxa"/>
            <w:noWrap/>
            <w:hideMark/>
          </w:tcPr>
          <w:p w14:paraId="674E0D7D" w14:textId="5812CEF6"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-12.662,2</w:t>
            </w:r>
          </w:p>
        </w:tc>
        <w:tc>
          <w:tcPr>
            <w:tcW w:w="1134" w:type="dxa"/>
            <w:noWrap/>
            <w:hideMark/>
          </w:tcPr>
          <w:p w14:paraId="38685358"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78,3%</w:t>
            </w:r>
          </w:p>
        </w:tc>
      </w:tr>
      <w:tr w:rsidR="004676E1" w:rsidRPr="00B13B9A" w14:paraId="569704ED" w14:textId="77777777" w:rsidTr="00A51C4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3397" w:type="dxa"/>
            <w:hideMark/>
          </w:tcPr>
          <w:p w14:paraId="0DF35DB1" w14:textId="7D33B47C" w:rsidR="004676E1" w:rsidRPr="00B13B9A" w:rsidRDefault="004676E1" w:rsidP="00A51C46">
            <w:pPr>
              <w:jc w:val="left"/>
              <w:rPr>
                <w:rFonts w:eastAsia="Times New Roman" w:cstheme="majorHAnsi"/>
                <w:b/>
                <w:bCs/>
                <w:color w:val="000000"/>
                <w:sz w:val="20"/>
                <w:szCs w:val="20"/>
                <w:lang w:val="ro-MD"/>
              </w:rPr>
            </w:pPr>
            <w:r w:rsidRPr="00B13B9A">
              <w:rPr>
                <w:rFonts w:eastAsia="Times New Roman" w:cstheme="majorHAnsi"/>
                <w:b/>
                <w:bCs/>
                <w:color w:val="000000"/>
                <w:sz w:val="20"/>
                <w:szCs w:val="20"/>
                <w:lang w:val="ro-MD"/>
              </w:rPr>
              <w:t>Crean</w:t>
            </w:r>
            <w:r w:rsidR="00B13B9A" w:rsidRPr="00B13B9A">
              <w:rPr>
                <w:rFonts w:eastAsia="Times New Roman" w:cstheme="majorHAnsi"/>
                <w:b/>
                <w:bCs/>
                <w:color w:val="000000"/>
                <w:sz w:val="20"/>
                <w:szCs w:val="20"/>
                <w:lang w:val="ro-MD"/>
              </w:rPr>
              <w:t>ț</w:t>
            </w:r>
            <w:r w:rsidRPr="00B13B9A">
              <w:rPr>
                <w:rFonts w:eastAsia="Times New Roman" w:cstheme="majorHAnsi"/>
                <w:b/>
                <w:bCs/>
                <w:color w:val="000000"/>
                <w:sz w:val="20"/>
                <w:szCs w:val="20"/>
                <w:lang w:val="ro-MD"/>
              </w:rPr>
              <w:t>e curente si alte active circulante</w:t>
            </w:r>
          </w:p>
        </w:tc>
        <w:tc>
          <w:tcPr>
            <w:tcW w:w="1479" w:type="dxa"/>
            <w:hideMark/>
          </w:tcPr>
          <w:p w14:paraId="4C5E10A3"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2821,357</w:t>
            </w:r>
          </w:p>
        </w:tc>
        <w:tc>
          <w:tcPr>
            <w:tcW w:w="1395" w:type="dxa"/>
            <w:hideMark/>
          </w:tcPr>
          <w:p w14:paraId="4FB1260A"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3.397,4</w:t>
            </w:r>
          </w:p>
        </w:tc>
        <w:tc>
          <w:tcPr>
            <w:tcW w:w="1395" w:type="dxa"/>
            <w:hideMark/>
          </w:tcPr>
          <w:p w14:paraId="5A0D2BE4"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3.202,7</w:t>
            </w:r>
          </w:p>
        </w:tc>
        <w:tc>
          <w:tcPr>
            <w:tcW w:w="1106" w:type="dxa"/>
            <w:noWrap/>
            <w:hideMark/>
          </w:tcPr>
          <w:p w14:paraId="4659B700" w14:textId="1A83A0C5"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-194,7</w:t>
            </w:r>
          </w:p>
        </w:tc>
        <w:tc>
          <w:tcPr>
            <w:tcW w:w="1134" w:type="dxa"/>
            <w:noWrap/>
            <w:hideMark/>
          </w:tcPr>
          <w:p w14:paraId="7ACE476C"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94,3%</w:t>
            </w:r>
          </w:p>
        </w:tc>
      </w:tr>
      <w:tr w:rsidR="004676E1" w:rsidRPr="00B13B9A" w14:paraId="488448B8" w14:textId="77777777" w:rsidTr="00A51C46">
        <w:trPr>
          <w:trHeight w:val="19"/>
        </w:trPr>
        <w:tc>
          <w:tcPr>
            <w:cnfStyle w:val="001000000000" w:firstRow="0" w:lastRow="0" w:firstColumn="1" w:lastColumn="0" w:oddVBand="0" w:evenVBand="0" w:oddHBand="0" w:evenHBand="0" w:firstRowFirstColumn="0" w:firstRowLastColumn="0" w:lastRowFirstColumn="0" w:lastRowLastColumn="0"/>
            <w:tcW w:w="3397" w:type="dxa"/>
            <w:hideMark/>
          </w:tcPr>
          <w:p w14:paraId="7AA4DA53" w14:textId="043C032B" w:rsidR="004676E1" w:rsidRPr="00B13B9A" w:rsidRDefault="004676E1" w:rsidP="00A51C46">
            <w:pPr>
              <w:jc w:val="left"/>
              <w:rPr>
                <w:rFonts w:eastAsia="Times New Roman" w:cstheme="majorHAnsi"/>
                <w:b/>
                <w:bCs/>
                <w:color w:val="000000"/>
                <w:sz w:val="20"/>
                <w:szCs w:val="20"/>
                <w:lang w:val="ro-MD"/>
              </w:rPr>
            </w:pPr>
            <w:r w:rsidRPr="00B13B9A">
              <w:rPr>
                <w:rFonts w:eastAsia="Times New Roman" w:cstheme="majorHAnsi"/>
                <w:b/>
                <w:bCs/>
                <w:color w:val="000000"/>
                <w:sz w:val="20"/>
                <w:szCs w:val="20"/>
                <w:lang w:val="ro-MD"/>
              </w:rPr>
              <w:t xml:space="preserve">Numerar </w:t>
            </w:r>
            <w:r w:rsidR="00B13B9A" w:rsidRPr="00B13B9A">
              <w:rPr>
                <w:rFonts w:eastAsia="Times New Roman" w:cstheme="majorHAnsi"/>
                <w:b/>
                <w:bCs/>
                <w:color w:val="000000"/>
                <w:sz w:val="20"/>
                <w:szCs w:val="20"/>
                <w:lang w:val="ro-MD"/>
              </w:rPr>
              <w:t>ș</w:t>
            </w:r>
            <w:r w:rsidRPr="00B13B9A">
              <w:rPr>
                <w:rFonts w:eastAsia="Times New Roman" w:cstheme="majorHAnsi"/>
                <w:b/>
                <w:bCs/>
                <w:color w:val="000000"/>
                <w:sz w:val="20"/>
                <w:szCs w:val="20"/>
                <w:lang w:val="ro-MD"/>
              </w:rPr>
              <w:t>i documente băne</w:t>
            </w:r>
            <w:r w:rsidR="00B13B9A" w:rsidRPr="00B13B9A">
              <w:rPr>
                <w:rFonts w:eastAsia="Times New Roman" w:cstheme="majorHAnsi"/>
                <w:b/>
                <w:bCs/>
                <w:color w:val="000000"/>
                <w:sz w:val="20"/>
                <w:szCs w:val="20"/>
                <w:lang w:val="ro-MD"/>
              </w:rPr>
              <w:t>ș</w:t>
            </w:r>
            <w:r w:rsidRPr="00B13B9A">
              <w:rPr>
                <w:rFonts w:eastAsia="Times New Roman" w:cstheme="majorHAnsi"/>
                <w:b/>
                <w:bCs/>
                <w:color w:val="000000"/>
                <w:sz w:val="20"/>
                <w:szCs w:val="20"/>
                <w:lang w:val="ro-MD"/>
              </w:rPr>
              <w:t>ti</w:t>
            </w:r>
          </w:p>
        </w:tc>
        <w:tc>
          <w:tcPr>
            <w:tcW w:w="1479" w:type="dxa"/>
            <w:hideMark/>
          </w:tcPr>
          <w:p w14:paraId="2158A761"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6730,504</w:t>
            </w:r>
          </w:p>
        </w:tc>
        <w:tc>
          <w:tcPr>
            <w:tcW w:w="1395" w:type="dxa"/>
            <w:hideMark/>
          </w:tcPr>
          <w:p w14:paraId="6119E637"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5.594,8</w:t>
            </w:r>
          </w:p>
        </w:tc>
        <w:tc>
          <w:tcPr>
            <w:tcW w:w="1395" w:type="dxa"/>
            <w:hideMark/>
          </w:tcPr>
          <w:p w14:paraId="39A1ABBD"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8.094,5</w:t>
            </w:r>
          </w:p>
        </w:tc>
        <w:tc>
          <w:tcPr>
            <w:tcW w:w="1106" w:type="dxa"/>
            <w:noWrap/>
            <w:hideMark/>
          </w:tcPr>
          <w:p w14:paraId="0A4650BF" w14:textId="1ECC3038"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2.499,7</w:t>
            </w:r>
          </w:p>
        </w:tc>
        <w:tc>
          <w:tcPr>
            <w:tcW w:w="1134" w:type="dxa"/>
            <w:noWrap/>
            <w:hideMark/>
          </w:tcPr>
          <w:p w14:paraId="4694761E"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144,7%</w:t>
            </w:r>
          </w:p>
        </w:tc>
      </w:tr>
      <w:tr w:rsidR="004676E1" w:rsidRPr="00B13B9A" w14:paraId="1BDF1B75" w14:textId="77777777" w:rsidTr="00A51C4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3397" w:type="dxa"/>
            <w:hideMark/>
          </w:tcPr>
          <w:p w14:paraId="15E6A34C" w14:textId="77777777" w:rsidR="004676E1" w:rsidRPr="00B13B9A" w:rsidRDefault="004676E1" w:rsidP="00A51C46">
            <w:pPr>
              <w:jc w:val="left"/>
              <w:rPr>
                <w:rFonts w:eastAsia="Times New Roman" w:cstheme="majorHAnsi"/>
                <w:b/>
                <w:bCs/>
                <w:color w:val="000000"/>
                <w:sz w:val="20"/>
                <w:szCs w:val="20"/>
                <w:lang w:val="ro-MD"/>
              </w:rPr>
            </w:pPr>
            <w:r w:rsidRPr="00B13B9A">
              <w:rPr>
                <w:rFonts w:eastAsia="Times New Roman" w:cstheme="majorHAnsi"/>
                <w:b/>
                <w:bCs/>
                <w:color w:val="000000"/>
                <w:sz w:val="20"/>
                <w:szCs w:val="20"/>
                <w:lang w:val="ro-MD"/>
              </w:rPr>
              <w:t>Total ACTIV:</w:t>
            </w:r>
          </w:p>
        </w:tc>
        <w:tc>
          <w:tcPr>
            <w:tcW w:w="1479" w:type="dxa"/>
            <w:hideMark/>
          </w:tcPr>
          <w:p w14:paraId="4C135607"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297515,62</w:t>
            </w:r>
          </w:p>
        </w:tc>
        <w:tc>
          <w:tcPr>
            <w:tcW w:w="1395" w:type="dxa"/>
            <w:hideMark/>
          </w:tcPr>
          <w:p w14:paraId="1CD825F5"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284.689,4</w:t>
            </w:r>
          </w:p>
        </w:tc>
        <w:tc>
          <w:tcPr>
            <w:tcW w:w="1395" w:type="dxa"/>
            <w:hideMark/>
          </w:tcPr>
          <w:p w14:paraId="2B34F28F"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273.131,9</w:t>
            </w:r>
          </w:p>
        </w:tc>
        <w:tc>
          <w:tcPr>
            <w:tcW w:w="1106" w:type="dxa"/>
            <w:noWrap/>
            <w:hideMark/>
          </w:tcPr>
          <w:p w14:paraId="294A2786" w14:textId="530C7D6C"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-11.557,4</w:t>
            </w:r>
          </w:p>
        </w:tc>
        <w:tc>
          <w:tcPr>
            <w:tcW w:w="1134" w:type="dxa"/>
            <w:noWrap/>
            <w:hideMark/>
          </w:tcPr>
          <w:p w14:paraId="1CDB15C6"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95,9%</w:t>
            </w:r>
          </w:p>
        </w:tc>
      </w:tr>
      <w:tr w:rsidR="004676E1" w:rsidRPr="00B13B9A" w14:paraId="2979070D" w14:textId="77777777" w:rsidTr="00A51C46">
        <w:trPr>
          <w:trHeight w:val="19"/>
        </w:trPr>
        <w:tc>
          <w:tcPr>
            <w:cnfStyle w:val="001000000000" w:firstRow="0" w:lastRow="0" w:firstColumn="1" w:lastColumn="0" w:oddVBand="0" w:evenVBand="0" w:oddHBand="0" w:evenHBand="0" w:firstRowFirstColumn="0" w:firstRowLastColumn="0" w:lastRowFirstColumn="0" w:lastRowLastColumn="0"/>
            <w:tcW w:w="3397" w:type="dxa"/>
            <w:hideMark/>
          </w:tcPr>
          <w:p w14:paraId="592D18C4" w14:textId="77777777" w:rsidR="004676E1" w:rsidRPr="00B13B9A" w:rsidRDefault="004676E1" w:rsidP="00A51C46">
            <w:pPr>
              <w:jc w:val="left"/>
              <w:rPr>
                <w:rFonts w:eastAsia="Times New Roman" w:cstheme="majorHAnsi"/>
                <w:b/>
                <w:bCs/>
                <w:color w:val="000000"/>
                <w:sz w:val="20"/>
                <w:szCs w:val="20"/>
                <w:lang w:val="ro-MD"/>
              </w:rPr>
            </w:pPr>
            <w:r w:rsidRPr="00B13B9A">
              <w:rPr>
                <w:rFonts w:eastAsia="Times New Roman" w:cstheme="majorHAnsi"/>
                <w:b/>
                <w:bCs/>
                <w:color w:val="000000"/>
                <w:sz w:val="20"/>
                <w:szCs w:val="20"/>
                <w:lang w:val="ro-MD"/>
              </w:rPr>
              <w:t>Capital propriu, TOTAL:</w:t>
            </w:r>
          </w:p>
        </w:tc>
        <w:tc>
          <w:tcPr>
            <w:tcW w:w="1479" w:type="dxa"/>
            <w:hideMark/>
          </w:tcPr>
          <w:p w14:paraId="321BF910"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227961,172</w:t>
            </w:r>
          </w:p>
        </w:tc>
        <w:tc>
          <w:tcPr>
            <w:tcW w:w="1395" w:type="dxa"/>
            <w:hideMark/>
          </w:tcPr>
          <w:p w14:paraId="762E96D4"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229.729,8</w:t>
            </w:r>
          </w:p>
        </w:tc>
        <w:tc>
          <w:tcPr>
            <w:tcW w:w="1395" w:type="dxa"/>
            <w:hideMark/>
          </w:tcPr>
          <w:p w14:paraId="745D2FCF"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228.124,3</w:t>
            </w:r>
          </w:p>
        </w:tc>
        <w:tc>
          <w:tcPr>
            <w:tcW w:w="1106" w:type="dxa"/>
            <w:noWrap/>
            <w:hideMark/>
          </w:tcPr>
          <w:p w14:paraId="36000E83" w14:textId="768CF79A"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-1.605,5</w:t>
            </w:r>
          </w:p>
        </w:tc>
        <w:tc>
          <w:tcPr>
            <w:tcW w:w="1134" w:type="dxa"/>
            <w:noWrap/>
            <w:hideMark/>
          </w:tcPr>
          <w:p w14:paraId="3B398A3D"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99,3%</w:t>
            </w:r>
          </w:p>
        </w:tc>
      </w:tr>
      <w:tr w:rsidR="004676E1" w:rsidRPr="00B13B9A" w14:paraId="7E5BDE02" w14:textId="77777777" w:rsidTr="00A51C4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3397" w:type="dxa"/>
            <w:hideMark/>
          </w:tcPr>
          <w:p w14:paraId="23103CBD" w14:textId="77777777" w:rsidR="004676E1" w:rsidRPr="00B13B9A" w:rsidRDefault="004676E1" w:rsidP="00A51C46">
            <w:pPr>
              <w:jc w:val="left"/>
              <w:rPr>
                <w:rFonts w:eastAsia="Times New Roman" w:cstheme="majorHAnsi"/>
                <w:b/>
                <w:bCs/>
                <w:color w:val="000000"/>
                <w:sz w:val="20"/>
                <w:szCs w:val="20"/>
                <w:lang w:val="ro-MD"/>
              </w:rPr>
            </w:pPr>
            <w:r w:rsidRPr="00B13B9A">
              <w:rPr>
                <w:rFonts w:eastAsia="Times New Roman" w:cstheme="majorHAnsi"/>
                <w:b/>
                <w:bCs/>
                <w:color w:val="000000"/>
                <w:sz w:val="20"/>
                <w:szCs w:val="20"/>
                <w:lang w:val="ro-MD"/>
              </w:rPr>
              <w:t>Datorii pe termen lung, TOTAL:</w:t>
            </w:r>
          </w:p>
        </w:tc>
        <w:tc>
          <w:tcPr>
            <w:tcW w:w="1479" w:type="dxa"/>
            <w:hideMark/>
          </w:tcPr>
          <w:p w14:paraId="40F6EF49"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69164,653</w:t>
            </w:r>
          </w:p>
        </w:tc>
        <w:tc>
          <w:tcPr>
            <w:tcW w:w="1395" w:type="dxa"/>
            <w:hideMark/>
          </w:tcPr>
          <w:p w14:paraId="5C468814"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16.596,8</w:t>
            </w:r>
          </w:p>
        </w:tc>
        <w:tc>
          <w:tcPr>
            <w:tcW w:w="1395" w:type="dxa"/>
            <w:hideMark/>
          </w:tcPr>
          <w:p w14:paraId="18DF48D3"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12.083,8</w:t>
            </w:r>
          </w:p>
        </w:tc>
        <w:tc>
          <w:tcPr>
            <w:tcW w:w="1106" w:type="dxa"/>
            <w:noWrap/>
            <w:hideMark/>
          </w:tcPr>
          <w:p w14:paraId="48F98D29" w14:textId="41C17B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-4.513,0</w:t>
            </w:r>
          </w:p>
        </w:tc>
        <w:tc>
          <w:tcPr>
            <w:tcW w:w="1134" w:type="dxa"/>
            <w:noWrap/>
            <w:hideMark/>
          </w:tcPr>
          <w:p w14:paraId="28A934D0"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72,8%</w:t>
            </w:r>
          </w:p>
        </w:tc>
      </w:tr>
      <w:tr w:rsidR="004676E1" w:rsidRPr="00B13B9A" w14:paraId="467EF55B" w14:textId="77777777" w:rsidTr="00A51C46">
        <w:trPr>
          <w:trHeight w:val="19"/>
        </w:trPr>
        <w:tc>
          <w:tcPr>
            <w:cnfStyle w:val="001000000000" w:firstRow="0" w:lastRow="0" w:firstColumn="1" w:lastColumn="0" w:oddVBand="0" w:evenVBand="0" w:oddHBand="0" w:evenHBand="0" w:firstRowFirstColumn="0" w:firstRowLastColumn="0" w:lastRowFirstColumn="0" w:lastRowLastColumn="0"/>
            <w:tcW w:w="3397" w:type="dxa"/>
            <w:hideMark/>
          </w:tcPr>
          <w:p w14:paraId="2560F9C0" w14:textId="77777777" w:rsidR="004676E1" w:rsidRPr="00B13B9A" w:rsidRDefault="004676E1" w:rsidP="00A51C46">
            <w:pPr>
              <w:jc w:val="left"/>
              <w:rPr>
                <w:rFonts w:eastAsia="Times New Roman" w:cstheme="majorHAnsi"/>
                <w:b/>
                <w:bCs/>
                <w:color w:val="000000"/>
                <w:sz w:val="20"/>
                <w:szCs w:val="20"/>
                <w:lang w:val="ro-MD"/>
              </w:rPr>
            </w:pPr>
            <w:r w:rsidRPr="00B13B9A">
              <w:rPr>
                <w:rFonts w:eastAsia="Times New Roman" w:cstheme="majorHAnsi"/>
                <w:b/>
                <w:bCs/>
                <w:color w:val="000000"/>
                <w:sz w:val="20"/>
                <w:szCs w:val="20"/>
                <w:lang w:val="ro-MD"/>
              </w:rPr>
              <w:t>Datorii curente, TOTAL:</w:t>
            </w:r>
          </w:p>
        </w:tc>
        <w:tc>
          <w:tcPr>
            <w:tcW w:w="1479" w:type="dxa"/>
            <w:hideMark/>
          </w:tcPr>
          <w:p w14:paraId="1459FA84"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389,795</w:t>
            </w:r>
          </w:p>
        </w:tc>
        <w:tc>
          <w:tcPr>
            <w:tcW w:w="1395" w:type="dxa"/>
            <w:hideMark/>
          </w:tcPr>
          <w:p w14:paraId="5AEC6388"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38.362,7</w:t>
            </w:r>
          </w:p>
        </w:tc>
        <w:tc>
          <w:tcPr>
            <w:tcW w:w="1395" w:type="dxa"/>
            <w:hideMark/>
          </w:tcPr>
          <w:p w14:paraId="39B3407B"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32.923,8</w:t>
            </w:r>
          </w:p>
        </w:tc>
        <w:tc>
          <w:tcPr>
            <w:tcW w:w="1106" w:type="dxa"/>
            <w:noWrap/>
            <w:hideMark/>
          </w:tcPr>
          <w:p w14:paraId="2CBD93FD" w14:textId="425A798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-5.438,9</w:t>
            </w:r>
          </w:p>
        </w:tc>
        <w:tc>
          <w:tcPr>
            <w:tcW w:w="1134" w:type="dxa"/>
            <w:noWrap/>
            <w:hideMark/>
          </w:tcPr>
          <w:p w14:paraId="7FE31A90"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85,8%</w:t>
            </w:r>
          </w:p>
        </w:tc>
      </w:tr>
      <w:tr w:rsidR="004676E1" w:rsidRPr="00B13B9A" w14:paraId="0C824328" w14:textId="77777777" w:rsidTr="00A51C4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3397" w:type="dxa"/>
            <w:hideMark/>
          </w:tcPr>
          <w:p w14:paraId="0F978565" w14:textId="77777777" w:rsidR="004676E1" w:rsidRPr="00B13B9A" w:rsidRDefault="004676E1" w:rsidP="00A51C46">
            <w:pPr>
              <w:jc w:val="left"/>
              <w:rPr>
                <w:rFonts w:eastAsia="Times New Roman" w:cstheme="majorHAnsi"/>
                <w:b/>
                <w:bCs/>
                <w:color w:val="000000"/>
                <w:sz w:val="20"/>
                <w:szCs w:val="20"/>
                <w:lang w:val="ro-MD"/>
              </w:rPr>
            </w:pPr>
            <w:r w:rsidRPr="00B13B9A">
              <w:rPr>
                <w:rFonts w:eastAsia="Times New Roman" w:cstheme="majorHAnsi"/>
                <w:b/>
                <w:bCs/>
                <w:color w:val="000000"/>
                <w:sz w:val="20"/>
                <w:szCs w:val="20"/>
                <w:lang w:val="ro-MD"/>
              </w:rPr>
              <w:t>Total PASIV:</w:t>
            </w:r>
          </w:p>
        </w:tc>
        <w:tc>
          <w:tcPr>
            <w:tcW w:w="1479" w:type="dxa"/>
            <w:hideMark/>
          </w:tcPr>
          <w:p w14:paraId="42E5254B"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297515,62</w:t>
            </w:r>
          </w:p>
        </w:tc>
        <w:tc>
          <w:tcPr>
            <w:tcW w:w="1395" w:type="dxa"/>
            <w:hideMark/>
          </w:tcPr>
          <w:p w14:paraId="6BD49186"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284.689,4</w:t>
            </w:r>
          </w:p>
        </w:tc>
        <w:tc>
          <w:tcPr>
            <w:tcW w:w="1395" w:type="dxa"/>
            <w:hideMark/>
          </w:tcPr>
          <w:p w14:paraId="54DFB55E"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273.131,9</w:t>
            </w:r>
          </w:p>
        </w:tc>
        <w:tc>
          <w:tcPr>
            <w:tcW w:w="1106" w:type="dxa"/>
            <w:noWrap/>
            <w:hideMark/>
          </w:tcPr>
          <w:p w14:paraId="253DC25F" w14:textId="0B498C1D"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-11.557,4</w:t>
            </w:r>
          </w:p>
        </w:tc>
        <w:tc>
          <w:tcPr>
            <w:tcW w:w="1134" w:type="dxa"/>
            <w:noWrap/>
            <w:hideMark/>
          </w:tcPr>
          <w:p w14:paraId="4D568D94"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95,9%</w:t>
            </w:r>
          </w:p>
        </w:tc>
      </w:tr>
    </w:tbl>
    <w:p w14:paraId="7C570794" w14:textId="278C0F06" w:rsidR="00012402" w:rsidRPr="00B13B9A" w:rsidRDefault="00012402" w:rsidP="00A51C46">
      <w:pPr>
        <w:pStyle w:val="a7"/>
        <w:spacing w:after="0" w:line="240" w:lineRule="auto"/>
        <w:ind w:left="0"/>
        <w:rPr>
          <w:rFonts w:asciiTheme="majorHAnsi" w:hAnsiTheme="majorHAnsi" w:cstheme="majorHAnsi"/>
          <w:b/>
          <w:i/>
          <w:sz w:val="20"/>
          <w:szCs w:val="20"/>
          <w:lang w:val="ro-MD"/>
        </w:rPr>
      </w:pPr>
      <w:r w:rsidRPr="00B13B9A">
        <w:rPr>
          <w:rFonts w:asciiTheme="majorHAnsi" w:hAnsiTheme="majorHAnsi" w:cstheme="majorHAnsi"/>
          <w:b/>
          <w:i/>
          <w:sz w:val="20"/>
          <w:szCs w:val="20"/>
          <w:lang w:val="ro-MD"/>
        </w:rPr>
        <w:t xml:space="preserve">Sursă: </w:t>
      </w:r>
      <w:r w:rsidRPr="00B13B9A">
        <w:rPr>
          <w:rFonts w:asciiTheme="majorHAnsi" w:hAnsiTheme="majorHAnsi" w:cstheme="majorHAnsi"/>
          <w:i/>
          <w:sz w:val="20"/>
          <w:szCs w:val="20"/>
          <w:lang w:val="ro-MD"/>
        </w:rPr>
        <w:t>Bilan</w:t>
      </w:r>
      <w:r w:rsidR="00B13B9A" w:rsidRPr="00B13B9A">
        <w:rPr>
          <w:rFonts w:asciiTheme="majorHAnsi" w:hAnsiTheme="majorHAnsi" w:cstheme="majorHAnsi"/>
          <w:i/>
          <w:sz w:val="20"/>
          <w:szCs w:val="20"/>
          <w:lang w:val="ro-MD"/>
        </w:rPr>
        <w:t>ț</w:t>
      </w:r>
      <w:r w:rsidRPr="00B13B9A">
        <w:rPr>
          <w:rFonts w:asciiTheme="majorHAnsi" w:hAnsiTheme="majorHAnsi" w:cstheme="majorHAnsi"/>
          <w:i/>
          <w:sz w:val="20"/>
          <w:szCs w:val="20"/>
          <w:lang w:val="ro-MD"/>
        </w:rPr>
        <w:t xml:space="preserve">ul contabil </w:t>
      </w:r>
      <w:r w:rsidR="00675B54" w:rsidRPr="00B13B9A">
        <w:rPr>
          <w:rFonts w:asciiTheme="majorHAnsi" w:hAnsiTheme="majorHAnsi" w:cstheme="majorHAnsi"/>
          <w:i/>
          <w:sz w:val="20"/>
          <w:szCs w:val="20"/>
          <w:lang w:val="ro-MD"/>
        </w:rPr>
        <w:t xml:space="preserve">al </w:t>
      </w:r>
      <w:r w:rsidR="005D56E4" w:rsidRPr="00B13B9A">
        <w:rPr>
          <w:rFonts w:asciiTheme="majorHAnsi" w:hAnsiTheme="majorHAnsi" w:cstheme="majorHAnsi"/>
          <w:i/>
          <w:color w:val="000000" w:themeColor="text1"/>
          <w:sz w:val="20"/>
          <w:szCs w:val="20"/>
          <w:lang w:val="ro-MD"/>
        </w:rPr>
        <w:t xml:space="preserve">IMSP IFP </w:t>
      </w:r>
      <w:r w:rsidR="005D56E4" w:rsidRPr="00B13B9A">
        <w:rPr>
          <w:rFonts w:asciiTheme="majorHAnsi" w:hAnsiTheme="majorHAnsi" w:cstheme="majorHAnsi"/>
          <w:i/>
          <w:sz w:val="20"/>
          <w:szCs w:val="20"/>
          <w:lang w:val="ro-MD"/>
        </w:rPr>
        <w:t xml:space="preserve">„Chiril Draganiuc” </w:t>
      </w:r>
      <w:r w:rsidRPr="00B13B9A">
        <w:rPr>
          <w:rFonts w:asciiTheme="majorHAnsi" w:hAnsiTheme="majorHAnsi" w:cstheme="majorHAnsi"/>
          <w:i/>
          <w:sz w:val="20"/>
          <w:szCs w:val="20"/>
          <w:lang w:val="ro-MD"/>
        </w:rPr>
        <w:t xml:space="preserve">la </w:t>
      </w:r>
      <w:r w:rsidR="004655B4" w:rsidRPr="00B13B9A">
        <w:rPr>
          <w:rFonts w:asciiTheme="majorHAnsi" w:hAnsiTheme="majorHAnsi" w:cstheme="majorHAnsi"/>
          <w:i/>
          <w:sz w:val="20"/>
          <w:szCs w:val="20"/>
          <w:lang w:val="ro-MD"/>
        </w:rPr>
        <w:t>situa</w:t>
      </w:r>
      <w:r w:rsidR="00B13B9A" w:rsidRPr="00B13B9A">
        <w:rPr>
          <w:rFonts w:asciiTheme="majorHAnsi" w:hAnsiTheme="majorHAnsi" w:cstheme="majorHAnsi"/>
          <w:i/>
          <w:sz w:val="20"/>
          <w:szCs w:val="20"/>
          <w:lang w:val="ro-MD"/>
        </w:rPr>
        <w:t>ț</w:t>
      </w:r>
      <w:r w:rsidR="004655B4" w:rsidRPr="00B13B9A">
        <w:rPr>
          <w:rFonts w:asciiTheme="majorHAnsi" w:hAnsiTheme="majorHAnsi" w:cstheme="majorHAnsi"/>
          <w:i/>
          <w:sz w:val="20"/>
          <w:szCs w:val="20"/>
          <w:lang w:val="ro-MD"/>
        </w:rPr>
        <w:t>ia din  31 decembrie 2021</w:t>
      </w:r>
      <w:r w:rsidR="004676E1" w:rsidRPr="00B13B9A">
        <w:rPr>
          <w:rFonts w:asciiTheme="majorHAnsi" w:hAnsiTheme="majorHAnsi" w:cstheme="majorHAnsi"/>
          <w:i/>
          <w:sz w:val="20"/>
          <w:szCs w:val="20"/>
          <w:lang w:val="ro-MD"/>
        </w:rPr>
        <w:t xml:space="preserve"> </w:t>
      </w:r>
      <w:r w:rsidR="00B13B9A" w:rsidRPr="00B13B9A">
        <w:rPr>
          <w:rFonts w:asciiTheme="majorHAnsi" w:hAnsiTheme="majorHAnsi" w:cstheme="majorHAnsi"/>
          <w:i/>
          <w:sz w:val="20"/>
          <w:szCs w:val="20"/>
          <w:lang w:val="ro-MD"/>
        </w:rPr>
        <w:t>ș</w:t>
      </w:r>
      <w:r w:rsidR="004676E1" w:rsidRPr="00B13B9A">
        <w:rPr>
          <w:rFonts w:asciiTheme="majorHAnsi" w:hAnsiTheme="majorHAnsi" w:cstheme="majorHAnsi"/>
          <w:i/>
          <w:sz w:val="20"/>
          <w:szCs w:val="20"/>
          <w:lang w:val="ro-MD"/>
        </w:rPr>
        <w:t>i</w:t>
      </w:r>
      <w:r w:rsidR="004655B4" w:rsidRPr="00B13B9A">
        <w:rPr>
          <w:rFonts w:asciiTheme="majorHAnsi" w:hAnsiTheme="majorHAnsi" w:cstheme="majorHAnsi"/>
          <w:i/>
          <w:sz w:val="20"/>
          <w:szCs w:val="20"/>
          <w:lang w:val="ro-MD"/>
        </w:rPr>
        <w:t xml:space="preserve"> 31 decembrie 2022 </w:t>
      </w:r>
    </w:p>
    <w:p w14:paraId="25BABAC4" w14:textId="36FEFD3A" w:rsidR="004655B4" w:rsidRPr="00B13B9A" w:rsidRDefault="004655B4" w:rsidP="00A51C46">
      <w:pPr>
        <w:pStyle w:val="a7"/>
        <w:spacing w:after="0" w:line="240" w:lineRule="auto"/>
        <w:ind w:left="0"/>
        <w:rPr>
          <w:rFonts w:asciiTheme="majorHAnsi" w:hAnsiTheme="majorHAnsi" w:cstheme="majorHAnsi"/>
          <w:b/>
          <w:sz w:val="24"/>
          <w:szCs w:val="24"/>
          <w:highlight w:val="green"/>
          <w:lang w:val="ro-MD"/>
        </w:rPr>
      </w:pPr>
    </w:p>
    <w:p w14:paraId="6998E535" w14:textId="77777777" w:rsidR="00782BD2" w:rsidRPr="00B13B9A" w:rsidRDefault="00782BD2" w:rsidP="00A51C46">
      <w:pPr>
        <w:pStyle w:val="3"/>
        <w:spacing w:before="0" w:line="240" w:lineRule="auto"/>
        <w:jc w:val="right"/>
        <w:rPr>
          <w:rFonts w:cstheme="majorHAnsi"/>
          <w:b/>
          <w:iCs/>
          <w:color w:val="auto"/>
        </w:rPr>
      </w:pPr>
      <w:bookmarkStart w:id="58" w:name="_Toc158317260"/>
      <w:r w:rsidRPr="00B13B9A">
        <w:rPr>
          <w:rFonts w:cstheme="majorHAnsi"/>
          <w:b/>
          <w:iCs/>
          <w:color w:val="auto"/>
        </w:rPr>
        <w:t>Anexa nr. 6</w:t>
      </w:r>
      <w:bookmarkEnd w:id="58"/>
    </w:p>
    <w:p w14:paraId="299E1CD7" w14:textId="1BC598F4" w:rsidR="00012402" w:rsidRPr="00B13B9A" w:rsidRDefault="00012402" w:rsidP="00A51C46">
      <w:pPr>
        <w:pStyle w:val="a7"/>
        <w:tabs>
          <w:tab w:val="left" w:pos="3686"/>
        </w:tabs>
        <w:spacing w:after="0" w:line="240" w:lineRule="auto"/>
        <w:ind w:left="0"/>
        <w:jc w:val="center"/>
        <w:rPr>
          <w:rFonts w:asciiTheme="majorHAnsi" w:hAnsiTheme="majorHAnsi" w:cstheme="majorHAnsi"/>
          <w:b/>
          <w:sz w:val="24"/>
          <w:szCs w:val="24"/>
          <w:lang w:val="ro-MD"/>
        </w:rPr>
      </w:pPr>
      <w:r w:rsidRPr="00B13B9A">
        <w:rPr>
          <w:rFonts w:asciiTheme="majorHAnsi" w:hAnsiTheme="majorHAnsi" w:cstheme="majorHAnsi"/>
          <w:b/>
          <w:sz w:val="24"/>
          <w:szCs w:val="24"/>
          <w:lang w:val="ro-MD"/>
        </w:rPr>
        <w:t>Situa</w:t>
      </w:r>
      <w:r w:rsidR="00B13B9A" w:rsidRPr="00B13B9A">
        <w:rPr>
          <w:rFonts w:asciiTheme="majorHAnsi" w:hAnsiTheme="majorHAnsi" w:cstheme="majorHAnsi"/>
          <w:b/>
          <w:sz w:val="24"/>
          <w:szCs w:val="24"/>
          <w:lang w:val="ro-MD"/>
        </w:rPr>
        <w:t>ț</w:t>
      </w:r>
      <w:r w:rsidRPr="00B13B9A">
        <w:rPr>
          <w:rFonts w:asciiTheme="majorHAnsi" w:hAnsiTheme="majorHAnsi" w:cstheme="majorHAnsi"/>
          <w:b/>
          <w:sz w:val="24"/>
          <w:szCs w:val="24"/>
          <w:lang w:val="ro-MD"/>
        </w:rPr>
        <w:t xml:space="preserve">ia de profit </w:t>
      </w:r>
      <w:r w:rsidR="00B13B9A" w:rsidRPr="00B13B9A">
        <w:rPr>
          <w:rFonts w:asciiTheme="majorHAnsi" w:hAnsiTheme="majorHAnsi" w:cstheme="majorHAnsi"/>
          <w:b/>
          <w:sz w:val="24"/>
          <w:szCs w:val="24"/>
          <w:lang w:val="ro-MD"/>
        </w:rPr>
        <w:t>ș</w:t>
      </w:r>
      <w:r w:rsidRPr="00B13B9A">
        <w:rPr>
          <w:rFonts w:asciiTheme="majorHAnsi" w:hAnsiTheme="majorHAnsi" w:cstheme="majorHAnsi"/>
          <w:b/>
          <w:sz w:val="24"/>
          <w:szCs w:val="24"/>
          <w:lang w:val="ro-MD"/>
        </w:rPr>
        <w:t xml:space="preserve">i pierdere a </w:t>
      </w:r>
      <w:r w:rsidR="005D56E4" w:rsidRPr="00B13B9A">
        <w:rPr>
          <w:rFonts w:asciiTheme="majorHAnsi" w:hAnsiTheme="majorHAnsi" w:cstheme="majorHAnsi"/>
          <w:b/>
          <w:color w:val="000000" w:themeColor="text1"/>
          <w:sz w:val="24"/>
          <w:szCs w:val="24"/>
          <w:lang w:val="ro-MD"/>
        </w:rPr>
        <w:t xml:space="preserve">IMSP IFP </w:t>
      </w:r>
      <w:r w:rsidR="005D56E4" w:rsidRPr="00B13B9A">
        <w:rPr>
          <w:rFonts w:asciiTheme="majorHAnsi" w:hAnsiTheme="majorHAnsi" w:cstheme="majorHAnsi"/>
          <w:b/>
          <w:sz w:val="24"/>
          <w:szCs w:val="24"/>
          <w:lang w:val="ro-MD"/>
        </w:rPr>
        <w:t xml:space="preserve">„Chiril Draganiuc” </w:t>
      </w:r>
      <w:r w:rsidRPr="00B13B9A">
        <w:rPr>
          <w:rFonts w:asciiTheme="majorHAnsi" w:hAnsiTheme="majorHAnsi" w:cstheme="majorHAnsi"/>
          <w:b/>
          <w:sz w:val="24"/>
          <w:szCs w:val="24"/>
          <w:lang w:val="ro-MD"/>
        </w:rPr>
        <w:t>pe anii 2021 -2022</w:t>
      </w:r>
    </w:p>
    <w:p w14:paraId="31C51DE0" w14:textId="77777777" w:rsidR="00012402" w:rsidRPr="00B13B9A" w:rsidRDefault="00012402" w:rsidP="00A51C46">
      <w:pPr>
        <w:pStyle w:val="a7"/>
        <w:tabs>
          <w:tab w:val="left" w:pos="3686"/>
        </w:tabs>
        <w:spacing w:after="0" w:line="240" w:lineRule="auto"/>
        <w:ind w:left="0"/>
        <w:jc w:val="right"/>
        <w:rPr>
          <w:rFonts w:asciiTheme="majorHAnsi" w:hAnsiTheme="majorHAnsi" w:cstheme="majorHAnsi"/>
          <w:sz w:val="24"/>
          <w:szCs w:val="24"/>
          <w:lang w:val="ro-MD"/>
        </w:rPr>
      </w:pPr>
      <w:r w:rsidRPr="00B13B9A">
        <w:rPr>
          <w:rFonts w:asciiTheme="majorHAnsi" w:hAnsiTheme="majorHAnsi" w:cstheme="majorHAnsi"/>
          <w:sz w:val="24"/>
          <w:szCs w:val="24"/>
          <w:lang w:val="ro-MD"/>
        </w:rPr>
        <w:t xml:space="preserve">  (mii lei)</w:t>
      </w:r>
    </w:p>
    <w:tbl>
      <w:tblPr>
        <w:tblStyle w:val="31"/>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815"/>
        <w:gridCol w:w="1271"/>
        <w:gridCol w:w="1413"/>
        <w:gridCol w:w="1129"/>
      </w:tblGrid>
      <w:tr w:rsidR="00012402" w:rsidRPr="00B13B9A" w14:paraId="3A3E93FA" w14:textId="77777777" w:rsidTr="00A51C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hideMark/>
          </w:tcPr>
          <w:p w14:paraId="7217F5EF" w14:textId="77777777" w:rsidR="00012402" w:rsidRPr="00B13B9A" w:rsidRDefault="00012402" w:rsidP="00A51C46">
            <w:pPr>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Denumirea indicatorului</w:t>
            </w:r>
          </w:p>
        </w:tc>
        <w:tc>
          <w:tcPr>
            <w:tcW w:w="1271" w:type="dxa"/>
            <w:hideMark/>
          </w:tcPr>
          <w:p w14:paraId="1C42D0AE" w14:textId="77777777" w:rsidR="00012402" w:rsidRPr="00B13B9A" w:rsidRDefault="00012402" w:rsidP="00A51C4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Anul 2021</w:t>
            </w:r>
          </w:p>
        </w:tc>
        <w:tc>
          <w:tcPr>
            <w:tcW w:w="1413" w:type="dxa"/>
            <w:hideMark/>
          </w:tcPr>
          <w:p w14:paraId="4A4C6A9E" w14:textId="77777777" w:rsidR="00012402" w:rsidRPr="00B13B9A" w:rsidRDefault="00012402" w:rsidP="00A51C4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Anul 2022</w:t>
            </w:r>
          </w:p>
        </w:tc>
        <w:tc>
          <w:tcPr>
            <w:tcW w:w="1129" w:type="dxa"/>
            <w:noWrap/>
            <w:hideMark/>
          </w:tcPr>
          <w:p w14:paraId="70A30D35" w14:textId="77777777" w:rsidR="00012402" w:rsidRPr="00B13B9A" w:rsidRDefault="00012402" w:rsidP="00A51C4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Devieri</w:t>
            </w:r>
          </w:p>
        </w:tc>
      </w:tr>
      <w:tr w:rsidR="00012402" w:rsidRPr="00B13B9A" w14:paraId="0DDE1EC3" w14:textId="77777777" w:rsidTr="00A51C46">
        <w:trPr>
          <w:trHeight w:val="20"/>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hideMark/>
          </w:tcPr>
          <w:p w14:paraId="0DBFC30D" w14:textId="3FC4676B" w:rsidR="00012402" w:rsidRPr="00B13B9A" w:rsidRDefault="00012402" w:rsidP="00A51C46">
            <w:pPr>
              <w:rPr>
                <w:rFonts w:asciiTheme="majorHAnsi" w:eastAsia="Times New Roman" w:hAnsiTheme="majorHAnsi" w:cstheme="majorHAnsi"/>
                <w:b w:val="0"/>
                <w:bCs w:val="0"/>
                <w:color w:val="000000"/>
                <w:sz w:val="20"/>
                <w:szCs w:val="20"/>
                <w:lang w:val="ro-MD"/>
              </w:rPr>
            </w:pPr>
            <w:r w:rsidRPr="00B13B9A">
              <w:rPr>
                <w:rFonts w:asciiTheme="majorHAnsi" w:eastAsia="Times New Roman" w:hAnsiTheme="majorHAnsi" w:cstheme="majorHAnsi"/>
                <w:caps w:val="0"/>
                <w:color w:val="000000"/>
                <w:sz w:val="20"/>
                <w:szCs w:val="20"/>
                <w:lang w:val="ro-MD"/>
              </w:rPr>
              <w:t>Venituri din v</w:t>
            </w:r>
            <w:r w:rsidR="00675B54" w:rsidRPr="00B13B9A">
              <w:rPr>
                <w:rFonts w:asciiTheme="majorHAnsi" w:eastAsia="Times New Roman" w:hAnsiTheme="majorHAnsi" w:cstheme="majorHAnsi"/>
                <w:caps w:val="0"/>
                <w:color w:val="000000"/>
                <w:sz w:val="20"/>
                <w:szCs w:val="20"/>
                <w:lang w:val="ro-MD"/>
              </w:rPr>
              <w:t>â</w:t>
            </w:r>
            <w:r w:rsidRPr="00B13B9A">
              <w:rPr>
                <w:rFonts w:asciiTheme="majorHAnsi" w:eastAsia="Times New Roman" w:hAnsiTheme="majorHAnsi" w:cstheme="majorHAnsi"/>
                <w:caps w:val="0"/>
                <w:color w:val="000000"/>
                <w:sz w:val="20"/>
                <w:szCs w:val="20"/>
                <w:lang w:val="ro-MD"/>
              </w:rPr>
              <w:t>nzări</w:t>
            </w:r>
          </w:p>
        </w:tc>
        <w:tc>
          <w:tcPr>
            <w:tcW w:w="1271" w:type="dxa"/>
            <w:hideMark/>
          </w:tcPr>
          <w:p w14:paraId="10AA8C69"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157128,2</w:t>
            </w:r>
          </w:p>
        </w:tc>
        <w:tc>
          <w:tcPr>
            <w:tcW w:w="1413" w:type="dxa"/>
            <w:hideMark/>
          </w:tcPr>
          <w:p w14:paraId="79D964F1"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159964,3</w:t>
            </w:r>
          </w:p>
        </w:tc>
        <w:tc>
          <w:tcPr>
            <w:tcW w:w="1129" w:type="dxa"/>
            <w:noWrap/>
            <w:hideMark/>
          </w:tcPr>
          <w:p w14:paraId="240278B9"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2836,1</w:t>
            </w:r>
          </w:p>
        </w:tc>
      </w:tr>
      <w:tr w:rsidR="00012402" w:rsidRPr="00B13B9A" w14:paraId="484BC275" w14:textId="77777777" w:rsidTr="00A51C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hideMark/>
          </w:tcPr>
          <w:p w14:paraId="1D4ED23E" w14:textId="6CC042FE" w:rsidR="00012402" w:rsidRPr="00B13B9A" w:rsidRDefault="00012402" w:rsidP="00A51C46">
            <w:pPr>
              <w:rPr>
                <w:rFonts w:asciiTheme="majorHAnsi" w:eastAsia="Times New Roman" w:hAnsiTheme="majorHAnsi" w:cstheme="majorHAnsi"/>
                <w:b w:val="0"/>
                <w:bCs w:val="0"/>
                <w:color w:val="000000"/>
                <w:sz w:val="20"/>
                <w:szCs w:val="20"/>
                <w:lang w:val="ro-MD"/>
              </w:rPr>
            </w:pPr>
            <w:r w:rsidRPr="00B13B9A">
              <w:rPr>
                <w:rFonts w:asciiTheme="majorHAnsi" w:eastAsia="Times New Roman" w:hAnsiTheme="majorHAnsi" w:cstheme="majorHAnsi"/>
                <w:caps w:val="0"/>
                <w:color w:val="000000"/>
                <w:sz w:val="20"/>
                <w:szCs w:val="20"/>
                <w:lang w:val="ro-MD"/>
              </w:rPr>
              <w:t>Costul v</w:t>
            </w:r>
            <w:r w:rsidR="00675B54" w:rsidRPr="00B13B9A">
              <w:rPr>
                <w:rFonts w:asciiTheme="majorHAnsi" w:eastAsia="Times New Roman" w:hAnsiTheme="majorHAnsi" w:cstheme="majorHAnsi"/>
                <w:caps w:val="0"/>
                <w:color w:val="000000"/>
                <w:sz w:val="20"/>
                <w:szCs w:val="20"/>
                <w:lang w:val="ro-MD"/>
              </w:rPr>
              <w:t>â</w:t>
            </w:r>
            <w:r w:rsidRPr="00B13B9A">
              <w:rPr>
                <w:rFonts w:asciiTheme="majorHAnsi" w:eastAsia="Times New Roman" w:hAnsiTheme="majorHAnsi" w:cstheme="majorHAnsi"/>
                <w:caps w:val="0"/>
                <w:color w:val="000000"/>
                <w:sz w:val="20"/>
                <w:szCs w:val="20"/>
                <w:lang w:val="ro-MD"/>
              </w:rPr>
              <w:t>nzărilor</w:t>
            </w:r>
          </w:p>
        </w:tc>
        <w:tc>
          <w:tcPr>
            <w:tcW w:w="1271" w:type="dxa"/>
            <w:hideMark/>
          </w:tcPr>
          <w:p w14:paraId="73E45F39"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144144,9</w:t>
            </w:r>
          </w:p>
        </w:tc>
        <w:tc>
          <w:tcPr>
            <w:tcW w:w="1413" w:type="dxa"/>
            <w:hideMark/>
          </w:tcPr>
          <w:p w14:paraId="1B261195"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142743,1</w:t>
            </w:r>
          </w:p>
        </w:tc>
        <w:tc>
          <w:tcPr>
            <w:tcW w:w="1129" w:type="dxa"/>
            <w:noWrap/>
            <w:hideMark/>
          </w:tcPr>
          <w:p w14:paraId="1E7D4EFB"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-1401,8</w:t>
            </w:r>
          </w:p>
        </w:tc>
      </w:tr>
      <w:tr w:rsidR="00012402" w:rsidRPr="00B13B9A" w14:paraId="75DA51C0" w14:textId="77777777" w:rsidTr="00A51C46">
        <w:trPr>
          <w:trHeight w:val="20"/>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hideMark/>
          </w:tcPr>
          <w:p w14:paraId="1D6FE317" w14:textId="77777777" w:rsidR="00012402" w:rsidRPr="00B13B9A" w:rsidRDefault="00012402" w:rsidP="00A51C46">
            <w:pPr>
              <w:rPr>
                <w:rFonts w:asciiTheme="majorHAnsi" w:eastAsia="Times New Roman" w:hAnsiTheme="majorHAnsi" w:cstheme="majorHAnsi"/>
                <w:b w:val="0"/>
                <w:bCs w:val="0"/>
                <w:color w:val="000000"/>
                <w:sz w:val="20"/>
                <w:szCs w:val="20"/>
                <w:lang w:val="ro-MD"/>
              </w:rPr>
            </w:pPr>
            <w:r w:rsidRPr="00B13B9A">
              <w:rPr>
                <w:rFonts w:asciiTheme="majorHAnsi" w:eastAsia="Times New Roman" w:hAnsiTheme="majorHAnsi" w:cstheme="majorHAnsi"/>
                <w:caps w:val="0"/>
                <w:color w:val="000000"/>
                <w:sz w:val="20"/>
                <w:szCs w:val="20"/>
                <w:lang w:val="ro-MD"/>
              </w:rPr>
              <w:t>Profit brut (pierdere bruta)</w:t>
            </w:r>
          </w:p>
        </w:tc>
        <w:tc>
          <w:tcPr>
            <w:tcW w:w="1271" w:type="dxa"/>
            <w:hideMark/>
          </w:tcPr>
          <w:p w14:paraId="6867A200"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12983,2</w:t>
            </w:r>
          </w:p>
        </w:tc>
        <w:tc>
          <w:tcPr>
            <w:tcW w:w="1413" w:type="dxa"/>
            <w:hideMark/>
          </w:tcPr>
          <w:p w14:paraId="6ABEC020"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17221,1</w:t>
            </w:r>
          </w:p>
        </w:tc>
        <w:tc>
          <w:tcPr>
            <w:tcW w:w="1129" w:type="dxa"/>
            <w:noWrap/>
            <w:hideMark/>
          </w:tcPr>
          <w:p w14:paraId="32DD7B92"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4237,9</w:t>
            </w:r>
          </w:p>
        </w:tc>
      </w:tr>
      <w:tr w:rsidR="00012402" w:rsidRPr="00B13B9A" w14:paraId="659F0E81" w14:textId="77777777" w:rsidTr="00A51C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hideMark/>
          </w:tcPr>
          <w:p w14:paraId="537F180D" w14:textId="63237FCD" w:rsidR="00012402" w:rsidRPr="00B13B9A" w:rsidRDefault="00012402" w:rsidP="00A51C46">
            <w:pPr>
              <w:rPr>
                <w:rFonts w:asciiTheme="majorHAnsi" w:eastAsia="Times New Roman" w:hAnsiTheme="majorHAnsi" w:cstheme="majorHAnsi"/>
                <w:b w:val="0"/>
                <w:bCs w:val="0"/>
                <w:color w:val="000000"/>
                <w:sz w:val="20"/>
                <w:szCs w:val="20"/>
                <w:lang w:val="ro-MD"/>
              </w:rPr>
            </w:pPr>
            <w:r w:rsidRPr="00B13B9A">
              <w:rPr>
                <w:rFonts w:asciiTheme="majorHAnsi" w:eastAsia="Times New Roman" w:hAnsiTheme="majorHAnsi" w:cstheme="majorHAnsi"/>
                <w:caps w:val="0"/>
                <w:color w:val="000000"/>
                <w:sz w:val="20"/>
                <w:szCs w:val="20"/>
                <w:lang w:val="ro-MD"/>
              </w:rPr>
              <w:t>Alte venituri din activitatea opera</w:t>
            </w:r>
            <w:r w:rsidR="00B13B9A" w:rsidRPr="00B13B9A">
              <w:rPr>
                <w:rFonts w:asciiTheme="majorHAnsi" w:eastAsia="Times New Roman" w:hAnsiTheme="majorHAnsi" w:cstheme="majorHAnsi"/>
                <w:caps w:val="0"/>
                <w:color w:val="000000"/>
                <w:sz w:val="20"/>
                <w:szCs w:val="20"/>
                <w:lang w:val="ro-MD"/>
              </w:rPr>
              <w:t>ț</w:t>
            </w:r>
            <w:r w:rsidRPr="00B13B9A">
              <w:rPr>
                <w:rFonts w:asciiTheme="majorHAnsi" w:eastAsia="Times New Roman" w:hAnsiTheme="majorHAnsi" w:cstheme="majorHAnsi"/>
                <w:caps w:val="0"/>
                <w:color w:val="000000"/>
                <w:sz w:val="20"/>
                <w:szCs w:val="20"/>
                <w:lang w:val="ro-MD"/>
              </w:rPr>
              <w:t>ională</w:t>
            </w:r>
          </w:p>
        </w:tc>
        <w:tc>
          <w:tcPr>
            <w:tcW w:w="1271" w:type="dxa"/>
            <w:hideMark/>
          </w:tcPr>
          <w:p w14:paraId="4DCA9ABD"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9,3</w:t>
            </w:r>
          </w:p>
        </w:tc>
        <w:tc>
          <w:tcPr>
            <w:tcW w:w="1413" w:type="dxa"/>
            <w:hideMark/>
          </w:tcPr>
          <w:p w14:paraId="709F33B4"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87,2</w:t>
            </w:r>
          </w:p>
        </w:tc>
        <w:tc>
          <w:tcPr>
            <w:tcW w:w="1129" w:type="dxa"/>
            <w:noWrap/>
            <w:hideMark/>
          </w:tcPr>
          <w:p w14:paraId="268F6193"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77,9</w:t>
            </w:r>
          </w:p>
        </w:tc>
      </w:tr>
      <w:tr w:rsidR="00012402" w:rsidRPr="00B13B9A" w14:paraId="34219A0D" w14:textId="77777777" w:rsidTr="00A51C46">
        <w:trPr>
          <w:trHeight w:val="20"/>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hideMark/>
          </w:tcPr>
          <w:p w14:paraId="21FC5D5B" w14:textId="77777777" w:rsidR="00012402" w:rsidRPr="00B13B9A" w:rsidRDefault="00012402" w:rsidP="00A51C46">
            <w:pPr>
              <w:rPr>
                <w:rFonts w:asciiTheme="majorHAnsi" w:eastAsia="Times New Roman" w:hAnsiTheme="majorHAnsi" w:cstheme="majorHAnsi"/>
                <w:b w:val="0"/>
                <w:bCs w:val="0"/>
                <w:color w:val="000000"/>
                <w:sz w:val="20"/>
                <w:szCs w:val="20"/>
                <w:lang w:val="ro-MD"/>
              </w:rPr>
            </w:pPr>
            <w:r w:rsidRPr="00B13B9A">
              <w:rPr>
                <w:rFonts w:asciiTheme="majorHAnsi" w:eastAsia="Times New Roman" w:hAnsiTheme="majorHAnsi" w:cstheme="majorHAnsi"/>
                <w:caps w:val="0"/>
                <w:color w:val="000000"/>
                <w:sz w:val="20"/>
                <w:szCs w:val="20"/>
                <w:lang w:val="ro-MD"/>
              </w:rPr>
              <w:t>Cheltuieli administrative</w:t>
            </w:r>
          </w:p>
        </w:tc>
        <w:tc>
          <w:tcPr>
            <w:tcW w:w="1271" w:type="dxa"/>
            <w:hideMark/>
          </w:tcPr>
          <w:p w14:paraId="69963483"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12852,5</w:t>
            </w:r>
          </w:p>
        </w:tc>
        <w:tc>
          <w:tcPr>
            <w:tcW w:w="1413" w:type="dxa"/>
            <w:hideMark/>
          </w:tcPr>
          <w:p w14:paraId="4269783B"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17218,2</w:t>
            </w:r>
          </w:p>
        </w:tc>
        <w:tc>
          <w:tcPr>
            <w:tcW w:w="1129" w:type="dxa"/>
            <w:noWrap/>
            <w:hideMark/>
          </w:tcPr>
          <w:p w14:paraId="633645D3"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4365,7</w:t>
            </w:r>
          </w:p>
        </w:tc>
      </w:tr>
      <w:tr w:rsidR="00012402" w:rsidRPr="00B13B9A" w14:paraId="334C88FA" w14:textId="77777777" w:rsidTr="00A51C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hideMark/>
          </w:tcPr>
          <w:p w14:paraId="081FBBDE" w14:textId="421A431E" w:rsidR="00012402" w:rsidRPr="00B13B9A" w:rsidRDefault="00012402" w:rsidP="00A51C46">
            <w:pPr>
              <w:rPr>
                <w:rFonts w:asciiTheme="majorHAnsi" w:eastAsia="Times New Roman" w:hAnsiTheme="majorHAnsi" w:cstheme="majorHAnsi"/>
                <w:b w:val="0"/>
                <w:bCs w:val="0"/>
                <w:color w:val="000000"/>
                <w:sz w:val="20"/>
                <w:szCs w:val="20"/>
                <w:lang w:val="ro-MD"/>
              </w:rPr>
            </w:pPr>
            <w:r w:rsidRPr="00B13B9A">
              <w:rPr>
                <w:rFonts w:asciiTheme="majorHAnsi" w:eastAsia="Times New Roman" w:hAnsiTheme="majorHAnsi" w:cstheme="majorHAnsi"/>
                <w:caps w:val="0"/>
                <w:color w:val="000000"/>
                <w:sz w:val="20"/>
                <w:szCs w:val="20"/>
                <w:lang w:val="ro-MD"/>
              </w:rPr>
              <w:t>Alte cheltuieli din activitatea opera</w:t>
            </w:r>
            <w:r w:rsidR="00B13B9A" w:rsidRPr="00B13B9A">
              <w:rPr>
                <w:rFonts w:asciiTheme="majorHAnsi" w:eastAsia="Times New Roman" w:hAnsiTheme="majorHAnsi" w:cstheme="majorHAnsi"/>
                <w:caps w:val="0"/>
                <w:color w:val="000000"/>
                <w:sz w:val="20"/>
                <w:szCs w:val="20"/>
                <w:lang w:val="ro-MD"/>
              </w:rPr>
              <w:t>ț</w:t>
            </w:r>
            <w:r w:rsidRPr="00B13B9A">
              <w:rPr>
                <w:rFonts w:asciiTheme="majorHAnsi" w:eastAsia="Times New Roman" w:hAnsiTheme="majorHAnsi" w:cstheme="majorHAnsi"/>
                <w:caps w:val="0"/>
                <w:color w:val="000000"/>
                <w:sz w:val="20"/>
                <w:szCs w:val="20"/>
                <w:lang w:val="ro-MD"/>
              </w:rPr>
              <w:t>ională</w:t>
            </w:r>
          </w:p>
        </w:tc>
        <w:tc>
          <w:tcPr>
            <w:tcW w:w="1271" w:type="dxa"/>
            <w:hideMark/>
          </w:tcPr>
          <w:p w14:paraId="4476F0A4"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106,1</w:t>
            </w:r>
          </w:p>
        </w:tc>
        <w:tc>
          <w:tcPr>
            <w:tcW w:w="1413" w:type="dxa"/>
            <w:hideMark/>
          </w:tcPr>
          <w:p w14:paraId="21FA97E0"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124,9</w:t>
            </w:r>
          </w:p>
        </w:tc>
        <w:tc>
          <w:tcPr>
            <w:tcW w:w="1129" w:type="dxa"/>
            <w:noWrap/>
            <w:hideMark/>
          </w:tcPr>
          <w:p w14:paraId="25A12D1D"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18,8</w:t>
            </w:r>
          </w:p>
        </w:tc>
      </w:tr>
      <w:tr w:rsidR="00012402" w:rsidRPr="00B13B9A" w14:paraId="200B1FE0" w14:textId="77777777" w:rsidTr="00A51C46">
        <w:trPr>
          <w:trHeight w:val="20"/>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hideMark/>
          </w:tcPr>
          <w:p w14:paraId="1A2FB7B0" w14:textId="4A315C1E" w:rsidR="00012402" w:rsidRPr="00B13B9A" w:rsidRDefault="00012402" w:rsidP="00A51C46">
            <w:pPr>
              <w:rPr>
                <w:rFonts w:asciiTheme="majorHAnsi" w:eastAsia="Times New Roman" w:hAnsiTheme="majorHAnsi" w:cstheme="majorHAnsi"/>
                <w:b w:val="0"/>
                <w:bCs w:val="0"/>
                <w:color w:val="000000"/>
                <w:sz w:val="20"/>
                <w:szCs w:val="20"/>
                <w:lang w:val="ro-MD"/>
              </w:rPr>
            </w:pPr>
            <w:r w:rsidRPr="00B13B9A">
              <w:rPr>
                <w:rFonts w:asciiTheme="majorHAnsi" w:eastAsia="Times New Roman" w:hAnsiTheme="majorHAnsi" w:cstheme="majorHAnsi"/>
                <w:caps w:val="0"/>
                <w:color w:val="000000"/>
                <w:sz w:val="20"/>
                <w:szCs w:val="20"/>
                <w:lang w:val="ro-MD"/>
              </w:rPr>
              <w:t>Rezultatul din activitatea opera</w:t>
            </w:r>
            <w:r w:rsidR="00B13B9A" w:rsidRPr="00B13B9A">
              <w:rPr>
                <w:rFonts w:asciiTheme="majorHAnsi" w:eastAsia="Times New Roman" w:hAnsiTheme="majorHAnsi" w:cstheme="majorHAnsi"/>
                <w:caps w:val="0"/>
                <w:color w:val="000000"/>
                <w:sz w:val="20"/>
                <w:szCs w:val="20"/>
                <w:lang w:val="ro-MD"/>
              </w:rPr>
              <w:t>ț</w:t>
            </w:r>
            <w:r w:rsidRPr="00B13B9A">
              <w:rPr>
                <w:rFonts w:asciiTheme="majorHAnsi" w:eastAsia="Times New Roman" w:hAnsiTheme="majorHAnsi" w:cstheme="majorHAnsi"/>
                <w:caps w:val="0"/>
                <w:color w:val="000000"/>
                <w:sz w:val="20"/>
                <w:szCs w:val="20"/>
                <w:lang w:val="ro-MD"/>
              </w:rPr>
              <w:t>ională: profit (pierdere)</w:t>
            </w:r>
          </w:p>
        </w:tc>
        <w:tc>
          <w:tcPr>
            <w:tcW w:w="1271" w:type="dxa"/>
            <w:hideMark/>
          </w:tcPr>
          <w:p w14:paraId="33A69EC0"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33,9</w:t>
            </w:r>
          </w:p>
        </w:tc>
        <w:tc>
          <w:tcPr>
            <w:tcW w:w="1413" w:type="dxa"/>
            <w:hideMark/>
          </w:tcPr>
          <w:p w14:paraId="1A24EDFD"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-34,8</w:t>
            </w:r>
          </w:p>
        </w:tc>
        <w:tc>
          <w:tcPr>
            <w:tcW w:w="1129" w:type="dxa"/>
            <w:noWrap/>
            <w:hideMark/>
          </w:tcPr>
          <w:p w14:paraId="15CACC45"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-68,7</w:t>
            </w:r>
          </w:p>
        </w:tc>
      </w:tr>
      <w:tr w:rsidR="00012402" w:rsidRPr="00B13B9A" w14:paraId="09E97505" w14:textId="77777777" w:rsidTr="00A51C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hideMark/>
          </w:tcPr>
          <w:p w14:paraId="65D29FAD" w14:textId="77777777" w:rsidR="00012402" w:rsidRPr="00B13B9A" w:rsidRDefault="00012402" w:rsidP="00A51C46">
            <w:pPr>
              <w:rPr>
                <w:rFonts w:asciiTheme="majorHAnsi" w:eastAsia="Times New Roman" w:hAnsiTheme="majorHAnsi" w:cstheme="majorHAnsi"/>
                <w:b w:val="0"/>
                <w:bCs w:val="0"/>
                <w:color w:val="000000"/>
                <w:sz w:val="20"/>
                <w:szCs w:val="20"/>
                <w:lang w:val="ro-MD"/>
              </w:rPr>
            </w:pPr>
            <w:r w:rsidRPr="00B13B9A">
              <w:rPr>
                <w:rFonts w:asciiTheme="majorHAnsi" w:eastAsia="Times New Roman" w:hAnsiTheme="majorHAnsi" w:cstheme="majorHAnsi"/>
                <w:caps w:val="0"/>
                <w:color w:val="000000"/>
                <w:sz w:val="20"/>
                <w:szCs w:val="20"/>
                <w:lang w:val="ro-MD"/>
              </w:rPr>
              <w:t>Venituri financiare, total</w:t>
            </w:r>
          </w:p>
        </w:tc>
        <w:tc>
          <w:tcPr>
            <w:tcW w:w="1271" w:type="dxa"/>
            <w:hideMark/>
          </w:tcPr>
          <w:p w14:paraId="5C449EBD"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236,7</w:t>
            </w:r>
          </w:p>
        </w:tc>
        <w:tc>
          <w:tcPr>
            <w:tcW w:w="1413" w:type="dxa"/>
            <w:hideMark/>
          </w:tcPr>
          <w:p w14:paraId="4F8AB245"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548,8</w:t>
            </w:r>
          </w:p>
        </w:tc>
        <w:tc>
          <w:tcPr>
            <w:tcW w:w="1129" w:type="dxa"/>
            <w:noWrap/>
            <w:hideMark/>
          </w:tcPr>
          <w:p w14:paraId="16E5D357"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312,1</w:t>
            </w:r>
          </w:p>
        </w:tc>
      </w:tr>
      <w:tr w:rsidR="00012402" w:rsidRPr="00B13B9A" w14:paraId="357A194D" w14:textId="77777777" w:rsidTr="00A51C46">
        <w:trPr>
          <w:trHeight w:val="20"/>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hideMark/>
          </w:tcPr>
          <w:p w14:paraId="5C3AEE12" w14:textId="77777777" w:rsidR="00012402" w:rsidRPr="00B13B9A" w:rsidRDefault="00012402" w:rsidP="00A51C46">
            <w:pPr>
              <w:rPr>
                <w:rFonts w:asciiTheme="majorHAnsi" w:eastAsia="Times New Roman" w:hAnsiTheme="majorHAnsi" w:cstheme="majorHAnsi"/>
                <w:b w:val="0"/>
                <w:bCs w:val="0"/>
                <w:color w:val="000000"/>
                <w:sz w:val="20"/>
                <w:szCs w:val="20"/>
                <w:lang w:val="ro-MD"/>
              </w:rPr>
            </w:pPr>
            <w:r w:rsidRPr="00B13B9A">
              <w:rPr>
                <w:rFonts w:asciiTheme="majorHAnsi" w:eastAsia="Times New Roman" w:hAnsiTheme="majorHAnsi" w:cstheme="majorHAnsi"/>
                <w:caps w:val="0"/>
                <w:color w:val="000000"/>
                <w:sz w:val="20"/>
                <w:szCs w:val="20"/>
                <w:lang w:val="ro-MD"/>
              </w:rPr>
              <w:t>Cheltuieli financiare, total</w:t>
            </w:r>
          </w:p>
        </w:tc>
        <w:tc>
          <w:tcPr>
            <w:tcW w:w="1271" w:type="dxa"/>
            <w:hideMark/>
          </w:tcPr>
          <w:p w14:paraId="5BCC1DA7"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297,6</w:t>
            </w:r>
          </w:p>
        </w:tc>
        <w:tc>
          <w:tcPr>
            <w:tcW w:w="1413" w:type="dxa"/>
            <w:hideMark/>
          </w:tcPr>
          <w:p w14:paraId="409A65D6"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514,0</w:t>
            </w:r>
          </w:p>
        </w:tc>
        <w:tc>
          <w:tcPr>
            <w:tcW w:w="1129" w:type="dxa"/>
            <w:noWrap/>
            <w:hideMark/>
          </w:tcPr>
          <w:p w14:paraId="7E41983B"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216,4</w:t>
            </w:r>
          </w:p>
        </w:tc>
      </w:tr>
      <w:tr w:rsidR="00012402" w:rsidRPr="00B13B9A" w14:paraId="0229D9D8" w14:textId="77777777" w:rsidTr="00A51C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hideMark/>
          </w:tcPr>
          <w:p w14:paraId="28298135" w14:textId="77777777" w:rsidR="00012402" w:rsidRPr="00B13B9A" w:rsidRDefault="00012402" w:rsidP="00A51C46">
            <w:pPr>
              <w:rPr>
                <w:rFonts w:asciiTheme="majorHAnsi" w:eastAsia="Times New Roman" w:hAnsiTheme="majorHAnsi" w:cstheme="majorHAnsi"/>
                <w:b w:val="0"/>
                <w:bCs w:val="0"/>
                <w:color w:val="000000"/>
                <w:sz w:val="20"/>
                <w:szCs w:val="20"/>
                <w:lang w:val="ro-MD"/>
              </w:rPr>
            </w:pPr>
            <w:r w:rsidRPr="00B13B9A">
              <w:rPr>
                <w:rFonts w:asciiTheme="majorHAnsi" w:eastAsia="Times New Roman" w:hAnsiTheme="majorHAnsi" w:cstheme="majorHAnsi"/>
                <w:caps w:val="0"/>
                <w:color w:val="000000"/>
                <w:sz w:val="20"/>
                <w:szCs w:val="20"/>
                <w:lang w:val="ro-MD"/>
              </w:rPr>
              <w:t>Rezultatul: profit (pierdere) financiar(a)</w:t>
            </w:r>
          </w:p>
        </w:tc>
        <w:tc>
          <w:tcPr>
            <w:tcW w:w="1271" w:type="dxa"/>
            <w:hideMark/>
          </w:tcPr>
          <w:p w14:paraId="5B4E86C0"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33,9</w:t>
            </w:r>
          </w:p>
        </w:tc>
        <w:tc>
          <w:tcPr>
            <w:tcW w:w="1413" w:type="dxa"/>
            <w:hideMark/>
          </w:tcPr>
          <w:p w14:paraId="6E944BF0"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34,8</w:t>
            </w:r>
          </w:p>
        </w:tc>
        <w:tc>
          <w:tcPr>
            <w:tcW w:w="1129" w:type="dxa"/>
            <w:noWrap/>
            <w:hideMark/>
          </w:tcPr>
          <w:p w14:paraId="4A322E5F"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0,9</w:t>
            </w:r>
          </w:p>
        </w:tc>
      </w:tr>
      <w:tr w:rsidR="00012402" w:rsidRPr="00B13B9A" w14:paraId="75A443EB" w14:textId="77777777" w:rsidTr="00A51C46">
        <w:trPr>
          <w:trHeight w:val="20"/>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hideMark/>
          </w:tcPr>
          <w:p w14:paraId="1A96D317" w14:textId="58FCBACA" w:rsidR="00012402" w:rsidRPr="00B13B9A" w:rsidRDefault="00012402" w:rsidP="00A51C46">
            <w:pPr>
              <w:rPr>
                <w:rFonts w:asciiTheme="majorHAnsi" w:eastAsia="Times New Roman" w:hAnsiTheme="majorHAnsi" w:cstheme="majorHAnsi"/>
                <w:b w:val="0"/>
                <w:bCs w:val="0"/>
                <w:color w:val="000000"/>
                <w:sz w:val="20"/>
                <w:szCs w:val="20"/>
                <w:lang w:val="ro-MD"/>
              </w:rPr>
            </w:pPr>
            <w:r w:rsidRPr="00B13B9A">
              <w:rPr>
                <w:rFonts w:asciiTheme="majorHAnsi" w:eastAsia="Times New Roman" w:hAnsiTheme="majorHAnsi" w:cstheme="majorHAnsi"/>
                <w:caps w:val="0"/>
                <w:color w:val="000000"/>
                <w:sz w:val="20"/>
                <w:szCs w:val="20"/>
                <w:lang w:val="ro-MD"/>
              </w:rPr>
              <w:t>Rezultatul din alte activită</w:t>
            </w:r>
            <w:r w:rsidR="00B13B9A" w:rsidRPr="00B13B9A">
              <w:rPr>
                <w:rFonts w:asciiTheme="majorHAnsi" w:eastAsia="Times New Roman" w:hAnsiTheme="majorHAnsi" w:cstheme="majorHAnsi"/>
                <w:caps w:val="0"/>
                <w:color w:val="000000"/>
                <w:sz w:val="20"/>
                <w:szCs w:val="20"/>
                <w:lang w:val="ro-MD"/>
              </w:rPr>
              <w:t>ț</w:t>
            </w:r>
            <w:r w:rsidRPr="00B13B9A">
              <w:rPr>
                <w:rFonts w:asciiTheme="majorHAnsi" w:eastAsia="Times New Roman" w:hAnsiTheme="majorHAnsi" w:cstheme="majorHAnsi"/>
                <w:caps w:val="0"/>
                <w:color w:val="000000"/>
                <w:sz w:val="20"/>
                <w:szCs w:val="20"/>
                <w:lang w:val="ro-MD"/>
              </w:rPr>
              <w:t>i: profit (pierdere)</w:t>
            </w:r>
          </w:p>
        </w:tc>
        <w:tc>
          <w:tcPr>
            <w:tcW w:w="1271" w:type="dxa"/>
            <w:hideMark/>
          </w:tcPr>
          <w:p w14:paraId="272CE5DD"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-33,9</w:t>
            </w:r>
          </w:p>
        </w:tc>
        <w:tc>
          <w:tcPr>
            <w:tcW w:w="1413" w:type="dxa"/>
            <w:hideMark/>
          </w:tcPr>
          <w:p w14:paraId="007B04DD"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34,8</w:t>
            </w:r>
          </w:p>
        </w:tc>
        <w:tc>
          <w:tcPr>
            <w:tcW w:w="1129" w:type="dxa"/>
            <w:noWrap/>
            <w:hideMark/>
          </w:tcPr>
          <w:p w14:paraId="0A7640E5"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68,7</w:t>
            </w:r>
          </w:p>
        </w:tc>
      </w:tr>
      <w:tr w:rsidR="00012402" w:rsidRPr="00B13B9A" w14:paraId="672FC97D" w14:textId="77777777" w:rsidTr="00A51C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hideMark/>
          </w:tcPr>
          <w:p w14:paraId="39CE7297" w14:textId="77777777" w:rsidR="00012402" w:rsidRPr="00B13B9A" w:rsidRDefault="00012402" w:rsidP="00A51C46">
            <w:pPr>
              <w:rPr>
                <w:rFonts w:asciiTheme="majorHAnsi" w:eastAsia="Times New Roman" w:hAnsiTheme="majorHAnsi" w:cstheme="majorHAnsi"/>
                <w:b w:val="0"/>
                <w:bCs w:val="0"/>
                <w:color w:val="000000"/>
                <w:sz w:val="20"/>
                <w:szCs w:val="20"/>
                <w:lang w:val="ro-MD"/>
              </w:rPr>
            </w:pPr>
            <w:r w:rsidRPr="00B13B9A">
              <w:rPr>
                <w:rFonts w:asciiTheme="majorHAnsi" w:eastAsia="Times New Roman" w:hAnsiTheme="majorHAnsi" w:cstheme="majorHAnsi"/>
                <w:caps w:val="0"/>
                <w:color w:val="000000"/>
                <w:sz w:val="20"/>
                <w:szCs w:val="20"/>
                <w:lang w:val="ro-MD"/>
              </w:rPr>
              <w:t>Profit (pierdere) pînă la impozitare</w:t>
            </w:r>
          </w:p>
        </w:tc>
        <w:tc>
          <w:tcPr>
            <w:tcW w:w="1271" w:type="dxa"/>
            <w:hideMark/>
          </w:tcPr>
          <w:p w14:paraId="400ECF6A"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0,0</w:t>
            </w:r>
          </w:p>
        </w:tc>
        <w:tc>
          <w:tcPr>
            <w:tcW w:w="1413" w:type="dxa"/>
            <w:hideMark/>
          </w:tcPr>
          <w:p w14:paraId="1337F711"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0,0</w:t>
            </w:r>
          </w:p>
        </w:tc>
        <w:tc>
          <w:tcPr>
            <w:tcW w:w="1129" w:type="dxa"/>
            <w:noWrap/>
            <w:hideMark/>
          </w:tcPr>
          <w:p w14:paraId="650E0DAE"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0,0</w:t>
            </w:r>
          </w:p>
        </w:tc>
      </w:tr>
      <w:tr w:rsidR="00012402" w:rsidRPr="00B13B9A" w14:paraId="5134B9A8" w14:textId="77777777" w:rsidTr="00A51C46">
        <w:trPr>
          <w:trHeight w:val="20"/>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hideMark/>
          </w:tcPr>
          <w:p w14:paraId="2F51B53A" w14:textId="77777777" w:rsidR="00012402" w:rsidRPr="00B13B9A" w:rsidRDefault="00012402" w:rsidP="00A51C46">
            <w:pPr>
              <w:rPr>
                <w:rFonts w:asciiTheme="majorHAnsi" w:eastAsia="Times New Roman" w:hAnsiTheme="majorHAnsi" w:cstheme="majorHAnsi"/>
                <w:b w:val="0"/>
                <w:bCs w:val="0"/>
                <w:color w:val="000000"/>
                <w:sz w:val="20"/>
                <w:szCs w:val="20"/>
                <w:lang w:val="ro-MD"/>
              </w:rPr>
            </w:pPr>
            <w:r w:rsidRPr="00B13B9A">
              <w:rPr>
                <w:rFonts w:asciiTheme="majorHAnsi" w:eastAsia="Times New Roman" w:hAnsiTheme="majorHAnsi" w:cstheme="majorHAnsi"/>
                <w:caps w:val="0"/>
                <w:color w:val="000000"/>
                <w:sz w:val="20"/>
                <w:szCs w:val="20"/>
                <w:lang w:val="ro-MD"/>
              </w:rPr>
              <w:t>Profit net (pierdere neta)</w:t>
            </w:r>
          </w:p>
        </w:tc>
        <w:tc>
          <w:tcPr>
            <w:tcW w:w="1271" w:type="dxa"/>
            <w:hideMark/>
          </w:tcPr>
          <w:p w14:paraId="6CA22C5D"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0,0</w:t>
            </w:r>
          </w:p>
        </w:tc>
        <w:tc>
          <w:tcPr>
            <w:tcW w:w="1413" w:type="dxa"/>
            <w:hideMark/>
          </w:tcPr>
          <w:p w14:paraId="248CD1C4"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0,0</w:t>
            </w:r>
          </w:p>
        </w:tc>
        <w:tc>
          <w:tcPr>
            <w:tcW w:w="1129" w:type="dxa"/>
            <w:noWrap/>
            <w:hideMark/>
          </w:tcPr>
          <w:p w14:paraId="495807EC"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0,0</w:t>
            </w:r>
          </w:p>
        </w:tc>
      </w:tr>
    </w:tbl>
    <w:p w14:paraId="6C2E8E7C" w14:textId="77777777" w:rsidR="00A51C46" w:rsidRDefault="00012402" w:rsidP="00A51C46">
      <w:pPr>
        <w:pStyle w:val="a7"/>
        <w:tabs>
          <w:tab w:val="left" w:pos="6946"/>
        </w:tabs>
        <w:spacing w:after="0" w:line="240" w:lineRule="auto"/>
        <w:ind w:left="0"/>
        <w:rPr>
          <w:rFonts w:asciiTheme="majorHAnsi" w:hAnsiTheme="majorHAnsi" w:cstheme="majorHAnsi"/>
          <w:i/>
          <w:sz w:val="20"/>
          <w:szCs w:val="20"/>
          <w:lang w:val="ro-MD"/>
        </w:rPr>
        <w:sectPr w:rsidR="00A51C46" w:rsidSect="00DB333D">
          <w:pgSz w:w="12240" w:h="15840"/>
          <w:pgMar w:top="851" w:right="758" w:bottom="1134" w:left="1701" w:header="708" w:footer="708" w:gutter="0"/>
          <w:cols w:space="708"/>
          <w:titlePg/>
          <w:docGrid w:linePitch="360"/>
        </w:sectPr>
      </w:pPr>
      <w:r w:rsidRPr="00B13B9A">
        <w:rPr>
          <w:rFonts w:asciiTheme="majorHAnsi" w:hAnsiTheme="majorHAnsi" w:cstheme="majorHAnsi"/>
          <w:b/>
          <w:i/>
          <w:sz w:val="20"/>
          <w:szCs w:val="20"/>
          <w:lang w:val="ro-MD"/>
        </w:rPr>
        <w:t xml:space="preserve">Sursă: </w:t>
      </w:r>
      <w:r w:rsidRPr="00B13B9A">
        <w:rPr>
          <w:rFonts w:asciiTheme="majorHAnsi" w:hAnsiTheme="majorHAnsi" w:cstheme="majorHAnsi"/>
          <w:i/>
          <w:sz w:val="20"/>
          <w:szCs w:val="20"/>
          <w:lang w:val="ro-MD"/>
        </w:rPr>
        <w:t>Situa</w:t>
      </w:r>
      <w:r w:rsidR="00B13B9A" w:rsidRPr="00B13B9A">
        <w:rPr>
          <w:rFonts w:asciiTheme="majorHAnsi" w:hAnsiTheme="majorHAnsi" w:cstheme="majorHAnsi"/>
          <w:i/>
          <w:sz w:val="20"/>
          <w:szCs w:val="20"/>
          <w:lang w:val="ro-MD"/>
        </w:rPr>
        <w:t>ț</w:t>
      </w:r>
      <w:r w:rsidRPr="00B13B9A">
        <w:rPr>
          <w:rFonts w:asciiTheme="majorHAnsi" w:hAnsiTheme="majorHAnsi" w:cstheme="majorHAnsi"/>
          <w:i/>
          <w:sz w:val="20"/>
          <w:szCs w:val="20"/>
          <w:lang w:val="ro-MD"/>
        </w:rPr>
        <w:t xml:space="preserve">ia de profit </w:t>
      </w:r>
      <w:r w:rsidR="00B13B9A" w:rsidRPr="00B13B9A">
        <w:rPr>
          <w:rFonts w:asciiTheme="majorHAnsi" w:hAnsiTheme="majorHAnsi" w:cstheme="majorHAnsi"/>
          <w:i/>
          <w:sz w:val="20"/>
          <w:szCs w:val="20"/>
          <w:lang w:val="ro-MD"/>
        </w:rPr>
        <w:t>ș</w:t>
      </w:r>
      <w:r w:rsidRPr="00B13B9A">
        <w:rPr>
          <w:rFonts w:asciiTheme="majorHAnsi" w:hAnsiTheme="majorHAnsi" w:cstheme="majorHAnsi"/>
          <w:i/>
          <w:sz w:val="20"/>
          <w:szCs w:val="20"/>
          <w:lang w:val="ro-MD"/>
        </w:rPr>
        <w:t xml:space="preserve">i pierdere pe anii 2021 </w:t>
      </w:r>
      <w:r w:rsidR="00B13B9A" w:rsidRPr="00B13B9A">
        <w:rPr>
          <w:rFonts w:asciiTheme="majorHAnsi" w:hAnsiTheme="majorHAnsi" w:cstheme="majorHAnsi"/>
          <w:i/>
          <w:sz w:val="20"/>
          <w:szCs w:val="20"/>
          <w:lang w:val="ro-MD"/>
        </w:rPr>
        <w:t>ș</w:t>
      </w:r>
      <w:r w:rsidRPr="00B13B9A">
        <w:rPr>
          <w:rFonts w:asciiTheme="majorHAnsi" w:hAnsiTheme="majorHAnsi" w:cstheme="majorHAnsi"/>
          <w:i/>
          <w:sz w:val="20"/>
          <w:szCs w:val="20"/>
          <w:lang w:val="ro-MD"/>
        </w:rPr>
        <w:t xml:space="preserve">i 2022  </w:t>
      </w:r>
    </w:p>
    <w:p w14:paraId="5EE7987E" w14:textId="77777777" w:rsidR="004C01B3" w:rsidRPr="00B13B9A" w:rsidRDefault="00C47D23" w:rsidP="00764FE8">
      <w:pPr>
        <w:pStyle w:val="3"/>
        <w:jc w:val="right"/>
        <w:rPr>
          <w:rFonts w:cstheme="majorHAnsi"/>
          <w:b/>
          <w:iCs/>
          <w:color w:val="auto"/>
        </w:rPr>
      </w:pPr>
      <w:bookmarkStart w:id="59" w:name="_Toc158317261"/>
      <w:r w:rsidRPr="00B13B9A">
        <w:rPr>
          <w:rFonts w:cstheme="majorHAnsi"/>
          <w:b/>
          <w:iCs/>
          <w:color w:val="auto"/>
        </w:rPr>
        <w:t xml:space="preserve">Anexa nr. </w:t>
      </w:r>
      <w:r w:rsidR="00782BD2" w:rsidRPr="00B13B9A">
        <w:rPr>
          <w:rFonts w:cstheme="majorHAnsi"/>
          <w:b/>
          <w:iCs/>
          <w:color w:val="auto"/>
        </w:rPr>
        <w:t>7</w:t>
      </w:r>
      <w:bookmarkEnd w:id="59"/>
    </w:p>
    <w:p w14:paraId="75D1F08A" w14:textId="3D09CCA0" w:rsidR="00782BD2" w:rsidRPr="00B13B9A" w:rsidRDefault="00782BD2" w:rsidP="00782BD2">
      <w:pPr>
        <w:spacing w:after="0" w:line="240" w:lineRule="auto"/>
        <w:jc w:val="center"/>
        <w:rPr>
          <w:rFonts w:asciiTheme="majorHAnsi" w:hAnsiTheme="majorHAnsi" w:cstheme="majorHAnsi"/>
          <w:b/>
          <w:iCs/>
          <w:sz w:val="24"/>
          <w:szCs w:val="24"/>
          <w:lang w:val="ro-MD"/>
        </w:rPr>
      </w:pPr>
      <w:r w:rsidRPr="00B13B9A">
        <w:rPr>
          <w:rFonts w:asciiTheme="majorHAnsi" w:hAnsiTheme="majorHAnsi" w:cstheme="majorHAnsi"/>
          <w:b/>
          <w:iCs/>
          <w:sz w:val="24"/>
          <w:szCs w:val="24"/>
          <w:lang w:val="ro-MD"/>
        </w:rPr>
        <w:t>Bilan</w:t>
      </w:r>
      <w:r w:rsidR="00B13B9A" w:rsidRPr="00B13B9A">
        <w:rPr>
          <w:rFonts w:asciiTheme="majorHAnsi" w:hAnsiTheme="majorHAnsi" w:cstheme="majorHAnsi"/>
          <w:b/>
          <w:iCs/>
          <w:sz w:val="24"/>
          <w:szCs w:val="24"/>
          <w:lang w:val="ro-MD"/>
        </w:rPr>
        <w:t>ț</w:t>
      </w:r>
      <w:r w:rsidRPr="00B13B9A">
        <w:rPr>
          <w:rFonts w:asciiTheme="majorHAnsi" w:hAnsiTheme="majorHAnsi" w:cstheme="majorHAnsi"/>
          <w:b/>
          <w:iCs/>
          <w:sz w:val="24"/>
          <w:szCs w:val="24"/>
          <w:lang w:val="ro-MD"/>
        </w:rPr>
        <w:t>ul contabil</w:t>
      </w:r>
      <w:r w:rsidR="005728AB" w:rsidRPr="00B13B9A">
        <w:rPr>
          <w:rFonts w:asciiTheme="majorHAnsi" w:hAnsiTheme="majorHAnsi" w:cstheme="majorHAnsi"/>
          <w:b/>
          <w:iCs/>
          <w:sz w:val="24"/>
          <w:szCs w:val="24"/>
          <w:lang w:val="ro-MD"/>
        </w:rPr>
        <w:t xml:space="preserve"> </w:t>
      </w:r>
      <w:r w:rsidR="005728AB" w:rsidRPr="00B13B9A">
        <w:rPr>
          <w:rFonts w:asciiTheme="majorHAnsi" w:hAnsiTheme="majorHAnsi" w:cstheme="majorHAnsi"/>
          <w:b/>
          <w:sz w:val="24"/>
          <w:szCs w:val="24"/>
          <w:lang w:val="ro-MD"/>
        </w:rPr>
        <w:t xml:space="preserve">al </w:t>
      </w:r>
      <w:r w:rsidR="005728AB" w:rsidRPr="00B13B9A">
        <w:rPr>
          <w:rFonts w:asciiTheme="majorHAnsi" w:hAnsiTheme="majorHAnsi" w:cstheme="majorHAnsi"/>
          <w:b/>
          <w:color w:val="000000" w:themeColor="text1"/>
          <w:sz w:val="24"/>
          <w:szCs w:val="24"/>
          <w:lang w:val="ro-MD"/>
        </w:rPr>
        <w:t xml:space="preserve">IMSP IFP </w:t>
      </w:r>
      <w:r w:rsidR="005728AB" w:rsidRPr="00B13B9A">
        <w:rPr>
          <w:rFonts w:asciiTheme="majorHAnsi" w:hAnsiTheme="majorHAnsi" w:cstheme="majorHAnsi"/>
          <w:b/>
          <w:sz w:val="24"/>
          <w:szCs w:val="24"/>
          <w:lang w:val="ro-MD"/>
        </w:rPr>
        <w:t>„Chiril Draganiuc” pe anii 2021 -2022</w:t>
      </w:r>
    </w:p>
    <w:tbl>
      <w:tblPr>
        <w:tblW w:w="9918" w:type="dxa"/>
        <w:tblLayout w:type="fixed"/>
        <w:tblLook w:val="04A0" w:firstRow="1" w:lastRow="0" w:firstColumn="1" w:lastColumn="0" w:noHBand="0" w:noVBand="1"/>
      </w:tblPr>
      <w:tblGrid>
        <w:gridCol w:w="3681"/>
        <w:gridCol w:w="1418"/>
        <w:gridCol w:w="1417"/>
        <w:gridCol w:w="11"/>
        <w:gridCol w:w="1407"/>
        <w:gridCol w:w="11"/>
        <w:gridCol w:w="1123"/>
        <w:gridCol w:w="11"/>
        <w:gridCol w:w="839"/>
      </w:tblGrid>
      <w:tr w:rsidR="004C01B3" w:rsidRPr="00B13B9A" w14:paraId="226448A4" w14:textId="77777777" w:rsidTr="00A51C46">
        <w:trPr>
          <w:trHeight w:val="20"/>
        </w:trPr>
        <w:tc>
          <w:tcPr>
            <w:tcW w:w="36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05C503" w14:textId="77777777" w:rsidR="004C01B3" w:rsidRPr="00B13B9A" w:rsidRDefault="004C01B3" w:rsidP="004C01B3">
            <w:pPr>
              <w:spacing w:after="0" w:line="240" w:lineRule="auto"/>
              <w:jc w:val="center"/>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A C T I V</w:t>
            </w:r>
          </w:p>
        </w:tc>
        <w:tc>
          <w:tcPr>
            <w:tcW w:w="4264" w:type="dxa"/>
            <w:gridSpan w:val="5"/>
            <w:tcBorders>
              <w:top w:val="single" w:sz="4" w:space="0" w:color="auto"/>
              <w:left w:val="nil"/>
              <w:bottom w:val="single" w:sz="4" w:space="0" w:color="auto"/>
              <w:right w:val="single" w:sz="4" w:space="0" w:color="auto"/>
            </w:tcBorders>
            <w:shd w:val="clear" w:color="auto" w:fill="auto"/>
            <w:vAlign w:val="center"/>
            <w:hideMark/>
          </w:tcPr>
          <w:p w14:paraId="0263C6B5" w14:textId="77777777" w:rsidR="004C01B3" w:rsidRPr="00B13B9A" w:rsidRDefault="004C01B3" w:rsidP="004C01B3">
            <w:pPr>
              <w:spacing w:after="0" w:line="240" w:lineRule="auto"/>
              <w:jc w:val="center"/>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Sold</w:t>
            </w:r>
          </w:p>
        </w:tc>
        <w:tc>
          <w:tcPr>
            <w:tcW w:w="1973" w:type="dxa"/>
            <w:gridSpan w:val="3"/>
            <w:tcBorders>
              <w:top w:val="single" w:sz="4" w:space="0" w:color="auto"/>
              <w:left w:val="nil"/>
              <w:bottom w:val="single" w:sz="4" w:space="0" w:color="auto"/>
              <w:right w:val="single" w:sz="4" w:space="0" w:color="000000"/>
            </w:tcBorders>
            <w:shd w:val="clear" w:color="auto" w:fill="auto"/>
            <w:vAlign w:val="center"/>
            <w:hideMark/>
          </w:tcPr>
          <w:p w14:paraId="48CAAD39" w14:textId="0DA3E0CE" w:rsidR="004C01B3" w:rsidRPr="00B13B9A" w:rsidRDefault="004C01B3" w:rsidP="004C01B3">
            <w:pPr>
              <w:spacing w:after="0" w:line="240" w:lineRule="auto"/>
              <w:jc w:val="center"/>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Devieri</w:t>
            </w:r>
            <w:r w:rsidR="00A51C46">
              <w:rPr>
                <w:rFonts w:asciiTheme="majorHAnsi" w:eastAsia="Times New Roman" w:hAnsiTheme="majorHAnsi" w:cstheme="majorHAnsi"/>
                <w:b/>
                <w:bCs/>
                <w:sz w:val="18"/>
                <w:szCs w:val="18"/>
                <w:lang w:val="ro-MD"/>
              </w:rPr>
              <w:t xml:space="preserve"> </w:t>
            </w:r>
            <w:r w:rsidR="00A51C46" w:rsidRPr="00B13B9A">
              <w:rPr>
                <w:rFonts w:asciiTheme="majorHAnsi" w:eastAsia="Times New Roman" w:hAnsiTheme="majorHAnsi" w:cstheme="majorHAnsi"/>
                <w:b/>
                <w:bCs/>
                <w:sz w:val="18"/>
                <w:szCs w:val="18"/>
                <w:lang w:val="ro-MD"/>
              </w:rPr>
              <w:t>2022/2021</w:t>
            </w:r>
          </w:p>
        </w:tc>
      </w:tr>
      <w:tr w:rsidR="004C01B3" w:rsidRPr="00B13B9A" w14:paraId="4C19D5EE" w14:textId="77777777" w:rsidTr="00A51C46">
        <w:trPr>
          <w:trHeight w:val="20"/>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7C437964"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p>
        </w:tc>
        <w:tc>
          <w:tcPr>
            <w:tcW w:w="1418" w:type="dxa"/>
            <w:tcBorders>
              <w:top w:val="nil"/>
              <w:left w:val="nil"/>
              <w:bottom w:val="single" w:sz="4" w:space="0" w:color="auto"/>
              <w:right w:val="single" w:sz="4" w:space="0" w:color="auto"/>
            </w:tcBorders>
            <w:shd w:val="clear" w:color="auto" w:fill="auto"/>
            <w:vAlign w:val="center"/>
            <w:hideMark/>
          </w:tcPr>
          <w:p w14:paraId="4394EBE9" w14:textId="77777777" w:rsidR="004C01B3" w:rsidRPr="00B13B9A" w:rsidRDefault="004C01B3" w:rsidP="004C01B3">
            <w:pPr>
              <w:spacing w:after="0" w:line="240" w:lineRule="auto"/>
              <w:jc w:val="center"/>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01.01.2012</w:t>
            </w:r>
          </w:p>
        </w:tc>
        <w:tc>
          <w:tcPr>
            <w:tcW w:w="1417" w:type="dxa"/>
            <w:tcBorders>
              <w:top w:val="nil"/>
              <w:left w:val="nil"/>
              <w:bottom w:val="single" w:sz="4" w:space="0" w:color="auto"/>
              <w:right w:val="single" w:sz="4" w:space="0" w:color="auto"/>
            </w:tcBorders>
            <w:shd w:val="clear" w:color="auto" w:fill="auto"/>
            <w:vAlign w:val="center"/>
            <w:hideMark/>
          </w:tcPr>
          <w:p w14:paraId="432B29C7" w14:textId="77777777" w:rsidR="004C01B3" w:rsidRPr="00B13B9A" w:rsidRDefault="004C01B3" w:rsidP="004C01B3">
            <w:pPr>
              <w:spacing w:after="0" w:line="240" w:lineRule="auto"/>
              <w:jc w:val="center"/>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31.12.2021</w:t>
            </w:r>
          </w:p>
        </w:tc>
        <w:tc>
          <w:tcPr>
            <w:tcW w:w="1418" w:type="dxa"/>
            <w:gridSpan w:val="2"/>
            <w:tcBorders>
              <w:top w:val="nil"/>
              <w:left w:val="nil"/>
              <w:bottom w:val="single" w:sz="4" w:space="0" w:color="auto"/>
              <w:right w:val="single" w:sz="4" w:space="0" w:color="auto"/>
            </w:tcBorders>
            <w:shd w:val="clear" w:color="auto" w:fill="auto"/>
            <w:vAlign w:val="center"/>
            <w:hideMark/>
          </w:tcPr>
          <w:p w14:paraId="69EE92DA" w14:textId="77777777" w:rsidR="004C01B3" w:rsidRPr="00B13B9A" w:rsidRDefault="004C01B3" w:rsidP="004C01B3">
            <w:pPr>
              <w:spacing w:after="0" w:line="240" w:lineRule="auto"/>
              <w:jc w:val="center"/>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31.12.2022</w:t>
            </w:r>
          </w:p>
        </w:tc>
        <w:tc>
          <w:tcPr>
            <w:tcW w:w="1134" w:type="dxa"/>
            <w:gridSpan w:val="2"/>
            <w:tcBorders>
              <w:top w:val="nil"/>
              <w:left w:val="nil"/>
              <w:bottom w:val="single" w:sz="4" w:space="0" w:color="auto"/>
              <w:right w:val="single" w:sz="4" w:space="0" w:color="auto"/>
            </w:tcBorders>
            <w:shd w:val="clear" w:color="auto" w:fill="auto"/>
            <w:vAlign w:val="center"/>
            <w:hideMark/>
          </w:tcPr>
          <w:p w14:paraId="0084B40E" w14:textId="08BEBB63" w:rsidR="004C01B3" w:rsidRPr="00B13B9A" w:rsidRDefault="004C01B3" w:rsidP="004C01B3">
            <w:pPr>
              <w:spacing w:after="0" w:line="240" w:lineRule="auto"/>
              <w:jc w:val="center"/>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lei</w:t>
            </w:r>
          </w:p>
        </w:tc>
        <w:tc>
          <w:tcPr>
            <w:tcW w:w="850" w:type="dxa"/>
            <w:gridSpan w:val="2"/>
            <w:tcBorders>
              <w:top w:val="nil"/>
              <w:left w:val="nil"/>
              <w:bottom w:val="single" w:sz="4" w:space="0" w:color="auto"/>
              <w:right w:val="single" w:sz="4" w:space="0" w:color="auto"/>
            </w:tcBorders>
            <w:shd w:val="clear" w:color="auto" w:fill="auto"/>
            <w:vAlign w:val="center"/>
            <w:hideMark/>
          </w:tcPr>
          <w:p w14:paraId="7DFC1E0D" w14:textId="4997D107" w:rsidR="004C01B3" w:rsidRPr="00B13B9A" w:rsidRDefault="004C01B3" w:rsidP="004C01B3">
            <w:pPr>
              <w:spacing w:after="0" w:line="240" w:lineRule="auto"/>
              <w:jc w:val="center"/>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w:t>
            </w:r>
          </w:p>
        </w:tc>
      </w:tr>
      <w:tr w:rsidR="004C01B3" w:rsidRPr="00B13B9A" w14:paraId="4BE9BF11"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1630DE8F" w14:textId="708542CB" w:rsidR="004C01B3" w:rsidRPr="00B13B9A" w:rsidRDefault="00A51C46" w:rsidP="004C01B3">
            <w:pPr>
              <w:spacing w:after="0" w:line="240" w:lineRule="auto"/>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1</w:t>
            </w:r>
          </w:p>
        </w:tc>
        <w:tc>
          <w:tcPr>
            <w:tcW w:w="1418" w:type="dxa"/>
            <w:tcBorders>
              <w:top w:val="nil"/>
              <w:left w:val="nil"/>
              <w:bottom w:val="single" w:sz="4" w:space="0" w:color="auto"/>
              <w:right w:val="single" w:sz="4" w:space="0" w:color="auto"/>
            </w:tcBorders>
            <w:shd w:val="clear" w:color="auto" w:fill="auto"/>
            <w:noWrap/>
            <w:vAlign w:val="center"/>
            <w:hideMark/>
          </w:tcPr>
          <w:p w14:paraId="6BD6D848" w14:textId="065F9B61" w:rsidR="004C01B3" w:rsidRPr="00B13B9A" w:rsidRDefault="00A51C46" w:rsidP="004C01B3">
            <w:pPr>
              <w:spacing w:after="0" w:line="240" w:lineRule="auto"/>
              <w:jc w:val="center"/>
              <w:rPr>
                <w:rFonts w:asciiTheme="majorHAnsi" w:eastAsia="Times New Roman" w:hAnsiTheme="majorHAnsi" w:cstheme="majorHAnsi"/>
                <w:b/>
                <w:bCs/>
                <w:sz w:val="18"/>
                <w:szCs w:val="18"/>
                <w:lang w:val="ro-MD"/>
              </w:rPr>
            </w:pPr>
            <w:r>
              <w:rPr>
                <w:rFonts w:asciiTheme="majorHAnsi" w:eastAsia="Times New Roman" w:hAnsiTheme="majorHAnsi" w:cstheme="majorHAnsi"/>
                <w:b/>
                <w:bCs/>
                <w:sz w:val="18"/>
                <w:szCs w:val="18"/>
                <w:lang w:val="ro-MD"/>
              </w:rPr>
              <w:t>2</w:t>
            </w:r>
          </w:p>
        </w:tc>
        <w:tc>
          <w:tcPr>
            <w:tcW w:w="1417" w:type="dxa"/>
            <w:tcBorders>
              <w:top w:val="nil"/>
              <w:left w:val="nil"/>
              <w:bottom w:val="single" w:sz="4" w:space="0" w:color="auto"/>
              <w:right w:val="single" w:sz="4" w:space="0" w:color="auto"/>
            </w:tcBorders>
            <w:shd w:val="clear" w:color="auto" w:fill="auto"/>
            <w:noWrap/>
            <w:vAlign w:val="center"/>
            <w:hideMark/>
          </w:tcPr>
          <w:p w14:paraId="2C34352C" w14:textId="5DF363D6" w:rsidR="004C01B3" w:rsidRPr="00B13B9A" w:rsidRDefault="00A51C46" w:rsidP="004C01B3">
            <w:pPr>
              <w:spacing w:after="0" w:line="240" w:lineRule="auto"/>
              <w:jc w:val="center"/>
              <w:rPr>
                <w:rFonts w:asciiTheme="majorHAnsi" w:eastAsia="Times New Roman" w:hAnsiTheme="majorHAnsi" w:cstheme="majorHAnsi"/>
                <w:b/>
                <w:bCs/>
                <w:sz w:val="18"/>
                <w:szCs w:val="18"/>
                <w:lang w:val="ro-MD"/>
              </w:rPr>
            </w:pPr>
            <w:r>
              <w:rPr>
                <w:rFonts w:asciiTheme="majorHAnsi" w:eastAsia="Times New Roman" w:hAnsiTheme="majorHAnsi" w:cstheme="majorHAnsi"/>
                <w:b/>
                <w:bCs/>
                <w:sz w:val="18"/>
                <w:szCs w:val="18"/>
                <w:lang w:val="ro-MD"/>
              </w:rPr>
              <w:t>3</w:t>
            </w:r>
          </w:p>
        </w:tc>
        <w:tc>
          <w:tcPr>
            <w:tcW w:w="1418" w:type="dxa"/>
            <w:gridSpan w:val="2"/>
            <w:tcBorders>
              <w:top w:val="nil"/>
              <w:left w:val="nil"/>
              <w:bottom w:val="single" w:sz="4" w:space="0" w:color="auto"/>
              <w:right w:val="nil"/>
            </w:tcBorders>
            <w:shd w:val="clear" w:color="auto" w:fill="auto"/>
            <w:noWrap/>
            <w:vAlign w:val="center"/>
            <w:hideMark/>
          </w:tcPr>
          <w:p w14:paraId="69E8ABEE" w14:textId="32200B49" w:rsidR="004C01B3" w:rsidRPr="00B13B9A" w:rsidRDefault="00A51C46" w:rsidP="004C01B3">
            <w:pPr>
              <w:spacing w:after="0" w:line="240" w:lineRule="auto"/>
              <w:jc w:val="center"/>
              <w:rPr>
                <w:rFonts w:asciiTheme="majorHAnsi" w:eastAsia="Times New Roman" w:hAnsiTheme="majorHAnsi" w:cstheme="majorHAnsi"/>
                <w:b/>
                <w:bCs/>
                <w:sz w:val="18"/>
                <w:szCs w:val="18"/>
                <w:lang w:val="ro-MD"/>
              </w:rPr>
            </w:pPr>
            <w:r>
              <w:rPr>
                <w:rFonts w:asciiTheme="majorHAnsi" w:eastAsia="Times New Roman" w:hAnsiTheme="majorHAnsi" w:cstheme="majorHAnsi"/>
                <w:b/>
                <w:bCs/>
                <w:sz w:val="18"/>
                <w:szCs w:val="18"/>
                <w:lang w:val="ro-MD"/>
              </w:rPr>
              <w:t>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18A639" w14:textId="3CCAF8CE" w:rsidR="004C01B3" w:rsidRPr="00B13B9A" w:rsidRDefault="00A51C46" w:rsidP="00A51C46">
            <w:pPr>
              <w:spacing w:after="0" w:line="240" w:lineRule="auto"/>
              <w:jc w:val="center"/>
              <w:rPr>
                <w:rFonts w:asciiTheme="majorHAnsi" w:eastAsia="Times New Roman" w:hAnsiTheme="majorHAnsi" w:cstheme="majorHAnsi"/>
                <w:b/>
                <w:bCs/>
                <w:sz w:val="18"/>
                <w:szCs w:val="18"/>
                <w:lang w:val="ro-MD"/>
              </w:rPr>
            </w:pPr>
            <w:r>
              <w:rPr>
                <w:rFonts w:asciiTheme="majorHAnsi" w:eastAsia="Times New Roman" w:hAnsiTheme="majorHAnsi" w:cstheme="majorHAnsi"/>
                <w:b/>
                <w:bCs/>
                <w:sz w:val="18"/>
                <w:szCs w:val="18"/>
                <w:lang w:val="ro-MD"/>
              </w:rPr>
              <w:t>5</w:t>
            </w:r>
            <w:r w:rsidR="004C01B3" w:rsidRPr="00B13B9A">
              <w:rPr>
                <w:rFonts w:asciiTheme="majorHAnsi" w:eastAsia="Times New Roman" w:hAnsiTheme="majorHAnsi" w:cstheme="majorHAnsi"/>
                <w:b/>
                <w:bCs/>
                <w:sz w:val="18"/>
                <w:szCs w:val="18"/>
                <w:lang w:val="ro-MD"/>
              </w:rPr>
              <w:t>=</w:t>
            </w:r>
            <w:r>
              <w:rPr>
                <w:rFonts w:asciiTheme="majorHAnsi" w:eastAsia="Times New Roman" w:hAnsiTheme="majorHAnsi" w:cstheme="majorHAnsi"/>
                <w:b/>
                <w:bCs/>
                <w:sz w:val="18"/>
                <w:szCs w:val="18"/>
                <w:lang w:val="ro-MD"/>
              </w:rPr>
              <w:t>4</w:t>
            </w:r>
            <w:r w:rsidR="004C01B3" w:rsidRPr="00B13B9A">
              <w:rPr>
                <w:rFonts w:asciiTheme="majorHAnsi" w:eastAsia="Times New Roman" w:hAnsiTheme="majorHAnsi" w:cstheme="majorHAnsi"/>
                <w:b/>
                <w:bCs/>
                <w:sz w:val="18"/>
                <w:szCs w:val="18"/>
                <w:lang w:val="ro-MD"/>
              </w:rPr>
              <w:t>-</w:t>
            </w:r>
            <w:r>
              <w:rPr>
                <w:rFonts w:asciiTheme="majorHAnsi" w:eastAsia="Times New Roman" w:hAnsiTheme="majorHAnsi" w:cstheme="majorHAnsi"/>
                <w:b/>
                <w:bCs/>
                <w:sz w:val="18"/>
                <w:szCs w:val="18"/>
                <w:lang w:val="ro-MD"/>
              </w:rPr>
              <w:t>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2ADAD9A" w14:textId="30521ACF" w:rsidR="004C01B3" w:rsidRPr="00B13B9A" w:rsidRDefault="00A51C46" w:rsidP="00A51C46">
            <w:pPr>
              <w:spacing w:after="0" w:line="240" w:lineRule="auto"/>
              <w:jc w:val="center"/>
              <w:rPr>
                <w:rFonts w:asciiTheme="majorHAnsi" w:eastAsia="Times New Roman" w:hAnsiTheme="majorHAnsi" w:cstheme="majorHAnsi"/>
                <w:b/>
                <w:bCs/>
                <w:sz w:val="18"/>
                <w:szCs w:val="18"/>
                <w:lang w:val="ro-MD"/>
              </w:rPr>
            </w:pPr>
            <w:r>
              <w:rPr>
                <w:rFonts w:asciiTheme="majorHAnsi" w:eastAsia="Times New Roman" w:hAnsiTheme="majorHAnsi" w:cstheme="majorHAnsi"/>
                <w:b/>
                <w:bCs/>
                <w:sz w:val="18"/>
                <w:szCs w:val="18"/>
                <w:lang w:val="ro-MD"/>
              </w:rPr>
              <w:t>6</w:t>
            </w:r>
            <w:r w:rsidR="004C01B3" w:rsidRPr="00B13B9A">
              <w:rPr>
                <w:rFonts w:asciiTheme="majorHAnsi" w:eastAsia="Times New Roman" w:hAnsiTheme="majorHAnsi" w:cstheme="majorHAnsi"/>
                <w:b/>
                <w:bCs/>
                <w:sz w:val="18"/>
                <w:szCs w:val="18"/>
                <w:lang w:val="ro-MD"/>
              </w:rPr>
              <w:t>=</w:t>
            </w:r>
            <w:r>
              <w:rPr>
                <w:rFonts w:asciiTheme="majorHAnsi" w:eastAsia="Times New Roman" w:hAnsiTheme="majorHAnsi" w:cstheme="majorHAnsi"/>
                <w:b/>
                <w:bCs/>
                <w:sz w:val="18"/>
                <w:szCs w:val="18"/>
                <w:lang w:val="ro-MD"/>
              </w:rPr>
              <w:t>4</w:t>
            </w:r>
            <w:r w:rsidR="004C01B3" w:rsidRPr="00B13B9A">
              <w:rPr>
                <w:rFonts w:asciiTheme="majorHAnsi" w:eastAsia="Times New Roman" w:hAnsiTheme="majorHAnsi" w:cstheme="majorHAnsi"/>
                <w:b/>
                <w:bCs/>
                <w:sz w:val="18"/>
                <w:szCs w:val="18"/>
                <w:lang w:val="ro-MD"/>
              </w:rPr>
              <w:t>/</w:t>
            </w:r>
            <w:r>
              <w:rPr>
                <w:rFonts w:asciiTheme="majorHAnsi" w:eastAsia="Times New Roman" w:hAnsiTheme="majorHAnsi" w:cstheme="majorHAnsi"/>
                <w:b/>
                <w:bCs/>
                <w:sz w:val="18"/>
                <w:szCs w:val="18"/>
                <w:lang w:val="ro-MD"/>
              </w:rPr>
              <w:t>3</w:t>
            </w:r>
          </w:p>
        </w:tc>
      </w:tr>
      <w:tr w:rsidR="004C01B3" w:rsidRPr="00B13B9A" w14:paraId="1AA6EFD1"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6153CC03"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ACTIVE IMOBILIZATE</w:t>
            </w:r>
          </w:p>
        </w:tc>
        <w:tc>
          <w:tcPr>
            <w:tcW w:w="1418" w:type="dxa"/>
            <w:tcBorders>
              <w:top w:val="nil"/>
              <w:left w:val="nil"/>
              <w:bottom w:val="single" w:sz="4" w:space="0" w:color="auto"/>
              <w:right w:val="single" w:sz="4" w:space="0" w:color="auto"/>
            </w:tcBorders>
            <w:shd w:val="clear" w:color="auto" w:fill="auto"/>
            <w:vAlign w:val="center"/>
            <w:hideMark/>
          </w:tcPr>
          <w:p w14:paraId="66C66AF3" w14:textId="77777777" w:rsidR="004C01B3" w:rsidRPr="00B13B9A" w:rsidRDefault="004C01B3" w:rsidP="004C01B3">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6501E0A4" w14:textId="77777777" w:rsidR="004C01B3" w:rsidRPr="00B13B9A" w:rsidRDefault="004C01B3" w:rsidP="004C01B3">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1413D0CB" w14:textId="77777777" w:rsidR="004C01B3" w:rsidRPr="00B13B9A" w:rsidRDefault="004C01B3" w:rsidP="004C01B3">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3DADB9"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43E71F6"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76D37EA9"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114AEBBC"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I. Imobilizari necorporale</w:t>
            </w:r>
          </w:p>
        </w:tc>
        <w:tc>
          <w:tcPr>
            <w:tcW w:w="1418" w:type="dxa"/>
            <w:tcBorders>
              <w:top w:val="nil"/>
              <w:left w:val="nil"/>
              <w:bottom w:val="single" w:sz="4" w:space="0" w:color="auto"/>
              <w:right w:val="single" w:sz="4" w:space="0" w:color="auto"/>
            </w:tcBorders>
            <w:shd w:val="clear" w:color="auto" w:fill="auto"/>
            <w:vAlign w:val="center"/>
            <w:hideMark/>
          </w:tcPr>
          <w:p w14:paraId="024257BA"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462C3889"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2981C1EE"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F98FFD"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E15D686"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1A5D8031"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AAF0B23"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Imobilizari necorporale in curs de execute</w:t>
            </w:r>
          </w:p>
        </w:tc>
        <w:tc>
          <w:tcPr>
            <w:tcW w:w="1418" w:type="dxa"/>
            <w:tcBorders>
              <w:top w:val="nil"/>
              <w:left w:val="nil"/>
              <w:bottom w:val="single" w:sz="4" w:space="0" w:color="auto"/>
              <w:right w:val="single" w:sz="4" w:space="0" w:color="auto"/>
            </w:tcBorders>
            <w:shd w:val="clear" w:color="auto" w:fill="auto"/>
            <w:vAlign w:val="center"/>
            <w:hideMark/>
          </w:tcPr>
          <w:p w14:paraId="184B0D5E"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439.024,00</w:t>
            </w:r>
          </w:p>
        </w:tc>
        <w:tc>
          <w:tcPr>
            <w:tcW w:w="1417" w:type="dxa"/>
            <w:tcBorders>
              <w:top w:val="nil"/>
              <w:left w:val="nil"/>
              <w:bottom w:val="single" w:sz="4" w:space="0" w:color="auto"/>
              <w:right w:val="single" w:sz="4" w:space="0" w:color="auto"/>
            </w:tcBorders>
            <w:shd w:val="clear" w:color="auto" w:fill="auto"/>
            <w:vAlign w:val="center"/>
            <w:hideMark/>
          </w:tcPr>
          <w:p w14:paraId="124C85D9"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456.166,00</w:t>
            </w:r>
          </w:p>
        </w:tc>
        <w:tc>
          <w:tcPr>
            <w:tcW w:w="1418" w:type="dxa"/>
            <w:gridSpan w:val="2"/>
            <w:tcBorders>
              <w:top w:val="nil"/>
              <w:left w:val="nil"/>
              <w:bottom w:val="single" w:sz="4" w:space="0" w:color="auto"/>
              <w:right w:val="nil"/>
            </w:tcBorders>
            <w:shd w:val="clear" w:color="auto" w:fill="auto"/>
            <w:vAlign w:val="center"/>
            <w:hideMark/>
          </w:tcPr>
          <w:p w14:paraId="1CB7A03D"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8B05CC"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-456166</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F6A4172"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0,00%</w:t>
            </w:r>
          </w:p>
        </w:tc>
      </w:tr>
      <w:tr w:rsidR="004C01B3" w:rsidRPr="00B13B9A" w14:paraId="39FB756A"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100BA01C"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2. Imobilizari necorporale in exploatare, total</w:t>
            </w:r>
          </w:p>
        </w:tc>
        <w:tc>
          <w:tcPr>
            <w:tcW w:w="1418" w:type="dxa"/>
            <w:tcBorders>
              <w:top w:val="nil"/>
              <w:left w:val="nil"/>
              <w:bottom w:val="single" w:sz="4" w:space="0" w:color="auto"/>
              <w:right w:val="single" w:sz="4" w:space="0" w:color="auto"/>
            </w:tcBorders>
            <w:shd w:val="clear" w:color="auto" w:fill="auto"/>
            <w:vAlign w:val="center"/>
            <w:hideMark/>
          </w:tcPr>
          <w:p w14:paraId="290A1084"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0228503A"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5F9A845B"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578.417,00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D4753F"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578417</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2A2C8BC"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56BDE001"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ED44849"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2.3. programe informatice</w:t>
            </w:r>
          </w:p>
        </w:tc>
        <w:tc>
          <w:tcPr>
            <w:tcW w:w="1418" w:type="dxa"/>
            <w:tcBorders>
              <w:top w:val="nil"/>
              <w:left w:val="nil"/>
              <w:bottom w:val="single" w:sz="4" w:space="0" w:color="auto"/>
              <w:right w:val="single" w:sz="4" w:space="0" w:color="auto"/>
            </w:tcBorders>
            <w:shd w:val="clear" w:color="auto" w:fill="auto"/>
            <w:vAlign w:val="center"/>
            <w:hideMark/>
          </w:tcPr>
          <w:p w14:paraId="30E61520"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05C5492A"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7C94903E"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578.417,00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6E9F5E"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578417</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0E4DB4D"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3514BCC5"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D4767B2" w14:textId="496FEC11" w:rsidR="004C01B3" w:rsidRPr="00B13B9A" w:rsidRDefault="004C01B3" w:rsidP="00CC1A9A">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 xml:space="preserve">Total imobilizari necorporale </w:t>
            </w:r>
          </w:p>
        </w:tc>
        <w:tc>
          <w:tcPr>
            <w:tcW w:w="1418" w:type="dxa"/>
            <w:tcBorders>
              <w:top w:val="nil"/>
              <w:left w:val="nil"/>
              <w:bottom w:val="single" w:sz="4" w:space="0" w:color="auto"/>
              <w:right w:val="single" w:sz="4" w:space="0" w:color="auto"/>
            </w:tcBorders>
            <w:shd w:val="clear" w:color="auto" w:fill="auto"/>
            <w:vAlign w:val="center"/>
            <w:hideMark/>
          </w:tcPr>
          <w:p w14:paraId="4761EFA1"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439.024,00</w:t>
            </w:r>
          </w:p>
        </w:tc>
        <w:tc>
          <w:tcPr>
            <w:tcW w:w="1417" w:type="dxa"/>
            <w:tcBorders>
              <w:top w:val="nil"/>
              <w:left w:val="nil"/>
              <w:bottom w:val="single" w:sz="4" w:space="0" w:color="auto"/>
              <w:right w:val="single" w:sz="4" w:space="0" w:color="auto"/>
            </w:tcBorders>
            <w:shd w:val="clear" w:color="auto" w:fill="auto"/>
            <w:vAlign w:val="center"/>
            <w:hideMark/>
          </w:tcPr>
          <w:p w14:paraId="1332D6C5"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456.166,00</w:t>
            </w:r>
          </w:p>
        </w:tc>
        <w:tc>
          <w:tcPr>
            <w:tcW w:w="1418" w:type="dxa"/>
            <w:gridSpan w:val="2"/>
            <w:tcBorders>
              <w:top w:val="nil"/>
              <w:left w:val="nil"/>
              <w:bottom w:val="single" w:sz="4" w:space="0" w:color="auto"/>
              <w:right w:val="nil"/>
            </w:tcBorders>
            <w:shd w:val="clear" w:color="auto" w:fill="auto"/>
            <w:vAlign w:val="center"/>
            <w:hideMark/>
          </w:tcPr>
          <w:p w14:paraId="206610E5"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578.417,00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A2E60E"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122251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26057CA"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126,80%</w:t>
            </w:r>
          </w:p>
        </w:tc>
      </w:tr>
      <w:tr w:rsidR="004C01B3" w:rsidRPr="00B13B9A" w14:paraId="5650D9D6"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79AA9FB"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II. Imobilizari corporale</w:t>
            </w:r>
          </w:p>
        </w:tc>
        <w:tc>
          <w:tcPr>
            <w:tcW w:w="1418" w:type="dxa"/>
            <w:tcBorders>
              <w:top w:val="nil"/>
              <w:left w:val="nil"/>
              <w:bottom w:val="single" w:sz="4" w:space="0" w:color="auto"/>
              <w:right w:val="single" w:sz="4" w:space="0" w:color="auto"/>
            </w:tcBorders>
            <w:shd w:val="clear" w:color="auto" w:fill="auto"/>
            <w:vAlign w:val="center"/>
            <w:hideMark/>
          </w:tcPr>
          <w:p w14:paraId="0377E8EA"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2A2F0DAF"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6A2CC0A6"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E7847C"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9D25D44"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4E8FFE27"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6C1C24D"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Imobilizari corporale in curs de executie</w:t>
            </w:r>
          </w:p>
        </w:tc>
        <w:tc>
          <w:tcPr>
            <w:tcW w:w="1418" w:type="dxa"/>
            <w:tcBorders>
              <w:top w:val="nil"/>
              <w:left w:val="nil"/>
              <w:bottom w:val="single" w:sz="4" w:space="0" w:color="auto"/>
              <w:right w:val="single" w:sz="4" w:space="0" w:color="auto"/>
            </w:tcBorders>
            <w:shd w:val="clear" w:color="auto" w:fill="auto"/>
            <w:vAlign w:val="center"/>
            <w:hideMark/>
          </w:tcPr>
          <w:p w14:paraId="024802D5"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76.771.625,00</w:t>
            </w:r>
          </w:p>
        </w:tc>
        <w:tc>
          <w:tcPr>
            <w:tcW w:w="1417" w:type="dxa"/>
            <w:tcBorders>
              <w:top w:val="nil"/>
              <w:left w:val="nil"/>
              <w:bottom w:val="single" w:sz="4" w:space="0" w:color="auto"/>
              <w:right w:val="single" w:sz="4" w:space="0" w:color="auto"/>
            </w:tcBorders>
            <w:shd w:val="clear" w:color="auto" w:fill="auto"/>
            <w:vAlign w:val="center"/>
            <w:hideMark/>
          </w:tcPr>
          <w:p w14:paraId="1FA1466D"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76.628.534,00</w:t>
            </w:r>
          </w:p>
        </w:tc>
        <w:tc>
          <w:tcPr>
            <w:tcW w:w="1418" w:type="dxa"/>
            <w:gridSpan w:val="2"/>
            <w:tcBorders>
              <w:top w:val="nil"/>
              <w:left w:val="nil"/>
              <w:bottom w:val="single" w:sz="4" w:space="0" w:color="auto"/>
              <w:right w:val="nil"/>
            </w:tcBorders>
            <w:shd w:val="clear" w:color="auto" w:fill="auto"/>
            <w:vAlign w:val="center"/>
            <w:hideMark/>
          </w:tcPr>
          <w:p w14:paraId="09177B0D"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79.115.137,00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D855B9"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2486603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A5D764B"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103,25%</w:t>
            </w:r>
          </w:p>
        </w:tc>
      </w:tr>
      <w:tr w:rsidR="004C01B3" w:rsidRPr="00B13B9A" w14:paraId="43C9CDE8"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515EF05"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2. Terenuri</w:t>
            </w:r>
          </w:p>
        </w:tc>
        <w:tc>
          <w:tcPr>
            <w:tcW w:w="1418" w:type="dxa"/>
            <w:tcBorders>
              <w:top w:val="nil"/>
              <w:left w:val="nil"/>
              <w:bottom w:val="single" w:sz="4" w:space="0" w:color="auto"/>
              <w:right w:val="single" w:sz="4" w:space="0" w:color="auto"/>
            </w:tcBorders>
            <w:shd w:val="clear" w:color="auto" w:fill="auto"/>
            <w:vAlign w:val="center"/>
            <w:hideMark/>
          </w:tcPr>
          <w:p w14:paraId="357F45EB"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8.088.869,00</w:t>
            </w:r>
          </w:p>
        </w:tc>
        <w:tc>
          <w:tcPr>
            <w:tcW w:w="1417" w:type="dxa"/>
            <w:tcBorders>
              <w:top w:val="nil"/>
              <w:left w:val="nil"/>
              <w:bottom w:val="single" w:sz="4" w:space="0" w:color="auto"/>
              <w:right w:val="single" w:sz="4" w:space="0" w:color="auto"/>
            </w:tcBorders>
            <w:shd w:val="clear" w:color="auto" w:fill="auto"/>
            <w:vAlign w:val="center"/>
            <w:hideMark/>
          </w:tcPr>
          <w:p w14:paraId="6EAA1D90"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8.088.869,00</w:t>
            </w:r>
          </w:p>
        </w:tc>
        <w:tc>
          <w:tcPr>
            <w:tcW w:w="1418" w:type="dxa"/>
            <w:gridSpan w:val="2"/>
            <w:tcBorders>
              <w:top w:val="nil"/>
              <w:left w:val="nil"/>
              <w:bottom w:val="single" w:sz="4" w:space="0" w:color="auto"/>
              <w:right w:val="nil"/>
            </w:tcBorders>
            <w:shd w:val="clear" w:color="auto" w:fill="auto"/>
            <w:vAlign w:val="center"/>
            <w:hideMark/>
          </w:tcPr>
          <w:p w14:paraId="0F3D0B4F"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8.088.869,00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E7A20D"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840AA15"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100,00%</w:t>
            </w:r>
          </w:p>
        </w:tc>
      </w:tr>
      <w:tr w:rsidR="004C01B3" w:rsidRPr="00B13B9A" w14:paraId="4E1471A2"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FED14CC" w14:textId="51940E28"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 Mijloace fixe, total</w:t>
            </w:r>
            <w:r w:rsidR="00A51C46" w:rsidRPr="00B13B9A">
              <w:rPr>
                <w:rFonts w:asciiTheme="majorHAnsi" w:eastAsia="Times New Roman" w:hAnsiTheme="majorHAnsi" w:cstheme="majorHAnsi"/>
                <w:color w:val="000000"/>
                <w:sz w:val="18"/>
                <w:szCs w:val="18"/>
                <w:lang w:val="ro-MD"/>
              </w:rPr>
              <w:t xml:space="preserve"> din care:</w:t>
            </w:r>
          </w:p>
        </w:tc>
        <w:tc>
          <w:tcPr>
            <w:tcW w:w="1418" w:type="dxa"/>
            <w:tcBorders>
              <w:top w:val="nil"/>
              <w:left w:val="nil"/>
              <w:bottom w:val="single" w:sz="4" w:space="0" w:color="auto"/>
              <w:right w:val="single" w:sz="4" w:space="0" w:color="auto"/>
            </w:tcBorders>
            <w:shd w:val="clear" w:color="auto" w:fill="auto"/>
            <w:vAlign w:val="center"/>
            <w:hideMark/>
          </w:tcPr>
          <w:p w14:paraId="3543B5F2"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136.705.804,00</w:t>
            </w:r>
          </w:p>
        </w:tc>
        <w:tc>
          <w:tcPr>
            <w:tcW w:w="1417" w:type="dxa"/>
            <w:tcBorders>
              <w:top w:val="nil"/>
              <w:left w:val="nil"/>
              <w:bottom w:val="single" w:sz="4" w:space="0" w:color="auto"/>
              <w:right w:val="single" w:sz="4" w:space="0" w:color="auto"/>
            </w:tcBorders>
            <w:shd w:val="clear" w:color="auto" w:fill="auto"/>
            <w:vAlign w:val="center"/>
            <w:hideMark/>
          </w:tcPr>
          <w:p w14:paraId="01A7C49B"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132.156.997,00</w:t>
            </w:r>
          </w:p>
        </w:tc>
        <w:tc>
          <w:tcPr>
            <w:tcW w:w="1418" w:type="dxa"/>
            <w:gridSpan w:val="2"/>
            <w:tcBorders>
              <w:top w:val="nil"/>
              <w:left w:val="nil"/>
              <w:bottom w:val="single" w:sz="4" w:space="0" w:color="auto"/>
              <w:right w:val="nil"/>
            </w:tcBorders>
            <w:shd w:val="clear" w:color="auto" w:fill="auto"/>
            <w:vAlign w:val="center"/>
            <w:hideMark/>
          </w:tcPr>
          <w:p w14:paraId="1C2E30EC"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128.348.015,00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179392"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-3808982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A85121B"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97,12%</w:t>
            </w:r>
          </w:p>
        </w:tc>
      </w:tr>
      <w:tr w:rsidR="004C01B3" w:rsidRPr="00B13B9A" w14:paraId="2582FA32"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158318E" w14:textId="053E3450"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3.1. cladiri</w:t>
            </w:r>
          </w:p>
        </w:tc>
        <w:tc>
          <w:tcPr>
            <w:tcW w:w="1418" w:type="dxa"/>
            <w:tcBorders>
              <w:top w:val="nil"/>
              <w:left w:val="nil"/>
              <w:bottom w:val="single" w:sz="4" w:space="0" w:color="auto"/>
              <w:right w:val="single" w:sz="4" w:space="0" w:color="auto"/>
            </w:tcBorders>
            <w:shd w:val="clear" w:color="auto" w:fill="auto"/>
            <w:vAlign w:val="center"/>
            <w:hideMark/>
          </w:tcPr>
          <w:p w14:paraId="2F71BA5A"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96.883.602,00</w:t>
            </w:r>
          </w:p>
        </w:tc>
        <w:tc>
          <w:tcPr>
            <w:tcW w:w="1417" w:type="dxa"/>
            <w:tcBorders>
              <w:top w:val="nil"/>
              <w:left w:val="nil"/>
              <w:bottom w:val="single" w:sz="4" w:space="0" w:color="auto"/>
              <w:right w:val="single" w:sz="4" w:space="0" w:color="auto"/>
            </w:tcBorders>
            <w:shd w:val="clear" w:color="auto" w:fill="auto"/>
            <w:vAlign w:val="center"/>
            <w:hideMark/>
          </w:tcPr>
          <w:p w14:paraId="3906D727"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94.851.347,00</w:t>
            </w:r>
          </w:p>
        </w:tc>
        <w:tc>
          <w:tcPr>
            <w:tcW w:w="1418" w:type="dxa"/>
            <w:gridSpan w:val="2"/>
            <w:tcBorders>
              <w:top w:val="nil"/>
              <w:left w:val="nil"/>
              <w:bottom w:val="single" w:sz="4" w:space="0" w:color="auto"/>
              <w:right w:val="nil"/>
            </w:tcBorders>
            <w:shd w:val="clear" w:color="auto" w:fill="auto"/>
            <w:vAlign w:val="center"/>
            <w:hideMark/>
          </w:tcPr>
          <w:p w14:paraId="5678CAF2"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93.868.665,00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0E8AEA"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-982682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FF42D85"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98,96%</w:t>
            </w:r>
          </w:p>
        </w:tc>
      </w:tr>
      <w:tr w:rsidR="004C01B3" w:rsidRPr="00B13B9A" w14:paraId="6915FDAC"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CC51074" w14:textId="4C0C1E93" w:rsidR="004C01B3" w:rsidRPr="00B13B9A" w:rsidRDefault="004C01B3" w:rsidP="00585605">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3.2. construc</w:t>
            </w:r>
            <w:r w:rsidR="00B13B9A" w:rsidRPr="00B13B9A">
              <w:rPr>
                <w:rFonts w:asciiTheme="majorHAnsi" w:eastAsia="Times New Roman" w:hAnsiTheme="majorHAnsi" w:cstheme="majorHAnsi"/>
                <w:color w:val="000000"/>
                <w:sz w:val="18"/>
                <w:szCs w:val="18"/>
                <w:lang w:val="ro-MD"/>
              </w:rPr>
              <w:t>ț</w:t>
            </w:r>
            <w:r w:rsidR="00585605" w:rsidRPr="00B13B9A">
              <w:rPr>
                <w:rFonts w:asciiTheme="majorHAnsi" w:eastAsia="Times New Roman" w:hAnsiTheme="majorHAnsi" w:cstheme="majorHAnsi"/>
                <w:color w:val="000000"/>
                <w:sz w:val="18"/>
                <w:szCs w:val="18"/>
                <w:lang w:val="ro-MD"/>
              </w:rPr>
              <w:t>ii</w:t>
            </w:r>
            <w:r w:rsidRPr="00B13B9A">
              <w:rPr>
                <w:rFonts w:asciiTheme="majorHAnsi" w:eastAsia="Times New Roman" w:hAnsiTheme="majorHAnsi" w:cstheme="majorHAnsi"/>
                <w:color w:val="000000"/>
                <w:sz w:val="18"/>
                <w:szCs w:val="18"/>
                <w:lang w:val="ro-MD"/>
              </w:rPr>
              <w:t xml:space="preserve"> speciale</w:t>
            </w:r>
          </w:p>
        </w:tc>
        <w:tc>
          <w:tcPr>
            <w:tcW w:w="1418" w:type="dxa"/>
            <w:tcBorders>
              <w:top w:val="nil"/>
              <w:left w:val="nil"/>
              <w:bottom w:val="single" w:sz="4" w:space="0" w:color="auto"/>
              <w:right w:val="single" w:sz="4" w:space="0" w:color="auto"/>
            </w:tcBorders>
            <w:shd w:val="clear" w:color="auto" w:fill="auto"/>
            <w:vAlign w:val="center"/>
            <w:hideMark/>
          </w:tcPr>
          <w:p w14:paraId="1F150623"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4.689.165,00</w:t>
            </w:r>
          </w:p>
        </w:tc>
        <w:tc>
          <w:tcPr>
            <w:tcW w:w="1417" w:type="dxa"/>
            <w:tcBorders>
              <w:top w:val="nil"/>
              <w:left w:val="nil"/>
              <w:bottom w:val="single" w:sz="4" w:space="0" w:color="auto"/>
              <w:right w:val="single" w:sz="4" w:space="0" w:color="auto"/>
            </w:tcBorders>
            <w:shd w:val="clear" w:color="auto" w:fill="auto"/>
            <w:vAlign w:val="center"/>
            <w:hideMark/>
          </w:tcPr>
          <w:p w14:paraId="049937F2"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4.528.880,00</w:t>
            </w:r>
          </w:p>
        </w:tc>
        <w:tc>
          <w:tcPr>
            <w:tcW w:w="1418" w:type="dxa"/>
            <w:gridSpan w:val="2"/>
            <w:tcBorders>
              <w:top w:val="nil"/>
              <w:left w:val="nil"/>
              <w:bottom w:val="single" w:sz="4" w:space="0" w:color="auto"/>
              <w:right w:val="nil"/>
            </w:tcBorders>
            <w:shd w:val="clear" w:color="auto" w:fill="auto"/>
            <w:vAlign w:val="center"/>
            <w:hideMark/>
          </w:tcPr>
          <w:p w14:paraId="0504007B"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4.369.381,00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931FB1"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-159499</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83374D5"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96,48%</w:t>
            </w:r>
          </w:p>
        </w:tc>
      </w:tr>
      <w:tr w:rsidR="004C01B3" w:rsidRPr="00B13B9A" w14:paraId="5B6BFF01"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BB197B7"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3.3. masini, utilaje si instalatii tehnice</w:t>
            </w:r>
          </w:p>
        </w:tc>
        <w:tc>
          <w:tcPr>
            <w:tcW w:w="1418" w:type="dxa"/>
            <w:tcBorders>
              <w:top w:val="nil"/>
              <w:left w:val="nil"/>
              <w:bottom w:val="single" w:sz="4" w:space="0" w:color="auto"/>
              <w:right w:val="single" w:sz="4" w:space="0" w:color="auto"/>
            </w:tcBorders>
            <w:shd w:val="clear" w:color="auto" w:fill="auto"/>
            <w:vAlign w:val="center"/>
            <w:hideMark/>
          </w:tcPr>
          <w:p w14:paraId="3715EDFF"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26.960.179,00</w:t>
            </w:r>
          </w:p>
        </w:tc>
        <w:tc>
          <w:tcPr>
            <w:tcW w:w="1417" w:type="dxa"/>
            <w:tcBorders>
              <w:top w:val="nil"/>
              <w:left w:val="nil"/>
              <w:bottom w:val="single" w:sz="4" w:space="0" w:color="auto"/>
              <w:right w:val="single" w:sz="4" w:space="0" w:color="auto"/>
            </w:tcBorders>
            <w:shd w:val="clear" w:color="auto" w:fill="auto"/>
            <w:vAlign w:val="center"/>
            <w:hideMark/>
          </w:tcPr>
          <w:p w14:paraId="5F58110C"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27.561.493,00</w:t>
            </w:r>
          </w:p>
        </w:tc>
        <w:tc>
          <w:tcPr>
            <w:tcW w:w="1418" w:type="dxa"/>
            <w:gridSpan w:val="2"/>
            <w:tcBorders>
              <w:top w:val="nil"/>
              <w:left w:val="nil"/>
              <w:bottom w:val="single" w:sz="4" w:space="0" w:color="auto"/>
              <w:right w:val="nil"/>
            </w:tcBorders>
            <w:shd w:val="clear" w:color="auto" w:fill="auto"/>
            <w:vAlign w:val="center"/>
            <w:hideMark/>
          </w:tcPr>
          <w:p w14:paraId="5092E927"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26.317.777,00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07574F"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-1243716</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7AD38E2"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95,49%</w:t>
            </w:r>
          </w:p>
        </w:tc>
      </w:tr>
      <w:tr w:rsidR="004C01B3" w:rsidRPr="00B13B9A" w14:paraId="006232A2"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5922BF73"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3.4. mijloace de transport</w:t>
            </w:r>
          </w:p>
        </w:tc>
        <w:tc>
          <w:tcPr>
            <w:tcW w:w="1418" w:type="dxa"/>
            <w:tcBorders>
              <w:top w:val="nil"/>
              <w:left w:val="nil"/>
              <w:bottom w:val="single" w:sz="4" w:space="0" w:color="auto"/>
              <w:right w:val="single" w:sz="4" w:space="0" w:color="auto"/>
            </w:tcBorders>
            <w:shd w:val="clear" w:color="auto" w:fill="auto"/>
            <w:vAlign w:val="center"/>
            <w:hideMark/>
          </w:tcPr>
          <w:p w14:paraId="251782CF"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8.172.731,00</w:t>
            </w:r>
          </w:p>
        </w:tc>
        <w:tc>
          <w:tcPr>
            <w:tcW w:w="1417" w:type="dxa"/>
            <w:tcBorders>
              <w:top w:val="nil"/>
              <w:left w:val="nil"/>
              <w:bottom w:val="single" w:sz="4" w:space="0" w:color="auto"/>
              <w:right w:val="single" w:sz="4" w:space="0" w:color="auto"/>
            </w:tcBorders>
            <w:shd w:val="clear" w:color="auto" w:fill="auto"/>
            <w:vAlign w:val="center"/>
            <w:hideMark/>
          </w:tcPr>
          <w:p w14:paraId="1202057C"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4.877.568,00</w:t>
            </w:r>
          </w:p>
        </w:tc>
        <w:tc>
          <w:tcPr>
            <w:tcW w:w="1418" w:type="dxa"/>
            <w:gridSpan w:val="2"/>
            <w:tcBorders>
              <w:top w:val="nil"/>
              <w:left w:val="nil"/>
              <w:bottom w:val="single" w:sz="4" w:space="0" w:color="auto"/>
              <w:right w:val="nil"/>
            </w:tcBorders>
            <w:shd w:val="clear" w:color="auto" w:fill="auto"/>
            <w:vAlign w:val="center"/>
            <w:hideMark/>
          </w:tcPr>
          <w:p w14:paraId="7299280E"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3.558.206,00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A2A242"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-1319362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237C3E0"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72,95%</w:t>
            </w:r>
          </w:p>
        </w:tc>
      </w:tr>
      <w:tr w:rsidR="004C01B3" w:rsidRPr="00B13B9A" w14:paraId="1AD39BC3"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523D248D"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3.5. inventar si mobilier</w:t>
            </w:r>
          </w:p>
        </w:tc>
        <w:tc>
          <w:tcPr>
            <w:tcW w:w="1418" w:type="dxa"/>
            <w:tcBorders>
              <w:top w:val="nil"/>
              <w:left w:val="nil"/>
              <w:bottom w:val="single" w:sz="4" w:space="0" w:color="auto"/>
              <w:right w:val="single" w:sz="4" w:space="0" w:color="auto"/>
            </w:tcBorders>
            <w:shd w:val="clear" w:color="auto" w:fill="auto"/>
            <w:vAlign w:val="center"/>
            <w:hideMark/>
          </w:tcPr>
          <w:p w14:paraId="0EB01BCE"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152762E3"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337.581,00</w:t>
            </w:r>
          </w:p>
        </w:tc>
        <w:tc>
          <w:tcPr>
            <w:tcW w:w="1418" w:type="dxa"/>
            <w:gridSpan w:val="2"/>
            <w:tcBorders>
              <w:top w:val="nil"/>
              <w:left w:val="nil"/>
              <w:bottom w:val="single" w:sz="4" w:space="0" w:color="auto"/>
              <w:right w:val="nil"/>
            </w:tcBorders>
            <w:shd w:val="clear" w:color="auto" w:fill="auto"/>
            <w:vAlign w:val="center"/>
            <w:hideMark/>
          </w:tcPr>
          <w:p w14:paraId="23096905"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233.858,00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0EB464"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-103723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E2B366C"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69,27%</w:t>
            </w:r>
          </w:p>
        </w:tc>
      </w:tr>
      <w:tr w:rsidR="004C01B3" w:rsidRPr="00B13B9A" w14:paraId="2C1F9F73"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30B491A"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3.6. alte mijloace fixe</w:t>
            </w:r>
          </w:p>
        </w:tc>
        <w:tc>
          <w:tcPr>
            <w:tcW w:w="1418" w:type="dxa"/>
            <w:tcBorders>
              <w:top w:val="nil"/>
              <w:left w:val="nil"/>
              <w:bottom w:val="single" w:sz="4" w:space="0" w:color="auto"/>
              <w:right w:val="single" w:sz="4" w:space="0" w:color="auto"/>
            </w:tcBorders>
            <w:shd w:val="clear" w:color="auto" w:fill="auto"/>
            <w:vAlign w:val="center"/>
            <w:hideMark/>
          </w:tcPr>
          <w:p w14:paraId="23004C4E"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127,95</w:t>
            </w:r>
          </w:p>
        </w:tc>
        <w:tc>
          <w:tcPr>
            <w:tcW w:w="1417" w:type="dxa"/>
            <w:tcBorders>
              <w:top w:val="nil"/>
              <w:left w:val="nil"/>
              <w:bottom w:val="single" w:sz="4" w:space="0" w:color="auto"/>
              <w:right w:val="single" w:sz="4" w:space="0" w:color="auto"/>
            </w:tcBorders>
            <w:shd w:val="clear" w:color="auto" w:fill="auto"/>
            <w:vAlign w:val="center"/>
            <w:hideMark/>
          </w:tcPr>
          <w:p w14:paraId="5D7C085A"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128,00</w:t>
            </w:r>
          </w:p>
        </w:tc>
        <w:tc>
          <w:tcPr>
            <w:tcW w:w="1418" w:type="dxa"/>
            <w:gridSpan w:val="2"/>
            <w:tcBorders>
              <w:top w:val="nil"/>
              <w:left w:val="nil"/>
              <w:bottom w:val="single" w:sz="4" w:space="0" w:color="auto"/>
              <w:right w:val="nil"/>
            </w:tcBorders>
            <w:shd w:val="clear" w:color="auto" w:fill="auto"/>
            <w:vAlign w:val="center"/>
            <w:hideMark/>
          </w:tcPr>
          <w:p w14:paraId="7A59517D"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128,00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981EB9"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9DF71DB"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100,00%</w:t>
            </w:r>
          </w:p>
        </w:tc>
      </w:tr>
      <w:tr w:rsidR="004C01B3" w:rsidRPr="00B13B9A" w14:paraId="049AAC2A"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5434BDCB" w14:textId="35940C75" w:rsidR="004C01B3" w:rsidRPr="00B13B9A" w:rsidRDefault="004C01B3" w:rsidP="00CC1A9A">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 xml:space="preserve">Total imobilizari corporale </w:t>
            </w:r>
          </w:p>
        </w:tc>
        <w:tc>
          <w:tcPr>
            <w:tcW w:w="1418" w:type="dxa"/>
            <w:tcBorders>
              <w:top w:val="nil"/>
              <w:left w:val="nil"/>
              <w:bottom w:val="single" w:sz="4" w:space="0" w:color="auto"/>
              <w:right w:val="single" w:sz="4" w:space="0" w:color="auto"/>
            </w:tcBorders>
            <w:shd w:val="clear" w:color="auto" w:fill="auto"/>
            <w:vAlign w:val="center"/>
            <w:hideMark/>
          </w:tcPr>
          <w:p w14:paraId="0661E55F"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221.566.298,00</w:t>
            </w:r>
          </w:p>
        </w:tc>
        <w:tc>
          <w:tcPr>
            <w:tcW w:w="1417" w:type="dxa"/>
            <w:tcBorders>
              <w:top w:val="nil"/>
              <w:left w:val="nil"/>
              <w:bottom w:val="single" w:sz="4" w:space="0" w:color="auto"/>
              <w:right w:val="single" w:sz="4" w:space="0" w:color="auto"/>
            </w:tcBorders>
            <w:shd w:val="clear" w:color="auto" w:fill="auto"/>
            <w:vAlign w:val="center"/>
            <w:hideMark/>
          </w:tcPr>
          <w:p w14:paraId="74A93211"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216.874.400,00</w:t>
            </w:r>
          </w:p>
        </w:tc>
        <w:tc>
          <w:tcPr>
            <w:tcW w:w="1418" w:type="dxa"/>
            <w:gridSpan w:val="2"/>
            <w:tcBorders>
              <w:top w:val="nil"/>
              <w:left w:val="nil"/>
              <w:bottom w:val="single" w:sz="4" w:space="0" w:color="auto"/>
              <w:right w:val="nil"/>
            </w:tcBorders>
            <w:shd w:val="clear" w:color="auto" w:fill="auto"/>
            <w:vAlign w:val="center"/>
            <w:hideMark/>
          </w:tcPr>
          <w:p w14:paraId="19F2BE19"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215.552.021,00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738BBE"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-1322379</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BC4B684"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99,39%</w:t>
            </w:r>
          </w:p>
        </w:tc>
      </w:tr>
      <w:tr w:rsidR="004C01B3" w:rsidRPr="00B13B9A" w14:paraId="4553CF0D"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5370BC7A" w14:textId="2674C0A2" w:rsidR="004C01B3" w:rsidRPr="00B13B9A" w:rsidRDefault="004C01B3" w:rsidP="00CC1A9A">
            <w:pPr>
              <w:spacing w:after="0" w:line="240" w:lineRule="auto"/>
              <w:ind w:firstLineChars="100" w:firstLine="181"/>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 xml:space="preserve">TOTAL ACTIVE IMOBILIZATE </w:t>
            </w:r>
          </w:p>
        </w:tc>
        <w:tc>
          <w:tcPr>
            <w:tcW w:w="1418" w:type="dxa"/>
            <w:tcBorders>
              <w:top w:val="nil"/>
              <w:left w:val="nil"/>
              <w:bottom w:val="single" w:sz="4" w:space="0" w:color="auto"/>
              <w:right w:val="single" w:sz="4" w:space="0" w:color="auto"/>
            </w:tcBorders>
            <w:shd w:val="clear" w:color="auto" w:fill="auto"/>
            <w:vAlign w:val="center"/>
            <w:hideMark/>
          </w:tcPr>
          <w:p w14:paraId="26FB8550"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222.005.322,00</w:t>
            </w:r>
          </w:p>
        </w:tc>
        <w:tc>
          <w:tcPr>
            <w:tcW w:w="1417" w:type="dxa"/>
            <w:tcBorders>
              <w:top w:val="nil"/>
              <w:left w:val="nil"/>
              <w:bottom w:val="single" w:sz="4" w:space="0" w:color="auto"/>
              <w:right w:val="single" w:sz="4" w:space="0" w:color="auto"/>
            </w:tcBorders>
            <w:shd w:val="clear" w:color="auto" w:fill="auto"/>
            <w:vAlign w:val="center"/>
            <w:hideMark/>
          </w:tcPr>
          <w:p w14:paraId="1A36249B"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217.330.566,00</w:t>
            </w:r>
          </w:p>
        </w:tc>
        <w:tc>
          <w:tcPr>
            <w:tcW w:w="1418" w:type="dxa"/>
            <w:gridSpan w:val="2"/>
            <w:tcBorders>
              <w:top w:val="nil"/>
              <w:left w:val="nil"/>
              <w:bottom w:val="single" w:sz="4" w:space="0" w:color="auto"/>
              <w:right w:val="nil"/>
            </w:tcBorders>
            <w:shd w:val="clear" w:color="auto" w:fill="auto"/>
            <w:vAlign w:val="center"/>
            <w:hideMark/>
          </w:tcPr>
          <w:p w14:paraId="2A272048"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216.130.438,00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0E390E"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-1200128</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EAFB231"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99,45%</w:t>
            </w:r>
          </w:p>
        </w:tc>
      </w:tr>
      <w:tr w:rsidR="004C01B3" w:rsidRPr="00B13B9A" w14:paraId="3E4F52C7"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3B3B09FA" w14:textId="77777777" w:rsidR="004C01B3" w:rsidRPr="00B13B9A" w:rsidRDefault="004C01B3" w:rsidP="004C01B3">
            <w:pPr>
              <w:spacing w:after="0" w:line="240" w:lineRule="auto"/>
              <w:ind w:firstLineChars="100" w:firstLine="181"/>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ACTIVE CIRCULANTE</w:t>
            </w:r>
          </w:p>
        </w:tc>
        <w:tc>
          <w:tcPr>
            <w:tcW w:w="1418" w:type="dxa"/>
            <w:tcBorders>
              <w:top w:val="nil"/>
              <w:left w:val="nil"/>
              <w:bottom w:val="single" w:sz="4" w:space="0" w:color="auto"/>
              <w:right w:val="single" w:sz="4" w:space="0" w:color="auto"/>
            </w:tcBorders>
            <w:shd w:val="clear" w:color="auto" w:fill="auto"/>
            <w:vAlign w:val="center"/>
            <w:hideMark/>
          </w:tcPr>
          <w:p w14:paraId="62FA9702"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428003BD"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8" w:type="dxa"/>
            <w:gridSpan w:val="2"/>
            <w:vMerge w:val="restart"/>
            <w:tcBorders>
              <w:top w:val="nil"/>
              <w:left w:val="single" w:sz="4" w:space="0" w:color="auto"/>
              <w:bottom w:val="single" w:sz="4" w:space="0" w:color="auto"/>
              <w:right w:val="nil"/>
            </w:tcBorders>
            <w:shd w:val="clear" w:color="auto" w:fill="auto"/>
            <w:vAlign w:val="center"/>
            <w:hideMark/>
          </w:tcPr>
          <w:p w14:paraId="441C4599"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A6D38E"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A0EA151"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013786B7"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4277889" w14:textId="77777777" w:rsidR="004C01B3" w:rsidRPr="00B13B9A" w:rsidRDefault="004C01B3" w:rsidP="004C01B3">
            <w:pPr>
              <w:spacing w:after="0" w:line="240" w:lineRule="auto"/>
              <w:ind w:firstLineChars="100" w:firstLine="181"/>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I. Stocuri</w:t>
            </w:r>
          </w:p>
        </w:tc>
        <w:tc>
          <w:tcPr>
            <w:tcW w:w="1418" w:type="dxa"/>
            <w:tcBorders>
              <w:top w:val="nil"/>
              <w:left w:val="nil"/>
              <w:bottom w:val="single" w:sz="4" w:space="0" w:color="auto"/>
              <w:right w:val="single" w:sz="4" w:space="0" w:color="auto"/>
            </w:tcBorders>
            <w:shd w:val="clear" w:color="auto" w:fill="auto"/>
            <w:vAlign w:val="center"/>
            <w:hideMark/>
          </w:tcPr>
          <w:p w14:paraId="7947C3E2"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5132A412"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8" w:type="dxa"/>
            <w:gridSpan w:val="2"/>
            <w:vMerge/>
            <w:tcBorders>
              <w:top w:val="nil"/>
              <w:left w:val="single" w:sz="4" w:space="0" w:color="auto"/>
              <w:bottom w:val="single" w:sz="4" w:space="0" w:color="auto"/>
              <w:right w:val="nil"/>
            </w:tcBorders>
            <w:vAlign w:val="center"/>
            <w:hideMark/>
          </w:tcPr>
          <w:p w14:paraId="1ECD20D4"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713A22"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8D01161"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266E731E"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A37D11A" w14:textId="77777777" w:rsidR="004C01B3" w:rsidRPr="00B13B9A" w:rsidRDefault="004C01B3" w:rsidP="004C01B3">
            <w:pPr>
              <w:spacing w:after="0" w:line="240" w:lineRule="auto"/>
              <w:ind w:firstLineChars="100" w:firstLine="180"/>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Materiale si obiecte de mica valoare si scurta durata</w:t>
            </w:r>
          </w:p>
        </w:tc>
        <w:tc>
          <w:tcPr>
            <w:tcW w:w="1418" w:type="dxa"/>
            <w:tcBorders>
              <w:top w:val="nil"/>
              <w:left w:val="nil"/>
              <w:bottom w:val="single" w:sz="4" w:space="0" w:color="auto"/>
              <w:right w:val="single" w:sz="4" w:space="0" w:color="auto"/>
            </w:tcBorders>
            <w:shd w:val="clear" w:color="auto" w:fill="auto"/>
            <w:vAlign w:val="center"/>
            <w:hideMark/>
          </w:tcPr>
          <w:p w14:paraId="5A5DBC3E"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65.958.437,00</w:t>
            </w:r>
          </w:p>
        </w:tc>
        <w:tc>
          <w:tcPr>
            <w:tcW w:w="1417" w:type="dxa"/>
            <w:tcBorders>
              <w:top w:val="nil"/>
              <w:left w:val="nil"/>
              <w:bottom w:val="single" w:sz="4" w:space="0" w:color="auto"/>
              <w:right w:val="single" w:sz="4" w:space="0" w:color="auto"/>
            </w:tcBorders>
            <w:shd w:val="clear" w:color="auto" w:fill="auto"/>
            <w:vAlign w:val="center"/>
            <w:hideMark/>
          </w:tcPr>
          <w:p w14:paraId="590B8E1C"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7093088</w:t>
            </w:r>
          </w:p>
        </w:tc>
        <w:tc>
          <w:tcPr>
            <w:tcW w:w="1418" w:type="dxa"/>
            <w:gridSpan w:val="2"/>
            <w:tcBorders>
              <w:top w:val="nil"/>
              <w:left w:val="nil"/>
              <w:bottom w:val="single" w:sz="4" w:space="0" w:color="auto"/>
              <w:right w:val="nil"/>
            </w:tcBorders>
            <w:shd w:val="clear" w:color="auto" w:fill="auto"/>
            <w:vAlign w:val="center"/>
            <w:hideMark/>
          </w:tcPr>
          <w:p w14:paraId="2B579E1E"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6048772</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59A57C"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-1044316</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92E75EB"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85,28%</w:t>
            </w:r>
          </w:p>
        </w:tc>
      </w:tr>
      <w:tr w:rsidR="004C01B3" w:rsidRPr="00B13B9A" w14:paraId="3FF9317C"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64308F5" w14:textId="77777777" w:rsidR="004C01B3" w:rsidRPr="00B13B9A" w:rsidRDefault="004C01B3" w:rsidP="004C01B3">
            <w:pPr>
              <w:spacing w:after="0" w:line="240" w:lineRule="auto"/>
              <w:ind w:firstLineChars="100" w:firstLine="180"/>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 Produse si marfuri</w:t>
            </w:r>
          </w:p>
        </w:tc>
        <w:tc>
          <w:tcPr>
            <w:tcW w:w="1418" w:type="dxa"/>
            <w:tcBorders>
              <w:top w:val="nil"/>
              <w:left w:val="nil"/>
              <w:bottom w:val="single" w:sz="4" w:space="0" w:color="auto"/>
              <w:right w:val="single" w:sz="4" w:space="0" w:color="auto"/>
            </w:tcBorders>
            <w:shd w:val="clear" w:color="auto" w:fill="auto"/>
            <w:vAlign w:val="center"/>
            <w:hideMark/>
          </w:tcPr>
          <w:p w14:paraId="04BB8EA7"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2A5C42A9"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51273454</w:t>
            </w:r>
          </w:p>
        </w:tc>
        <w:tc>
          <w:tcPr>
            <w:tcW w:w="1418" w:type="dxa"/>
            <w:gridSpan w:val="2"/>
            <w:tcBorders>
              <w:top w:val="nil"/>
              <w:left w:val="nil"/>
              <w:bottom w:val="single" w:sz="4" w:space="0" w:color="auto"/>
              <w:right w:val="nil"/>
            </w:tcBorders>
            <w:shd w:val="clear" w:color="auto" w:fill="auto"/>
            <w:vAlign w:val="center"/>
            <w:hideMark/>
          </w:tcPr>
          <w:p w14:paraId="30760465"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39655564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93569B"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-11617890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16E4FD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77,34%</w:t>
            </w:r>
          </w:p>
        </w:tc>
      </w:tr>
      <w:tr w:rsidR="004C01B3" w:rsidRPr="00B13B9A" w14:paraId="5FB2AA97"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55EC4819" w14:textId="381A04F3" w:rsidR="004C01B3" w:rsidRPr="00B13B9A" w:rsidRDefault="004C01B3" w:rsidP="00CC1A9A">
            <w:pPr>
              <w:spacing w:after="0" w:line="240" w:lineRule="auto"/>
              <w:ind w:firstLineChars="100" w:firstLine="181"/>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 xml:space="preserve">Total stocuri </w:t>
            </w:r>
          </w:p>
        </w:tc>
        <w:tc>
          <w:tcPr>
            <w:tcW w:w="1418" w:type="dxa"/>
            <w:tcBorders>
              <w:top w:val="nil"/>
              <w:left w:val="nil"/>
              <w:bottom w:val="single" w:sz="4" w:space="0" w:color="auto"/>
              <w:right w:val="single" w:sz="4" w:space="0" w:color="auto"/>
            </w:tcBorders>
            <w:shd w:val="clear" w:color="auto" w:fill="auto"/>
            <w:vAlign w:val="center"/>
            <w:hideMark/>
          </w:tcPr>
          <w:p w14:paraId="6496D00E"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65.958.437,00</w:t>
            </w:r>
          </w:p>
        </w:tc>
        <w:tc>
          <w:tcPr>
            <w:tcW w:w="1417" w:type="dxa"/>
            <w:tcBorders>
              <w:top w:val="nil"/>
              <w:left w:val="nil"/>
              <w:bottom w:val="single" w:sz="4" w:space="0" w:color="auto"/>
              <w:right w:val="single" w:sz="4" w:space="0" w:color="auto"/>
            </w:tcBorders>
            <w:shd w:val="clear" w:color="auto" w:fill="auto"/>
            <w:vAlign w:val="center"/>
            <w:hideMark/>
          </w:tcPr>
          <w:p w14:paraId="08B89549"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58.366.542,00</w:t>
            </w:r>
          </w:p>
        </w:tc>
        <w:tc>
          <w:tcPr>
            <w:tcW w:w="1418" w:type="dxa"/>
            <w:gridSpan w:val="2"/>
            <w:tcBorders>
              <w:top w:val="nil"/>
              <w:left w:val="nil"/>
              <w:bottom w:val="single" w:sz="4" w:space="0" w:color="auto"/>
              <w:right w:val="nil"/>
            </w:tcBorders>
            <w:shd w:val="clear" w:color="auto" w:fill="auto"/>
            <w:vAlign w:val="center"/>
            <w:hideMark/>
          </w:tcPr>
          <w:p w14:paraId="2C43D016"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45.704.336,00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92A92B"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-12662206</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570B3E8"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78,31%</w:t>
            </w:r>
          </w:p>
        </w:tc>
      </w:tr>
      <w:tr w:rsidR="004C01B3" w:rsidRPr="001924A7" w14:paraId="42849956"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64473E7E" w14:textId="77777777" w:rsidR="004C01B3" w:rsidRPr="00B13B9A" w:rsidRDefault="004C01B3" w:rsidP="004C01B3">
            <w:pPr>
              <w:spacing w:after="0" w:line="240" w:lineRule="auto"/>
              <w:ind w:firstLineChars="100" w:firstLine="181"/>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II. Creante curente si alte active circulante</w:t>
            </w:r>
          </w:p>
        </w:tc>
        <w:tc>
          <w:tcPr>
            <w:tcW w:w="1418" w:type="dxa"/>
            <w:tcBorders>
              <w:top w:val="nil"/>
              <w:left w:val="nil"/>
              <w:bottom w:val="single" w:sz="4" w:space="0" w:color="auto"/>
              <w:right w:val="single" w:sz="4" w:space="0" w:color="auto"/>
            </w:tcBorders>
            <w:shd w:val="clear" w:color="auto" w:fill="auto"/>
            <w:vAlign w:val="center"/>
            <w:hideMark/>
          </w:tcPr>
          <w:p w14:paraId="1C35473C"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42FA8C02"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20D9FFF2"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3CAADF"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074238C"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1E31A777"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3FB4C29" w14:textId="77777777" w:rsidR="004C01B3" w:rsidRPr="00B13B9A" w:rsidRDefault="004C01B3" w:rsidP="004C01B3">
            <w:pPr>
              <w:spacing w:after="0" w:line="240" w:lineRule="auto"/>
              <w:ind w:firstLineChars="100" w:firstLine="180"/>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Creante comerciale curente</w:t>
            </w:r>
          </w:p>
        </w:tc>
        <w:tc>
          <w:tcPr>
            <w:tcW w:w="1418" w:type="dxa"/>
            <w:tcBorders>
              <w:top w:val="nil"/>
              <w:left w:val="nil"/>
              <w:bottom w:val="single" w:sz="4" w:space="0" w:color="auto"/>
              <w:right w:val="single" w:sz="4" w:space="0" w:color="auto"/>
            </w:tcBorders>
            <w:shd w:val="clear" w:color="auto" w:fill="auto"/>
            <w:vAlign w:val="center"/>
            <w:hideMark/>
          </w:tcPr>
          <w:p w14:paraId="0AA5AB85"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2.058.758,00</w:t>
            </w:r>
          </w:p>
        </w:tc>
        <w:tc>
          <w:tcPr>
            <w:tcW w:w="1417" w:type="dxa"/>
            <w:tcBorders>
              <w:top w:val="nil"/>
              <w:left w:val="nil"/>
              <w:bottom w:val="single" w:sz="4" w:space="0" w:color="auto"/>
              <w:right w:val="single" w:sz="4" w:space="0" w:color="auto"/>
            </w:tcBorders>
            <w:shd w:val="clear" w:color="auto" w:fill="auto"/>
            <w:vAlign w:val="center"/>
            <w:hideMark/>
          </w:tcPr>
          <w:p w14:paraId="10B1D314"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2.929.107,00</w:t>
            </w:r>
          </w:p>
        </w:tc>
        <w:tc>
          <w:tcPr>
            <w:tcW w:w="1418" w:type="dxa"/>
            <w:gridSpan w:val="2"/>
            <w:tcBorders>
              <w:top w:val="nil"/>
              <w:left w:val="nil"/>
              <w:bottom w:val="single" w:sz="4" w:space="0" w:color="auto"/>
              <w:right w:val="nil"/>
            </w:tcBorders>
            <w:shd w:val="clear" w:color="auto" w:fill="auto"/>
            <w:vAlign w:val="center"/>
            <w:hideMark/>
          </w:tcPr>
          <w:p w14:paraId="10FB5DDE"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2.984.659,00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4CB896"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55552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852090B"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101,90%</w:t>
            </w:r>
          </w:p>
        </w:tc>
      </w:tr>
      <w:tr w:rsidR="004C01B3" w:rsidRPr="00B13B9A" w14:paraId="7AAFBAAC"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1F24A1B" w14:textId="77777777" w:rsidR="004C01B3" w:rsidRPr="00B13B9A" w:rsidRDefault="004C01B3" w:rsidP="004C01B3">
            <w:pPr>
              <w:spacing w:after="0" w:line="240" w:lineRule="auto"/>
              <w:ind w:firstLineChars="100" w:firstLine="180"/>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 Creante ale bugetului</w:t>
            </w:r>
          </w:p>
        </w:tc>
        <w:tc>
          <w:tcPr>
            <w:tcW w:w="1418" w:type="dxa"/>
            <w:tcBorders>
              <w:top w:val="nil"/>
              <w:left w:val="nil"/>
              <w:bottom w:val="single" w:sz="4" w:space="0" w:color="auto"/>
              <w:right w:val="single" w:sz="4" w:space="0" w:color="auto"/>
            </w:tcBorders>
            <w:shd w:val="clear" w:color="auto" w:fill="auto"/>
            <w:noWrap/>
            <w:vAlign w:val="center"/>
            <w:hideMark/>
          </w:tcPr>
          <w:p w14:paraId="7711F1C1"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7" w:type="dxa"/>
            <w:tcBorders>
              <w:top w:val="nil"/>
              <w:left w:val="nil"/>
              <w:bottom w:val="single" w:sz="4" w:space="0" w:color="auto"/>
              <w:right w:val="single" w:sz="4" w:space="0" w:color="auto"/>
            </w:tcBorders>
            <w:shd w:val="clear" w:color="auto" w:fill="auto"/>
            <w:noWrap/>
            <w:vAlign w:val="center"/>
            <w:hideMark/>
          </w:tcPr>
          <w:p w14:paraId="06747460"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3CA132B5"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9.872,00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232D90"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9872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3979EB0"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6A887407"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2995889" w14:textId="21A5C87C" w:rsidR="004C01B3" w:rsidRPr="00B13B9A" w:rsidRDefault="004C01B3" w:rsidP="00585605">
            <w:pPr>
              <w:spacing w:after="0" w:line="240" w:lineRule="auto"/>
              <w:ind w:firstLineChars="100" w:firstLine="180"/>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4. Creante ale personalului</w:t>
            </w:r>
          </w:p>
        </w:tc>
        <w:tc>
          <w:tcPr>
            <w:tcW w:w="1418" w:type="dxa"/>
            <w:tcBorders>
              <w:top w:val="nil"/>
              <w:left w:val="nil"/>
              <w:bottom w:val="single" w:sz="4" w:space="0" w:color="auto"/>
              <w:right w:val="single" w:sz="4" w:space="0" w:color="auto"/>
            </w:tcBorders>
            <w:shd w:val="clear" w:color="auto" w:fill="auto"/>
            <w:vAlign w:val="center"/>
            <w:hideMark/>
          </w:tcPr>
          <w:p w14:paraId="0FE669F2"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11.784,00</w:t>
            </w:r>
          </w:p>
        </w:tc>
        <w:tc>
          <w:tcPr>
            <w:tcW w:w="1417" w:type="dxa"/>
            <w:tcBorders>
              <w:top w:val="nil"/>
              <w:left w:val="nil"/>
              <w:bottom w:val="single" w:sz="4" w:space="0" w:color="auto"/>
              <w:right w:val="single" w:sz="4" w:space="0" w:color="auto"/>
            </w:tcBorders>
            <w:shd w:val="clear" w:color="auto" w:fill="auto"/>
            <w:vAlign w:val="center"/>
            <w:hideMark/>
          </w:tcPr>
          <w:p w14:paraId="157B2B27"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31334086"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3F27DA"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FE8A180"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1AF03D83"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FD82A28" w14:textId="77777777" w:rsidR="004C01B3" w:rsidRPr="00B13B9A" w:rsidRDefault="004C01B3" w:rsidP="004C01B3">
            <w:pPr>
              <w:spacing w:after="0" w:line="240" w:lineRule="auto"/>
              <w:ind w:firstLineChars="100" w:firstLine="180"/>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5. Alte creante curente</w:t>
            </w:r>
          </w:p>
        </w:tc>
        <w:tc>
          <w:tcPr>
            <w:tcW w:w="1418" w:type="dxa"/>
            <w:tcBorders>
              <w:top w:val="nil"/>
              <w:left w:val="nil"/>
              <w:bottom w:val="single" w:sz="4" w:space="0" w:color="auto"/>
              <w:right w:val="single" w:sz="4" w:space="0" w:color="auto"/>
            </w:tcBorders>
            <w:shd w:val="clear" w:color="auto" w:fill="auto"/>
            <w:vAlign w:val="center"/>
            <w:hideMark/>
          </w:tcPr>
          <w:p w14:paraId="72D5EC70"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148.020,00</w:t>
            </w:r>
          </w:p>
        </w:tc>
        <w:tc>
          <w:tcPr>
            <w:tcW w:w="1417" w:type="dxa"/>
            <w:tcBorders>
              <w:top w:val="nil"/>
              <w:left w:val="nil"/>
              <w:bottom w:val="single" w:sz="4" w:space="0" w:color="auto"/>
              <w:right w:val="single" w:sz="4" w:space="0" w:color="auto"/>
            </w:tcBorders>
            <w:shd w:val="clear" w:color="auto" w:fill="auto"/>
            <w:vAlign w:val="center"/>
            <w:hideMark/>
          </w:tcPr>
          <w:p w14:paraId="13DC6F77"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153.157,00</w:t>
            </w:r>
          </w:p>
        </w:tc>
        <w:tc>
          <w:tcPr>
            <w:tcW w:w="1418" w:type="dxa"/>
            <w:gridSpan w:val="2"/>
            <w:tcBorders>
              <w:top w:val="nil"/>
              <w:left w:val="nil"/>
              <w:bottom w:val="single" w:sz="4" w:space="0" w:color="auto"/>
              <w:right w:val="nil"/>
            </w:tcBorders>
            <w:shd w:val="clear" w:color="auto" w:fill="auto"/>
            <w:vAlign w:val="center"/>
            <w:hideMark/>
          </w:tcPr>
          <w:p w14:paraId="0AACD591"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148.020,00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89CB08"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-5137</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83EC3F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96,65%</w:t>
            </w:r>
          </w:p>
        </w:tc>
      </w:tr>
      <w:tr w:rsidR="004C01B3" w:rsidRPr="00B13B9A" w14:paraId="104534E2"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D74845D" w14:textId="77777777" w:rsidR="004C01B3" w:rsidRPr="00B13B9A" w:rsidRDefault="004C01B3" w:rsidP="004C01B3">
            <w:pPr>
              <w:spacing w:after="0" w:line="240" w:lineRule="auto"/>
              <w:ind w:firstLineChars="100" w:firstLine="180"/>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6. Cheltuieli anticipate curente</w:t>
            </w:r>
          </w:p>
        </w:tc>
        <w:tc>
          <w:tcPr>
            <w:tcW w:w="1418" w:type="dxa"/>
            <w:tcBorders>
              <w:top w:val="nil"/>
              <w:left w:val="nil"/>
              <w:bottom w:val="single" w:sz="4" w:space="0" w:color="auto"/>
              <w:right w:val="single" w:sz="4" w:space="0" w:color="auto"/>
            </w:tcBorders>
            <w:shd w:val="clear" w:color="auto" w:fill="auto"/>
            <w:vAlign w:val="center"/>
            <w:hideMark/>
          </w:tcPr>
          <w:p w14:paraId="4A0698FC"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7A27D409"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64FE4AF6"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6.171,00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8EBC9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6171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0E51AE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564505D7"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A0A8157" w14:textId="77777777" w:rsidR="004C01B3" w:rsidRPr="00B13B9A" w:rsidRDefault="004C01B3" w:rsidP="004C01B3">
            <w:pPr>
              <w:spacing w:after="0" w:line="240" w:lineRule="auto"/>
              <w:ind w:firstLineChars="100" w:firstLine="180"/>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7. Alte active circulante</w:t>
            </w:r>
          </w:p>
        </w:tc>
        <w:tc>
          <w:tcPr>
            <w:tcW w:w="1418" w:type="dxa"/>
            <w:tcBorders>
              <w:top w:val="nil"/>
              <w:left w:val="nil"/>
              <w:bottom w:val="single" w:sz="4" w:space="0" w:color="auto"/>
              <w:right w:val="single" w:sz="4" w:space="0" w:color="auto"/>
            </w:tcBorders>
            <w:shd w:val="clear" w:color="auto" w:fill="auto"/>
            <w:vAlign w:val="center"/>
            <w:hideMark/>
          </w:tcPr>
          <w:p w14:paraId="1010CC23"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602.795,00</w:t>
            </w:r>
          </w:p>
        </w:tc>
        <w:tc>
          <w:tcPr>
            <w:tcW w:w="1417" w:type="dxa"/>
            <w:tcBorders>
              <w:top w:val="nil"/>
              <w:left w:val="nil"/>
              <w:bottom w:val="single" w:sz="4" w:space="0" w:color="auto"/>
              <w:right w:val="single" w:sz="4" w:space="0" w:color="auto"/>
            </w:tcBorders>
            <w:shd w:val="clear" w:color="auto" w:fill="auto"/>
            <w:vAlign w:val="center"/>
            <w:hideMark/>
          </w:tcPr>
          <w:p w14:paraId="6F7412E9"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315.160,00</w:t>
            </w:r>
          </w:p>
        </w:tc>
        <w:tc>
          <w:tcPr>
            <w:tcW w:w="1418" w:type="dxa"/>
            <w:gridSpan w:val="2"/>
            <w:tcBorders>
              <w:top w:val="nil"/>
              <w:left w:val="nil"/>
              <w:bottom w:val="single" w:sz="4" w:space="0" w:color="auto"/>
              <w:right w:val="nil"/>
            </w:tcBorders>
            <w:shd w:val="clear" w:color="auto" w:fill="auto"/>
            <w:vAlign w:val="center"/>
            <w:hideMark/>
          </w:tcPr>
          <w:p w14:paraId="53065753"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53.968,00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50ED89"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-261192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CB5673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17,12%</w:t>
            </w:r>
          </w:p>
        </w:tc>
      </w:tr>
      <w:tr w:rsidR="004C01B3" w:rsidRPr="00B13B9A" w14:paraId="54F4C30D"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30FDDBC1" w14:textId="6C007835" w:rsidR="004C01B3" w:rsidRPr="00B13B9A" w:rsidRDefault="004C01B3" w:rsidP="00CC1A9A">
            <w:pPr>
              <w:spacing w:after="0" w:line="240" w:lineRule="auto"/>
              <w:ind w:firstLineChars="100" w:firstLine="181"/>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 xml:space="preserve">Total creante curente si alte active circulante </w:t>
            </w:r>
          </w:p>
        </w:tc>
        <w:tc>
          <w:tcPr>
            <w:tcW w:w="1418" w:type="dxa"/>
            <w:tcBorders>
              <w:top w:val="nil"/>
              <w:left w:val="nil"/>
              <w:bottom w:val="single" w:sz="4" w:space="0" w:color="auto"/>
              <w:right w:val="single" w:sz="4" w:space="0" w:color="auto"/>
            </w:tcBorders>
            <w:shd w:val="clear" w:color="auto" w:fill="auto"/>
            <w:vAlign w:val="center"/>
            <w:hideMark/>
          </w:tcPr>
          <w:p w14:paraId="15E43C01"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2.821.357,00</w:t>
            </w:r>
          </w:p>
        </w:tc>
        <w:tc>
          <w:tcPr>
            <w:tcW w:w="1417" w:type="dxa"/>
            <w:tcBorders>
              <w:top w:val="nil"/>
              <w:left w:val="nil"/>
              <w:bottom w:val="single" w:sz="4" w:space="0" w:color="auto"/>
              <w:right w:val="single" w:sz="4" w:space="0" w:color="auto"/>
            </w:tcBorders>
            <w:shd w:val="clear" w:color="auto" w:fill="auto"/>
            <w:vAlign w:val="center"/>
            <w:hideMark/>
          </w:tcPr>
          <w:p w14:paraId="6FDEB160"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3.397.424,00</w:t>
            </w:r>
          </w:p>
        </w:tc>
        <w:tc>
          <w:tcPr>
            <w:tcW w:w="1418" w:type="dxa"/>
            <w:gridSpan w:val="2"/>
            <w:tcBorders>
              <w:top w:val="nil"/>
              <w:left w:val="nil"/>
              <w:bottom w:val="single" w:sz="4" w:space="0" w:color="auto"/>
              <w:right w:val="nil"/>
            </w:tcBorders>
            <w:shd w:val="clear" w:color="auto" w:fill="auto"/>
            <w:vAlign w:val="center"/>
            <w:hideMark/>
          </w:tcPr>
          <w:p w14:paraId="4D47A6DC"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3.202.690,00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D930D8"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-194734</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733B007"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94,27%</w:t>
            </w:r>
          </w:p>
        </w:tc>
      </w:tr>
      <w:tr w:rsidR="004C01B3" w:rsidRPr="00B13B9A" w14:paraId="1D61BB5D"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CEBA0A4" w14:textId="77777777" w:rsidR="004C01B3" w:rsidRPr="00B13B9A" w:rsidRDefault="004C01B3" w:rsidP="004C01B3">
            <w:pPr>
              <w:spacing w:after="0" w:line="240" w:lineRule="auto"/>
              <w:ind w:firstLineChars="100" w:firstLine="181"/>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III. Investitii financiare curente</w:t>
            </w:r>
          </w:p>
        </w:tc>
        <w:tc>
          <w:tcPr>
            <w:tcW w:w="1418" w:type="dxa"/>
            <w:tcBorders>
              <w:top w:val="nil"/>
              <w:left w:val="nil"/>
              <w:bottom w:val="single" w:sz="4" w:space="0" w:color="auto"/>
              <w:right w:val="single" w:sz="4" w:space="0" w:color="auto"/>
            </w:tcBorders>
            <w:shd w:val="clear" w:color="auto" w:fill="auto"/>
            <w:noWrap/>
            <w:vAlign w:val="center"/>
            <w:hideMark/>
          </w:tcPr>
          <w:p w14:paraId="067E8208"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7" w:type="dxa"/>
            <w:tcBorders>
              <w:top w:val="nil"/>
              <w:left w:val="nil"/>
              <w:bottom w:val="single" w:sz="4" w:space="0" w:color="auto"/>
              <w:right w:val="single" w:sz="4" w:space="0" w:color="auto"/>
            </w:tcBorders>
            <w:shd w:val="clear" w:color="auto" w:fill="auto"/>
            <w:noWrap/>
            <w:vAlign w:val="center"/>
            <w:hideMark/>
          </w:tcPr>
          <w:p w14:paraId="3E4F273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8" w:type="dxa"/>
            <w:gridSpan w:val="2"/>
            <w:tcBorders>
              <w:top w:val="nil"/>
              <w:left w:val="nil"/>
              <w:bottom w:val="single" w:sz="4" w:space="0" w:color="auto"/>
              <w:right w:val="nil"/>
            </w:tcBorders>
            <w:shd w:val="clear" w:color="auto" w:fill="auto"/>
            <w:noWrap/>
            <w:vAlign w:val="center"/>
            <w:hideMark/>
          </w:tcPr>
          <w:p w14:paraId="7D9FB580"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02F7DE"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3EBEFF7"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3A886633"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95D9016" w14:textId="4074FF9B" w:rsidR="004C01B3" w:rsidRPr="00B13B9A" w:rsidRDefault="004C01B3" w:rsidP="00CC1A9A">
            <w:pPr>
              <w:spacing w:after="0" w:line="240" w:lineRule="auto"/>
              <w:ind w:firstLineChars="100" w:firstLine="181"/>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 xml:space="preserve">Total investitii financiare curente </w:t>
            </w:r>
          </w:p>
        </w:tc>
        <w:tc>
          <w:tcPr>
            <w:tcW w:w="1418" w:type="dxa"/>
            <w:tcBorders>
              <w:top w:val="nil"/>
              <w:left w:val="nil"/>
              <w:bottom w:val="single" w:sz="4" w:space="0" w:color="auto"/>
              <w:right w:val="single" w:sz="4" w:space="0" w:color="auto"/>
            </w:tcBorders>
            <w:shd w:val="clear" w:color="auto" w:fill="auto"/>
            <w:noWrap/>
            <w:vAlign w:val="center"/>
            <w:hideMark/>
          </w:tcPr>
          <w:p w14:paraId="256D89C4"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7" w:type="dxa"/>
            <w:tcBorders>
              <w:top w:val="nil"/>
              <w:left w:val="nil"/>
              <w:bottom w:val="single" w:sz="4" w:space="0" w:color="auto"/>
              <w:right w:val="single" w:sz="4" w:space="0" w:color="auto"/>
            </w:tcBorders>
            <w:shd w:val="clear" w:color="auto" w:fill="auto"/>
            <w:noWrap/>
            <w:vAlign w:val="center"/>
            <w:hideMark/>
          </w:tcPr>
          <w:p w14:paraId="764ADBA6"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30D95908"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3946C6"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95CDC9E"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2189EBCB"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1DC59356" w14:textId="77777777" w:rsidR="004C01B3" w:rsidRPr="00B13B9A" w:rsidRDefault="004C01B3" w:rsidP="004C01B3">
            <w:pPr>
              <w:spacing w:after="0" w:line="240" w:lineRule="auto"/>
              <w:ind w:firstLineChars="100" w:firstLine="181"/>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IV. Numerar si documente banesti</w:t>
            </w:r>
          </w:p>
        </w:tc>
        <w:tc>
          <w:tcPr>
            <w:tcW w:w="1418" w:type="dxa"/>
            <w:tcBorders>
              <w:top w:val="nil"/>
              <w:left w:val="nil"/>
              <w:bottom w:val="single" w:sz="4" w:space="0" w:color="auto"/>
              <w:right w:val="single" w:sz="4" w:space="0" w:color="auto"/>
            </w:tcBorders>
            <w:shd w:val="clear" w:color="auto" w:fill="auto"/>
            <w:vAlign w:val="center"/>
            <w:hideMark/>
          </w:tcPr>
          <w:p w14:paraId="3FB217CB"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6.730.504,00</w:t>
            </w:r>
          </w:p>
        </w:tc>
        <w:tc>
          <w:tcPr>
            <w:tcW w:w="1417" w:type="dxa"/>
            <w:tcBorders>
              <w:top w:val="nil"/>
              <w:left w:val="nil"/>
              <w:bottom w:val="single" w:sz="4" w:space="0" w:color="auto"/>
              <w:right w:val="single" w:sz="4" w:space="0" w:color="auto"/>
            </w:tcBorders>
            <w:shd w:val="clear" w:color="auto" w:fill="auto"/>
            <w:vAlign w:val="center"/>
            <w:hideMark/>
          </w:tcPr>
          <w:p w14:paraId="2E47A083"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5.594.826,00</w:t>
            </w:r>
          </w:p>
        </w:tc>
        <w:tc>
          <w:tcPr>
            <w:tcW w:w="1418" w:type="dxa"/>
            <w:gridSpan w:val="2"/>
            <w:tcBorders>
              <w:top w:val="nil"/>
              <w:left w:val="nil"/>
              <w:bottom w:val="single" w:sz="4" w:space="0" w:color="auto"/>
              <w:right w:val="nil"/>
            </w:tcBorders>
            <w:shd w:val="clear" w:color="auto" w:fill="auto"/>
            <w:vAlign w:val="center"/>
            <w:hideMark/>
          </w:tcPr>
          <w:p w14:paraId="0CE58C4C"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8.094.483,00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43F6C1"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2499657</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35E3E55"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144,68%</w:t>
            </w:r>
          </w:p>
        </w:tc>
      </w:tr>
      <w:tr w:rsidR="004C01B3" w:rsidRPr="00B13B9A" w14:paraId="162539B7"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32784F7" w14:textId="007CB62B" w:rsidR="004C01B3" w:rsidRPr="00B13B9A" w:rsidRDefault="004C01B3" w:rsidP="00CC1A9A">
            <w:pPr>
              <w:spacing w:after="0" w:line="240" w:lineRule="auto"/>
              <w:ind w:firstLineChars="100" w:firstLine="181"/>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TOTAL ACTIVE CIRCULANTE</w:t>
            </w:r>
          </w:p>
        </w:tc>
        <w:tc>
          <w:tcPr>
            <w:tcW w:w="1418" w:type="dxa"/>
            <w:tcBorders>
              <w:top w:val="nil"/>
              <w:left w:val="nil"/>
              <w:bottom w:val="single" w:sz="4" w:space="0" w:color="auto"/>
              <w:right w:val="single" w:sz="4" w:space="0" w:color="auto"/>
            </w:tcBorders>
            <w:shd w:val="clear" w:color="auto" w:fill="auto"/>
            <w:vAlign w:val="center"/>
            <w:hideMark/>
          </w:tcPr>
          <w:p w14:paraId="5E24D6BD"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75.510.298,00</w:t>
            </w:r>
          </w:p>
        </w:tc>
        <w:tc>
          <w:tcPr>
            <w:tcW w:w="1417" w:type="dxa"/>
            <w:tcBorders>
              <w:top w:val="nil"/>
              <w:left w:val="nil"/>
              <w:bottom w:val="single" w:sz="4" w:space="0" w:color="auto"/>
              <w:right w:val="single" w:sz="4" w:space="0" w:color="auto"/>
            </w:tcBorders>
            <w:shd w:val="clear" w:color="auto" w:fill="auto"/>
            <w:vAlign w:val="center"/>
            <w:hideMark/>
          </w:tcPr>
          <w:p w14:paraId="464EF6CA"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67.358.792,00</w:t>
            </w:r>
          </w:p>
        </w:tc>
        <w:tc>
          <w:tcPr>
            <w:tcW w:w="1418" w:type="dxa"/>
            <w:gridSpan w:val="2"/>
            <w:tcBorders>
              <w:top w:val="nil"/>
              <w:left w:val="nil"/>
              <w:bottom w:val="single" w:sz="4" w:space="0" w:color="auto"/>
              <w:right w:val="nil"/>
            </w:tcBorders>
            <w:shd w:val="clear" w:color="auto" w:fill="auto"/>
            <w:vAlign w:val="center"/>
            <w:hideMark/>
          </w:tcPr>
          <w:p w14:paraId="5E5E6CF6"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57.001.509,00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870171"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-10357283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14F315B"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84,62%</w:t>
            </w:r>
          </w:p>
        </w:tc>
      </w:tr>
      <w:tr w:rsidR="004C01B3" w:rsidRPr="00B13B9A" w14:paraId="20934FE3"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D23EA2A" w14:textId="1E958DA0" w:rsidR="004C01B3" w:rsidRPr="00B13B9A" w:rsidRDefault="00CC1A9A" w:rsidP="004C01B3">
            <w:pPr>
              <w:spacing w:after="0" w:line="240" w:lineRule="auto"/>
              <w:ind w:firstLineChars="100" w:firstLine="181"/>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TOTAL ACTIVE</w:t>
            </w:r>
          </w:p>
        </w:tc>
        <w:tc>
          <w:tcPr>
            <w:tcW w:w="1418" w:type="dxa"/>
            <w:tcBorders>
              <w:top w:val="nil"/>
              <w:left w:val="nil"/>
              <w:bottom w:val="single" w:sz="4" w:space="0" w:color="auto"/>
              <w:right w:val="single" w:sz="4" w:space="0" w:color="auto"/>
            </w:tcBorders>
            <w:shd w:val="clear" w:color="auto" w:fill="auto"/>
            <w:vAlign w:val="center"/>
            <w:hideMark/>
          </w:tcPr>
          <w:p w14:paraId="55DB0813"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297.515.620,00</w:t>
            </w:r>
          </w:p>
        </w:tc>
        <w:tc>
          <w:tcPr>
            <w:tcW w:w="1417" w:type="dxa"/>
            <w:tcBorders>
              <w:top w:val="nil"/>
              <w:left w:val="nil"/>
              <w:bottom w:val="single" w:sz="4" w:space="0" w:color="auto"/>
              <w:right w:val="single" w:sz="4" w:space="0" w:color="auto"/>
            </w:tcBorders>
            <w:shd w:val="clear" w:color="auto" w:fill="auto"/>
            <w:vAlign w:val="center"/>
            <w:hideMark/>
          </w:tcPr>
          <w:p w14:paraId="4ED1B14B"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284.689.358,00</w:t>
            </w:r>
          </w:p>
        </w:tc>
        <w:tc>
          <w:tcPr>
            <w:tcW w:w="1418" w:type="dxa"/>
            <w:gridSpan w:val="2"/>
            <w:tcBorders>
              <w:top w:val="nil"/>
              <w:left w:val="nil"/>
              <w:bottom w:val="single" w:sz="4" w:space="0" w:color="auto"/>
              <w:right w:val="nil"/>
            </w:tcBorders>
            <w:shd w:val="clear" w:color="auto" w:fill="auto"/>
            <w:vAlign w:val="center"/>
            <w:hideMark/>
          </w:tcPr>
          <w:p w14:paraId="5D8B75C4"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273.131.947,00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31D325"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-11557411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47DFE57"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95,94%</w:t>
            </w:r>
          </w:p>
        </w:tc>
      </w:tr>
      <w:tr w:rsidR="004C01B3" w:rsidRPr="00B13B9A" w14:paraId="5536474F" w14:textId="77777777" w:rsidTr="00A51C46">
        <w:trPr>
          <w:trHeight w:val="20"/>
        </w:trPr>
        <w:tc>
          <w:tcPr>
            <w:tcW w:w="3681" w:type="dxa"/>
            <w:tcBorders>
              <w:top w:val="nil"/>
              <w:left w:val="nil"/>
              <w:bottom w:val="nil"/>
              <w:right w:val="nil"/>
            </w:tcBorders>
            <w:shd w:val="clear" w:color="auto" w:fill="auto"/>
            <w:noWrap/>
            <w:vAlign w:val="center"/>
            <w:hideMark/>
          </w:tcPr>
          <w:p w14:paraId="4E6C69BE"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p>
        </w:tc>
        <w:tc>
          <w:tcPr>
            <w:tcW w:w="1418" w:type="dxa"/>
            <w:tcBorders>
              <w:top w:val="nil"/>
              <w:left w:val="nil"/>
              <w:bottom w:val="nil"/>
              <w:right w:val="nil"/>
            </w:tcBorders>
            <w:shd w:val="clear" w:color="auto" w:fill="auto"/>
            <w:noWrap/>
            <w:vAlign w:val="center"/>
            <w:hideMark/>
          </w:tcPr>
          <w:p w14:paraId="3021734B"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p>
        </w:tc>
        <w:tc>
          <w:tcPr>
            <w:tcW w:w="1417" w:type="dxa"/>
            <w:tcBorders>
              <w:top w:val="nil"/>
              <w:left w:val="nil"/>
              <w:bottom w:val="nil"/>
              <w:right w:val="nil"/>
            </w:tcBorders>
            <w:shd w:val="clear" w:color="auto" w:fill="auto"/>
            <w:noWrap/>
            <w:vAlign w:val="center"/>
            <w:hideMark/>
          </w:tcPr>
          <w:p w14:paraId="0E50D2D9"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p>
        </w:tc>
        <w:tc>
          <w:tcPr>
            <w:tcW w:w="1418" w:type="dxa"/>
            <w:gridSpan w:val="2"/>
            <w:tcBorders>
              <w:top w:val="nil"/>
              <w:left w:val="nil"/>
              <w:bottom w:val="nil"/>
              <w:right w:val="nil"/>
            </w:tcBorders>
            <w:shd w:val="clear" w:color="auto" w:fill="auto"/>
            <w:noWrap/>
            <w:vAlign w:val="center"/>
            <w:hideMark/>
          </w:tcPr>
          <w:p w14:paraId="4DB59710"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711E8C"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0ADC39D"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66031F96" w14:textId="77777777" w:rsidTr="00A51C46">
        <w:trPr>
          <w:trHeight w:val="20"/>
        </w:trPr>
        <w:tc>
          <w:tcPr>
            <w:tcW w:w="36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5A837C"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P A S I V</w:t>
            </w:r>
          </w:p>
        </w:tc>
        <w:tc>
          <w:tcPr>
            <w:tcW w:w="2846" w:type="dxa"/>
            <w:gridSpan w:val="3"/>
            <w:tcBorders>
              <w:top w:val="single" w:sz="4" w:space="0" w:color="auto"/>
              <w:left w:val="nil"/>
              <w:bottom w:val="single" w:sz="4" w:space="0" w:color="auto"/>
              <w:right w:val="single" w:sz="4" w:space="0" w:color="auto"/>
            </w:tcBorders>
            <w:shd w:val="clear" w:color="auto" w:fill="auto"/>
            <w:vAlign w:val="center"/>
            <w:hideMark/>
          </w:tcPr>
          <w:p w14:paraId="1172E119"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Sold la 2021</w:t>
            </w:r>
          </w:p>
        </w:tc>
        <w:tc>
          <w:tcPr>
            <w:tcW w:w="1418" w:type="dxa"/>
            <w:gridSpan w:val="2"/>
            <w:tcBorders>
              <w:top w:val="single" w:sz="4" w:space="0" w:color="auto"/>
              <w:left w:val="nil"/>
              <w:bottom w:val="single" w:sz="4" w:space="0" w:color="auto"/>
              <w:right w:val="nil"/>
            </w:tcBorders>
            <w:shd w:val="clear" w:color="auto" w:fill="auto"/>
            <w:vAlign w:val="center"/>
            <w:hideMark/>
          </w:tcPr>
          <w:p w14:paraId="7F3246A2"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CCAACA"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39" w:type="dxa"/>
            <w:tcBorders>
              <w:top w:val="nil"/>
              <w:left w:val="nil"/>
              <w:bottom w:val="single" w:sz="4" w:space="0" w:color="auto"/>
              <w:right w:val="single" w:sz="4" w:space="0" w:color="auto"/>
            </w:tcBorders>
            <w:shd w:val="clear" w:color="auto" w:fill="auto"/>
            <w:noWrap/>
            <w:vAlign w:val="center"/>
            <w:hideMark/>
          </w:tcPr>
          <w:p w14:paraId="34C0DDA0"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7BC66AF9" w14:textId="77777777" w:rsidTr="00A51C46">
        <w:trPr>
          <w:trHeight w:val="20"/>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20DF9CE1"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p>
        </w:tc>
        <w:tc>
          <w:tcPr>
            <w:tcW w:w="1418" w:type="dxa"/>
            <w:tcBorders>
              <w:top w:val="nil"/>
              <w:left w:val="nil"/>
              <w:bottom w:val="single" w:sz="4" w:space="0" w:color="auto"/>
              <w:right w:val="single" w:sz="4" w:space="0" w:color="auto"/>
            </w:tcBorders>
            <w:shd w:val="clear" w:color="auto" w:fill="auto"/>
            <w:vAlign w:val="center"/>
            <w:hideMark/>
          </w:tcPr>
          <w:p w14:paraId="3D921FFB"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Începutul perioadei de gestiune</w:t>
            </w:r>
          </w:p>
        </w:tc>
        <w:tc>
          <w:tcPr>
            <w:tcW w:w="1417" w:type="dxa"/>
            <w:tcBorders>
              <w:top w:val="nil"/>
              <w:left w:val="nil"/>
              <w:bottom w:val="single" w:sz="4" w:space="0" w:color="auto"/>
              <w:right w:val="single" w:sz="4" w:space="0" w:color="auto"/>
            </w:tcBorders>
            <w:shd w:val="clear" w:color="auto" w:fill="auto"/>
            <w:vAlign w:val="center"/>
            <w:hideMark/>
          </w:tcPr>
          <w:p w14:paraId="29E1BB86" w14:textId="694668E1" w:rsidR="004C01B3" w:rsidRPr="00B13B9A" w:rsidRDefault="004C01B3" w:rsidP="00585605">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Sf</w:t>
            </w:r>
            <w:r w:rsidR="00585605" w:rsidRPr="00B13B9A">
              <w:rPr>
                <w:rFonts w:asciiTheme="majorHAnsi" w:eastAsia="Times New Roman" w:hAnsiTheme="majorHAnsi" w:cstheme="majorHAnsi"/>
                <w:b/>
                <w:bCs/>
                <w:sz w:val="18"/>
                <w:szCs w:val="18"/>
                <w:lang w:val="ro-MD"/>
              </w:rPr>
              <w:t>â</w:t>
            </w:r>
            <w:r w:rsidRPr="00B13B9A">
              <w:rPr>
                <w:rFonts w:asciiTheme="majorHAnsi" w:eastAsia="Times New Roman" w:hAnsiTheme="majorHAnsi" w:cstheme="majorHAnsi"/>
                <w:b/>
                <w:bCs/>
                <w:sz w:val="18"/>
                <w:szCs w:val="18"/>
                <w:lang w:val="ro-MD"/>
              </w:rPr>
              <w:t>r</w:t>
            </w:r>
            <w:r w:rsidR="00B13B9A" w:rsidRPr="00B13B9A">
              <w:rPr>
                <w:rFonts w:asciiTheme="majorHAnsi" w:eastAsia="Times New Roman" w:hAnsiTheme="majorHAnsi" w:cstheme="majorHAnsi"/>
                <w:b/>
                <w:bCs/>
                <w:sz w:val="18"/>
                <w:szCs w:val="18"/>
                <w:lang w:val="ro-MD"/>
              </w:rPr>
              <w:t>ș</w:t>
            </w:r>
            <w:r w:rsidRPr="00B13B9A">
              <w:rPr>
                <w:rFonts w:asciiTheme="majorHAnsi" w:eastAsia="Times New Roman" w:hAnsiTheme="majorHAnsi" w:cstheme="majorHAnsi"/>
                <w:b/>
                <w:bCs/>
                <w:sz w:val="18"/>
                <w:szCs w:val="18"/>
                <w:lang w:val="ro-MD"/>
              </w:rPr>
              <w:t>itul perioadei de gestiune</w:t>
            </w:r>
          </w:p>
        </w:tc>
        <w:tc>
          <w:tcPr>
            <w:tcW w:w="1418" w:type="dxa"/>
            <w:gridSpan w:val="2"/>
            <w:tcBorders>
              <w:top w:val="nil"/>
              <w:left w:val="nil"/>
              <w:bottom w:val="single" w:sz="4" w:space="0" w:color="auto"/>
              <w:right w:val="nil"/>
            </w:tcBorders>
            <w:shd w:val="clear" w:color="auto" w:fill="auto"/>
            <w:vAlign w:val="center"/>
            <w:hideMark/>
          </w:tcPr>
          <w:p w14:paraId="53E3C744" w14:textId="25A24F61" w:rsidR="004C01B3" w:rsidRPr="00B13B9A" w:rsidRDefault="004C01B3" w:rsidP="00585605">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Sf</w:t>
            </w:r>
            <w:r w:rsidR="00585605" w:rsidRPr="00B13B9A">
              <w:rPr>
                <w:rFonts w:asciiTheme="majorHAnsi" w:eastAsia="Times New Roman" w:hAnsiTheme="majorHAnsi" w:cstheme="majorHAnsi"/>
                <w:b/>
                <w:bCs/>
                <w:sz w:val="18"/>
                <w:szCs w:val="18"/>
                <w:lang w:val="ro-MD"/>
              </w:rPr>
              <w:t>â</w:t>
            </w:r>
            <w:r w:rsidRPr="00B13B9A">
              <w:rPr>
                <w:rFonts w:asciiTheme="majorHAnsi" w:eastAsia="Times New Roman" w:hAnsiTheme="majorHAnsi" w:cstheme="majorHAnsi"/>
                <w:b/>
                <w:bCs/>
                <w:sz w:val="18"/>
                <w:szCs w:val="18"/>
                <w:lang w:val="ro-MD"/>
              </w:rPr>
              <w:t>r</w:t>
            </w:r>
            <w:r w:rsidR="00B13B9A" w:rsidRPr="00B13B9A">
              <w:rPr>
                <w:rFonts w:asciiTheme="majorHAnsi" w:eastAsia="Times New Roman" w:hAnsiTheme="majorHAnsi" w:cstheme="majorHAnsi"/>
                <w:b/>
                <w:bCs/>
                <w:sz w:val="18"/>
                <w:szCs w:val="18"/>
                <w:lang w:val="ro-MD"/>
              </w:rPr>
              <w:t>ș</w:t>
            </w:r>
            <w:r w:rsidRPr="00B13B9A">
              <w:rPr>
                <w:rFonts w:asciiTheme="majorHAnsi" w:eastAsia="Times New Roman" w:hAnsiTheme="majorHAnsi" w:cstheme="majorHAnsi"/>
                <w:b/>
                <w:bCs/>
                <w:sz w:val="18"/>
                <w:szCs w:val="18"/>
                <w:lang w:val="ro-MD"/>
              </w:rPr>
              <w:t>itul perioadei de gestiune</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604F65"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DD2D1C5"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4090A860"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602CEB1"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2</w:t>
            </w:r>
          </w:p>
        </w:tc>
        <w:tc>
          <w:tcPr>
            <w:tcW w:w="1418" w:type="dxa"/>
            <w:tcBorders>
              <w:top w:val="nil"/>
              <w:left w:val="nil"/>
              <w:bottom w:val="single" w:sz="4" w:space="0" w:color="auto"/>
              <w:right w:val="single" w:sz="4" w:space="0" w:color="auto"/>
            </w:tcBorders>
            <w:shd w:val="clear" w:color="000000" w:fill="FFFFFF"/>
            <w:vAlign w:val="center"/>
            <w:hideMark/>
          </w:tcPr>
          <w:p w14:paraId="34C01612" w14:textId="77777777" w:rsidR="004C01B3" w:rsidRPr="00B13B9A" w:rsidRDefault="004C01B3" w:rsidP="004C01B3">
            <w:pPr>
              <w:spacing w:after="0" w:line="240" w:lineRule="auto"/>
              <w:ind w:firstLineChars="100" w:firstLine="180"/>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4</w:t>
            </w:r>
          </w:p>
        </w:tc>
        <w:tc>
          <w:tcPr>
            <w:tcW w:w="1417" w:type="dxa"/>
            <w:tcBorders>
              <w:top w:val="nil"/>
              <w:left w:val="nil"/>
              <w:bottom w:val="single" w:sz="4" w:space="0" w:color="auto"/>
              <w:right w:val="single" w:sz="4" w:space="0" w:color="auto"/>
            </w:tcBorders>
            <w:shd w:val="clear" w:color="000000" w:fill="FFFFFF"/>
            <w:vAlign w:val="center"/>
            <w:hideMark/>
          </w:tcPr>
          <w:p w14:paraId="481B8C1A" w14:textId="77777777" w:rsidR="004C01B3" w:rsidRPr="00B13B9A" w:rsidRDefault="004C01B3" w:rsidP="004C01B3">
            <w:pPr>
              <w:spacing w:after="0" w:line="240" w:lineRule="auto"/>
              <w:ind w:firstLineChars="100" w:firstLine="180"/>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5</w:t>
            </w:r>
          </w:p>
        </w:tc>
        <w:tc>
          <w:tcPr>
            <w:tcW w:w="1418" w:type="dxa"/>
            <w:gridSpan w:val="2"/>
            <w:tcBorders>
              <w:top w:val="nil"/>
              <w:left w:val="nil"/>
              <w:bottom w:val="single" w:sz="4" w:space="0" w:color="auto"/>
              <w:right w:val="nil"/>
            </w:tcBorders>
            <w:shd w:val="clear" w:color="000000" w:fill="FFFFFF"/>
            <w:vAlign w:val="center"/>
            <w:hideMark/>
          </w:tcPr>
          <w:p w14:paraId="63DA99EF" w14:textId="77777777" w:rsidR="004C01B3" w:rsidRPr="00B13B9A" w:rsidRDefault="004C01B3" w:rsidP="004C01B3">
            <w:pPr>
              <w:spacing w:after="0" w:line="240" w:lineRule="auto"/>
              <w:ind w:firstLineChars="100" w:firstLine="180"/>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7</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505385"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8A0EC29"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736F04AA"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8984FA8"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CAPITAL PROPRIU</w:t>
            </w:r>
          </w:p>
        </w:tc>
        <w:tc>
          <w:tcPr>
            <w:tcW w:w="1418" w:type="dxa"/>
            <w:tcBorders>
              <w:top w:val="nil"/>
              <w:left w:val="nil"/>
              <w:bottom w:val="single" w:sz="4" w:space="0" w:color="auto"/>
              <w:right w:val="single" w:sz="4" w:space="0" w:color="auto"/>
            </w:tcBorders>
            <w:shd w:val="clear" w:color="auto" w:fill="auto"/>
            <w:vAlign w:val="center"/>
            <w:hideMark/>
          </w:tcPr>
          <w:p w14:paraId="56349F45"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3BCEFF98"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0F3048C8"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64DCF9"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A7E1EC4"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1924A7" w14:paraId="2EA74915"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512E832" w14:textId="5E567F27" w:rsidR="004C01B3" w:rsidRPr="00B13B9A" w:rsidRDefault="004C01B3" w:rsidP="00585605">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I. Capital social si ne</w:t>
            </w:r>
            <w:r w:rsidR="00585605" w:rsidRPr="00B13B9A">
              <w:rPr>
                <w:rFonts w:asciiTheme="majorHAnsi" w:eastAsia="Times New Roman" w:hAnsiTheme="majorHAnsi" w:cstheme="majorHAnsi"/>
                <w:b/>
                <w:bCs/>
                <w:color w:val="000000"/>
                <w:sz w:val="18"/>
                <w:szCs w:val="18"/>
                <w:lang w:val="ro-MD"/>
              </w:rPr>
              <w:t>în</w:t>
            </w:r>
            <w:r w:rsidRPr="00B13B9A">
              <w:rPr>
                <w:rFonts w:asciiTheme="majorHAnsi" w:eastAsia="Times New Roman" w:hAnsiTheme="majorHAnsi" w:cstheme="majorHAnsi"/>
                <w:b/>
                <w:bCs/>
                <w:color w:val="000000"/>
                <w:sz w:val="18"/>
                <w:szCs w:val="18"/>
                <w:lang w:val="ro-MD"/>
              </w:rPr>
              <w:t>registrat</w:t>
            </w:r>
          </w:p>
        </w:tc>
        <w:tc>
          <w:tcPr>
            <w:tcW w:w="1418" w:type="dxa"/>
            <w:tcBorders>
              <w:top w:val="nil"/>
              <w:left w:val="nil"/>
              <w:bottom w:val="single" w:sz="4" w:space="0" w:color="auto"/>
              <w:right w:val="single" w:sz="4" w:space="0" w:color="auto"/>
            </w:tcBorders>
            <w:shd w:val="clear" w:color="auto" w:fill="auto"/>
            <w:vAlign w:val="center"/>
            <w:hideMark/>
          </w:tcPr>
          <w:p w14:paraId="41627226"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78C1E72E"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41CEC593"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7E679A"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059588F"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60044198"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62AB6A17"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Capital social</w:t>
            </w:r>
          </w:p>
        </w:tc>
        <w:tc>
          <w:tcPr>
            <w:tcW w:w="1418" w:type="dxa"/>
            <w:tcBorders>
              <w:top w:val="nil"/>
              <w:left w:val="nil"/>
              <w:bottom w:val="single" w:sz="4" w:space="0" w:color="auto"/>
              <w:right w:val="single" w:sz="4" w:space="0" w:color="auto"/>
            </w:tcBorders>
            <w:shd w:val="clear" w:color="auto" w:fill="auto"/>
            <w:vAlign w:val="center"/>
            <w:hideMark/>
          </w:tcPr>
          <w:p w14:paraId="6511EEC9"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73.814.487,00</w:t>
            </w:r>
          </w:p>
        </w:tc>
        <w:tc>
          <w:tcPr>
            <w:tcW w:w="1417" w:type="dxa"/>
            <w:tcBorders>
              <w:top w:val="nil"/>
              <w:left w:val="nil"/>
              <w:bottom w:val="single" w:sz="4" w:space="0" w:color="auto"/>
              <w:right w:val="single" w:sz="4" w:space="0" w:color="auto"/>
            </w:tcBorders>
            <w:shd w:val="clear" w:color="auto" w:fill="auto"/>
            <w:vAlign w:val="center"/>
            <w:hideMark/>
          </w:tcPr>
          <w:p w14:paraId="7C028D93"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73.814.487,00</w:t>
            </w:r>
          </w:p>
        </w:tc>
        <w:tc>
          <w:tcPr>
            <w:tcW w:w="1418" w:type="dxa"/>
            <w:gridSpan w:val="2"/>
            <w:tcBorders>
              <w:top w:val="nil"/>
              <w:left w:val="nil"/>
              <w:bottom w:val="single" w:sz="4" w:space="0" w:color="auto"/>
              <w:right w:val="nil"/>
            </w:tcBorders>
            <w:shd w:val="clear" w:color="auto" w:fill="auto"/>
            <w:vAlign w:val="center"/>
            <w:hideMark/>
          </w:tcPr>
          <w:p w14:paraId="08FE4A93"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73.814.487,00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7F9AC8"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061B909"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100,00%</w:t>
            </w:r>
          </w:p>
        </w:tc>
      </w:tr>
      <w:tr w:rsidR="004C01B3" w:rsidRPr="00B13B9A" w14:paraId="6AF4294D"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1E554E52" w14:textId="3758E02C" w:rsidR="004C01B3" w:rsidRPr="00B13B9A" w:rsidRDefault="004C01B3" w:rsidP="00585605">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Total capital social si ne</w:t>
            </w:r>
            <w:r w:rsidR="00585605" w:rsidRPr="00B13B9A">
              <w:rPr>
                <w:rFonts w:asciiTheme="majorHAnsi" w:eastAsia="Times New Roman" w:hAnsiTheme="majorHAnsi" w:cstheme="majorHAnsi"/>
                <w:b/>
                <w:bCs/>
                <w:color w:val="000000"/>
                <w:sz w:val="18"/>
                <w:szCs w:val="18"/>
                <w:lang w:val="ro-MD"/>
              </w:rPr>
              <w:t>în</w:t>
            </w:r>
            <w:r w:rsidRPr="00B13B9A">
              <w:rPr>
                <w:rFonts w:asciiTheme="majorHAnsi" w:eastAsia="Times New Roman" w:hAnsiTheme="majorHAnsi" w:cstheme="majorHAnsi"/>
                <w:b/>
                <w:bCs/>
                <w:color w:val="000000"/>
                <w:sz w:val="18"/>
                <w:szCs w:val="18"/>
                <w:lang w:val="ro-MD"/>
              </w:rPr>
              <w:t>registrat</w:t>
            </w:r>
          </w:p>
        </w:tc>
        <w:tc>
          <w:tcPr>
            <w:tcW w:w="1418" w:type="dxa"/>
            <w:tcBorders>
              <w:top w:val="nil"/>
              <w:left w:val="nil"/>
              <w:bottom w:val="single" w:sz="4" w:space="0" w:color="auto"/>
              <w:right w:val="single" w:sz="4" w:space="0" w:color="auto"/>
            </w:tcBorders>
            <w:shd w:val="clear" w:color="auto" w:fill="auto"/>
            <w:vAlign w:val="center"/>
            <w:hideMark/>
          </w:tcPr>
          <w:p w14:paraId="49AA5B0F"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73.814.487,00</w:t>
            </w:r>
          </w:p>
        </w:tc>
        <w:tc>
          <w:tcPr>
            <w:tcW w:w="1417" w:type="dxa"/>
            <w:tcBorders>
              <w:top w:val="nil"/>
              <w:left w:val="nil"/>
              <w:bottom w:val="single" w:sz="4" w:space="0" w:color="auto"/>
              <w:right w:val="single" w:sz="4" w:space="0" w:color="auto"/>
            </w:tcBorders>
            <w:shd w:val="clear" w:color="auto" w:fill="auto"/>
            <w:vAlign w:val="center"/>
            <w:hideMark/>
          </w:tcPr>
          <w:p w14:paraId="27741BED"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73.814.487,00</w:t>
            </w:r>
          </w:p>
        </w:tc>
        <w:tc>
          <w:tcPr>
            <w:tcW w:w="1418" w:type="dxa"/>
            <w:gridSpan w:val="2"/>
            <w:tcBorders>
              <w:top w:val="nil"/>
              <w:left w:val="nil"/>
              <w:bottom w:val="single" w:sz="4" w:space="0" w:color="auto"/>
              <w:right w:val="nil"/>
            </w:tcBorders>
            <w:shd w:val="clear" w:color="auto" w:fill="auto"/>
            <w:vAlign w:val="center"/>
            <w:hideMark/>
          </w:tcPr>
          <w:p w14:paraId="2C6025E5"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73.814.487,00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9A910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7BA2396"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100,00%</w:t>
            </w:r>
          </w:p>
        </w:tc>
      </w:tr>
      <w:tr w:rsidR="004C01B3" w:rsidRPr="00B13B9A" w14:paraId="4F09A6FE"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5DF32C52"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II. Prime de capital</w:t>
            </w:r>
          </w:p>
        </w:tc>
        <w:tc>
          <w:tcPr>
            <w:tcW w:w="1418" w:type="dxa"/>
            <w:tcBorders>
              <w:top w:val="nil"/>
              <w:left w:val="nil"/>
              <w:bottom w:val="single" w:sz="4" w:space="0" w:color="auto"/>
              <w:right w:val="single" w:sz="4" w:space="0" w:color="auto"/>
            </w:tcBorders>
            <w:shd w:val="clear" w:color="auto" w:fill="auto"/>
            <w:noWrap/>
            <w:vAlign w:val="center"/>
            <w:hideMark/>
          </w:tcPr>
          <w:p w14:paraId="54F82D30"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7" w:type="dxa"/>
            <w:tcBorders>
              <w:top w:val="nil"/>
              <w:left w:val="nil"/>
              <w:bottom w:val="single" w:sz="4" w:space="0" w:color="auto"/>
              <w:right w:val="single" w:sz="4" w:space="0" w:color="auto"/>
            </w:tcBorders>
            <w:shd w:val="clear" w:color="auto" w:fill="auto"/>
            <w:noWrap/>
            <w:vAlign w:val="center"/>
            <w:hideMark/>
          </w:tcPr>
          <w:p w14:paraId="4FEA7DC0"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71E71D7E"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635672"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FF82E00"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3D880C48"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05834D1"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III. Rezerve</w:t>
            </w:r>
          </w:p>
        </w:tc>
        <w:tc>
          <w:tcPr>
            <w:tcW w:w="1418" w:type="dxa"/>
            <w:tcBorders>
              <w:top w:val="nil"/>
              <w:left w:val="nil"/>
              <w:bottom w:val="single" w:sz="4" w:space="0" w:color="auto"/>
              <w:right w:val="single" w:sz="4" w:space="0" w:color="auto"/>
            </w:tcBorders>
            <w:shd w:val="clear" w:color="auto" w:fill="auto"/>
            <w:noWrap/>
            <w:vAlign w:val="center"/>
            <w:hideMark/>
          </w:tcPr>
          <w:p w14:paraId="12EF07E7"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7" w:type="dxa"/>
            <w:tcBorders>
              <w:top w:val="nil"/>
              <w:left w:val="nil"/>
              <w:bottom w:val="single" w:sz="4" w:space="0" w:color="auto"/>
              <w:right w:val="single" w:sz="4" w:space="0" w:color="auto"/>
            </w:tcBorders>
            <w:shd w:val="clear" w:color="auto" w:fill="auto"/>
            <w:noWrap/>
            <w:vAlign w:val="center"/>
            <w:hideMark/>
          </w:tcPr>
          <w:p w14:paraId="770ED17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0E863340"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68C52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75FB3F8"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6712FCB3" w14:textId="77777777" w:rsidTr="00A51C46">
        <w:trPr>
          <w:trHeight w:val="107"/>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74C022C"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 Alte rezerve</w:t>
            </w:r>
          </w:p>
        </w:tc>
        <w:tc>
          <w:tcPr>
            <w:tcW w:w="1418" w:type="dxa"/>
            <w:tcBorders>
              <w:top w:val="nil"/>
              <w:left w:val="nil"/>
              <w:bottom w:val="single" w:sz="4" w:space="0" w:color="auto"/>
              <w:right w:val="single" w:sz="4" w:space="0" w:color="auto"/>
            </w:tcBorders>
            <w:shd w:val="clear" w:color="auto" w:fill="auto"/>
            <w:vAlign w:val="center"/>
            <w:hideMark/>
          </w:tcPr>
          <w:p w14:paraId="29FC078F"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44BACDEB"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87135</w:t>
            </w:r>
          </w:p>
        </w:tc>
        <w:tc>
          <w:tcPr>
            <w:tcW w:w="1418" w:type="dxa"/>
            <w:gridSpan w:val="2"/>
            <w:tcBorders>
              <w:top w:val="nil"/>
              <w:left w:val="nil"/>
              <w:bottom w:val="single" w:sz="4" w:space="0" w:color="auto"/>
              <w:right w:val="nil"/>
            </w:tcBorders>
            <w:shd w:val="clear" w:color="auto" w:fill="auto"/>
            <w:vAlign w:val="center"/>
            <w:hideMark/>
          </w:tcPr>
          <w:p w14:paraId="4D7A8976"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F84C94"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-87135</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09ECC5F"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0,00%</w:t>
            </w:r>
          </w:p>
        </w:tc>
      </w:tr>
      <w:tr w:rsidR="004C01B3" w:rsidRPr="00B13B9A" w14:paraId="27536CAF"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5E7554F7" w14:textId="58FEF8EA" w:rsidR="004C01B3" w:rsidRPr="00B13B9A" w:rsidRDefault="004C01B3" w:rsidP="00CC1A9A">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 xml:space="preserve">Total rezerve </w:t>
            </w:r>
          </w:p>
        </w:tc>
        <w:tc>
          <w:tcPr>
            <w:tcW w:w="1418" w:type="dxa"/>
            <w:tcBorders>
              <w:top w:val="nil"/>
              <w:left w:val="nil"/>
              <w:bottom w:val="single" w:sz="4" w:space="0" w:color="auto"/>
              <w:right w:val="single" w:sz="4" w:space="0" w:color="auto"/>
            </w:tcBorders>
            <w:shd w:val="clear" w:color="auto" w:fill="auto"/>
            <w:vAlign w:val="center"/>
            <w:hideMark/>
          </w:tcPr>
          <w:p w14:paraId="56496949"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59590264"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87135</w:t>
            </w:r>
          </w:p>
        </w:tc>
        <w:tc>
          <w:tcPr>
            <w:tcW w:w="1418" w:type="dxa"/>
            <w:gridSpan w:val="2"/>
            <w:tcBorders>
              <w:top w:val="nil"/>
              <w:left w:val="nil"/>
              <w:bottom w:val="single" w:sz="4" w:space="0" w:color="auto"/>
              <w:right w:val="nil"/>
            </w:tcBorders>
            <w:shd w:val="clear" w:color="auto" w:fill="auto"/>
            <w:vAlign w:val="center"/>
            <w:hideMark/>
          </w:tcPr>
          <w:p w14:paraId="46BD8D3F"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E07855"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-87135</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E755BE6"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0,00%</w:t>
            </w:r>
          </w:p>
        </w:tc>
      </w:tr>
      <w:tr w:rsidR="004C01B3" w:rsidRPr="00B13B9A" w14:paraId="3F25C83C"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67D3F3B"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IV. Profit (pierdere)</w:t>
            </w:r>
          </w:p>
        </w:tc>
        <w:tc>
          <w:tcPr>
            <w:tcW w:w="1418" w:type="dxa"/>
            <w:tcBorders>
              <w:top w:val="nil"/>
              <w:left w:val="nil"/>
              <w:bottom w:val="single" w:sz="4" w:space="0" w:color="auto"/>
              <w:right w:val="single" w:sz="4" w:space="0" w:color="auto"/>
            </w:tcBorders>
            <w:shd w:val="clear" w:color="auto" w:fill="auto"/>
            <w:vAlign w:val="center"/>
            <w:hideMark/>
          </w:tcPr>
          <w:p w14:paraId="4DEF831D"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7885D0B7"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40A4ECE0"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201289"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373DE58"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48D36F79"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77F7FCA"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Corectii ale rezultatelor anilor precedenti</w:t>
            </w:r>
          </w:p>
        </w:tc>
        <w:tc>
          <w:tcPr>
            <w:tcW w:w="1418" w:type="dxa"/>
            <w:tcBorders>
              <w:top w:val="nil"/>
              <w:left w:val="nil"/>
              <w:bottom w:val="single" w:sz="4" w:space="0" w:color="auto"/>
              <w:right w:val="single" w:sz="4" w:space="0" w:color="auto"/>
            </w:tcBorders>
            <w:shd w:val="clear" w:color="auto" w:fill="auto"/>
            <w:noWrap/>
            <w:vAlign w:val="center"/>
            <w:hideMark/>
          </w:tcPr>
          <w:p w14:paraId="615621A0"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4054EEA3"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1553B231"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E7C68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4B758B8"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2D4B8D0F"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2684C9F"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2. Profit nerepartizat (pierdere neacoperita) al anilor precedenti</w:t>
            </w:r>
          </w:p>
        </w:tc>
        <w:tc>
          <w:tcPr>
            <w:tcW w:w="1418" w:type="dxa"/>
            <w:tcBorders>
              <w:top w:val="nil"/>
              <w:left w:val="nil"/>
              <w:bottom w:val="single" w:sz="4" w:space="0" w:color="auto"/>
              <w:right w:val="single" w:sz="4" w:space="0" w:color="auto"/>
            </w:tcBorders>
            <w:shd w:val="clear" w:color="auto" w:fill="auto"/>
            <w:vAlign w:val="center"/>
            <w:hideMark/>
          </w:tcPr>
          <w:p w14:paraId="26505D89"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87135</w:t>
            </w:r>
          </w:p>
        </w:tc>
        <w:tc>
          <w:tcPr>
            <w:tcW w:w="1417" w:type="dxa"/>
            <w:tcBorders>
              <w:top w:val="nil"/>
              <w:left w:val="nil"/>
              <w:bottom w:val="single" w:sz="4" w:space="0" w:color="auto"/>
              <w:right w:val="single" w:sz="4" w:space="0" w:color="auto"/>
            </w:tcBorders>
            <w:shd w:val="clear" w:color="auto" w:fill="auto"/>
            <w:noWrap/>
            <w:vAlign w:val="center"/>
            <w:hideMark/>
          </w:tcPr>
          <w:p w14:paraId="7421084A"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3247EF93"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BEBB70"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C2973C9"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4FD7D4AA"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66F4447"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 Profit net (pierdere neta) al perioadei de gestiune</w:t>
            </w:r>
          </w:p>
        </w:tc>
        <w:tc>
          <w:tcPr>
            <w:tcW w:w="1418" w:type="dxa"/>
            <w:tcBorders>
              <w:top w:val="nil"/>
              <w:left w:val="nil"/>
              <w:bottom w:val="single" w:sz="4" w:space="0" w:color="auto"/>
              <w:right w:val="single" w:sz="4" w:space="0" w:color="auto"/>
            </w:tcBorders>
            <w:shd w:val="clear" w:color="auto" w:fill="auto"/>
            <w:vAlign w:val="center"/>
            <w:hideMark/>
          </w:tcPr>
          <w:p w14:paraId="359B2ABD"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1CC3716D"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10E31122"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14F11B"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8729C0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37D61C26"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60652BA"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4. Profit utilizat al perioadei de gestiune</w:t>
            </w:r>
          </w:p>
        </w:tc>
        <w:tc>
          <w:tcPr>
            <w:tcW w:w="1418" w:type="dxa"/>
            <w:tcBorders>
              <w:top w:val="nil"/>
              <w:left w:val="nil"/>
              <w:bottom w:val="single" w:sz="4" w:space="0" w:color="auto"/>
              <w:right w:val="single" w:sz="4" w:space="0" w:color="auto"/>
            </w:tcBorders>
            <w:shd w:val="clear" w:color="auto" w:fill="auto"/>
            <w:noWrap/>
            <w:vAlign w:val="center"/>
            <w:hideMark/>
          </w:tcPr>
          <w:p w14:paraId="5BA082A9"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7" w:type="dxa"/>
            <w:tcBorders>
              <w:top w:val="nil"/>
              <w:left w:val="nil"/>
              <w:bottom w:val="single" w:sz="4" w:space="0" w:color="auto"/>
              <w:right w:val="single" w:sz="4" w:space="0" w:color="auto"/>
            </w:tcBorders>
            <w:shd w:val="clear" w:color="auto" w:fill="auto"/>
            <w:noWrap/>
            <w:vAlign w:val="center"/>
            <w:hideMark/>
          </w:tcPr>
          <w:p w14:paraId="37C1661C"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11771C69"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89B2A0"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A966CBB"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02F3A95C"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C02ABF5"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Total profit (pierdere)</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D8B9AC9"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87135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FBE077B"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6831DA44"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8F41C9"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1DBA91E"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724C865E"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3B0FA38E"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V. Rezerve din reevaluare</w:t>
            </w:r>
          </w:p>
        </w:tc>
        <w:tc>
          <w:tcPr>
            <w:tcW w:w="1418" w:type="dxa"/>
            <w:tcBorders>
              <w:top w:val="nil"/>
              <w:left w:val="nil"/>
              <w:bottom w:val="single" w:sz="4" w:space="0" w:color="auto"/>
              <w:right w:val="single" w:sz="4" w:space="0" w:color="auto"/>
            </w:tcBorders>
            <w:shd w:val="clear" w:color="auto" w:fill="auto"/>
            <w:vAlign w:val="center"/>
            <w:hideMark/>
          </w:tcPr>
          <w:p w14:paraId="62026011"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102C5215"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0F55A44F"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8D1269"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6082A5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57DA7C49"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CCBCAA4"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VI. Alte elemente de capital propriu</w:t>
            </w:r>
          </w:p>
        </w:tc>
        <w:tc>
          <w:tcPr>
            <w:tcW w:w="1418" w:type="dxa"/>
            <w:tcBorders>
              <w:top w:val="nil"/>
              <w:left w:val="nil"/>
              <w:bottom w:val="single" w:sz="4" w:space="0" w:color="auto"/>
              <w:right w:val="single" w:sz="4" w:space="0" w:color="auto"/>
            </w:tcBorders>
            <w:shd w:val="clear" w:color="auto" w:fill="auto"/>
            <w:vAlign w:val="center"/>
            <w:hideMark/>
          </w:tcPr>
          <w:p w14:paraId="3129F794"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154.059.550,00</w:t>
            </w:r>
          </w:p>
        </w:tc>
        <w:tc>
          <w:tcPr>
            <w:tcW w:w="1417" w:type="dxa"/>
            <w:tcBorders>
              <w:top w:val="nil"/>
              <w:left w:val="nil"/>
              <w:bottom w:val="single" w:sz="4" w:space="0" w:color="auto"/>
              <w:right w:val="single" w:sz="4" w:space="0" w:color="auto"/>
            </w:tcBorders>
            <w:shd w:val="clear" w:color="auto" w:fill="auto"/>
            <w:vAlign w:val="center"/>
            <w:hideMark/>
          </w:tcPr>
          <w:p w14:paraId="320BC84D"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155.828.211,00</w:t>
            </w:r>
          </w:p>
        </w:tc>
        <w:tc>
          <w:tcPr>
            <w:tcW w:w="1418" w:type="dxa"/>
            <w:gridSpan w:val="2"/>
            <w:tcBorders>
              <w:top w:val="nil"/>
              <w:left w:val="nil"/>
              <w:bottom w:val="single" w:sz="4" w:space="0" w:color="auto"/>
              <w:right w:val="nil"/>
            </w:tcBorders>
            <w:shd w:val="clear" w:color="auto" w:fill="auto"/>
            <w:vAlign w:val="center"/>
            <w:hideMark/>
          </w:tcPr>
          <w:p w14:paraId="090FFC28"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154.309.848,00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49374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-1518363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4D9F00A"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99,03%</w:t>
            </w:r>
          </w:p>
        </w:tc>
      </w:tr>
      <w:tr w:rsidR="004C01B3" w:rsidRPr="00B13B9A" w14:paraId="08A6A01C"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3DECF63"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TOTAL CAPITAL PROPRIU</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45C7051F"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227.961.172,00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7F1C4F59"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229.729.832,00</w:t>
            </w:r>
          </w:p>
        </w:tc>
        <w:tc>
          <w:tcPr>
            <w:tcW w:w="1418" w:type="dxa"/>
            <w:gridSpan w:val="2"/>
            <w:vMerge w:val="restart"/>
            <w:tcBorders>
              <w:top w:val="nil"/>
              <w:left w:val="single" w:sz="4" w:space="0" w:color="auto"/>
              <w:bottom w:val="single" w:sz="4" w:space="0" w:color="auto"/>
              <w:right w:val="nil"/>
            </w:tcBorders>
            <w:shd w:val="clear" w:color="auto" w:fill="auto"/>
            <w:vAlign w:val="center"/>
            <w:hideMark/>
          </w:tcPr>
          <w:p w14:paraId="7C1D0868"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228.124.335,00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D8806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-1605497</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CC1FA29"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99,30%</w:t>
            </w:r>
          </w:p>
        </w:tc>
      </w:tr>
      <w:tr w:rsidR="004C01B3" w:rsidRPr="00B13B9A" w14:paraId="098D9122"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B590D66" w14:textId="0FBEE9EE"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p>
        </w:tc>
        <w:tc>
          <w:tcPr>
            <w:tcW w:w="1418" w:type="dxa"/>
            <w:vMerge/>
            <w:tcBorders>
              <w:top w:val="nil"/>
              <w:left w:val="single" w:sz="4" w:space="0" w:color="auto"/>
              <w:bottom w:val="single" w:sz="4" w:space="0" w:color="auto"/>
              <w:right w:val="single" w:sz="4" w:space="0" w:color="auto"/>
            </w:tcBorders>
            <w:vAlign w:val="center"/>
            <w:hideMark/>
          </w:tcPr>
          <w:p w14:paraId="22640598"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p>
        </w:tc>
        <w:tc>
          <w:tcPr>
            <w:tcW w:w="1417" w:type="dxa"/>
            <w:vMerge/>
            <w:tcBorders>
              <w:top w:val="nil"/>
              <w:left w:val="single" w:sz="4" w:space="0" w:color="auto"/>
              <w:bottom w:val="single" w:sz="4" w:space="0" w:color="auto"/>
              <w:right w:val="single" w:sz="4" w:space="0" w:color="auto"/>
            </w:tcBorders>
            <w:vAlign w:val="center"/>
            <w:hideMark/>
          </w:tcPr>
          <w:p w14:paraId="723759EE"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p>
        </w:tc>
        <w:tc>
          <w:tcPr>
            <w:tcW w:w="1418" w:type="dxa"/>
            <w:gridSpan w:val="2"/>
            <w:vMerge/>
            <w:tcBorders>
              <w:top w:val="nil"/>
              <w:left w:val="single" w:sz="4" w:space="0" w:color="auto"/>
              <w:bottom w:val="single" w:sz="4" w:space="0" w:color="auto"/>
              <w:right w:val="nil"/>
            </w:tcBorders>
            <w:vAlign w:val="center"/>
            <w:hideMark/>
          </w:tcPr>
          <w:p w14:paraId="5081E4C3"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31FCDC"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2BE4C99"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1CA67484"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17056918"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DATORII PE TERMEN LUNG</w:t>
            </w:r>
          </w:p>
        </w:tc>
        <w:tc>
          <w:tcPr>
            <w:tcW w:w="1418" w:type="dxa"/>
            <w:tcBorders>
              <w:top w:val="nil"/>
              <w:left w:val="nil"/>
              <w:bottom w:val="single" w:sz="4" w:space="0" w:color="auto"/>
              <w:right w:val="single" w:sz="4" w:space="0" w:color="auto"/>
            </w:tcBorders>
            <w:shd w:val="clear" w:color="auto" w:fill="auto"/>
            <w:vAlign w:val="center"/>
            <w:hideMark/>
          </w:tcPr>
          <w:p w14:paraId="459D89D9"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47BE124A"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8" w:type="dxa"/>
            <w:gridSpan w:val="2"/>
            <w:tcBorders>
              <w:top w:val="nil"/>
              <w:left w:val="nil"/>
              <w:bottom w:val="single" w:sz="4" w:space="0" w:color="auto"/>
              <w:right w:val="nil"/>
            </w:tcBorders>
            <w:shd w:val="clear" w:color="auto" w:fill="auto"/>
            <w:noWrap/>
            <w:vAlign w:val="center"/>
            <w:hideMark/>
          </w:tcPr>
          <w:p w14:paraId="61D06D28"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F8944A"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25D9EEB"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452D4D9B"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38D0A8F2"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6. Venituri anticipate pe termen lung</w:t>
            </w:r>
          </w:p>
        </w:tc>
        <w:tc>
          <w:tcPr>
            <w:tcW w:w="1418" w:type="dxa"/>
            <w:tcBorders>
              <w:top w:val="nil"/>
              <w:left w:val="nil"/>
              <w:bottom w:val="single" w:sz="4" w:space="0" w:color="auto"/>
              <w:right w:val="single" w:sz="4" w:space="0" w:color="auto"/>
            </w:tcBorders>
            <w:shd w:val="clear" w:color="auto" w:fill="auto"/>
            <w:vAlign w:val="center"/>
            <w:hideMark/>
          </w:tcPr>
          <w:p w14:paraId="37EE2036"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7.637.319,00</w:t>
            </w:r>
          </w:p>
        </w:tc>
        <w:tc>
          <w:tcPr>
            <w:tcW w:w="1417" w:type="dxa"/>
            <w:tcBorders>
              <w:top w:val="nil"/>
              <w:left w:val="nil"/>
              <w:bottom w:val="single" w:sz="4" w:space="0" w:color="auto"/>
              <w:right w:val="single" w:sz="4" w:space="0" w:color="auto"/>
            </w:tcBorders>
            <w:shd w:val="clear" w:color="auto" w:fill="auto"/>
            <w:vAlign w:val="center"/>
            <w:hideMark/>
          </w:tcPr>
          <w:p w14:paraId="4556785B"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8.088.869,00</w:t>
            </w:r>
          </w:p>
        </w:tc>
        <w:tc>
          <w:tcPr>
            <w:tcW w:w="1418" w:type="dxa"/>
            <w:gridSpan w:val="2"/>
            <w:tcBorders>
              <w:top w:val="nil"/>
              <w:left w:val="nil"/>
              <w:bottom w:val="single" w:sz="4" w:space="0" w:color="auto"/>
              <w:right w:val="nil"/>
            </w:tcBorders>
            <w:shd w:val="clear" w:color="auto" w:fill="auto"/>
            <w:vAlign w:val="center"/>
            <w:hideMark/>
          </w:tcPr>
          <w:p w14:paraId="21541281"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56915E"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-8088869</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11386F5"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0,00%</w:t>
            </w:r>
          </w:p>
        </w:tc>
      </w:tr>
      <w:tr w:rsidR="004C01B3" w:rsidRPr="00B13B9A" w14:paraId="2DEC715E"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606FCA9"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7. Alte datorii pe termen lung</w:t>
            </w:r>
          </w:p>
        </w:tc>
        <w:tc>
          <w:tcPr>
            <w:tcW w:w="1418" w:type="dxa"/>
            <w:tcBorders>
              <w:top w:val="nil"/>
              <w:left w:val="nil"/>
              <w:bottom w:val="single" w:sz="4" w:space="0" w:color="auto"/>
              <w:right w:val="single" w:sz="4" w:space="0" w:color="auto"/>
            </w:tcBorders>
            <w:shd w:val="clear" w:color="auto" w:fill="auto"/>
            <w:vAlign w:val="center"/>
            <w:hideMark/>
          </w:tcPr>
          <w:p w14:paraId="0517D8EF"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61.527.334,00</w:t>
            </w:r>
          </w:p>
        </w:tc>
        <w:tc>
          <w:tcPr>
            <w:tcW w:w="1417" w:type="dxa"/>
            <w:tcBorders>
              <w:top w:val="nil"/>
              <w:left w:val="nil"/>
              <w:bottom w:val="single" w:sz="4" w:space="0" w:color="auto"/>
              <w:right w:val="single" w:sz="4" w:space="0" w:color="auto"/>
            </w:tcBorders>
            <w:shd w:val="clear" w:color="auto" w:fill="auto"/>
            <w:vAlign w:val="center"/>
            <w:hideMark/>
          </w:tcPr>
          <w:p w14:paraId="7EE9EDE9"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8.507.941,00</w:t>
            </w:r>
          </w:p>
        </w:tc>
        <w:tc>
          <w:tcPr>
            <w:tcW w:w="1418" w:type="dxa"/>
            <w:gridSpan w:val="2"/>
            <w:tcBorders>
              <w:top w:val="nil"/>
              <w:left w:val="nil"/>
              <w:bottom w:val="single" w:sz="4" w:space="0" w:color="auto"/>
              <w:right w:val="nil"/>
            </w:tcBorders>
            <w:shd w:val="clear" w:color="auto" w:fill="auto"/>
            <w:vAlign w:val="center"/>
            <w:hideMark/>
          </w:tcPr>
          <w:p w14:paraId="6F590079"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12.083.778,00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741379"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3575837</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41BE9FD"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142,03%</w:t>
            </w:r>
          </w:p>
        </w:tc>
      </w:tr>
      <w:tr w:rsidR="0042231C" w:rsidRPr="00B13B9A" w14:paraId="6AB2B34F" w14:textId="77777777" w:rsidTr="00A51C46">
        <w:trPr>
          <w:trHeight w:val="288"/>
        </w:trPr>
        <w:tc>
          <w:tcPr>
            <w:tcW w:w="36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C5F08C" w14:textId="77777777" w:rsidR="0042231C" w:rsidRPr="00B13B9A" w:rsidRDefault="0042231C"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TOTAL DATORII PE TERMEN LUNG</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EAA1D0C" w14:textId="77777777" w:rsidR="0042231C" w:rsidRPr="00B13B9A" w:rsidRDefault="0042231C"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69.164.653,00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3F294EAB" w14:textId="77777777" w:rsidR="0042231C" w:rsidRPr="00B13B9A" w:rsidRDefault="0042231C"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16.596.810,00</w:t>
            </w:r>
          </w:p>
        </w:tc>
        <w:tc>
          <w:tcPr>
            <w:tcW w:w="1418" w:type="dxa"/>
            <w:gridSpan w:val="2"/>
            <w:tcBorders>
              <w:top w:val="nil"/>
              <w:left w:val="single" w:sz="4" w:space="0" w:color="auto"/>
              <w:bottom w:val="single" w:sz="4" w:space="0" w:color="auto"/>
              <w:right w:val="nil"/>
            </w:tcBorders>
            <w:shd w:val="clear" w:color="auto" w:fill="auto"/>
            <w:vAlign w:val="center"/>
            <w:hideMark/>
          </w:tcPr>
          <w:p w14:paraId="2EBBD2E2" w14:textId="77777777" w:rsidR="0042231C" w:rsidRPr="00B13B9A" w:rsidRDefault="0042231C"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12.083.778,00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5FCFE" w14:textId="210E5E4D" w:rsidR="0042231C" w:rsidRPr="00B13B9A" w:rsidRDefault="0042231C" w:rsidP="0042231C">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-4513032 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1794C1" w14:textId="77912F43" w:rsidR="0042231C" w:rsidRPr="00B13B9A" w:rsidRDefault="0042231C" w:rsidP="0042231C">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72,81% </w:t>
            </w:r>
          </w:p>
        </w:tc>
      </w:tr>
      <w:tr w:rsidR="004C01B3" w:rsidRPr="00B13B9A" w14:paraId="45F047A9" w14:textId="77777777" w:rsidTr="00A51C46">
        <w:trPr>
          <w:trHeight w:val="20"/>
        </w:trPr>
        <w:tc>
          <w:tcPr>
            <w:tcW w:w="36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32FE3D"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DATORII CURENTE</w:t>
            </w:r>
          </w:p>
        </w:tc>
        <w:tc>
          <w:tcPr>
            <w:tcW w:w="1418" w:type="dxa"/>
            <w:tcBorders>
              <w:top w:val="nil"/>
              <w:left w:val="nil"/>
              <w:bottom w:val="single" w:sz="4" w:space="0" w:color="auto"/>
              <w:right w:val="single" w:sz="4" w:space="0" w:color="auto"/>
            </w:tcBorders>
            <w:shd w:val="clear" w:color="auto" w:fill="auto"/>
            <w:noWrap/>
            <w:vAlign w:val="center"/>
            <w:hideMark/>
          </w:tcPr>
          <w:p w14:paraId="6F506CFB"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7" w:type="dxa"/>
            <w:tcBorders>
              <w:top w:val="nil"/>
              <w:left w:val="nil"/>
              <w:bottom w:val="single" w:sz="4" w:space="0" w:color="auto"/>
              <w:right w:val="single" w:sz="4" w:space="0" w:color="auto"/>
            </w:tcBorders>
            <w:shd w:val="clear" w:color="auto" w:fill="auto"/>
            <w:noWrap/>
            <w:vAlign w:val="center"/>
            <w:hideMark/>
          </w:tcPr>
          <w:p w14:paraId="7B71DF14"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5A87F2E2"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DA23E"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C5EBB4"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1D3C7169"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DF9EE32"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1. Credite bancare pe termen scurt</w:t>
            </w:r>
          </w:p>
        </w:tc>
        <w:tc>
          <w:tcPr>
            <w:tcW w:w="1418" w:type="dxa"/>
            <w:tcBorders>
              <w:top w:val="nil"/>
              <w:left w:val="nil"/>
              <w:bottom w:val="single" w:sz="4" w:space="0" w:color="auto"/>
              <w:right w:val="single" w:sz="4" w:space="0" w:color="auto"/>
            </w:tcBorders>
            <w:shd w:val="clear" w:color="auto" w:fill="auto"/>
            <w:noWrap/>
            <w:vAlign w:val="center"/>
            <w:hideMark/>
          </w:tcPr>
          <w:p w14:paraId="6833B8CC"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7" w:type="dxa"/>
            <w:tcBorders>
              <w:top w:val="nil"/>
              <w:left w:val="nil"/>
              <w:bottom w:val="single" w:sz="4" w:space="0" w:color="auto"/>
              <w:right w:val="single" w:sz="4" w:space="0" w:color="auto"/>
            </w:tcBorders>
            <w:shd w:val="clear" w:color="auto" w:fill="auto"/>
            <w:noWrap/>
            <w:vAlign w:val="center"/>
            <w:hideMark/>
          </w:tcPr>
          <w:p w14:paraId="234552A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357FF99A"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97603E"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F53CF17"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01292AB3"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32D78AA2"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2. Imprumuturi pe termen scurt, total</w:t>
            </w:r>
          </w:p>
        </w:tc>
        <w:tc>
          <w:tcPr>
            <w:tcW w:w="1418" w:type="dxa"/>
            <w:tcBorders>
              <w:top w:val="nil"/>
              <w:left w:val="nil"/>
              <w:bottom w:val="single" w:sz="4" w:space="0" w:color="auto"/>
              <w:right w:val="single" w:sz="4" w:space="0" w:color="auto"/>
            </w:tcBorders>
            <w:shd w:val="clear" w:color="auto" w:fill="auto"/>
            <w:vAlign w:val="center"/>
            <w:hideMark/>
          </w:tcPr>
          <w:p w14:paraId="11EE3941"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7B172244"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418A78A0"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425795"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426D795"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2A32180F"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357D804"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din care:</w:t>
            </w:r>
          </w:p>
        </w:tc>
        <w:tc>
          <w:tcPr>
            <w:tcW w:w="1418" w:type="dxa"/>
            <w:tcBorders>
              <w:top w:val="nil"/>
              <w:left w:val="nil"/>
              <w:bottom w:val="single" w:sz="4" w:space="0" w:color="auto"/>
              <w:right w:val="single" w:sz="4" w:space="0" w:color="auto"/>
            </w:tcBorders>
            <w:shd w:val="clear" w:color="auto" w:fill="auto"/>
            <w:vAlign w:val="center"/>
            <w:hideMark/>
          </w:tcPr>
          <w:p w14:paraId="7C06D3C3"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2CF6E207"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8" w:type="dxa"/>
            <w:gridSpan w:val="2"/>
            <w:tcBorders>
              <w:top w:val="nil"/>
              <w:left w:val="nil"/>
              <w:bottom w:val="single" w:sz="4" w:space="0" w:color="auto"/>
              <w:right w:val="nil"/>
            </w:tcBorders>
            <w:shd w:val="clear" w:color="auto" w:fill="auto"/>
            <w:noWrap/>
            <w:vAlign w:val="center"/>
            <w:hideMark/>
          </w:tcPr>
          <w:p w14:paraId="164A0448"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92FA8D"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1A2B62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7DF88D59"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5ED1CBE4"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3. Datorii comerciale curente</w:t>
            </w:r>
          </w:p>
        </w:tc>
        <w:tc>
          <w:tcPr>
            <w:tcW w:w="1418" w:type="dxa"/>
            <w:tcBorders>
              <w:top w:val="nil"/>
              <w:left w:val="nil"/>
              <w:bottom w:val="single" w:sz="4" w:space="0" w:color="auto"/>
              <w:right w:val="single" w:sz="4" w:space="0" w:color="auto"/>
            </w:tcBorders>
            <w:shd w:val="clear" w:color="auto" w:fill="auto"/>
            <w:vAlign w:val="center"/>
            <w:hideMark/>
          </w:tcPr>
          <w:p w14:paraId="3187DEDE"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7.662,00</w:t>
            </w:r>
          </w:p>
        </w:tc>
        <w:tc>
          <w:tcPr>
            <w:tcW w:w="1417" w:type="dxa"/>
            <w:tcBorders>
              <w:top w:val="nil"/>
              <w:left w:val="nil"/>
              <w:bottom w:val="single" w:sz="4" w:space="0" w:color="auto"/>
              <w:right w:val="single" w:sz="4" w:space="0" w:color="auto"/>
            </w:tcBorders>
            <w:shd w:val="clear" w:color="auto" w:fill="auto"/>
            <w:vAlign w:val="center"/>
            <w:hideMark/>
          </w:tcPr>
          <w:p w14:paraId="447DB9D9"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2.785.250,00</w:t>
            </w:r>
          </w:p>
        </w:tc>
        <w:tc>
          <w:tcPr>
            <w:tcW w:w="1418" w:type="dxa"/>
            <w:gridSpan w:val="2"/>
            <w:tcBorders>
              <w:top w:val="nil"/>
              <w:left w:val="nil"/>
              <w:bottom w:val="single" w:sz="4" w:space="0" w:color="auto"/>
              <w:right w:val="nil"/>
            </w:tcBorders>
            <w:shd w:val="clear" w:color="auto" w:fill="auto"/>
            <w:vAlign w:val="center"/>
            <w:hideMark/>
          </w:tcPr>
          <w:p w14:paraId="264F9373"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1.503.750,00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D85F8B"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-1281500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8D63D3F"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53,99%</w:t>
            </w:r>
          </w:p>
        </w:tc>
      </w:tr>
      <w:tr w:rsidR="004C01B3" w:rsidRPr="001924A7" w14:paraId="4F91B5C5"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3538C03"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4. Datorii fata de partile afiliate curente</w:t>
            </w:r>
          </w:p>
        </w:tc>
        <w:tc>
          <w:tcPr>
            <w:tcW w:w="1418" w:type="dxa"/>
            <w:tcBorders>
              <w:top w:val="nil"/>
              <w:left w:val="nil"/>
              <w:bottom w:val="single" w:sz="4" w:space="0" w:color="auto"/>
              <w:right w:val="single" w:sz="4" w:space="0" w:color="auto"/>
            </w:tcBorders>
            <w:shd w:val="clear" w:color="auto" w:fill="auto"/>
            <w:vAlign w:val="center"/>
            <w:hideMark/>
          </w:tcPr>
          <w:p w14:paraId="772F3284"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68B1F394"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8" w:type="dxa"/>
            <w:gridSpan w:val="2"/>
            <w:tcBorders>
              <w:top w:val="nil"/>
              <w:left w:val="nil"/>
              <w:bottom w:val="single" w:sz="4" w:space="0" w:color="auto"/>
              <w:right w:val="nil"/>
            </w:tcBorders>
            <w:shd w:val="clear" w:color="000000" w:fill="FFFFFF"/>
            <w:vAlign w:val="center"/>
            <w:hideMark/>
          </w:tcPr>
          <w:p w14:paraId="0DDA57E6"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6AD1F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904FE0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39B1C62C"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3F72A00"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5. Avansuri primite curente</w:t>
            </w:r>
          </w:p>
        </w:tc>
        <w:tc>
          <w:tcPr>
            <w:tcW w:w="1418" w:type="dxa"/>
            <w:tcBorders>
              <w:top w:val="nil"/>
              <w:left w:val="nil"/>
              <w:bottom w:val="single" w:sz="4" w:space="0" w:color="auto"/>
              <w:right w:val="single" w:sz="4" w:space="0" w:color="auto"/>
            </w:tcBorders>
            <w:shd w:val="clear" w:color="auto" w:fill="auto"/>
            <w:vAlign w:val="center"/>
            <w:hideMark/>
          </w:tcPr>
          <w:p w14:paraId="5C12F6E6"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9.592,00</w:t>
            </w:r>
          </w:p>
        </w:tc>
        <w:tc>
          <w:tcPr>
            <w:tcW w:w="1417" w:type="dxa"/>
            <w:tcBorders>
              <w:top w:val="nil"/>
              <w:left w:val="nil"/>
              <w:bottom w:val="single" w:sz="4" w:space="0" w:color="auto"/>
              <w:right w:val="single" w:sz="4" w:space="0" w:color="auto"/>
            </w:tcBorders>
            <w:shd w:val="clear" w:color="auto" w:fill="auto"/>
            <w:vAlign w:val="center"/>
            <w:hideMark/>
          </w:tcPr>
          <w:p w14:paraId="5E96B889"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132.862,00</w:t>
            </w:r>
          </w:p>
        </w:tc>
        <w:tc>
          <w:tcPr>
            <w:tcW w:w="1418" w:type="dxa"/>
            <w:gridSpan w:val="2"/>
            <w:tcBorders>
              <w:top w:val="nil"/>
              <w:left w:val="nil"/>
              <w:bottom w:val="single" w:sz="4" w:space="0" w:color="auto"/>
              <w:right w:val="nil"/>
            </w:tcBorders>
            <w:shd w:val="clear" w:color="auto" w:fill="auto"/>
            <w:vAlign w:val="center"/>
            <w:hideMark/>
          </w:tcPr>
          <w:p w14:paraId="57323796"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1.160.549,00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8B4AD6"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1027687</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6C2C94F"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873,50%</w:t>
            </w:r>
          </w:p>
        </w:tc>
      </w:tr>
      <w:tr w:rsidR="004C01B3" w:rsidRPr="00B13B9A" w14:paraId="69C27406"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40C6417"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6. Datorii fata de personal</w:t>
            </w:r>
          </w:p>
        </w:tc>
        <w:tc>
          <w:tcPr>
            <w:tcW w:w="1418" w:type="dxa"/>
            <w:tcBorders>
              <w:top w:val="nil"/>
              <w:left w:val="nil"/>
              <w:bottom w:val="single" w:sz="4" w:space="0" w:color="auto"/>
              <w:right w:val="single" w:sz="4" w:space="0" w:color="auto"/>
            </w:tcBorders>
            <w:shd w:val="clear" w:color="auto" w:fill="auto"/>
            <w:vAlign w:val="center"/>
            <w:hideMark/>
          </w:tcPr>
          <w:p w14:paraId="1A68CBF5"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195.958,00</w:t>
            </w:r>
          </w:p>
        </w:tc>
        <w:tc>
          <w:tcPr>
            <w:tcW w:w="1417" w:type="dxa"/>
            <w:tcBorders>
              <w:top w:val="nil"/>
              <w:left w:val="nil"/>
              <w:bottom w:val="single" w:sz="4" w:space="0" w:color="auto"/>
              <w:right w:val="single" w:sz="4" w:space="0" w:color="auto"/>
            </w:tcBorders>
            <w:shd w:val="clear" w:color="auto" w:fill="auto"/>
            <w:vAlign w:val="center"/>
            <w:hideMark/>
          </w:tcPr>
          <w:p w14:paraId="41652462"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796.772,00</w:t>
            </w:r>
          </w:p>
        </w:tc>
        <w:tc>
          <w:tcPr>
            <w:tcW w:w="1418" w:type="dxa"/>
            <w:gridSpan w:val="2"/>
            <w:tcBorders>
              <w:top w:val="nil"/>
              <w:left w:val="nil"/>
              <w:bottom w:val="single" w:sz="4" w:space="0" w:color="auto"/>
              <w:right w:val="nil"/>
            </w:tcBorders>
            <w:shd w:val="clear" w:color="auto" w:fill="auto"/>
            <w:vAlign w:val="center"/>
            <w:hideMark/>
          </w:tcPr>
          <w:p w14:paraId="6031AE26"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96.343,00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F2CCE1"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-700429</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9AAD537"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12,09%</w:t>
            </w:r>
          </w:p>
        </w:tc>
      </w:tr>
      <w:tr w:rsidR="004C01B3" w:rsidRPr="00B13B9A" w14:paraId="3F881398"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63E9EA3C"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7. Datorii privind asigurarile sociale si medicale</w:t>
            </w:r>
          </w:p>
        </w:tc>
        <w:tc>
          <w:tcPr>
            <w:tcW w:w="1418" w:type="dxa"/>
            <w:tcBorders>
              <w:top w:val="nil"/>
              <w:left w:val="nil"/>
              <w:bottom w:val="single" w:sz="4" w:space="0" w:color="auto"/>
              <w:right w:val="single" w:sz="4" w:space="0" w:color="auto"/>
            </w:tcBorders>
            <w:shd w:val="clear" w:color="auto" w:fill="auto"/>
            <w:vAlign w:val="center"/>
            <w:hideMark/>
          </w:tcPr>
          <w:p w14:paraId="1FCBFAC2"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47.030,00</w:t>
            </w:r>
          </w:p>
        </w:tc>
        <w:tc>
          <w:tcPr>
            <w:tcW w:w="1417" w:type="dxa"/>
            <w:tcBorders>
              <w:top w:val="nil"/>
              <w:left w:val="nil"/>
              <w:bottom w:val="single" w:sz="4" w:space="0" w:color="auto"/>
              <w:right w:val="single" w:sz="4" w:space="0" w:color="auto"/>
            </w:tcBorders>
            <w:shd w:val="clear" w:color="auto" w:fill="auto"/>
            <w:vAlign w:val="center"/>
            <w:hideMark/>
          </w:tcPr>
          <w:p w14:paraId="6F5F9AB9"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251.636,00</w:t>
            </w:r>
          </w:p>
        </w:tc>
        <w:tc>
          <w:tcPr>
            <w:tcW w:w="1418" w:type="dxa"/>
            <w:gridSpan w:val="2"/>
            <w:tcBorders>
              <w:top w:val="nil"/>
              <w:left w:val="nil"/>
              <w:bottom w:val="single" w:sz="4" w:space="0" w:color="auto"/>
              <w:right w:val="nil"/>
            </w:tcBorders>
            <w:shd w:val="clear" w:color="auto" w:fill="auto"/>
            <w:vAlign w:val="center"/>
            <w:hideMark/>
          </w:tcPr>
          <w:p w14:paraId="41BF9887"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33.066,00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4B4D7B"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-218570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9E84ABD"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13,14%</w:t>
            </w:r>
          </w:p>
        </w:tc>
      </w:tr>
      <w:tr w:rsidR="004C01B3" w:rsidRPr="00B13B9A" w14:paraId="3CBCCCAD"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62648D60"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8. Datorii fata de buget</w:t>
            </w:r>
          </w:p>
        </w:tc>
        <w:tc>
          <w:tcPr>
            <w:tcW w:w="1418" w:type="dxa"/>
            <w:tcBorders>
              <w:top w:val="nil"/>
              <w:left w:val="nil"/>
              <w:bottom w:val="single" w:sz="4" w:space="0" w:color="auto"/>
              <w:right w:val="single" w:sz="4" w:space="0" w:color="auto"/>
            </w:tcBorders>
            <w:shd w:val="clear" w:color="auto" w:fill="auto"/>
            <w:vAlign w:val="center"/>
            <w:hideMark/>
          </w:tcPr>
          <w:p w14:paraId="46908FF0"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32EED1E4"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875,00</w:t>
            </w:r>
          </w:p>
        </w:tc>
        <w:tc>
          <w:tcPr>
            <w:tcW w:w="1418" w:type="dxa"/>
            <w:gridSpan w:val="2"/>
            <w:tcBorders>
              <w:top w:val="nil"/>
              <w:left w:val="nil"/>
              <w:bottom w:val="single" w:sz="4" w:space="0" w:color="auto"/>
              <w:right w:val="nil"/>
            </w:tcBorders>
            <w:shd w:val="clear" w:color="auto" w:fill="auto"/>
            <w:vAlign w:val="center"/>
            <w:hideMark/>
          </w:tcPr>
          <w:p w14:paraId="0EF6DA4B"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212725"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-875</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5E77D40"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0,00%</w:t>
            </w:r>
          </w:p>
        </w:tc>
      </w:tr>
      <w:tr w:rsidR="004C01B3" w:rsidRPr="00B13B9A" w14:paraId="19B63D7E"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3204ED2E"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9. Datorii fata de proprietari</w:t>
            </w:r>
          </w:p>
        </w:tc>
        <w:tc>
          <w:tcPr>
            <w:tcW w:w="1418" w:type="dxa"/>
            <w:tcBorders>
              <w:top w:val="nil"/>
              <w:left w:val="nil"/>
              <w:bottom w:val="single" w:sz="4" w:space="0" w:color="auto"/>
              <w:right w:val="single" w:sz="4" w:space="0" w:color="auto"/>
            </w:tcBorders>
            <w:shd w:val="clear" w:color="auto" w:fill="auto"/>
            <w:vAlign w:val="center"/>
            <w:hideMark/>
          </w:tcPr>
          <w:p w14:paraId="020BB982"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16D861C2"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062B056E"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7C0F0C"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15A2125"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006E5AAE"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F61D553"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10. Venituri anticipate curente</w:t>
            </w:r>
          </w:p>
        </w:tc>
        <w:tc>
          <w:tcPr>
            <w:tcW w:w="1418" w:type="dxa"/>
            <w:tcBorders>
              <w:top w:val="nil"/>
              <w:left w:val="nil"/>
              <w:bottom w:val="single" w:sz="4" w:space="0" w:color="auto"/>
              <w:right w:val="single" w:sz="4" w:space="0" w:color="auto"/>
            </w:tcBorders>
            <w:shd w:val="clear" w:color="auto" w:fill="auto"/>
            <w:vAlign w:val="center"/>
            <w:hideMark/>
          </w:tcPr>
          <w:p w14:paraId="6741C716"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120735</w:t>
            </w:r>
          </w:p>
        </w:tc>
        <w:tc>
          <w:tcPr>
            <w:tcW w:w="1417" w:type="dxa"/>
            <w:tcBorders>
              <w:top w:val="nil"/>
              <w:left w:val="nil"/>
              <w:bottom w:val="single" w:sz="4" w:space="0" w:color="auto"/>
              <w:right w:val="single" w:sz="4" w:space="0" w:color="auto"/>
            </w:tcBorders>
            <w:shd w:val="clear" w:color="auto" w:fill="auto"/>
            <w:vAlign w:val="center"/>
            <w:hideMark/>
          </w:tcPr>
          <w:p w14:paraId="617F9399"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34.184.685,00</w:t>
            </w:r>
          </w:p>
        </w:tc>
        <w:tc>
          <w:tcPr>
            <w:tcW w:w="1418" w:type="dxa"/>
            <w:gridSpan w:val="2"/>
            <w:tcBorders>
              <w:top w:val="nil"/>
              <w:left w:val="nil"/>
              <w:bottom w:val="single" w:sz="4" w:space="0" w:color="auto"/>
              <w:right w:val="nil"/>
            </w:tcBorders>
            <w:shd w:val="clear" w:color="auto" w:fill="auto"/>
            <w:vAlign w:val="center"/>
            <w:hideMark/>
          </w:tcPr>
          <w:p w14:paraId="764E310A"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21.932.835,00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BC5262"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-12251850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3B135EB"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64,16%</w:t>
            </w:r>
          </w:p>
        </w:tc>
      </w:tr>
      <w:tr w:rsidR="004C01B3" w:rsidRPr="00B13B9A" w14:paraId="1394D86B"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49984AD"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11. Alte datorii curente</w:t>
            </w:r>
          </w:p>
        </w:tc>
        <w:tc>
          <w:tcPr>
            <w:tcW w:w="1418" w:type="dxa"/>
            <w:tcBorders>
              <w:top w:val="nil"/>
              <w:left w:val="nil"/>
              <w:bottom w:val="single" w:sz="4" w:space="0" w:color="auto"/>
              <w:right w:val="single" w:sz="4" w:space="0" w:color="auto"/>
            </w:tcBorders>
            <w:shd w:val="clear" w:color="auto" w:fill="auto"/>
            <w:vAlign w:val="center"/>
            <w:hideMark/>
          </w:tcPr>
          <w:p w14:paraId="3083B4EB"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8.818,00</w:t>
            </w:r>
          </w:p>
        </w:tc>
        <w:tc>
          <w:tcPr>
            <w:tcW w:w="1417" w:type="dxa"/>
            <w:tcBorders>
              <w:top w:val="nil"/>
              <w:left w:val="nil"/>
              <w:bottom w:val="single" w:sz="4" w:space="0" w:color="auto"/>
              <w:right w:val="single" w:sz="4" w:space="0" w:color="auto"/>
            </w:tcBorders>
            <w:shd w:val="clear" w:color="auto" w:fill="auto"/>
            <w:vAlign w:val="center"/>
            <w:hideMark/>
          </w:tcPr>
          <w:p w14:paraId="47C07912"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210.635,00</w:t>
            </w:r>
          </w:p>
        </w:tc>
        <w:tc>
          <w:tcPr>
            <w:tcW w:w="1418" w:type="dxa"/>
            <w:gridSpan w:val="2"/>
            <w:tcBorders>
              <w:top w:val="nil"/>
              <w:left w:val="nil"/>
              <w:bottom w:val="single" w:sz="4" w:space="0" w:color="auto"/>
              <w:right w:val="nil"/>
            </w:tcBorders>
            <w:shd w:val="clear" w:color="auto" w:fill="auto"/>
            <w:vAlign w:val="center"/>
            <w:hideMark/>
          </w:tcPr>
          <w:p w14:paraId="3DF173A1"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8.197.291,00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EDBF9A"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7986656</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5DC682A"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3891,70%</w:t>
            </w:r>
          </w:p>
        </w:tc>
      </w:tr>
      <w:tr w:rsidR="004C01B3" w:rsidRPr="00B13B9A" w14:paraId="0AEBE8AF"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503F4D72" w14:textId="6121E2B6" w:rsidR="004C01B3" w:rsidRPr="00B13B9A" w:rsidRDefault="004C01B3" w:rsidP="0042231C">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 xml:space="preserve">TOTAL DATORII CURENTE </w:t>
            </w:r>
          </w:p>
        </w:tc>
        <w:tc>
          <w:tcPr>
            <w:tcW w:w="1418" w:type="dxa"/>
            <w:tcBorders>
              <w:top w:val="nil"/>
              <w:left w:val="nil"/>
              <w:bottom w:val="single" w:sz="4" w:space="0" w:color="auto"/>
              <w:right w:val="single" w:sz="4" w:space="0" w:color="auto"/>
            </w:tcBorders>
            <w:shd w:val="clear" w:color="auto" w:fill="auto"/>
            <w:vAlign w:val="center"/>
            <w:hideMark/>
          </w:tcPr>
          <w:p w14:paraId="278B00AE"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389.795,00</w:t>
            </w:r>
          </w:p>
        </w:tc>
        <w:tc>
          <w:tcPr>
            <w:tcW w:w="1417" w:type="dxa"/>
            <w:tcBorders>
              <w:top w:val="nil"/>
              <w:left w:val="nil"/>
              <w:bottom w:val="single" w:sz="4" w:space="0" w:color="auto"/>
              <w:right w:val="single" w:sz="4" w:space="0" w:color="auto"/>
            </w:tcBorders>
            <w:shd w:val="clear" w:color="auto" w:fill="auto"/>
            <w:vAlign w:val="center"/>
            <w:hideMark/>
          </w:tcPr>
          <w:p w14:paraId="1AA5ED21"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38.362.715,00</w:t>
            </w:r>
          </w:p>
        </w:tc>
        <w:tc>
          <w:tcPr>
            <w:tcW w:w="1418" w:type="dxa"/>
            <w:gridSpan w:val="2"/>
            <w:tcBorders>
              <w:top w:val="nil"/>
              <w:left w:val="nil"/>
              <w:bottom w:val="single" w:sz="4" w:space="0" w:color="auto"/>
              <w:right w:val="nil"/>
            </w:tcBorders>
            <w:shd w:val="clear" w:color="auto" w:fill="auto"/>
            <w:vAlign w:val="center"/>
            <w:hideMark/>
          </w:tcPr>
          <w:p w14:paraId="6A86BD43"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32.923.834,00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17AEF9" w14:textId="77777777" w:rsidR="004C01B3" w:rsidRPr="00B13B9A" w:rsidRDefault="004C01B3" w:rsidP="004C01B3">
            <w:pPr>
              <w:spacing w:after="0" w:line="240" w:lineRule="auto"/>
              <w:jc w:val="right"/>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-5438881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DA0550E" w14:textId="77777777" w:rsidR="004C01B3" w:rsidRPr="00B13B9A" w:rsidRDefault="004C01B3" w:rsidP="004C01B3">
            <w:pPr>
              <w:spacing w:after="0" w:line="240" w:lineRule="auto"/>
              <w:jc w:val="right"/>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85,82%</w:t>
            </w:r>
          </w:p>
        </w:tc>
      </w:tr>
      <w:tr w:rsidR="004C01B3" w:rsidRPr="00B13B9A" w14:paraId="2924CE8C"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174A38F3"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PROVIZIOANE</w:t>
            </w:r>
          </w:p>
        </w:tc>
        <w:tc>
          <w:tcPr>
            <w:tcW w:w="1418" w:type="dxa"/>
            <w:tcBorders>
              <w:top w:val="nil"/>
              <w:left w:val="nil"/>
              <w:bottom w:val="single" w:sz="4" w:space="0" w:color="auto"/>
              <w:right w:val="single" w:sz="4" w:space="0" w:color="auto"/>
            </w:tcBorders>
            <w:shd w:val="clear" w:color="auto" w:fill="auto"/>
            <w:vAlign w:val="center"/>
            <w:hideMark/>
          </w:tcPr>
          <w:p w14:paraId="15777EAC"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24434F66"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4549B766"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0D9880"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CA0352C"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395EA36B"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414AA8D"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1. Provizioane pentru beneficiile angajatilor</w:t>
            </w:r>
          </w:p>
        </w:tc>
        <w:tc>
          <w:tcPr>
            <w:tcW w:w="1418" w:type="dxa"/>
            <w:tcBorders>
              <w:top w:val="nil"/>
              <w:left w:val="nil"/>
              <w:bottom w:val="single" w:sz="4" w:space="0" w:color="auto"/>
              <w:right w:val="single" w:sz="4" w:space="0" w:color="auto"/>
            </w:tcBorders>
            <w:shd w:val="clear" w:color="auto" w:fill="auto"/>
            <w:vAlign w:val="center"/>
            <w:hideMark/>
          </w:tcPr>
          <w:p w14:paraId="27DFA6F6"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4A14E6A3"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8" w:type="dxa"/>
            <w:gridSpan w:val="2"/>
            <w:tcBorders>
              <w:top w:val="nil"/>
              <w:left w:val="nil"/>
              <w:bottom w:val="single" w:sz="4" w:space="0" w:color="auto"/>
              <w:right w:val="nil"/>
            </w:tcBorders>
            <w:shd w:val="clear" w:color="000000" w:fill="FFFFFF"/>
            <w:vAlign w:val="center"/>
            <w:hideMark/>
          </w:tcPr>
          <w:p w14:paraId="1EE0C8B1"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800119"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9B6EAE8"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35EF70EF"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EB0113D"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2. Provizioane pentru garantii acordate cumparatorilor/clientilor</w:t>
            </w:r>
          </w:p>
        </w:tc>
        <w:tc>
          <w:tcPr>
            <w:tcW w:w="1418" w:type="dxa"/>
            <w:tcBorders>
              <w:top w:val="nil"/>
              <w:left w:val="nil"/>
              <w:bottom w:val="single" w:sz="4" w:space="0" w:color="auto"/>
              <w:right w:val="single" w:sz="4" w:space="0" w:color="auto"/>
            </w:tcBorders>
            <w:shd w:val="clear" w:color="auto" w:fill="auto"/>
            <w:vAlign w:val="center"/>
            <w:hideMark/>
          </w:tcPr>
          <w:p w14:paraId="43925B67"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60C95D33"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2809651D"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78DF7B"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7223246"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61E73BB8"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3DCC61EF"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3. Provizioane pentru impozite</w:t>
            </w:r>
          </w:p>
        </w:tc>
        <w:tc>
          <w:tcPr>
            <w:tcW w:w="1418" w:type="dxa"/>
            <w:tcBorders>
              <w:top w:val="nil"/>
              <w:left w:val="nil"/>
              <w:bottom w:val="single" w:sz="4" w:space="0" w:color="auto"/>
              <w:right w:val="single" w:sz="4" w:space="0" w:color="auto"/>
            </w:tcBorders>
            <w:shd w:val="clear" w:color="000000" w:fill="FFFFFF"/>
            <w:vAlign w:val="center"/>
            <w:hideMark/>
          </w:tcPr>
          <w:p w14:paraId="64D5D0E2"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7" w:type="dxa"/>
            <w:tcBorders>
              <w:top w:val="nil"/>
              <w:left w:val="nil"/>
              <w:bottom w:val="single" w:sz="4" w:space="0" w:color="auto"/>
              <w:right w:val="single" w:sz="4" w:space="0" w:color="auto"/>
            </w:tcBorders>
            <w:shd w:val="clear" w:color="000000" w:fill="FFFFFF"/>
            <w:vAlign w:val="center"/>
            <w:hideMark/>
          </w:tcPr>
          <w:p w14:paraId="79BB5DBE"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8" w:type="dxa"/>
            <w:gridSpan w:val="2"/>
            <w:tcBorders>
              <w:top w:val="nil"/>
              <w:left w:val="nil"/>
              <w:bottom w:val="single" w:sz="4" w:space="0" w:color="auto"/>
              <w:right w:val="nil"/>
            </w:tcBorders>
            <w:shd w:val="clear" w:color="000000" w:fill="FFFFFF"/>
            <w:vAlign w:val="center"/>
            <w:hideMark/>
          </w:tcPr>
          <w:p w14:paraId="24083497"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D6545A"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E6EF62E"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0F4EDF5C"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EEAE917"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4. Alte provizioane</w:t>
            </w:r>
          </w:p>
        </w:tc>
        <w:tc>
          <w:tcPr>
            <w:tcW w:w="1418" w:type="dxa"/>
            <w:tcBorders>
              <w:top w:val="nil"/>
              <w:left w:val="nil"/>
              <w:bottom w:val="single" w:sz="4" w:space="0" w:color="auto"/>
              <w:right w:val="single" w:sz="4" w:space="0" w:color="auto"/>
            </w:tcBorders>
            <w:shd w:val="clear" w:color="000000" w:fill="FFFFFF"/>
            <w:vAlign w:val="center"/>
            <w:hideMark/>
          </w:tcPr>
          <w:p w14:paraId="14FD231A"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7" w:type="dxa"/>
            <w:tcBorders>
              <w:top w:val="nil"/>
              <w:left w:val="nil"/>
              <w:bottom w:val="single" w:sz="4" w:space="0" w:color="auto"/>
              <w:right w:val="single" w:sz="4" w:space="0" w:color="auto"/>
            </w:tcBorders>
            <w:shd w:val="clear" w:color="000000" w:fill="FFFFFF"/>
            <w:vAlign w:val="center"/>
            <w:hideMark/>
          </w:tcPr>
          <w:p w14:paraId="4E3846C7"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8" w:type="dxa"/>
            <w:gridSpan w:val="2"/>
            <w:tcBorders>
              <w:top w:val="nil"/>
              <w:left w:val="nil"/>
              <w:bottom w:val="single" w:sz="4" w:space="0" w:color="auto"/>
              <w:right w:val="nil"/>
            </w:tcBorders>
            <w:shd w:val="clear" w:color="000000" w:fill="FFFFFF"/>
            <w:vAlign w:val="center"/>
            <w:hideMark/>
          </w:tcPr>
          <w:p w14:paraId="6000322F"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921284"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8DCF279"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51069C71"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5FDB76E8" w14:textId="3A3574E3" w:rsidR="004C01B3" w:rsidRPr="00B13B9A" w:rsidRDefault="004C01B3" w:rsidP="0042231C">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TOTAL PROVIZIOANE</w:t>
            </w:r>
          </w:p>
        </w:tc>
        <w:tc>
          <w:tcPr>
            <w:tcW w:w="1418" w:type="dxa"/>
            <w:tcBorders>
              <w:top w:val="nil"/>
              <w:left w:val="nil"/>
              <w:bottom w:val="single" w:sz="4" w:space="0" w:color="auto"/>
              <w:right w:val="single" w:sz="4" w:space="0" w:color="auto"/>
            </w:tcBorders>
            <w:shd w:val="clear" w:color="auto" w:fill="auto"/>
            <w:noWrap/>
            <w:vAlign w:val="center"/>
            <w:hideMark/>
          </w:tcPr>
          <w:p w14:paraId="016D7BC0"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7" w:type="dxa"/>
            <w:tcBorders>
              <w:top w:val="nil"/>
              <w:left w:val="nil"/>
              <w:bottom w:val="single" w:sz="4" w:space="0" w:color="auto"/>
              <w:right w:val="single" w:sz="4" w:space="0" w:color="auto"/>
            </w:tcBorders>
            <w:shd w:val="clear" w:color="auto" w:fill="auto"/>
            <w:noWrap/>
            <w:vAlign w:val="center"/>
            <w:hideMark/>
          </w:tcPr>
          <w:p w14:paraId="60312394"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8" w:type="dxa"/>
            <w:gridSpan w:val="2"/>
            <w:tcBorders>
              <w:top w:val="nil"/>
              <w:left w:val="nil"/>
              <w:bottom w:val="single" w:sz="4" w:space="0" w:color="auto"/>
              <w:right w:val="nil"/>
            </w:tcBorders>
            <w:shd w:val="clear" w:color="auto" w:fill="auto"/>
            <w:noWrap/>
            <w:vAlign w:val="center"/>
            <w:hideMark/>
          </w:tcPr>
          <w:p w14:paraId="582ED2C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585AA9"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39AB460"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7F1654CC"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5AC8587" w14:textId="6F512CD0" w:rsidR="004C01B3" w:rsidRPr="00B13B9A" w:rsidRDefault="004C01B3" w:rsidP="0042231C">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 xml:space="preserve">TOTAL PASIVE </w:t>
            </w:r>
          </w:p>
        </w:tc>
        <w:tc>
          <w:tcPr>
            <w:tcW w:w="1418" w:type="dxa"/>
            <w:tcBorders>
              <w:top w:val="nil"/>
              <w:left w:val="nil"/>
              <w:bottom w:val="single" w:sz="4" w:space="0" w:color="auto"/>
              <w:right w:val="single" w:sz="4" w:space="0" w:color="auto"/>
            </w:tcBorders>
            <w:shd w:val="clear" w:color="000000" w:fill="FFFFFF"/>
            <w:vAlign w:val="center"/>
            <w:hideMark/>
          </w:tcPr>
          <w:p w14:paraId="468B43CA"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297.515.620,00</w:t>
            </w:r>
          </w:p>
        </w:tc>
        <w:tc>
          <w:tcPr>
            <w:tcW w:w="1417" w:type="dxa"/>
            <w:tcBorders>
              <w:top w:val="nil"/>
              <w:left w:val="nil"/>
              <w:bottom w:val="single" w:sz="4" w:space="0" w:color="auto"/>
              <w:right w:val="single" w:sz="4" w:space="0" w:color="auto"/>
            </w:tcBorders>
            <w:shd w:val="clear" w:color="000000" w:fill="FFFFFF"/>
            <w:vAlign w:val="center"/>
            <w:hideMark/>
          </w:tcPr>
          <w:p w14:paraId="67B47B9D"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284.689.358,00</w:t>
            </w:r>
          </w:p>
        </w:tc>
        <w:tc>
          <w:tcPr>
            <w:tcW w:w="1418" w:type="dxa"/>
            <w:gridSpan w:val="2"/>
            <w:tcBorders>
              <w:top w:val="nil"/>
              <w:left w:val="nil"/>
              <w:bottom w:val="single" w:sz="4" w:space="0" w:color="auto"/>
              <w:right w:val="nil"/>
            </w:tcBorders>
            <w:shd w:val="clear" w:color="000000" w:fill="FFFFFF"/>
            <w:vAlign w:val="center"/>
            <w:hideMark/>
          </w:tcPr>
          <w:p w14:paraId="11F73112"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273.131.947,00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223CC1" w14:textId="77777777" w:rsidR="004C01B3" w:rsidRPr="00B13B9A" w:rsidRDefault="004C01B3" w:rsidP="004C01B3">
            <w:pPr>
              <w:spacing w:after="0" w:line="240" w:lineRule="auto"/>
              <w:jc w:val="right"/>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-11557411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381A150" w14:textId="77777777" w:rsidR="004C01B3" w:rsidRPr="00B13B9A" w:rsidRDefault="004C01B3" w:rsidP="004C01B3">
            <w:pPr>
              <w:spacing w:after="0" w:line="240" w:lineRule="auto"/>
              <w:jc w:val="right"/>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95,94%</w:t>
            </w:r>
          </w:p>
        </w:tc>
      </w:tr>
    </w:tbl>
    <w:p w14:paraId="16C0150A" w14:textId="77777777" w:rsidR="00FB1833" w:rsidRPr="00B13B9A" w:rsidRDefault="00FB1833" w:rsidP="001A0E43">
      <w:pPr>
        <w:spacing w:after="0" w:line="240" w:lineRule="auto"/>
        <w:jc w:val="right"/>
        <w:rPr>
          <w:rFonts w:asciiTheme="majorHAnsi" w:hAnsiTheme="majorHAnsi" w:cstheme="majorHAnsi"/>
          <w:i/>
          <w:iCs/>
          <w:sz w:val="24"/>
          <w:szCs w:val="24"/>
          <w:lang w:val="ro-MD"/>
        </w:rPr>
      </w:pPr>
    </w:p>
    <w:p w14:paraId="61F3EF15" w14:textId="4F4C5557" w:rsidR="00FB1833" w:rsidRPr="00B13B9A" w:rsidRDefault="00FB1833" w:rsidP="00FB1833">
      <w:pPr>
        <w:pStyle w:val="3"/>
        <w:jc w:val="right"/>
        <w:rPr>
          <w:rFonts w:eastAsiaTheme="minorEastAsia"/>
          <w:b/>
          <w:bCs/>
          <w:color w:val="auto"/>
          <w:kern w:val="24"/>
          <w:szCs w:val="28"/>
        </w:rPr>
      </w:pPr>
      <w:bookmarkStart w:id="60" w:name="_Toc83634212"/>
      <w:bookmarkStart w:id="61" w:name="_Toc158317262"/>
      <w:r w:rsidRPr="00B13B9A">
        <w:rPr>
          <w:rFonts w:eastAsiaTheme="minorEastAsia"/>
          <w:b/>
          <w:bCs/>
          <w:color w:val="auto"/>
          <w:kern w:val="24"/>
          <w:szCs w:val="28"/>
        </w:rPr>
        <w:t xml:space="preserve">Anexa nr. </w:t>
      </w:r>
      <w:bookmarkEnd w:id="60"/>
      <w:r w:rsidRPr="00B13B9A">
        <w:rPr>
          <w:rFonts w:eastAsiaTheme="minorEastAsia"/>
          <w:b/>
          <w:bCs/>
          <w:color w:val="auto"/>
          <w:kern w:val="24"/>
          <w:szCs w:val="28"/>
        </w:rPr>
        <w:t>8</w:t>
      </w:r>
      <w:bookmarkEnd w:id="61"/>
    </w:p>
    <w:p w14:paraId="62C90834" w14:textId="2CCEB2D6" w:rsidR="002C339A" w:rsidRPr="00B13B9A" w:rsidRDefault="002C339A" w:rsidP="002C339A">
      <w:pPr>
        <w:pStyle w:val="cn"/>
        <w:spacing w:line="276" w:lineRule="auto"/>
        <w:ind w:right="71"/>
        <w:rPr>
          <w:rFonts w:asciiTheme="majorHAnsi" w:eastAsiaTheme="minorHAnsi" w:hAnsiTheme="majorHAnsi" w:cstheme="minorHAnsi"/>
          <w:b/>
          <w:lang w:val="ro-MD" w:eastAsia="en-US"/>
        </w:rPr>
      </w:pPr>
      <w:r w:rsidRPr="00B13B9A">
        <w:rPr>
          <w:rFonts w:asciiTheme="majorHAnsi" w:eastAsiaTheme="minorHAnsi" w:hAnsiTheme="majorHAnsi" w:cstheme="minorHAnsi"/>
          <w:b/>
          <w:lang w:val="ro-MD" w:eastAsia="en-US"/>
        </w:rPr>
        <w:t>Balan</w:t>
      </w:r>
      <w:r w:rsidR="00B13B9A" w:rsidRPr="00B13B9A">
        <w:rPr>
          <w:rFonts w:asciiTheme="majorHAnsi" w:eastAsiaTheme="minorHAnsi" w:hAnsiTheme="majorHAnsi" w:cstheme="minorHAnsi"/>
          <w:b/>
          <w:lang w:val="ro-MD" w:eastAsia="en-US"/>
        </w:rPr>
        <w:t>ț</w:t>
      </w:r>
      <w:r w:rsidRPr="00B13B9A">
        <w:rPr>
          <w:rFonts w:asciiTheme="majorHAnsi" w:eastAsiaTheme="minorHAnsi" w:hAnsiTheme="majorHAnsi" w:cstheme="minorHAnsi"/>
          <w:b/>
          <w:lang w:val="ro-MD" w:eastAsia="en-US"/>
        </w:rPr>
        <w:t xml:space="preserve">a de solduri, la 30.06.2023                        </w:t>
      </w:r>
    </w:p>
    <w:p w14:paraId="554CAE4C" w14:textId="77777777" w:rsidR="002C339A" w:rsidRPr="00B13B9A" w:rsidRDefault="002C339A" w:rsidP="002C339A">
      <w:pPr>
        <w:pStyle w:val="cn"/>
        <w:spacing w:line="276" w:lineRule="auto"/>
        <w:ind w:right="71"/>
        <w:jc w:val="right"/>
        <w:rPr>
          <w:rFonts w:asciiTheme="majorHAnsi" w:eastAsiaTheme="minorHAnsi" w:hAnsiTheme="majorHAnsi" w:cstheme="minorHAnsi"/>
          <w:b/>
          <w:lang w:val="ro-MD" w:eastAsia="en-US"/>
        </w:rPr>
      </w:pPr>
      <w:r w:rsidRPr="00B13B9A">
        <w:rPr>
          <w:rFonts w:asciiTheme="majorHAnsi" w:eastAsiaTheme="minorHAnsi" w:hAnsiTheme="majorHAnsi" w:cstheme="minorHAnsi"/>
          <w:b/>
          <w:lang w:val="ro-MD" w:eastAsia="en-US"/>
        </w:rPr>
        <w:t>(mii lei)</w:t>
      </w:r>
    </w:p>
    <w:tbl>
      <w:tblPr>
        <w:tblW w:w="1022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82"/>
        <w:gridCol w:w="1144"/>
        <w:gridCol w:w="1035"/>
        <w:gridCol w:w="6"/>
        <w:gridCol w:w="1085"/>
        <w:gridCol w:w="1134"/>
        <w:gridCol w:w="6"/>
        <w:gridCol w:w="1128"/>
        <w:gridCol w:w="1134"/>
        <w:gridCol w:w="6"/>
      </w:tblGrid>
      <w:tr w:rsidR="002C339A" w:rsidRPr="00B13B9A" w14:paraId="4FEBF1F9" w14:textId="77777777" w:rsidTr="005B5F6E">
        <w:trPr>
          <w:trHeight w:val="20"/>
        </w:trPr>
        <w:tc>
          <w:tcPr>
            <w:tcW w:w="3549" w:type="dxa"/>
            <w:gridSpan w:val="2"/>
            <w:shd w:val="clear" w:color="auto" w:fill="auto"/>
            <w:noWrap/>
            <w:vAlign w:val="bottom"/>
            <w:hideMark/>
          </w:tcPr>
          <w:p w14:paraId="79C779AA" w14:textId="77777777" w:rsidR="002C339A" w:rsidRPr="00B13B9A" w:rsidRDefault="002C339A" w:rsidP="005B5F6E">
            <w:pPr>
              <w:spacing w:after="0" w:line="240" w:lineRule="auto"/>
              <w:jc w:val="center"/>
              <w:rPr>
                <w:rFonts w:asciiTheme="majorHAnsi" w:eastAsia="Times New Roman" w:hAnsiTheme="majorHAnsi" w:cstheme="majorHAnsi"/>
                <w:b/>
                <w:sz w:val="18"/>
                <w:szCs w:val="18"/>
                <w:lang w:val="ro-MD"/>
              </w:rPr>
            </w:pPr>
            <w:r w:rsidRPr="00B13B9A">
              <w:rPr>
                <w:rFonts w:asciiTheme="majorHAnsi" w:eastAsia="Times New Roman" w:hAnsiTheme="majorHAnsi" w:cstheme="majorHAnsi"/>
                <w:b/>
                <w:sz w:val="18"/>
                <w:szCs w:val="18"/>
                <w:lang w:val="ro-MD"/>
              </w:rPr>
              <w:t>Contul</w:t>
            </w:r>
          </w:p>
        </w:tc>
        <w:tc>
          <w:tcPr>
            <w:tcW w:w="2185" w:type="dxa"/>
            <w:gridSpan w:val="3"/>
            <w:shd w:val="clear" w:color="auto" w:fill="auto"/>
            <w:noWrap/>
            <w:vAlign w:val="bottom"/>
            <w:hideMark/>
          </w:tcPr>
          <w:p w14:paraId="749369B6" w14:textId="77777777" w:rsidR="002C339A" w:rsidRPr="00B13B9A" w:rsidRDefault="002C339A" w:rsidP="005B5F6E">
            <w:pPr>
              <w:spacing w:after="0" w:line="240" w:lineRule="auto"/>
              <w:jc w:val="center"/>
              <w:rPr>
                <w:rFonts w:asciiTheme="majorHAnsi" w:eastAsia="Times New Roman" w:hAnsiTheme="majorHAnsi" w:cstheme="majorHAnsi"/>
                <w:b/>
                <w:sz w:val="18"/>
                <w:szCs w:val="18"/>
                <w:lang w:val="ro-MD"/>
              </w:rPr>
            </w:pPr>
            <w:r w:rsidRPr="00B13B9A">
              <w:rPr>
                <w:rFonts w:asciiTheme="majorHAnsi" w:eastAsia="Times New Roman" w:hAnsiTheme="majorHAnsi" w:cstheme="majorHAnsi"/>
                <w:b/>
                <w:sz w:val="18"/>
                <w:szCs w:val="18"/>
                <w:lang w:val="ro-MD"/>
              </w:rPr>
              <w:t>Sold la începutul perioadei</w:t>
            </w:r>
          </w:p>
        </w:tc>
        <w:tc>
          <w:tcPr>
            <w:tcW w:w="2225" w:type="dxa"/>
            <w:gridSpan w:val="3"/>
            <w:shd w:val="clear" w:color="auto" w:fill="auto"/>
            <w:noWrap/>
            <w:vAlign w:val="bottom"/>
            <w:hideMark/>
          </w:tcPr>
          <w:p w14:paraId="564B6E2A" w14:textId="77777777" w:rsidR="002C339A" w:rsidRPr="00B13B9A" w:rsidRDefault="002C339A" w:rsidP="005B5F6E">
            <w:pPr>
              <w:spacing w:after="0" w:line="240" w:lineRule="auto"/>
              <w:jc w:val="center"/>
              <w:rPr>
                <w:rFonts w:asciiTheme="majorHAnsi" w:eastAsia="Times New Roman" w:hAnsiTheme="majorHAnsi" w:cstheme="majorHAnsi"/>
                <w:b/>
                <w:sz w:val="18"/>
                <w:szCs w:val="18"/>
                <w:lang w:val="ro-MD"/>
              </w:rPr>
            </w:pPr>
            <w:r w:rsidRPr="00B13B9A">
              <w:rPr>
                <w:rFonts w:asciiTheme="majorHAnsi" w:eastAsia="Times New Roman" w:hAnsiTheme="majorHAnsi" w:cstheme="majorHAnsi"/>
                <w:b/>
                <w:sz w:val="18"/>
                <w:szCs w:val="18"/>
                <w:lang w:val="ro-MD"/>
              </w:rPr>
              <w:t>Rulaje pe perioada</w:t>
            </w:r>
          </w:p>
        </w:tc>
        <w:tc>
          <w:tcPr>
            <w:tcW w:w="2268" w:type="dxa"/>
            <w:gridSpan w:val="3"/>
            <w:shd w:val="clear" w:color="auto" w:fill="auto"/>
            <w:noWrap/>
            <w:vAlign w:val="bottom"/>
            <w:hideMark/>
          </w:tcPr>
          <w:p w14:paraId="26CE35A0" w14:textId="1E70755E" w:rsidR="002C339A" w:rsidRPr="00B13B9A" w:rsidRDefault="002C339A" w:rsidP="00E10604">
            <w:pPr>
              <w:spacing w:after="0" w:line="240" w:lineRule="auto"/>
              <w:jc w:val="center"/>
              <w:rPr>
                <w:rFonts w:asciiTheme="majorHAnsi" w:eastAsia="Times New Roman" w:hAnsiTheme="majorHAnsi" w:cstheme="majorHAnsi"/>
                <w:b/>
                <w:sz w:val="18"/>
                <w:szCs w:val="18"/>
                <w:lang w:val="ro-MD"/>
              </w:rPr>
            </w:pPr>
            <w:r w:rsidRPr="00B13B9A">
              <w:rPr>
                <w:rFonts w:asciiTheme="majorHAnsi" w:eastAsia="Times New Roman" w:hAnsiTheme="majorHAnsi" w:cstheme="majorHAnsi"/>
                <w:b/>
                <w:sz w:val="18"/>
                <w:szCs w:val="18"/>
                <w:lang w:val="ro-MD"/>
              </w:rPr>
              <w:t>Sold la sf</w:t>
            </w:r>
            <w:r w:rsidR="00E10604">
              <w:rPr>
                <w:rFonts w:asciiTheme="majorHAnsi" w:eastAsia="Times New Roman" w:hAnsiTheme="majorHAnsi" w:cstheme="majorHAnsi"/>
                <w:b/>
                <w:sz w:val="18"/>
                <w:szCs w:val="18"/>
                <w:lang w:val="ro-MD"/>
              </w:rPr>
              <w:t>â</w:t>
            </w:r>
            <w:r w:rsidRPr="00B13B9A">
              <w:rPr>
                <w:rFonts w:asciiTheme="majorHAnsi" w:eastAsia="Times New Roman" w:hAnsiTheme="majorHAnsi" w:cstheme="majorHAnsi"/>
                <w:b/>
                <w:sz w:val="18"/>
                <w:szCs w:val="18"/>
                <w:lang w:val="ro-MD"/>
              </w:rPr>
              <w:t>r</w:t>
            </w:r>
            <w:r w:rsidR="00B13B9A" w:rsidRPr="00B13B9A">
              <w:rPr>
                <w:rFonts w:asciiTheme="majorHAnsi" w:eastAsia="Times New Roman" w:hAnsiTheme="majorHAnsi" w:cstheme="majorHAnsi"/>
                <w:b/>
                <w:sz w:val="18"/>
                <w:szCs w:val="18"/>
                <w:lang w:val="ro-MD"/>
              </w:rPr>
              <w:t>ș</w:t>
            </w:r>
            <w:r w:rsidRPr="00B13B9A">
              <w:rPr>
                <w:rFonts w:asciiTheme="majorHAnsi" w:eastAsia="Times New Roman" w:hAnsiTheme="majorHAnsi" w:cstheme="majorHAnsi"/>
                <w:b/>
                <w:sz w:val="18"/>
                <w:szCs w:val="18"/>
                <w:lang w:val="ro-MD"/>
              </w:rPr>
              <w:t>itul perioadei</w:t>
            </w:r>
          </w:p>
        </w:tc>
      </w:tr>
      <w:tr w:rsidR="002C339A" w:rsidRPr="00B13B9A" w14:paraId="15C11723" w14:textId="77777777" w:rsidTr="005B5F6E">
        <w:trPr>
          <w:gridAfter w:val="1"/>
          <w:wAfter w:w="6" w:type="dxa"/>
          <w:trHeight w:val="20"/>
        </w:trPr>
        <w:tc>
          <w:tcPr>
            <w:tcW w:w="567" w:type="dxa"/>
            <w:shd w:val="clear" w:color="auto" w:fill="auto"/>
            <w:noWrap/>
            <w:vAlign w:val="bottom"/>
            <w:hideMark/>
          </w:tcPr>
          <w:p w14:paraId="29AEB5CD" w14:textId="77777777" w:rsidR="002C339A" w:rsidRPr="00B13B9A" w:rsidRDefault="002C339A" w:rsidP="005B5F6E">
            <w:pPr>
              <w:spacing w:after="0" w:line="240" w:lineRule="auto"/>
              <w:jc w:val="center"/>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Cod</w:t>
            </w:r>
          </w:p>
        </w:tc>
        <w:tc>
          <w:tcPr>
            <w:tcW w:w="2982" w:type="dxa"/>
            <w:shd w:val="clear" w:color="auto" w:fill="auto"/>
            <w:noWrap/>
            <w:vAlign w:val="bottom"/>
            <w:hideMark/>
          </w:tcPr>
          <w:p w14:paraId="2E8132DE" w14:textId="77777777" w:rsidR="002C339A" w:rsidRPr="00B13B9A" w:rsidRDefault="002C339A" w:rsidP="005B5F6E">
            <w:pPr>
              <w:spacing w:after="0" w:line="240" w:lineRule="auto"/>
              <w:jc w:val="center"/>
              <w:rPr>
                <w:rFonts w:asciiTheme="majorHAnsi" w:eastAsia="Times New Roman" w:hAnsiTheme="majorHAnsi" w:cstheme="majorHAnsi"/>
                <w:b/>
                <w:sz w:val="18"/>
                <w:szCs w:val="18"/>
                <w:lang w:val="ro-MD"/>
              </w:rPr>
            </w:pPr>
            <w:r w:rsidRPr="00B13B9A">
              <w:rPr>
                <w:rFonts w:asciiTheme="majorHAnsi" w:eastAsia="Times New Roman" w:hAnsiTheme="majorHAnsi" w:cstheme="majorHAnsi"/>
                <w:b/>
                <w:sz w:val="18"/>
                <w:szCs w:val="18"/>
                <w:lang w:val="ro-MD"/>
              </w:rPr>
              <w:t>Denumire</w:t>
            </w:r>
          </w:p>
        </w:tc>
        <w:tc>
          <w:tcPr>
            <w:tcW w:w="1144" w:type="dxa"/>
            <w:shd w:val="clear" w:color="auto" w:fill="auto"/>
            <w:noWrap/>
            <w:vAlign w:val="bottom"/>
            <w:hideMark/>
          </w:tcPr>
          <w:p w14:paraId="2D894DBC" w14:textId="77777777" w:rsidR="002C339A" w:rsidRPr="00B13B9A" w:rsidRDefault="002C339A" w:rsidP="005B5F6E">
            <w:pPr>
              <w:spacing w:after="0" w:line="240" w:lineRule="auto"/>
              <w:jc w:val="center"/>
              <w:rPr>
                <w:rFonts w:asciiTheme="majorHAnsi" w:eastAsia="Times New Roman" w:hAnsiTheme="majorHAnsi" w:cstheme="majorHAnsi"/>
                <w:b/>
                <w:sz w:val="18"/>
                <w:szCs w:val="18"/>
                <w:lang w:val="ro-MD"/>
              </w:rPr>
            </w:pPr>
            <w:r w:rsidRPr="00B13B9A">
              <w:rPr>
                <w:rFonts w:asciiTheme="majorHAnsi" w:eastAsia="Times New Roman" w:hAnsiTheme="majorHAnsi" w:cstheme="majorHAnsi"/>
                <w:b/>
                <w:sz w:val="18"/>
                <w:szCs w:val="18"/>
                <w:lang w:val="ro-MD"/>
              </w:rPr>
              <w:t>Debit</w:t>
            </w:r>
          </w:p>
        </w:tc>
        <w:tc>
          <w:tcPr>
            <w:tcW w:w="1035" w:type="dxa"/>
            <w:shd w:val="clear" w:color="auto" w:fill="auto"/>
            <w:noWrap/>
            <w:vAlign w:val="bottom"/>
            <w:hideMark/>
          </w:tcPr>
          <w:p w14:paraId="0777EC08" w14:textId="77777777" w:rsidR="002C339A" w:rsidRPr="00B13B9A" w:rsidRDefault="002C339A" w:rsidP="005B5F6E">
            <w:pPr>
              <w:spacing w:after="0" w:line="240" w:lineRule="auto"/>
              <w:jc w:val="center"/>
              <w:rPr>
                <w:rFonts w:asciiTheme="majorHAnsi" w:eastAsia="Times New Roman" w:hAnsiTheme="majorHAnsi" w:cstheme="majorHAnsi"/>
                <w:b/>
                <w:sz w:val="18"/>
                <w:szCs w:val="18"/>
                <w:lang w:val="ro-MD"/>
              </w:rPr>
            </w:pPr>
            <w:r w:rsidRPr="00B13B9A">
              <w:rPr>
                <w:rFonts w:asciiTheme="majorHAnsi" w:eastAsia="Times New Roman" w:hAnsiTheme="majorHAnsi" w:cstheme="majorHAnsi"/>
                <w:b/>
                <w:sz w:val="18"/>
                <w:szCs w:val="18"/>
                <w:lang w:val="ro-MD"/>
              </w:rPr>
              <w:t>Credit</w:t>
            </w:r>
          </w:p>
        </w:tc>
        <w:tc>
          <w:tcPr>
            <w:tcW w:w="1091" w:type="dxa"/>
            <w:gridSpan w:val="2"/>
            <w:shd w:val="clear" w:color="auto" w:fill="auto"/>
            <w:noWrap/>
            <w:vAlign w:val="bottom"/>
            <w:hideMark/>
          </w:tcPr>
          <w:p w14:paraId="1EA6B45E" w14:textId="77777777" w:rsidR="002C339A" w:rsidRPr="00B13B9A" w:rsidRDefault="002C339A" w:rsidP="005B5F6E">
            <w:pPr>
              <w:spacing w:after="0" w:line="240" w:lineRule="auto"/>
              <w:jc w:val="center"/>
              <w:rPr>
                <w:rFonts w:asciiTheme="majorHAnsi" w:eastAsia="Times New Roman" w:hAnsiTheme="majorHAnsi" w:cstheme="majorHAnsi"/>
                <w:b/>
                <w:sz w:val="18"/>
                <w:szCs w:val="18"/>
                <w:lang w:val="ro-MD"/>
              </w:rPr>
            </w:pPr>
            <w:r w:rsidRPr="00B13B9A">
              <w:rPr>
                <w:rFonts w:asciiTheme="majorHAnsi" w:eastAsia="Times New Roman" w:hAnsiTheme="majorHAnsi" w:cstheme="majorHAnsi"/>
                <w:b/>
                <w:sz w:val="18"/>
                <w:szCs w:val="18"/>
                <w:lang w:val="ro-MD"/>
              </w:rPr>
              <w:t>Debit</w:t>
            </w:r>
          </w:p>
        </w:tc>
        <w:tc>
          <w:tcPr>
            <w:tcW w:w="1134" w:type="dxa"/>
            <w:shd w:val="clear" w:color="auto" w:fill="auto"/>
            <w:noWrap/>
            <w:vAlign w:val="bottom"/>
            <w:hideMark/>
          </w:tcPr>
          <w:p w14:paraId="7C623C3B" w14:textId="77777777" w:rsidR="002C339A" w:rsidRPr="00B13B9A" w:rsidRDefault="002C339A" w:rsidP="005B5F6E">
            <w:pPr>
              <w:spacing w:after="0" w:line="240" w:lineRule="auto"/>
              <w:jc w:val="center"/>
              <w:rPr>
                <w:rFonts w:asciiTheme="majorHAnsi" w:eastAsia="Times New Roman" w:hAnsiTheme="majorHAnsi" w:cstheme="majorHAnsi"/>
                <w:b/>
                <w:sz w:val="18"/>
                <w:szCs w:val="18"/>
                <w:lang w:val="ro-MD"/>
              </w:rPr>
            </w:pPr>
            <w:r w:rsidRPr="00B13B9A">
              <w:rPr>
                <w:rFonts w:asciiTheme="majorHAnsi" w:eastAsia="Times New Roman" w:hAnsiTheme="majorHAnsi" w:cstheme="majorHAnsi"/>
                <w:b/>
                <w:sz w:val="18"/>
                <w:szCs w:val="18"/>
                <w:lang w:val="ro-MD"/>
              </w:rPr>
              <w:t>Credit</w:t>
            </w:r>
          </w:p>
        </w:tc>
        <w:tc>
          <w:tcPr>
            <w:tcW w:w="1134" w:type="dxa"/>
            <w:gridSpan w:val="2"/>
            <w:shd w:val="clear" w:color="auto" w:fill="auto"/>
            <w:noWrap/>
            <w:vAlign w:val="bottom"/>
            <w:hideMark/>
          </w:tcPr>
          <w:p w14:paraId="5FADAB94" w14:textId="77777777" w:rsidR="002C339A" w:rsidRPr="00B13B9A" w:rsidRDefault="002C339A" w:rsidP="005B5F6E">
            <w:pPr>
              <w:spacing w:after="0" w:line="240" w:lineRule="auto"/>
              <w:jc w:val="center"/>
              <w:rPr>
                <w:rFonts w:asciiTheme="majorHAnsi" w:eastAsia="Times New Roman" w:hAnsiTheme="majorHAnsi" w:cstheme="majorHAnsi"/>
                <w:b/>
                <w:sz w:val="18"/>
                <w:szCs w:val="18"/>
                <w:lang w:val="ro-MD"/>
              </w:rPr>
            </w:pPr>
            <w:r w:rsidRPr="00B13B9A">
              <w:rPr>
                <w:rFonts w:asciiTheme="majorHAnsi" w:eastAsia="Times New Roman" w:hAnsiTheme="majorHAnsi" w:cstheme="majorHAnsi"/>
                <w:b/>
                <w:sz w:val="18"/>
                <w:szCs w:val="18"/>
                <w:lang w:val="ro-MD"/>
              </w:rPr>
              <w:t>Debit</w:t>
            </w:r>
          </w:p>
        </w:tc>
        <w:tc>
          <w:tcPr>
            <w:tcW w:w="1134" w:type="dxa"/>
            <w:shd w:val="clear" w:color="auto" w:fill="auto"/>
            <w:noWrap/>
            <w:vAlign w:val="bottom"/>
            <w:hideMark/>
          </w:tcPr>
          <w:p w14:paraId="249C2841" w14:textId="77777777" w:rsidR="002C339A" w:rsidRPr="00B13B9A" w:rsidRDefault="002C339A" w:rsidP="005B5F6E">
            <w:pPr>
              <w:spacing w:after="0" w:line="240" w:lineRule="auto"/>
              <w:jc w:val="center"/>
              <w:rPr>
                <w:rFonts w:asciiTheme="majorHAnsi" w:eastAsia="Times New Roman" w:hAnsiTheme="majorHAnsi" w:cstheme="majorHAnsi"/>
                <w:b/>
                <w:sz w:val="18"/>
                <w:szCs w:val="18"/>
                <w:lang w:val="ro-MD"/>
              </w:rPr>
            </w:pPr>
            <w:r w:rsidRPr="00B13B9A">
              <w:rPr>
                <w:rFonts w:asciiTheme="majorHAnsi" w:eastAsia="Times New Roman" w:hAnsiTheme="majorHAnsi" w:cstheme="majorHAnsi"/>
                <w:b/>
                <w:sz w:val="18"/>
                <w:szCs w:val="18"/>
                <w:lang w:val="ro-MD"/>
              </w:rPr>
              <w:t>Credit</w:t>
            </w:r>
          </w:p>
        </w:tc>
      </w:tr>
      <w:tr w:rsidR="002C339A" w:rsidRPr="00B13B9A" w14:paraId="30C5E78C" w14:textId="77777777" w:rsidTr="005B5F6E">
        <w:trPr>
          <w:gridAfter w:val="1"/>
          <w:wAfter w:w="6" w:type="dxa"/>
          <w:trHeight w:val="20"/>
        </w:trPr>
        <w:tc>
          <w:tcPr>
            <w:tcW w:w="567" w:type="dxa"/>
            <w:shd w:val="clear" w:color="auto" w:fill="auto"/>
            <w:hideMark/>
          </w:tcPr>
          <w:p w14:paraId="2BA1652B"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112</w:t>
            </w:r>
          </w:p>
        </w:tc>
        <w:tc>
          <w:tcPr>
            <w:tcW w:w="2982" w:type="dxa"/>
            <w:shd w:val="clear" w:color="auto" w:fill="auto"/>
            <w:hideMark/>
          </w:tcPr>
          <w:p w14:paraId="69B2F916"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Imobilizări necorporale în exploatare</w:t>
            </w:r>
          </w:p>
        </w:tc>
        <w:tc>
          <w:tcPr>
            <w:tcW w:w="1144" w:type="dxa"/>
            <w:shd w:val="clear" w:color="auto" w:fill="auto"/>
            <w:hideMark/>
          </w:tcPr>
          <w:p w14:paraId="120AB25D"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1.681,26</w:t>
            </w:r>
          </w:p>
        </w:tc>
        <w:tc>
          <w:tcPr>
            <w:tcW w:w="1035" w:type="dxa"/>
            <w:shd w:val="clear" w:color="auto" w:fill="auto"/>
            <w:hideMark/>
          </w:tcPr>
          <w:p w14:paraId="3F69467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44C040C8"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1E82096E"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shd w:val="clear" w:color="auto" w:fill="auto"/>
            <w:hideMark/>
          </w:tcPr>
          <w:p w14:paraId="7DB09374"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1.681,26</w:t>
            </w:r>
          </w:p>
        </w:tc>
        <w:tc>
          <w:tcPr>
            <w:tcW w:w="1134" w:type="dxa"/>
            <w:shd w:val="clear" w:color="auto" w:fill="auto"/>
            <w:hideMark/>
          </w:tcPr>
          <w:p w14:paraId="7A15C8D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17E6DEB0" w14:textId="77777777" w:rsidTr="005B5F6E">
        <w:trPr>
          <w:gridAfter w:val="1"/>
          <w:wAfter w:w="6" w:type="dxa"/>
          <w:trHeight w:val="20"/>
        </w:trPr>
        <w:tc>
          <w:tcPr>
            <w:tcW w:w="567" w:type="dxa"/>
            <w:shd w:val="clear" w:color="auto" w:fill="auto"/>
            <w:hideMark/>
          </w:tcPr>
          <w:p w14:paraId="3350B5CF"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113</w:t>
            </w:r>
          </w:p>
        </w:tc>
        <w:tc>
          <w:tcPr>
            <w:tcW w:w="2982" w:type="dxa"/>
            <w:shd w:val="clear" w:color="auto" w:fill="auto"/>
            <w:hideMark/>
          </w:tcPr>
          <w:p w14:paraId="3A5B98C5"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Amortizarea imobilizărilor necorporale</w:t>
            </w:r>
          </w:p>
        </w:tc>
        <w:tc>
          <w:tcPr>
            <w:tcW w:w="1144" w:type="dxa"/>
            <w:shd w:val="clear" w:color="auto" w:fill="auto"/>
            <w:hideMark/>
          </w:tcPr>
          <w:p w14:paraId="67009DD9"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1DB47755"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1.102,84</w:t>
            </w:r>
          </w:p>
        </w:tc>
        <w:tc>
          <w:tcPr>
            <w:tcW w:w="1091" w:type="dxa"/>
            <w:gridSpan w:val="2"/>
            <w:shd w:val="clear" w:color="auto" w:fill="auto"/>
            <w:hideMark/>
          </w:tcPr>
          <w:p w14:paraId="2F52C82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15D46212"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139,53</w:t>
            </w:r>
          </w:p>
        </w:tc>
        <w:tc>
          <w:tcPr>
            <w:tcW w:w="1134" w:type="dxa"/>
            <w:gridSpan w:val="2"/>
            <w:shd w:val="clear" w:color="auto" w:fill="auto"/>
            <w:hideMark/>
          </w:tcPr>
          <w:p w14:paraId="0FC31C57"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4B22FA3D"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1.242,37</w:t>
            </w:r>
          </w:p>
        </w:tc>
      </w:tr>
      <w:tr w:rsidR="002C339A" w:rsidRPr="00B13B9A" w14:paraId="499A71DC" w14:textId="77777777" w:rsidTr="005B5F6E">
        <w:trPr>
          <w:gridAfter w:val="1"/>
          <w:wAfter w:w="6" w:type="dxa"/>
          <w:trHeight w:val="20"/>
        </w:trPr>
        <w:tc>
          <w:tcPr>
            <w:tcW w:w="567" w:type="dxa"/>
            <w:shd w:val="clear" w:color="auto" w:fill="auto"/>
            <w:hideMark/>
          </w:tcPr>
          <w:p w14:paraId="0EF9C854"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121</w:t>
            </w:r>
          </w:p>
        </w:tc>
        <w:tc>
          <w:tcPr>
            <w:tcW w:w="2982" w:type="dxa"/>
            <w:shd w:val="clear" w:color="auto" w:fill="auto"/>
            <w:hideMark/>
          </w:tcPr>
          <w:p w14:paraId="1F86EF72" w14:textId="39105D90"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Imobilizări corporale în curs de execu</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ie</w:t>
            </w:r>
          </w:p>
        </w:tc>
        <w:tc>
          <w:tcPr>
            <w:tcW w:w="1144" w:type="dxa"/>
            <w:shd w:val="clear" w:color="auto" w:fill="auto"/>
            <w:hideMark/>
          </w:tcPr>
          <w:p w14:paraId="169CB358"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79.115,14</w:t>
            </w:r>
          </w:p>
        </w:tc>
        <w:tc>
          <w:tcPr>
            <w:tcW w:w="1035" w:type="dxa"/>
            <w:shd w:val="clear" w:color="auto" w:fill="auto"/>
            <w:hideMark/>
          </w:tcPr>
          <w:p w14:paraId="14990306"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4D15BEA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78.356,99</w:t>
            </w:r>
          </w:p>
        </w:tc>
        <w:tc>
          <w:tcPr>
            <w:tcW w:w="1134" w:type="dxa"/>
            <w:shd w:val="clear" w:color="auto" w:fill="auto"/>
            <w:hideMark/>
          </w:tcPr>
          <w:p w14:paraId="56407685"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77.039,82</w:t>
            </w:r>
          </w:p>
        </w:tc>
        <w:tc>
          <w:tcPr>
            <w:tcW w:w="1134" w:type="dxa"/>
            <w:gridSpan w:val="2"/>
            <w:shd w:val="clear" w:color="auto" w:fill="auto"/>
            <w:hideMark/>
          </w:tcPr>
          <w:p w14:paraId="020FA257"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80.432,32</w:t>
            </w:r>
          </w:p>
        </w:tc>
        <w:tc>
          <w:tcPr>
            <w:tcW w:w="1134" w:type="dxa"/>
            <w:shd w:val="clear" w:color="auto" w:fill="auto"/>
            <w:hideMark/>
          </w:tcPr>
          <w:p w14:paraId="2CD384CD"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29C406E4" w14:textId="77777777" w:rsidTr="005B5F6E">
        <w:trPr>
          <w:gridAfter w:val="1"/>
          <w:wAfter w:w="6" w:type="dxa"/>
          <w:trHeight w:val="20"/>
        </w:trPr>
        <w:tc>
          <w:tcPr>
            <w:tcW w:w="567" w:type="dxa"/>
            <w:shd w:val="clear" w:color="auto" w:fill="auto"/>
            <w:hideMark/>
          </w:tcPr>
          <w:p w14:paraId="450ED70B"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122</w:t>
            </w:r>
          </w:p>
        </w:tc>
        <w:tc>
          <w:tcPr>
            <w:tcW w:w="2982" w:type="dxa"/>
            <w:shd w:val="clear" w:color="auto" w:fill="auto"/>
            <w:hideMark/>
          </w:tcPr>
          <w:p w14:paraId="655C9DD5"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Terenuri</w:t>
            </w:r>
          </w:p>
        </w:tc>
        <w:tc>
          <w:tcPr>
            <w:tcW w:w="1144" w:type="dxa"/>
            <w:shd w:val="clear" w:color="auto" w:fill="auto"/>
            <w:hideMark/>
          </w:tcPr>
          <w:p w14:paraId="2D1FD03E"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8.088,87</w:t>
            </w:r>
          </w:p>
        </w:tc>
        <w:tc>
          <w:tcPr>
            <w:tcW w:w="1035" w:type="dxa"/>
            <w:shd w:val="clear" w:color="auto" w:fill="auto"/>
            <w:hideMark/>
          </w:tcPr>
          <w:p w14:paraId="3884A886"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5441F9E4"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021C782C"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shd w:val="clear" w:color="auto" w:fill="auto"/>
            <w:hideMark/>
          </w:tcPr>
          <w:p w14:paraId="193AE962"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8.088,87</w:t>
            </w:r>
          </w:p>
        </w:tc>
        <w:tc>
          <w:tcPr>
            <w:tcW w:w="1134" w:type="dxa"/>
            <w:shd w:val="clear" w:color="auto" w:fill="auto"/>
            <w:hideMark/>
          </w:tcPr>
          <w:p w14:paraId="04180D54"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2AAA236C" w14:textId="77777777" w:rsidTr="005B5F6E">
        <w:trPr>
          <w:gridAfter w:val="1"/>
          <w:wAfter w:w="6" w:type="dxa"/>
          <w:trHeight w:val="20"/>
        </w:trPr>
        <w:tc>
          <w:tcPr>
            <w:tcW w:w="567" w:type="dxa"/>
            <w:shd w:val="clear" w:color="auto" w:fill="auto"/>
            <w:hideMark/>
          </w:tcPr>
          <w:p w14:paraId="60491538"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123</w:t>
            </w:r>
          </w:p>
        </w:tc>
        <w:tc>
          <w:tcPr>
            <w:tcW w:w="2982" w:type="dxa"/>
            <w:shd w:val="clear" w:color="auto" w:fill="auto"/>
            <w:hideMark/>
          </w:tcPr>
          <w:p w14:paraId="6EBFEE9E"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Mijloace fixe</w:t>
            </w:r>
          </w:p>
        </w:tc>
        <w:tc>
          <w:tcPr>
            <w:tcW w:w="1144" w:type="dxa"/>
            <w:shd w:val="clear" w:color="auto" w:fill="auto"/>
            <w:hideMark/>
          </w:tcPr>
          <w:p w14:paraId="5432051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291.197,27</w:t>
            </w:r>
          </w:p>
        </w:tc>
        <w:tc>
          <w:tcPr>
            <w:tcW w:w="1035" w:type="dxa"/>
            <w:shd w:val="clear" w:color="auto" w:fill="auto"/>
            <w:hideMark/>
          </w:tcPr>
          <w:p w14:paraId="1DFAB14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356ED94A"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4.970,49</w:t>
            </w:r>
          </w:p>
        </w:tc>
        <w:tc>
          <w:tcPr>
            <w:tcW w:w="1134" w:type="dxa"/>
            <w:shd w:val="clear" w:color="auto" w:fill="auto"/>
            <w:hideMark/>
          </w:tcPr>
          <w:p w14:paraId="7892BB14"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2.275,32</w:t>
            </w:r>
          </w:p>
        </w:tc>
        <w:tc>
          <w:tcPr>
            <w:tcW w:w="1134" w:type="dxa"/>
            <w:gridSpan w:val="2"/>
            <w:shd w:val="clear" w:color="auto" w:fill="auto"/>
            <w:hideMark/>
          </w:tcPr>
          <w:p w14:paraId="301FEE3F"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293.892,43</w:t>
            </w:r>
          </w:p>
        </w:tc>
        <w:tc>
          <w:tcPr>
            <w:tcW w:w="1134" w:type="dxa"/>
            <w:shd w:val="clear" w:color="auto" w:fill="auto"/>
            <w:hideMark/>
          </w:tcPr>
          <w:p w14:paraId="5403A3A7"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252141A7" w14:textId="77777777" w:rsidTr="005B5F6E">
        <w:trPr>
          <w:gridAfter w:val="1"/>
          <w:wAfter w:w="6" w:type="dxa"/>
          <w:trHeight w:val="20"/>
        </w:trPr>
        <w:tc>
          <w:tcPr>
            <w:tcW w:w="567" w:type="dxa"/>
            <w:shd w:val="clear" w:color="auto" w:fill="auto"/>
            <w:hideMark/>
          </w:tcPr>
          <w:p w14:paraId="5C1DB356"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124</w:t>
            </w:r>
          </w:p>
        </w:tc>
        <w:tc>
          <w:tcPr>
            <w:tcW w:w="2982" w:type="dxa"/>
            <w:shd w:val="clear" w:color="auto" w:fill="auto"/>
            <w:hideMark/>
          </w:tcPr>
          <w:p w14:paraId="7A75C08E"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Amortizarea mijloacelor fixe</w:t>
            </w:r>
          </w:p>
        </w:tc>
        <w:tc>
          <w:tcPr>
            <w:tcW w:w="1144" w:type="dxa"/>
            <w:shd w:val="clear" w:color="auto" w:fill="auto"/>
            <w:hideMark/>
          </w:tcPr>
          <w:p w14:paraId="12691162"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63CC9193"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162.849,26</w:t>
            </w:r>
          </w:p>
        </w:tc>
        <w:tc>
          <w:tcPr>
            <w:tcW w:w="1091" w:type="dxa"/>
            <w:gridSpan w:val="2"/>
            <w:shd w:val="clear" w:color="auto" w:fill="auto"/>
            <w:hideMark/>
          </w:tcPr>
          <w:p w14:paraId="39F99E5A"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22,39</w:t>
            </w:r>
          </w:p>
        </w:tc>
        <w:tc>
          <w:tcPr>
            <w:tcW w:w="1134" w:type="dxa"/>
            <w:shd w:val="clear" w:color="auto" w:fill="auto"/>
            <w:hideMark/>
          </w:tcPr>
          <w:p w14:paraId="383CB664"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4.183,12</w:t>
            </w:r>
          </w:p>
        </w:tc>
        <w:tc>
          <w:tcPr>
            <w:tcW w:w="1134" w:type="dxa"/>
            <w:gridSpan w:val="2"/>
            <w:shd w:val="clear" w:color="auto" w:fill="auto"/>
            <w:hideMark/>
          </w:tcPr>
          <w:p w14:paraId="0C2DF00D"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595ECE68"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167.009,99</w:t>
            </w:r>
          </w:p>
        </w:tc>
      </w:tr>
      <w:tr w:rsidR="002C339A" w:rsidRPr="00B13B9A" w14:paraId="4047661E" w14:textId="77777777" w:rsidTr="005B5F6E">
        <w:trPr>
          <w:gridAfter w:val="1"/>
          <w:wAfter w:w="6" w:type="dxa"/>
          <w:trHeight w:val="20"/>
        </w:trPr>
        <w:tc>
          <w:tcPr>
            <w:tcW w:w="567" w:type="dxa"/>
            <w:shd w:val="clear" w:color="auto" w:fill="auto"/>
            <w:hideMark/>
          </w:tcPr>
          <w:p w14:paraId="07E05D4B"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211</w:t>
            </w:r>
          </w:p>
        </w:tc>
        <w:tc>
          <w:tcPr>
            <w:tcW w:w="2982" w:type="dxa"/>
            <w:shd w:val="clear" w:color="auto" w:fill="auto"/>
            <w:hideMark/>
          </w:tcPr>
          <w:p w14:paraId="4567AD82"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Materiale</w:t>
            </w:r>
          </w:p>
        </w:tc>
        <w:tc>
          <w:tcPr>
            <w:tcW w:w="1144" w:type="dxa"/>
            <w:shd w:val="clear" w:color="auto" w:fill="auto"/>
            <w:hideMark/>
          </w:tcPr>
          <w:p w14:paraId="357834F6"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39.655,56</w:t>
            </w:r>
          </w:p>
        </w:tc>
        <w:tc>
          <w:tcPr>
            <w:tcW w:w="1035" w:type="dxa"/>
            <w:shd w:val="clear" w:color="auto" w:fill="auto"/>
            <w:hideMark/>
          </w:tcPr>
          <w:p w14:paraId="5F9487F3"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60305329"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52.542,39</w:t>
            </w:r>
          </w:p>
        </w:tc>
        <w:tc>
          <w:tcPr>
            <w:tcW w:w="1134" w:type="dxa"/>
            <w:shd w:val="clear" w:color="auto" w:fill="auto"/>
            <w:hideMark/>
          </w:tcPr>
          <w:p w14:paraId="38F33C96"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55.713,40</w:t>
            </w:r>
          </w:p>
        </w:tc>
        <w:tc>
          <w:tcPr>
            <w:tcW w:w="1134" w:type="dxa"/>
            <w:gridSpan w:val="2"/>
            <w:shd w:val="clear" w:color="auto" w:fill="auto"/>
            <w:hideMark/>
          </w:tcPr>
          <w:p w14:paraId="66682786"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36.484,55</w:t>
            </w:r>
          </w:p>
        </w:tc>
        <w:tc>
          <w:tcPr>
            <w:tcW w:w="1134" w:type="dxa"/>
            <w:shd w:val="clear" w:color="auto" w:fill="auto"/>
            <w:hideMark/>
          </w:tcPr>
          <w:p w14:paraId="44C12223"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3118FD18" w14:textId="77777777" w:rsidTr="005B5F6E">
        <w:trPr>
          <w:gridAfter w:val="1"/>
          <w:wAfter w:w="6" w:type="dxa"/>
          <w:trHeight w:val="20"/>
        </w:trPr>
        <w:tc>
          <w:tcPr>
            <w:tcW w:w="567" w:type="dxa"/>
            <w:shd w:val="clear" w:color="auto" w:fill="auto"/>
            <w:hideMark/>
          </w:tcPr>
          <w:p w14:paraId="0E2558BB"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213</w:t>
            </w:r>
          </w:p>
        </w:tc>
        <w:tc>
          <w:tcPr>
            <w:tcW w:w="2982" w:type="dxa"/>
            <w:shd w:val="clear" w:color="auto" w:fill="auto"/>
            <w:hideMark/>
          </w:tcPr>
          <w:p w14:paraId="49C9AA84" w14:textId="4AA9230F"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xml:space="preserve">Obiecte de mică valoare </w:t>
            </w:r>
            <w:r w:rsidR="00B13B9A" w:rsidRPr="00B13B9A">
              <w:rPr>
                <w:rFonts w:asciiTheme="majorHAnsi" w:eastAsia="Times New Roman" w:hAnsiTheme="majorHAnsi" w:cstheme="majorHAnsi"/>
                <w:sz w:val="18"/>
                <w:szCs w:val="18"/>
                <w:lang w:val="ro-MD"/>
              </w:rPr>
              <w:t>ș</w:t>
            </w:r>
            <w:r w:rsidRPr="00B13B9A">
              <w:rPr>
                <w:rFonts w:asciiTheme="majorHAnsi" w:eastAsia="Times New Roman" w:hAnsiTheme="majorHAnsi" w:cstheme="majorHAnsi"/>
                <w:sz w:val="18"/>
                <w:szCs w:val="18"/>
                <w:lang w:val="ro-MD"/>
              </w:rPr>
              <w:t>i scurtă durată</w:t>
            </w:r>
          </w:p>
        </w:tc>
        <w:tc>
          <w:tcPr>
            <w:tcW w:w="1144" w:type="dxa"/>
            <w:shd w:val="clear" w:color="auto" w:fill="auto"/>
            <w:hideMark/>
          </w:tcPr>
          <w:p w14:paraId="589F66B7"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17.990,88</w:t>
            </w:r>
          </w:p>
        </w:tc>
        <w:tc>
          <w:tcPr>
            <w:tcW w:w="1035" w:type="dxa"/>
            <w:shd w:val="clear" w:color="auto" w:fill="auto"/>
            <w:hideMark/>
          </w:tcPr>
          <w:p w14:paraId="76344F5F"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4FD5E7FF"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887,81</w:t>
            </w:r>
          </w:p>
        </w:tc>
        <w:tc>
          <w:tcPr>
            <w:tcW w:w="1134" w:type="dxa"/>
            <w:shd w:val="clear" w:color="auto" w:fill="auto"/>
            <w:hideMark/>
          </w:tcPr>
          <w:p w14:paraId="5C31FE79"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730,05</w:t>
            </w:r>
          </w:p>
        </w:tc>
        <w:tc>
          <w:tcPr>
            <w:tcW w:w="1134" w:type="dxa"/>
            <w:gridSpan w:val="2"/>
            <w:shd w:val="clear" w:color="auto" w:fill="auto"/>
            <w:hideMark/>
          </w:tcPr>
          <w:p w14:paraId="04FC43D3"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18.148,64</w:t>
            </w:r>
          </w:p>
        </w:tc>
        <w:tc>
          <w:tcPr>
            <w:tcW w:w="1134" w:type="dxa"/>
            <w:shd w:val="clear" w:color="auto" w:fill="auto"/>
            <w:hideMark/>
          </w:tcPr>
          <w:p w14:paraId="5CC29D4A"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7FEC0D66" w14:textId="77777777" w:rsidTr="005B5F6E">
        <w:trPr>
          <w:gridAfter w:val="1"/>
          <w:wAfter w:w="6" w:type="dxa"/>
          <w:trHeight w:val="20"/>
        </w:trPr>
        <w:tc>
          <w:tcPr>
            <w:tcW w:w="567" w:type="dxa"/>
            <w:shd w:val="clear" w:color="auto" w:fill="auto"/>
            <w:hideMark/>
          </w:tcPr>
          <w:p w14:paraId="26B25A10"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214</w:t>
            </w:r>
          </w:p>
        </w:tc>
        <w:tc>
          <w:tcPr>
            <w:tcW w:w="2982" w:type="dxa"/>
            <w:shd w:val="clear" w:color="auto" w:fill="auto"/>
            <w:hideMark/>
          </w:tcPr>
          <w:p w14:paraId="2335D136" w14:textId="4968E77C"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xml:space="preserve">Uzura obiectelor de mică valoare </w:t>
            </w:r>
            <w:r w:rsidR="00B13B9A" w:rsidRPr="00B13B9A">
              <w:rPr>
                <w:rFonts w:asciiTheme="majorHAnsi" w:eastAsia="Times New Roman" w:hAnsiTheme="majorHAnsi" w:cstheme="majorHAnsi"/>
                <w:sz w:val="18"/>
                <w:szCs w:val="18"/>
                <w:lang w:val="ro-MD"/>
              </w:rPr>
              <w:t>ș</w:t>
            </w:r>
            <w:r w:rsidRPr="00B13B9A">
              <w:rPr>
                <w:rFonts w:asciiTheme="majorHAnsi" w:eastAsia="Times New Roman" w:hAnsiTheme="majorHAnsi" w:cstheme="majorHAnsi"/>
                <w:sz w:val="18"/>
                <w:szCs w:val="18"/>
                <w:lang w:val="ro-MD"/>
              </w:rPr>
              <w:t>i scurtă durată</w:t>
            </w:r>
          </w:p>
        </w:tc>
        <w:tc>
          <w:tcPr>
            <w:tcW w:w="1144" w:type="dxa"/>
            <w:shd w:val="clear" w:color="auto" w:fill="auto"/>
            <w:hideMark/>
          </w:tcPr>
          <w:p w14:paraId="62A7BD56"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58177956"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11.942,11</w:t>
            </w:r>
          </w:p>
        </w:tc>
        <w:tc>
          <w:tcPr>
            <w:tcW w:w="1091" w:type="dxa"/>
            <w:gridSpan w:val="2"/>
            <w:shd w:val="clear" w:color="auto" w:fill="auto"/>
            <w:hideMark/>
          </w:tcPr>
          <w:p w14:paraId="1796C41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428,83</w:t>
            </w:r>
          </w:p>
        </w:tc>
        <w:tc>
          <w:tcPr>
            <w:tcW w:w="1134" w:type="dxa"/>
            <w:shd w:val="clear" w:color="auto" w:fill="auto"/>
            <w:hideMark/>
          </w:tcPr>
          <w:p w14:paraId="0DEC8244"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676,55</w:t>
            </w:r>
          </w:p>
        </w:tc>
        <w:tc>
          <w:tcPr>
            <w:tcW w:w="1134" w:type="dxa"/>
            <w:gridSpan w:val="2"/>
            <w:shd w:val="clear" w:color="auto" w:fill="auto"/>
            <w:hideMark/>
          </w:tcPr>
          <w:p w14:paraId="454E261F"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62194EAC"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12.189,83</w:t>
            </w:r>
          </w:p>
        </w:tc>
      </w:tr>
      <w:tr w:rsidR="002C339A" w:rsidRPr="00B13B9A" w14:paraId="47F93F8D" w14:textId="77777777" w:rsidTr="005B5F6E">
        <w:trPr>
          <w:gridAfter w:val="1"/>
          <w:wAfter w:w="6" w:type="dxa"/>
          <w:trHeight w:val="20"/>
        </w:trPr>
        <w:tc>
          <w:tcPr>
            <w:tcW w:w="567" w:type="dxa"/>
            <w:shd w:val="clear" w:color="auto" w:fill="auto"/>
            <w:hideMark/>
          </w:tcPr>
          <w:p w14:paraId="1DCAF7FF"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221</w:t>
            </w:r>
          </w:p>
        </w:tc>
        <w:tc>
          <w:tcPr>
            <w:tcW w:w="2982" w:type="dxa"/>
            <w:shd w:val="clear" w:color="auto" w:fill="auto"/>
            <w:hideMark/>
          </w:tcPr>
          <w:p w14:paraId="0E98A185" w14:textId="57CF6BD3"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Crean</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 xml:space="preserve">e comerciale </w:t>
            </w:r>
          </w:p>
        </w:tc>
        <w:tc>
          <w:tcPr>
            <w:tcW w:w="1144" w:type="dxa"/>
            <w:shd w:val="clear" w:color="auto" w:fill="auto"/>
            <w:hideMark/>
          </w:tcPr>
          <w:p w14:paraId="1079216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2.984,66</w:t>
            </w:r>
          </w:p>
        </w:tc>
        <w:tc>
          <w:tcPr>
            <w:tcW w:w="1035" w:type="dxa"/>
            <w:shd w:val="clear" w:color="auto" w:fill="auto"/>
            <w:hideMark/>
          </w:tcPr>
          <w:p w14:paraId="1203BEE5"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34BF136F"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69.692,00</w:t>
            </w:r>
          </w:p>
        </w:tc>
        <w:tc>
          <w:tcPr>
            <w:tcW w:w="1134" w:type="dxa"/>
            <w:shd w:val="clear" w:color="auto" w:fill="auto"/>
            <w:hideMark/>
          </w:tcPr>
          <w:p w14:paraId="215964AA"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65.276,40</w:t>
            </w:r>
          </w:p>
        </w:tc>
        <w:tc>
          <w:tcPr>
            <w:tcW w:w="1134" w:type="dxa"/>
            <w:gridSpan w:val="2"/>
            <w:shd w:val="clear" w:color="auto" w:fill="auto"/>
            <w:hideMark/>
          </w:tcPr>
          <w:p w14:paraId="7D779157"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7.400,26</w:t>
            </w:r>
          </w:p>
        </w:tc>
        <w:tc>
          <w:tcPr>
            <w:tcW w:w="1134" w:type="dxa"/>
            <w:shd w:val="clear" w:color="auto" w:fill="auto"/>
            <w:hideMark/>
          </w:tcPr>
          <w:p w14:paraId="6F0FB0A9"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0649F283" w14:textId="77777777" w:rsidTr="005B5F6E">
        <w:trPr>
          <w:gridAfter w:val="1"/>
          <w:wAfter w:w="6" w:type="dxa"/>
          <w:trHeight w:val="20"/>
        </w:trPr>
        <w:tc>
          <w:tcPr>
            <w:tcW w:w="567" w:type="dxa"/>
            <w:shd w:val="clear" w:color="auto" w:fill="auto"/>
            <w:hideMark/>
          </w:tcPr>
          <w:p w14:paraId="4007DD50"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223</w:t>
            </w:r>
          </w:p>
        </w:tc>
        <w:tc>
          <w:tcPr>
            <w:tcW w:w="2982" w:type="dxa"/>
            <w:shd w:val="clear" w:color="auto" w:fill="auto"/>
            <w:hideMark/>
          </w:tcPr>
          <w:p w14:paraId="08C21EC8" w14:textId="74398B3C"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Crean</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e ale păr</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ilor afiliate</w:t>
            </w:r>
          </w:p>
        </w:tc>
        <w:tc>
          <w:tcPr>
            <w:tcW w:w="1144" w:type="dxa"/>
            <w:shd w:val="clear" w:color="auto" w:fill="auto"/>
            <w:hideMark/>
          </w:tcPr>
          <w:p w14:paraId="1A239488"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6205EFE2"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18D0A013"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10.665,92</w:t>
            </w:r>
          </w:p>
        </w:tc>
        <w:tc>
          <w:tcPr>
            <w:tcW w:w="1134" w:type="dxa"/>
            <w:shd w:val="clear" w:color="auto" w:fill="auto"/>
            <w:hideMark/>
          </w:tcPr>
          <w:p w14:paraId="1699ACC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10.665,92</w:t>
            </w:r>
          </w:p>
        </w:tc>
        <w:tc>
          <w:tcPr>
            <w:tcW w:w="1134" w:type="dxa"/>
            <w:gridSpan w:val="2"/>
            <w:shd w:val="clear" w:color="auto" w:fill="auto"/>
            <w:hideMark/>
          </w:tcPr>
          <w:p w14:paraId="20853644"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317F937D"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45CA615D" w14:textId="77777777" w:rsidTr="005B5F6E">
        <w:trPr>
          <w:gridAfter w:val="1"/>
          <w:wAfter w:w="6" w:type="dxa"/>
          <w:trHeight w:val="20"/>
        </w:trPr>
        <w:tc>
          <w:tcPr>
            <w:tcW w:w="567" w:type="dxa"/>
            <w:shd w:val="clear" w:color="auto" w:fill="auto"/>
            <w:hideMark/>
          </w:tcPr>
          <w:p w14:paraId="5DE945BC"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224</w:t>
            </w:r>
          </w:p>
        </w:tc>
        <w:tc>
          <w:tcPr>
            <w:tcW w:w="2982" w:type="dxa"/>
            <w:shd w:val="clear" w:color="auto" w:fill="auto"/>
            <w:hideMark/>
          </w:tcPr>
          <w:p w14:paraId="59251556"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Avansuri acordate curente</w:t>
            </w:r>
          </w:p>
        </w:tc>
        <w:tc>
          <w:tcPr>
            <w:tcW w:w="1144" w:type="dxa"/>
            <w:shd w:val="clear" w:color="auto" w:fill="auto"/>
            <w:hideMark/>
          </w:tcPr>
          <w:p w14:paraId="7EB06E7D"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518BA0FA"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74AB827D"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921,01</w:t>
            </w:r>
          </w:p>
        </w:tc>
        <w:tc>
          <w:tcPr>
            <w:tcW w:w="1134" w:type="dxa"/>
            <w:shd w:val="clear" w:color="auto" w:fill="auto"/>
            <w:hideMark/>
          </w:tcPr>
          <w:p w14:paraId="72B9F649"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921,01</w:t>
            </w:r>
          </w:p>
        </w:tc>
        <w:tc>
          <w:tcPr>
            <w:tcW w:w="1134" w:type="dxa"/>
            <w:gridSpan w:val="2"/>
            <w:shd w:val="clear" w:color="auto" w:fill="auto"/>
            <w:hideMark/>
          </w:tcPr>
          <w:p w14:paraId="632A388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65C8073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52617742" w14:textId="77777777" w:rsidTr="005B5F6E">
        <w:trPr>
          <w:gridAfter w:val="1"/>
          <w:wAfter w:w="6" w:type="dxa"/>
          <w:trHeight w:val="20"/>
        </w:trPr>
        <w:tc>
          <w:tcPr>
            <w:tcW w:w="567" w:type="dxa"/>
            <w:shd w:val="clear" w:color="auto" w:fill="auto"/>
            <w:hideMark/>
          </w:tcPr>
          <w:p w14:paraId="0005FB17"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225</w:t>
            </w:r>
          </w:p>
        </w:tc>
        <w:tc>
          <w:tcPr>
            <w:tcW w:w="2982" w:type="dxa"/>
            <w:shd w:val="clear" w:color="auto" w:fill="auto"/>
            <w:hideMark/>
          </w:tcPr>
          <w:p w14:paraId="007E4DB8" w14:textId="25FBACA6"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Crean</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e ale bugetului</w:t>
            </w:r>
          </w:p>
        </w:tc>
        <w:tc>
          <w:tcPr>
            <w:tcW w:w="1144" w:type="dxa"/>
            <w:shd w:val="clear" w:color="auto" w:fill="auto"/>
            <w:hideMark/>
          </w:tcPr>
          <w:p w14:paraId="08782D58"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9,87</w:t>
            </w:r>
          </w:p>
        </w:tc>
        <w:tc>
          <w:tcPr>
            <w:tcW w:w="1035" w:type="dxa"/>
            <w:shd w:val="clear" w:color="auto" w:fill="auto"/>
            <w:hideMark/>
          </w:tcPr>
          <w:p w14:paraId="05702B28"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3B34632D"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63CD9C09"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9,87</w:t>
            </w:r>
          </w:p>
        </w:tc>
        <w:tc>
          <w:tcPr>
            <w:tcW w:w="1134" w:type="dxa"/>
            <w:gridSpan w:val="2"/>
            <w:shd w:val="clear" w:color="auto" w:fill="auto"/>
            <w:hideMark/>
          </w:tcPr>
          <w:p w14:paraId="61E7EFF7"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19EDC9BF"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12824CD3" w14:textId="77777777" w:rsidTr="005B5F6E">
        <w:trPr>
          <w:gridAfter w:val="1"/>
          <w:wAfter w:w="6" w:type="dxa"/>
          <w:trHeight w:val="20"/>
        </w:trPr>
        <w:tc>
          <w:tcPr>
            <w:tcW w:w="567" w:type="dxa"/>
            <w:shd w:val="clear" w:color="auto" w:fill="auto"/>
            <w:hideMark/>
          </w:tcPr>
          <w:p w14:paraId="0028F4C6"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226</w:t>
            </w:r>
          </w:p>
        </w:tc>
        <w:tc>
          <w:tcPr>
            <w:tcW w:w="2982" w:type="dxa"/>
            <w:shd w:val="clear" w:color="auto" w:fill="auto"/>
            <w:hideMark/>
          </w:tcPr>
          <w:p w14:paraId="3E430295" w14:textId="0583206B"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Crean</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e ale personalului</w:t>
            </w:r>
          </w:p>
        </w:tc>
        <w:tc>
          <w:tcPr>
            <w:tcW w:w="1144" w:type="dxa"/>
            <w:shd w:val="clear" w:color="auto" w:fill="auto"/>
            <w:hideMark/>
          </w:tcPr>
          <w:p w14:paraId="2BC6DFE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0787831F"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74BE019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13,61</w:t>
            </w:r>
          </w:p>
        </w:tc>
        <w:tc>
          <w:tcPr>
            <w:tcW w:w="1134" w:type="dxa"/>
            <w:shd w:val="clear" w:color="auto" w:fill="auto"/>
            <w:hideMark/>
          </w:tcPr>
          <w:p w14:paraId="384F188E"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13,61</w:t>
            </w:r>
          </w:p>
        </w:tc>
        <w:tc>
          <w:tcPr>
            <w:tcW w:w="1134" w:type="dxa"/>
            <w:gridSpan w:val="2"/>
            <w:shd w:val="clear" w:color="auto" w:fill="auto"/>
            <w:hideMark/>
          </w:tcPr>
          <w:p w14:paraId="4D6DC33F"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06E8228E"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3E819878" w14:textId="77777777" w:rsidTr="005B5F6E">
        <w:trPr>
          <w:gridAfter w:val="1"/>
          <w:wAfter w:w="6" w:type="dxa"/>
          <w:trHeight w:val="20"/>
        </w:trPr>
        <w:tc>
          <w:tcPr>
            <w:tcW w:w="567" w:type="dxa"/>
            <w:shd w:val="clear" w:color="auto" w:fill="auto"/>
            <w:hideMark/>
          </w:tcPr>
          <w:p w14:paraId="2BC9E6B6"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234</w:t>
            </w:r>
          </w:p>
        </w:tc>
        <w:tc>
          <w:tcPr>
            <w:tcW w:w="2982" w:type="dxa"/>
            <w:shd w:val="clear" w:color="auto" w:fill="auto"/>
            <w:hideMark/>
          </w:tcPr>
          <w:p w14:paraId="7BA4A676" w14:textId="3D485A03"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Alte crean</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e curente</w:t>
            </w:r>
          </w:p>
        </w:tc>
        <w:tc>
          <w:tcPr>
            <w:tcW w:w="1144" w:type="dxa"/>
            <w:shd w:val="clear" w:color="auto" w:fill="auto"/>
            <w:hideMark/>
          </w:tcPr>
          <w:p w14:paraId="7692EE9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148,02</w:t>
            </w:r>
          </w:p>
        </w:tc>
        <w:tc>
          <w:tcPr>
            <w:tcW w:w="1035" w:type="dxa"/>
            <w:shd w:val="clear" w:color="auto" w:fill="auto"/>
            <w:hideMark/>
          </w:tcPr>
          <w:p w14:paraId="7DD8A65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7B7174EC"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4A9F798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shd w:val="clear" w:color="auto" w:fill="auto"/>
            <w:hideMark/>
          </w:tcPr>
          <w:p w14:paraId="6306B46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148,02</w:t>
            </w:r>
          </w:p>
        </w:tc>
        <w:tc>
          <w:tcPr>
            <w:tcW w:w="1134" w:type="dxa"/>
            <w:shd w:val="clear" w:color="auto" w:fill="auto"/>
            <w:hideMark/>
          </w:tcPr>
          <w:p w14:paraId="13444E6E"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6E7BDD1D" w14:textId="77777777" w:rsidTr="005B5F6E">
        <w:trPr>
          <w:gridAfter w:val="1"/>
          <w:wAfter w:w="6" w:type="dxa"/>
          <w:trHeight w:val="20"/>
        </w:trPr>
        <w:tc>
          <w:tcPr>
            <w:tcW w:w="567" w:type="dxa"/>
            <w:shd w:val="clear" w:color="auto" w:fill="auto"/>
            <w:hideMark/>
          </w:tcPr>
          <w:p w14:paraId="0CC30A84"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241</w:t>
            </w:r>
          </w:p>
        </w:tc>
        <w:tc>
          <w:tcPr>
            <w:tcW w:w="2982" w:type="dxa"/>
            <w:shd w:val="clear" w:color="auto" w:fill="auto"/>
            <w:hideMark/>
          </w:tcPr>
          <w:p w14:paraId="3177120A"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Casa</w:t>
            </w:r>
          </w:p>
        </w:tc>
        <w:tc>
          <w:tcPr>
            <w:tcW w:w="1144" w:type="dxa"/>
            <w:shd w:val="clear" w:color="auto" w:fill="auto"/>
            <w:hideMark/>
          </w:tcPr>
          <w:p w14:paraId="3FFBEA4A"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1,26</w:t>
            </w:r>
          </w:p>
        </w:tc>
        <w:tc>
          <w:tcPr>
            <w:tcW w:w="1035" w:type="dxa"/>
            <w:shd w:val="clear" w:color="auto" w:fill="auto"/>
            <w:hideMark/>
          </w:tcPr>
          <w:p w14:paraId="3E57FEDC"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50D91FED"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456,07</w:t>
            </w:r>
          </w:p>
        </w:tc>
        <w:tc>
          <w:tcPr>
            <w:tcW w:w="1134" w:type="dxa"/>
            <w:shd w:val="clear" w:color="auto" w:fill="auto"/>
            <w:hideMark/>
          </w:tcPr>
          <w:p w14:paraId="34AAB76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456,66</w:t>
            </w:r>
          </w:p>
        </w:tc>
        <w:tc>
          <w:tcPr>
            <w:tcW w:w="1134" w:type="dxa"/>
            <w:gridSpan w:val="2"/>
            <w:shd w:val="clear" w:color="auto" w:fill="auto"/>
            <w:hideMark/>
          </w:tcPr>
          <w:p w14:paraId="144B421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0,68</w:t>
            </w:r>
          </w:p>
        </w:tc>
        <w:tc>
          <w:tcPr>
            <w:tcW w:w="1134" w:type="dxa"/>
            <w:shd w:val="clear" w:color="auto" w:fill="auto"/>
            <w:hideMark/>
          </w:tcPr>
          <w:p w14:paraId="26323083"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6CB5B781" w14:textId="77777777" w:rsidTr="005B5F6E">
        <w:trPr>
          <w:gridAfter w:val="1"/>
          <w:wAfter w:w="6" w:type="dxa"/>
          <w:trHeight w:val="20"/>
        </w:trPr>
        <w:tc>
          <w:tcPr>
            <w:tcW w:w="567" w:type="dxa"/>
            <w:shd w:val="clear" w:color="auto" w:fill="auto"/>
            <w:hideMark/>
          </w:tcPr>
          <w:p w14:paraId="20DEA556"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242</w:t>
            </w:r>
          </w:p>
        </w:tc>
        <w:tc>
          <w:tcPr>
            <w:tcW w:w="2982" w:type="dxa"/>
            <w:shd w:val="clear" w:color="auto" w:fill="auto"/>
            <w:hideMark/>
          </w:tcPr>
          <w:p w14:paraId="18799B34" w14:textId="13158A19"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Conturi curente în monedă na</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ională</w:t>
            </w:r>
          </w:p>
        </w:tc>
        <w:tc>
          <w:tcPr>
            <w:tcW w:w="1144" w:type="dxa"/>
            <w:shd w:val="clear" w:color="auto" w:fill="auto"/>
            <w:hideMark/>
          </w:tcPr>
          <w:p w14:paraId="0C43CDE5"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4.322,55</w:t>
            </w:r>
          </w:p>
        </w:tc>
        <w:tc>
          <w:tcPr>
            <w:tcW w:w="1035" w:type="dxa"/>
            <w:shd w:val="clear" w:color="auto" w:fill="auto"/>
            <w:hideMark/>
          </w:tcPr>
          <w:p w14:paraId="203E7FE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18BE16EA"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70.831,71</w:t>
            </w:r>
          </w:p>
        </w:tc>
        <w:tc>
          <w:tcPr>
            <w:tcW w:w="1134" w:type="dxa"/>
            <w:shd w:val="clear" w:color="auto" w:fill="auto"/>
            <w:hideMark/>
          </w:tcPr>
          <w:p w14:paraId="4F81DFD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70.246,91</w:t>
            </w:r>
          </w:p>
        </w:tc>
        <w:tc>
          <w:tcPr>
            <w:tcW w:w="1134" w:type="dxa"/>
            <w:gridSpan w:val="2"/>
            <w:shd w:val="clear" w:color="auto" w:fill="auto"/>
            <w:hideMark/>
          </w:tcPr>
          <w:p w14:paraId="4475AE06"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4.907,34</w:t>
            </w:r>
          </w:p>
        </w:tc>
        <w:tc>
          <w:tcPr>
            <w:tcW w:w="1134" w:type="dxa"/>
            <w:shd w:val="clear" w:color="auto" w:fill="auto"/>
            <w:hideMark/>
          </w:tcPr>
          <w:p w14:paraId="71A1F15F"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2730106E" w14:textId="77777777" w:rsidTr="005B5F6E">
        <w:trPr>
          <w:gridAfter w:val="1"/>
          <w:wAfter w:w="6" w:type="dxa"/>
          <w:trHeight w:val="20"/>
        </w:trPr>
        <w:tc>
          <w:tcPr>
            <w:tcW w:w="567" w:type="dxa"/>
            <w:shd w:val="clear" w:color="auto" w:fill="auto"/>
            <w:hideMark/>
          </w:tcPr>
          <w:p w14:paraId="124DC295"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243</w:t>
            </w:r>
          </w:p>
        </w:tc>
        <w:tc>
          <w:tcPr>
            <w:tcW w:w="2982" w:type="dxa"/>
            <w:shd w:val="clear" w:color="auto" w:fill="auto"/>
            <w:hideMark/>
          </w:tcPr>
          <w:p w14:paraId="4C2E8533"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Conturi curente în valută străină</w:t>
            </w:r>
          </w:p>
        </w:tc>
        <w:tc>
          <w:tcPr>
            <w:tcW w:w="1144" w:type="dxa"/>
            <w:shd w:val="clear" w:color="auto" w:fill="auto"/>
            <w:hideMark/>
          </w:tcPr>
          <w:p w14:paraId="2FB8E2C6"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3.770,67</w:t>
            </w:r>
          </w:p>
        </w:tc>
        <w:tc>
          <w:tcPr>
            <w:tcW w:w="1035" w:type="dxa"/>
            <w:shd w:val="clear" w:color="auto" w:fill="auto"/>
            <w:hideMark/>
          </w:tcPr>
          <w:p w14:paraId="62E09953"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5D66E55C"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1.817,46</w:t>
            </w:r>
          </w:p>
        </w:tc>
        <w:tc>
          <w:tcPr>
            <w:tcW w:w="1134" w:type="dxa"/>
            <w:shd w:val="clear" w:color="auto" w:fill="auto"/>
            <w:hideMark/>
          </w:tcPr>
          <w:p w14:paraId="4F79DCF4"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1.774,63</w:t>
            </w:r>
          </w:p>
        </w:tc>
        <w:tc>
          <w:tcPr>
            <w:tcW w:w="1134" w:type="dxa"/>
            <w:gridSpan w:val="2"/>
            <w:shd w:val="clear" w:color="auto" w:fill="auto"/>
            <w:hideMark/>
          </w:tcPr>
          <w:p w14:paraId="111E5103"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3.813,50</w:t>
            </w:r>
          </w:p>
        </w:tc>
        <w:tc>
          <w:tcPr>
            <w:tcW w:w="1134" w:type="dxa"/>
            <w:shd w:val="clear" w:color="auto" w:fill="auto"/>
            <w:hideMark/>
          </w:tcPr>
          <w:p w14:paraId="5316A7CC"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3AC8172F" w14:textId="77777777" w:rsidTr="005B5F6E">
        <w:trPr>
          <w:gridAfter w:val="1"/>
          <w:wAfter w:w="6" w:type="dxa"/>
          <w:trHeight w:val="20"/>
        </w:trPr>
        <w:tc>
          <w:tcPr>
            <w:tcW w:w="567" w:type="dxa"/>
            <w:shd w:val="clear" w:color="auto" w:fill="auto"/>
            <w:hideMark/>
          </w:tcPr>
          <w:p w14:paraId="79F32533"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261</w:t>
            </w:r>
          </w:p>
        </w:tc>
        <w:tc>
          <w:tcPr>
            <w:tcW w:w="2982" w:type="dxa"/>
            <w:shd w:val="clear" w:color="auto" w:fill="auto"/>
            <w:hideMark/>
          </w:tcPr>
          <w:p w14:paraId="7FE6FC2D"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Cheltuieli anticipate curente</w:t>
            </w:r>
          </w:p>
        </w:tc>
        <w:tc>
          <w:tcPr>
            <w:tcW w:w="1144" w:type="dxa"/>
            <w:shd w:val="clear" w:color="auto" w:fill="auto"/>
            <w:hideMark/>
          </w:tcPr>
          <w:p w14:paraId="5B6544D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6,17</w:t>
            </w:r>
          </w:p>
        </w:tc>
        <w:tc>
          <w:tcPr>
            <w:tcW w:w="1035" w:type="dxa"/>
            <w:shd w:val="clear" w:color="auto" w:fill="auto"/>
            <w:hideMark/>
          </w:tcPr>
          <w:p w14:paraId="570F5ECC"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03B49EC4"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433B72D6"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shd w:val="clear" w:color="auto" w:fill="auto"/>
            <w:hideMark/>
          </w:tcPr>
          <w:p w14:paraId="5AB146F8"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6,17</w:t>
            </w:r>
          </w:p>
        </w:tc>
        <w:tc>
          <w:tcPr>
            <w:tcW w:w="1134" w:type="dxa"/>
            <w:shd w:val="clear" w:color="auto" w:fill="auto"/>
            <w:hideMark/>
          </w:tcPr>
          <w:p w14:paraId="5DFC8005"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089DECD2" w14:textId="77777777" w:rsidTr="005B5F6E">
        <w:trPr>
          <w:gridAfter w:val="1"/>
          <w:wAfter w:w="6" w:type="dxa"/>
          <w:trHeight w:val="20"/>
        </w:trPr>
        <w:tc>
          <w:tcPr>
            <w:tcW w:w="567" w:type="dxa"/>
            <w:shd w:val="clear" w:color="auto" w:fill="auto"/>
            <w:hideMark/>
          </w:tcPr>
          <w:p w14:paraId="292E37F9"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262</w:t>
            </w:r>
          </w:p>
        </w:tc>
        <w:tc>
          <w:tcPr>
            <w:tcW w:w="2982" w:type="dxa"/>
            <w:shd w:val="clear" w:color="auto" w:fill="auto"/>
            <w:hideMark/>
          </w:tcPr>
          <w:p w14:paraId="6D261363"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Alte active circulante</w:t>
            </w:r>
          </w:p>
        </w:tc>
        <w:tc>
          <w:tcPr>
            <w:tcW w:w="1144" w:type="dxa"/>
            <w:shd w:val="clear" w:color="auto" w:fill="auto"/>
            <w:hideMark/>
          </w:tcPr>
          <w:p w14:paraId="68C2A530"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53,97</w:t>
            </w:r>
          </w:p>
        </w:tc>
        <w:tc>
          <w:tcPr>
            <w:tcW w:w="1035" w:type="dxa"/>
            <w:shd w:val="clear" w:color="auto" w:fill="auto"/>
            <w:hideMark/>
          </w:tcPr>
          <w:p w14:paraId="0E4815C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7E77557E"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105,18</w:t>
            </w:r>
          </w:p>
        </w:tc>
        <w:tc>
          <w:tcPr>
            <w:tcW w:w="1134" w:type="dxa"/>
            <w:shd w:val="clear" w:color="auto" w:fill="auto"/>
            <w:hideMark/>
          </w:tcPr>
          <w:p w14:paraId="4317AE72"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112,13</w:t>
            </w:r>
          </w:p>
        </w:tc>
        <w:tc>
          <w:tcPr>
            <w:tcW w:w="1134" w:type="dxa"/>
            <w:gridSpan w:val="2"/>
            <w:shd w:val="clear" w:color="auto" w:fill="auto"/>
            <w:hideMark/>
          </w:tcPr>
          <w:p w14:paraId="7E8C2600"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47,01</w:t>
            </w:r>
          </w:p>
        </w:tc>
        <w:tc>
          <w:tcPr>
            <w:tcW w:w="1134" w:type="dxa"/>
            <w:shd w:val="clear" w:color="auto" w:fill="auto"/>
            <w:hideMark/>
          </w:tcPr>
          <w:p w14:paraId="619ABEFD"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4A4C0FCF" w14:textId="77777777" w:rsidTr="005B5F6E">
        <w:trPr>
          <w:gridAfter w:val="1"/>
          <w:wAfter w:w="6" w:type="dxa"/>
          <w:trHeight w:val="20"/>
        </w:trPr>
        <w:tc>
          <w:tcPr>
            <w:tcW w:w="567" w:type="dxa"/>
            <w:shd w:val="clear" w:color="auto" w:fill="auto"/>
            <w:hideMark/>
          </w:tcPr>
          <w:p w14:paraId="2D92DFE6"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311</w:t>
            </w:r>
          </w:p>
        </w:tc>
        <w:tc>
          <w:tcPr>
            <w:tcW w:w="2982" w:type="dxa"/>
            <w:shd w:val="clear" w:color="auto" w:fill="auto"/>
            <w:hideMark/>
          </w:tcPr>
          <w:p w14:paraId="76A44973"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Capital social</w:t>
            </w:r>
          </w:p>
        </w:tc>
        <w:tc>
          <w:tcPr>
            <w:tcW w:w="1144" w:type="dxa"/>
            <w:shd w:val="clear" w:color="auto" w:fill="auto"/>
            <w:hideMark/>
          </w:tcPr>
          <w:p w14:paraId="17A2CB3F"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5B5BFD23"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73.814,49</w:t>
            </w:r>
          </w:p>
        </w:tc>
        <w:tc>
          <w:tcPr>
            <w:tcW w:w="1091" w:type="dxa"/>
            <w:gridSpan w:val="2"/>
            <w:shd w:val="clear" w:color="auto" w:fill="auto"/>
            <w:hideMark/>
          </w:tcPr>
          <w:p w14:paraId="730B0BF7"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09D70449"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shd w:val="clear" w:color="auto" w:fill="auto"/>
            <w:hideMark/>
          </w:tcPr>
          <w:p w14:paraId="18CC1A3F"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69179F6D"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73.814,49</w:t>
            </w:r>
          </w:p>
        </w:tc>
      </w:tr>
      <w:tr w:rsidR="002C339A" w:rsidRPr="00B13B9A" w14:paraId="5A5B8F6D" w14:textId="77777777" w:rsidTr="005B5F6E">
        <w:trPr>
          <w:gridAfter w:val="1"/>
          <w:wAfter w:w="6" w:type="dxa"/>
          <w:trHeight w:val="20"/>
        </w:trPr>
        <w:tc>
          <w:tcPr>
            <w:tcW w:w="567" w:type="dxa"/>
            <w:shd w:val="clear" w:color="auto" w:fill="auto"/>
            <w:hideMark/>
          </w:tcPr>
          <w:p w14:paraId="630751A9"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342</w:t>
            </w:r>
          </w:p>
        </w:tc>
        <w:tc>
          <w:tcPr>
            <w:tcW w:w="2982" w:type="dxa"/>
            <w:shd w:val="clear" w:color="auto" w:fill="auto"/>
            <w:hideMark/>
          </w:tcPr>
          <w:p w14:paraId="2AD4BBF4" w14:textId="1D800FBB"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Subven</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ii aferente activelor</w:t>
            </w:r>
            <w:r w:rsidR="00E10604">
              <w:rPr>
                <w:rFonts w:asciiTheme="majorHAnsi" w:eastAsia="Times New Roman" w:hAnsiTheme="majorHAnsi" w:cstheme="majorHAnsi"/>
                <w:sz w:val="18"/>
                <w:szCs w:val="18"/>
                <w:lang w:val="ro-MD"/>
              </w:rPr>
              <w:t xml:space="preserve"> </w:t>
            </w:r>
            <w:r w:rsidRPr="00B13B9A">
              <w:rPr>
                <w:rFonts w:asciiTheme="majorHAnsi" w:eastAsia="Times New Roman" w:hAnsiTheme="majorHAnsi" w:cstheme="majorHAnsi"/>
                <w:sz w:val="18"/>
                <w:szCs w:val="18"/>
                <w:lang w:val="ro-MD"/>
              </w:rPr>
              <w:t>entită</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ilor cu proprietate publică</w:t>
            </w:r>
          </w:p>
        </w:tc>
        <w:tc>
          <w:tcPr>
            <w:tcW w:w="1144" w:type="dxa"/>
            <w:shd w:val="clear" w:color="auto" w:fill="auto"/>
            <w:hideMark/>
          </w:tcPr>
          <w:p w14:paraId="3E3B4746"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032A14C9"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69.240,07</w:t>
            </w:r>
          </w:p>
        </w:tc>
        <w:tc>
          <w:tcPr>
            <w:tcW w:w="1091" w:type="dxa"/>
            <w:gridSpan w:val="2"/>
            <w:shd w:val="clear" w:color="auto" w:fill="auto"/>
            <w:hideMark/>
          </w:tcPr>
          <w:p w14:paraId="006C1A05"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2.556,43</w:t>
            </w:r>
          </w:p>
        </w:tc>
        <w:tc>
          <w:tcPr>
            <w:tcW w:w="1134" w:type="dxa"/>
            <w:shd w:val="clear" w:color="auto" w:fill="auto"/>
            <w:hideMark/>
          </w:tcPr>
          <w:p w14:paraId="4E2EF1B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1.607,94</w:t>
            </w:r>
          </w:p>
        </w:tc>
        <w:tc>
          <w:tcPr>
            <w:tcW w:w="1134" w:type="dxa"/>
            <w:gridSpan w:val="2"/>
            <w:shd w:val="clear" w:color="auto" w:fill="auto"/>
            <w:hideMark/>
          </w:tcPr>
          <w:p w14:paraId="79FC8172"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66FEDC70"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68.291,58</w:t>
            </w:r>
          </w:p>
        </w:tc>
      </w:tr>
      <w:tr w:rsidR="002C339A" w:rsidRPr="00B13B9A" w14:paraId="6BCDAA5F" w14:textId="77777777" w:rsidTr="005B5F6E">
        <w:trPr>
          <w:gridAfter w:val="1"/>
          <w:wAfter w:w="6" w:type="dxa"/>
          <w:trHeight w:val="20"/>
        </w:trPr>
        <w:tc>
          <w:tcPr>
            <w:tcW w:w="567" w:type="dxa"/>
            <w:shd w:val="clear" w:color="auto" w:fill="auto"/>
            <w:hideMark/>
          </w:tcPr>
          <w:p w14:paraId="059A212B"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344</w:t>
            </w:r>
          </w:p>
        </w:tc>
        <w:tc>
          <w:tcPr>
            <w:tcW w:w="2982" w:type="dxa"/>
            <w:shd w:val="clear" w:color="auto" w:fill="auto"/>
            <w:hideMark/>
          </w:tcPr>
          <w:p w14:paraId="04F71690"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Alte elemente de capital propriu</w:t>
            </w:r>
          </w:p>
        </w:tc>
        <w:tc>
          <w:tcPr>
            <w:tcW w:w="1144" w:type="dxa"/>
            <w:shd w:val="clear" w:color="auto" w:fill="auto"/>
            <w:hideMark/>
          </w:tcPr>
          <w:p w14:paraId="16293EAC"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47561457"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85.069,78</w:t>
            </w:r>
          </w:p>
        </w:tc>
        <w:tc>
          <w:tcPr>
            <w:tcW w:w="1091" w:type="dxa"/>
            <w:gridSpan w:val="2"/>
            <w:shd w:val="clear" w:color="auto" w:fill="auto"/>
            <w:hideMark/>
          </w:tcPr>
          <w:p w14:paraId="4C572EDD"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47ADA548"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shd w:val="clear" w:color="auto" w:fill="auto"/>
            <w:hideMark/>
          </w:tcPr>
          <w:p w14:paraId="6BAAA28E"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0C2B14E7"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85.069,78</w:t>
            </w:r>
          </w:p>
        </w:tc>
      </w:tr>
      <w:tr w:rsidR="002C339A" w:rsidRPr="00B13B9A" w14:paraId="24D254F5" w14:textId="77777777" w:rsidTr="005B5F6E">
        <w:trPr>
          <w:gridAfter w:val="1"/>
          <w:wAfter w:w="6" w:type="dxa"/>
          <w:trHeight w:val="20"/>
        </w:trPr>
        <w:tc>
          <w:tcPr>
            <w:tcW w:w="567" w:type="dxa"/>
            <w:shd w:val="clear" w:color="auto" w:fill="auto"/>
            <w:hideMark/>
          </w:tcPr>
          <w:p w14:paraId="4C0DF127"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425</w:t>
            </w:r>
          </w:p>
        </w:tc>
        <w:tc>
          <w:tcPr>
            <w:tcW w:w="2982" w:type="dxa"/>
            <w:shd w:val="clear" w:color="auto" w:fill="auto"/>
            <w:hideMark/>
          </w:tcPr>
          <w:p w14:paraId="4DE93BB6" w14:textId="431DA030"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Finan</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 xml:space="preserve">ări </w:t>
            </w:r>
            <w:r w:rsidR="00B13B9A" w:rsidRPr="00B13B9A">
              <w:rPr>
                <w:rFonts w:asciiTheme="majorHAnsi" w:eastAsia="Times New Roman" w:hAnsiTheme="majorHAnsi" w:cstheme="majorHAnsi"/>
                <w:sz w:val="18"/>
                <w:szCs w:val="18"/>
                <w:lang w:val="ro-MD"/>
              </w:rPr>
              <w:t>ș</w:t>
            </w:r>
            <w:r w:rsidRPr="00B13B9A">
              <w:rPr>
                <w:rFonts w:asciiTheme="majorHAnsi" w:eastAsia="Times New Roman" w:hAnsiTheme="majorHAnsi" w:cstheme="majorHAnsi"/>
                <w:sz w:val="18"/>
                <w:szCs w:val="18"/>
                <w:lang w:val="ro-MD"/>
              </w:rPr>
              <w:t>i încasări cu destina</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ie specială pe termen lung</w:t>
            </w:r>
          </w:p>
        </w:tc>
        <w:tc>
          <w:tcPr>
            <w:tcW w:w="1144" w:type="dxa"/>
            <w:shd w:val="clear" w:color="auto" w:fill="auto"/>
            <w:hideMark/>
          </w:tcPr>
          <w:p w14:paraId="07A48718"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4DDF4C4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12.083,78</w:t>
            </w:r>
          </w:p>
        </w:tc>
        <w:tc>
          <w:tcPr>
            <w:tcW w:w="1091" w:type="dxa"/>
            <w:gridSpan w:val="2"/>
            <w:shd w:val="clear" w:color="auto" w:fill="auto"/>
            <w:hideMark/>
          </w:tcPr>
          <w:p w14:paraId="0A7D3DB9"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3.281,73</w:t>
            </w:r>
          </w:p>
        </w:tc>
        <w:tc>
          <w:tcPr>
            <w:tcW w:w="1134" w:type="dxa"/>
            <w:shd w:val="clear" w:color="auto" w:fill="auto"/>
            <w:hideMark/>
          </w:tcPr>
          <w:p w14:paraId="01B58919"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4.904,89</w:t>
            </w:r>
          </w:p>
        </w:tc>
        <w:tc>
          <w:tcPr>
            <w:tcW w:w="1134" w:type="dxa"/>
            <w:gridSpan w:val="2"/>
            <w:shd w:val="clear" w:color="auto" w:fill="auto"/>
            <w:hideMark/>
          </w:tcPr>
          <w:p w14:paraId="2C5941F9"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7744C8A5"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13.706,94</w:t>
            </w:r>
          </w:p>
        </w:tc>
      </w:tr>
      <w:tr w:rsidR="002C339A" w:rsidRPr="00B13B9A" w14:paraId="14B58ADF" w14:textId="77777777" w:rsidTr="005B5F6E">
        <w:trPr>
          <w:gridAfter w:val="1"/>
          <w:wAfter w:w="6" w:type="dxa"/>
          <w:trHeight w:val="20"/>
        </w:trPr>
        <w:tc>
          <w:tcPr>
            <w:tcW w:w="567" w:type="dxa"/>
            <w:shd w:val="clear" w:color="auto" w:fill="auto"/>
            <w:hideMark/>
          </w:tcPr>
          <w:p w14:paraId="34120DF3"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521</w:t>
            </w:r>
          </w:p>
        </w:tc>
        <w:tc>
          <w:tcPr>
            <w:tcW w:w="2982" w:type="dxa"/>
            <w:shd w:val="clear" w:color="auto" w:fill="auto"/>
            <w:hideMark/>
          </w:tcPr>
          <w:p w14:paraId="33AE000A"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Datorii comerciale curente</w:t>
            </w:r>
          </w:p>
        </w:tc>
        <w:tc>
          <w:tcPr>
            <w:tcW w:w="1144" w:type="dxa"/>
            <w:shd w:val="clear" w:color="auto" w:fill="auto"/>
            <w:hideMark/>
          </w:tcPr>
          <w:p w14:paraId="35445487"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196B912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1.503,75</w:t>
            </w:r>
          </w:p>
        </w:tc>
        <w:tc>
          <w:tcPr>
            <w:tcW w:w="1091" w:type="dxa"/>
            <w:gridSpan w:val="2"/>
            <w:shd w:val="clear" w:color="auto" w:fill="auto"/>
            <w:hideMark/>
          </w:tcPr>
          <w:p w14:paraId="4EACD518"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15.317,08</w:t>
            </w:r>
          </w:p>
        </w:tc>
        <w:tc>
          <w:tcPr>
            <w:tcW w:w="1134" w:type="dxa"/>
            <w:shd w:val="clear" w:color="auto" w:fill="auto"/>
            <w:hideMark/>
          </w:tcPr>
          <w:p w14:paraId="5777D594"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15.485,71</w:t>
            </w:r>
          </w:p>
        </w:tc>
        <w:tc>
          <w:tcPr>
            <w:tcW w:w="1134" w:type="dxa"/>
            <w:gridSpan w:val="2"/>
            <w:shd w:val="clear" w:color="auto" w:fill="auto"/>
            <w:hideMark/>
          </w:tcPr>
          <w:p w14:paraId="2B49832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3E386633"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1.672,38</w:t>
            </w:r>
          </w:p>
        </w:tc>
      </w:tr>
      <w:tr w:rsidR="002C339A" w:rsidRPr="00B13B9A" w14:paraId="68AA4016" w14:textId="77777777" w:rsidTr="005B5F6E">
        <w:trPr>
          <w:gridAfter w:val="1"/>
          <w:wAfter w:w="6" w:type="dxa"/>
          <w:trHeight w:val="20"/>
        </w:trPr>
        <w:tc>
          <w:tcPr>
            <w:tcW w:w="567" w:type="dxa"/>
            <w:shd w:val="clear" w:color="auto" w:fill="auto"/>
            <w:hideMark/>
          </w:tcPr>
          <w:p w14:paraId="139D4669"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523</w:t>
            </w:r>
          </w:p>
        </w:tc>
        <w:tc>
          <w:tcPr>
            <w:tcW w:w="2982" w:type="dxa"/>
            <w:shd w:val="clear" w:color="auto" w:fill="auto"/>
            <w:hideMark/>
          </w:tcPr>
          <w:p w14:paraId="13A2E2DE"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Avansuri primite curente</w:t>
            </w:r>
          </w:p>
        </w:tc>
        <w:tc>
          <w:tcPr>
            <w:tcW w:w="1144" w:type="dxa"/>
            <w:shd w:val="clear" w:color="auto" w:fill="auto"/>
            <w:hideMark/>
          </w:tcPr>
          <w:p w14:paraId="6AE6256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1A34E610"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1.160,55</w:t>
            </w:r>
          </w:p>
        </w:tc>
        <w:tc>
          <w:tcPr>
            <w:tcW w:w="1091" w:type="dxa"/>
            <w:gridSpan w:val="2"/>
            <w:shd w:val="clear" w:color="auto" w:fill="auto"/>
            <w:hideMark/>
          </w:tcPr>
          <w:p w14:paraId="7A6AB5F9"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65.200,22</w:t>
            </w:r>
          </w:p>
        </w:tc>
        <w:tc>
          <w:tcPr>
            <w:tcW w:w="1134" w:type="dxa"/>
            <w:shd w:val="clear" w:color="auto" w:fill="auto"/>
            <w:hideMark/>
          </w:tcPr>
          <w:p w14:paraId="6AD3FA34"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66.288,65</w:t>
            </w:r>
          </w:p>
        </w:tc>
        <w:tc>
          <w:tcPr>
            <w:tcW w:w="1134" w:type="dxa"/>
            <w:gridSpan w:val="2"/>
            <w:shd w:val="clear" w:color="auto" w:fill="auto"/>
            <w:hideMark/>
          </w:tcPr>
          <w:p w14:paraId="61329AB2"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6D65779A"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2.248,99</w:t>
            </w:r>
          </w:p>
        </w:tc>
      </w:tr>
      <w:tr w:rsidR="002C339A" w:rsidRPr="00B13B9A" w14:paraId="613A7710" w14:textId="77777777" w:rsidTr="005B5F6E">
        <w:trPr>
          <w:gridAfter w:val="1"/>
          <w:wAfter w:w="6" w:type="dxa"/>
          <w:trHeight w:val="20"/>
        </w:trPr>
        <w:tc>
          <w:tcPr>
            <w:tcW w:w="567" w:type="dxa"/>
            <w:shd w:val="clear" w:color="auto" w:fill="auto"/>
            <w:hideMark/>
          </w:tcPr>
          <w:p w14:paraId="6669709E"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531</w:t>
            </w:r>
          </w:p>
        </w:tc>
        <w:tc>
          <w:tcPr>
            <w:tcW w:w="2982" w:type="dxa"/>
            <w:shd w:val="clear" w:color="auto" w:fill="auto"/>
            <w:hideMark/>
          </w:tcPr>
          <w:p w14:paraId="76125B6D" w14:textId="5CA35D15"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Datorii fa</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ă de personal privind retribuirea muncii</w:t>
            </w:r>
          </w:p>
        </w:tc>
        <w:tc>
          <w:tcPr>
            <w:tcW w:w="1144" w:type="dxa"/>
            <w:shd w:val="clear" w:color="auto" w:fill="auto"/>
            <w:hideMark/>
          </w:tcPr>
          <w:p w14:paraId="394A525E"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7346BE08"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96,34</w:t>
            </w:r>
          </w:p>
        </w:tc>
        <w:tc>
          <w:tcPr>
            <w:tcW w:w="1091" w:type="dxa"/>
            <w:gridSpan w:val="2"/>
            <w:shd w:val="clear" w:color="auto" w:fill="auto"/>
            <w:hideMark/>
          </w:tcPr>
          <w:p w14:paraId="7BF52998"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42.385,64</w:t>
            </w:r>
          </w:p>
        </w:tc>
        <w:tc>
          <w:tcPr>
            <w:tcW w:w="1134" w:type="dxa"/>
            <w:shd w:val="clear" w:color="auto" w:fill="auto"/>
            <w:hideMark/>
          </w:tcPr>
          <w:p w14:paraId="0749B39E"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42.445,68</w:t>
            </w:r>
          </w:p>
        </w:tc>
        <w:tc>
          <w:tcPr>
            <w:tcW w:w="1134" w:type="dxa"/>
            <w:gridSpan w:val="2"/>
            <w:shd w:val="clear" w:color="auto" w:fill="auto"/>
            <w:hideMark/>
          </w:tcPr>
          <w:p w14:paraId="317C709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0DF73F0C"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156,38</w:t>
            </w:r>
          </w:p>
        </w:tc>
      </w:tr>
      <w:tr w:rsidR="002C339A" w:rsidRPr="00B13B9A" w14:paraId="1FF406FD" w14:textId="77777777" w:rsidTr="005B5F6E">
        <w:trPr>
          <w:gridAfter w:val="1"/>
          <w:wAfter w:w="6" w:type="dxa"/>
          <w:trHeight w:val="20"/>
        </w:trPr>
        <w:tc>
          <w:tcPr>
            <w:tcW w:w="567" w:type="dxa"/>
            <w:shd w:val="clear" w:color="auto" w:fill="auto"/>
            <w:hideMark/>
          </w:tcPr>
          <w:p w14:paraId="1AF69A80"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532</w:t>
            </w:r>
          </w:p>
        </w:tc>
        <w:tc>
          <w:tcPr>
            <w:tcW w:w="2982" w:type="dxa"/>
            <w:shd w:val="clear" w:color="auto" w:fill="auto"/>
            <w:hideMark/>
          </w:tcPr>
          <w:p w14:paraId="0191D361" w14:textId="4743B820"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Datorii fa</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ă de personal privind alte opera</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ii</w:t>
            </w:r>
          </w:p>
        </w:tc>
        <w:tc>
          <w:tcPr>
            <w:tcW w:w="1144" w:type="dxa"/>
            <w:shd w:val="clear" w:color="auto" w:fill="auto"/>
            <w:hideMark/>
          </w:tcPr>
          <w:p w14:paraId="5266F087"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52263F0A"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204D3954"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93,91</w:t>
            </w:r>
          </w:p>
        </w:tc>
        <w:tc>
          <w:tcPr>
            <w:tcW w:w="1134" w:type="dxa"/>
            <w:shd w:val="clear" w:color="auto" w:fill="auto"/>
            <w:hideMark/>
          </w:tcPr>
          <w:p w14:paraId="4D9D050F"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93,91</w:t>
            </w:r>
          </w:p>
        </w:tc>
        <w:tc>
          <w:tcPr>
            <w:tcW w:w="1134" w:type="dxa"/>
            <w:gridSpan w:val="2"/>
            <w:shd w:val="clear" w:color="auto" w:fill="auto"/>
            <w:hideMark/>
          </w:tcPr>
          <w:p w14:paraId="1BD7FD79"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4823C972"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49889F6C" w14:textId="77777777" w:rsidTr="005B5F6E">
        <w:trPr>
          <w:gridAfter w:val="1"/>
          <w:wAfter w:w="6" w:type="dxa"/>
          <w:trHeight w:val="20"/>
        </w:trPr>
        <w:tc>
          <w:tcPr>
            <w:tcW w:w="567" w:type="dxa"/>
            <w:shd w:val="clear" w:color="auto" w:fill="auto"/>
            <w:hideMark/>
          </w:tcPr>
          <w:p w14:paraId="6FBCD2F3"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533</w:t>
            </w:r>
          </w:p>
        </w:tc>
        <w:tc>
          <w:tcPr>
            <w:tcW w:w="2982" w:type="dxa"/>
            <w:shd w:val="clear" w:color="auto" w:fill="auto"/>
            <w:hideMark/>
          </w:tcPr>
          <w:p w14:paraId="39F5B993" w14:textId="35E3A12A"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xml:space="preserve">Datorii privind asigurările sociale </w:t>
            </w:r>
            <w:r w:rsidR="00B13B9A" w:rsidRPr="00B13B9A">
              <w:rPr>
                <w:rFonts w:asciiTheme="majorHAnsi" w:eastAsia="Times New Roman" w:hAnsiTheme="majorHAnsi" w:cstheme="majorHAnsi"/>
                <w:sz w:val="18"/>
                <w:szCs w:val="18"/>
                <w:lang w:val="ro-MD"/>
              </w:rPr>
              <w:t>ș</w:t>
            </w:r>
            <w:r w:rsidRPr="00B13B9A">
              <w:rPr>
                <w:rFonts w:asciiTheme="majorHAnsi" w:eastAsia="Times New Roman" w:hAnsiTheme="majorHAnsi" w:cstheme="majorHAnsi"/>
                <w:sz w:val="18"/>
                <w:szCs w:val="18"/>
                <w:lang w:val="ro-MD"/>
              </w:rPr>
              <w:t>i medicale</w:t>
            </w:r>
          </w:p>
        </w:tc>
        <w:tc>
          <w:tcPr>
            <w:tcW w:w="1144" w:type="dxa"/>
            <w:shd w:val="clear" w:color="auto" w:fill="auto"/>
            <w:hideMark/>
          </w:tcPr>
          <w:p w14:paraId="22DD1BA3"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177A10E3"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33,07</w:t>
            </w:r>
          </w:p>
        </w:tc>
        <w:tc>
          <w:tcPr>
            <w:tcW w:w="1091" w:type="dxa"/>
            <w:gridSpan w:val="2"/>
            <w:shd w:val="clear" w:color="auto" w:fill="auto"/>
            <w:hideMark/>
          </w:tcPr>
          <w:p w14:paraId="40E691AE"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14.215,78</w:t>
            </w:r>
          </w:p>
        </w:tc>
        <w:tc>
          <w:tcPr>
            <w:tcW w:w="1134" w:type="dxa"/>
            <w:shd w:val="clear" w:color="auto" w:fill="auto"/>
            <w:hideMark/>
          </w:tcPr>
          <w:p w14:paraId="686FA968"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14.219,39</w:t>
            </w:r>
          </w:p>
        </w:tc>
        <w:tc>
          <w:tcPr>
            <w:tcW w:w="1134" w:type="dxa"/>
            <w:gridSpan w:val="2"/>
            <w:shd w:val="clear" w:color="auto" w:fill="auto"/>
            <w:hideMark/>
          </w:tcPr>
          <w:p w14:paraId="1EC2FBE3"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3945E5A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36,68</w:t>
            </w:r>
          </w:p>
        </w:tc>
      </w:tr>
      <w:tr w:rsidR="002C339A" w:rsidRPr="00B13B9A" w14:paraId="04FC10C0" w14:textId="77777777" w:rsidTr="005B5F6E">
        <w:trPr>
          <w:gridAfter w:val="1"/>
          <w:wAfter w:w="6" w:type="dxa"/>
          <w:trHeight w:val="20"/>
        </w:trPr>
        <w:tc>
          <w:tcPr>
            <w:tcW w:w="567" w:type="dxa"/>
            <w:shd w:val="clear" w:color="auto" w:fill="auto"/>
            <w:hideMark/>
          </w:tcPr>
          <w:p w14:paraId="1958C4F5"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534</w:t>
            </w:r>
          </w:p>
        </w:tc>
        <w:tc>
          <w:tcPr>
            <w:tcW w:w="2982" w:type="dxa"/>
            <w:shd w:val="clear" w:color="auto" w:fill="auto"/>
            <w:hideMark/>
          </w:tcPr>
          <w:p w14:paraId="7D88B2DB" w14:textId="4C99E250"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Datorii fa</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 xml:space="preserve">ă de buget </w:t>
            </w:r>
          </w:p>
        </w:tc>
        <w:tc>
          <w:tcPr>
            <w:tcW w:w="1144" w:type="dxa"/>
            <w:shd w:val="clear" w:color="auto" w:fill="auto"/>
            <w:hideMark/>
          </w:tcPr>
          <w:p w14:paraId="0042832F"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12AF4CDD"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6A2462E5"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3.808,87</w:t>
            </w:r>
          </w:p>
        </w:tc>
        <w:tc>
          <w:tcPr>
            <w:tcW w:w="1134" w:type="dxa"/>
            <w:shd w:val="clear" w:color="auto" w:fill="auto"/>
            <w:hideMark/>
          </w:tcPr>
          <w:p w14:paraId="10F2E4A2"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3.808,88</w:t>
            </w:r>
          </w:p>
        </w:tc>
        <w:tc>
          <w:tcPr>
            <w:tcW w:w="1134" w:type="dxa"/>
            <w:gridSpan w:val="2"/>
            <w:shd w:val="clear" w:color="auto" w:fill="auto"/>
            <w:hideMark/>
          </w:tcPr>
          <w:p w14:paraId="5139E70E"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3561D383"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0,01</w:t>
            </w:r>
          </w:p>
        </w:tc>
      </w:tr>
      <w:tr w:rsidR="002C339A" w:rsidRPr="00B13B9A" w14:paraId="0E45F431" w14:textId="77777777" w:rsidTr="005B5F6E">
        <w:trPr>
          <w:gridAfter w:val="1"/>
          <w:wAfter w:w="6" w:type="dxa"/>
          <w:trHeight w:val="20"/>
        </w:trPr>
        <w:tc>
          <w:tcPr>
            <w:tcW w:w="567" w:type="dxa"/>
            <w:shd w:val="clear" w:color="auto" w:fill="auto"/>
            <w:hideMark/>
          </w:tcPr>
          <w:p w14:paraId="551B4627"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535</w:t>
            </w:r>
          </w:p>
        </w:tc>
        <w:tc>
          <w:tcPr>
            <w:tcW w:w="2982" w:type="dxa"/>
            <w:shd w:val="clear" w:color="auto" w:fill="auto"/>
            <w:hideMark/>
          </w:tcPr>
          <w:p w14:paraId="125F2D0C"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Venituri anticipate curente</w:t>
            </w:r>
          </w:p>
        </w:tc>
        <w:tc>
          <w:tcPr>
            <w:tcW w:w="1144" w:type="dxa"/>
            <w:shd w:val="clear" w:color="auto" w:fill="auto"/>
            <w:hideMark/>
          </w:tcPr>
          <w:p w14:paraId="684FE7E5"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5C80216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21.932,84</w:t>
            </w:r>
          </w:p>
        </w:tc>
        <w:tc>
          <w:tcPr>
            <w:tcW w:w="1091" w:type="dxa"/>
            <w:gridSpan w:val="2"/>
            <w:shd w:val="clear" w:color="auto" w:fill="auto"/>
            <w:hideMark/>
          </w:tcPr>
          <w:p w14:paraId="3A8EEEEC"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34.340,33</w:t>
            </w:r>
          </w:p>
        </w:tc>
        <w:tc>
          <w:tcPr>
            <w:tcW w:w="1134" w:type="dxa"/>
            <w:shd w:val="clear" w:color="auto" w:fill="auto"/>
            <w:hideMark/>
          </w:tcPr>
          <w:p w14:paraId="1870A08A"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33.816,17</w:t>
            </w:r>
          </w:p>
        </w:tc>
        <w:tc>
          <w:tcPr>
            <w:tcW w:w="1134" w:type="dxa"/>
            <w:gridSpan w:val="2"/>
            <w:shd w:val="clear" w:color="auto" w:fill="auto"/>
            <w:hideMark/>
          </w:tcPr>
          <w:p w14:paraId="33CB8894"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22436352"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21.408,67</w:t>
            </w:r>
          </w:p>
        </w:tc>
      </w:tr>
      <w:tr w:rsidR="002C339A" w:rsidRPr="00B13B9A" w14:paraId="52F1E77F" w14:textId="77777777" w:rsidTr="005B5F6E">
        <w:trPr>
          <w:gridAfter w:val="1"/>
          <w:wAfter w:w="6" w:type="dxa"/>
          <w:trHeight w:val="20"/>
        </w:trPr>
        <w:tc>
          <w:tcPr>
            <w:tcW w:w="567" w:type="dxa"/>
            <w:shd w:val="clear" w:color="auto" w:fill="auto"/>
            <w:hideMark/>
          </w:tcPr>
          <w:p w14:paraId="2CB5C681"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537</w:t>
            </w:r>
          </w:p>
        </w:tc>
        <w:tc>
          <w:tcPr>
            <w:tcW w:w="2982" w:type="dxa"/>
            <w:shd w:val="clear" w:color="auto" w:fill="auto"/>
            <w:hideMark/>
          </w:tcPr>
          <w:p w14:paraId="548D205F" w14:textId="3F2ACC9C"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Finan</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 xml:space="preserve">ări </w:t>
            </w:r>
            <w:r w:rsidR="00B13B9A" w:rsidRPr="00B13B9A">
              <w:rPr>
                <w:rFonts w:asciiTheme="majorHAnsi" w:eastAsia="Times New Roman" w:hAnsiTheme="majorHAnsi" w:cstheme="majorHAnsi"/>
                <w:sz w:val="18"/>
                <w:szCs w:val="18"/>
                <w:lang w:val="ro-MD"/>
              </w:rPr>
              <w:t>ș</w:t>
            </w:r>
            <w:r w:rsidRPr="00B13B9A">
              <w:rPr>
                <w:rFonts w:asciiTheme="majorHAnsi" w:eastAsia="Times New Roman" w:hAnsiTheme="majorHAnsi" w:cstheme="majorHAnsi"/>
                <w:sz w:val="18"/>
                <w:szCs w:val="18"/>
                <w:lang w:val="ro-MD"/>
              </w:rPr>
              <w:t>i încasări cu destina</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ie specială curente</w:t>
            </w:r>
          </w:p>
        </w:tc>
        <w:tc>
          <w:tcPr>
            <w:tcW w:w="1144" w:type="dxa"/>
            <w:shd w:val="clear" w:color="auto" w:fill="auto"/>
            <w:hideMark/>
          </w:tcPr>
          <w:p w14:paraId="451FD0BA"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70973ED8"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8.197,29</w:t>
            </w:r>
          </w:p>
        </w:tc>
        <w:tc>
          <w:tcPr>
            <w:tcW w:w="1091" w:type="dxa"/>
            <w:gridSpan w:val="2"/>
            <w:shd w:val="clear" w:color="auto" w:fill="auto"/>
            <w:hideMark/>
          </w:tcPr>
          <w:p w14:paraId="7552C50C"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79,51</w:t>
            </w:r>
          </w:p>
        </w:tc>
        <w:tc>
          <w:tcPr>
            <w:tcW w:w="1134" w:type="dxa"/>
            <w:shd w:val="clear" w:color="auto" w:fill="auto"/>
            <w:hideMark/>
          </w:tcPr>
          <w:p w14:paraId="035E62D0"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300,31</w:t>
            </w:r>
          </w:p>
        </w:tc>
        <w:tc>
          <w:tcPr>
            <w:tcW w:w="1134" w:type="dxa"/>
            <w:gridSpan w:val="2"/>
            <w:shd w:val="clear" w:color="auto" w:fill="auto"/>
            <w:hideMark/>
          </w:tcPr>
          <w:p w14:paraId="5701660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6BB32727"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8.418,09</w:t>
            </w:r>
          </w:p>
        </w:tc>
      </w:tr>
      <w:tr w:rsidR="002C339A" w:rsidRPr="00B13B9A" w14:paraId="30972702" w14:textId="77777777" w:rsidTr="005B5F6E">
        <w:trPr>
          <w:gridAfter w:val="1"/>
          <w:wAfter w:w="6" w:type="dxa"/>
          <w:trHeight w:val="20"/>
        </w:trPr>
        <w:tc>
          <w:tcPr>
            <w:tcW w:w="567" w:type="dxa"/>
            <w:shd w:val="clear" w:color="auto" w:fill="auto"/>
            <w:hideMark/>
          </w:tcPr>
          <w:p w14:paraId="254AD55F"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611</w:t>
            </w:r>
          </w:p>
        </w:tc>
        <w:tc>
          <w:tcPr>
            <w:tcW w:w="2982" w:type="dxa"/>
            <w:shd w:val="clear" w:color="auto" w:fill="auto"/>
            <w:hideMark/>
          </w:tcPr>
          <w:p w14:paraId="42E85602" w14:textId="744F9B6D" w:rsidR="002C339A" w:rsidRPr="00B13B9A" w:rsidRDefault="002C339A">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Venituri din v</w:t>
            </w:r>
            <w:r w:rsidR="00E10604">
              <w:rPr>
                <w:rFonts w:asciiTheme="majorHAnsi" w:eastAsia="Times New Roman" w:hAnsiTheme="majorHAnsi" w:cstheme="majorHAnsi"/>
                <w:sz w:val="18"/>
                <w:szCs w:val="18"/>
                <w:lang w:val="ro-MD"/>
              </w:rPr>
              <w:t>â</w:t>
            </w:r>
            <w:r w:rsidRPr="00B13B9A">
              <w:rPr>
                <w:rFonts w:asciiTheme="majorHAnsi" w:eastAsia="Times New Roman" w:hAnsiTheme="majorHAnsi" w:cstheme="majorHAnsi"/>
                <w:sz w:val="18"/>
                <w:szCs w:val="18"/>
                <w:lang w:val="ro-MD"/>
              </w:rPr>
              <w:t>nzări</w:t>
            </w:r>
          </w:p>
        </w:tc>
        <w:tc>
          <w:tcPr>
            <w:tcW w:w="1144" w:type="dxa"/>
            <w:shd w:val="clear" w:color="auto" w:fill="auto"/>
            <w:hideMark/>
          </w:tcPr>
          <w:p w14:paraId="663862EA"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1C37A332"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1D7C762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4ACC95F9"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84.485,21</w:t>
            </w:r>
          </w:p>
        </w:tc>
        <w:tc>
          <w:tcPr>
            <w:tcW w:w="1134" w:type="dxa"/>
            <w:gridSpan w:val="2"/>
            <w:shd w:val="clear" w:color="auto" w:fill="auto"/>
            <w:hideMark/>
          </w:tcPr>
          <w:p w14:paraId="25A23DF6"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5C2FCB4D"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84.485,21</w:t>
            </w:r>
          </w:p>
        </w:tc>
      </w:tr>
      <w:tr w:rsidR="002C339A" w:rsidRPr="00B13B9A" w14:paraId="679A8EDC" w14:textId="77777777" w:rsidTr="005B5F6E">
        <w:trPr>
          <w:gridAfter w:val="1"/>
          <w:wAfter w:w="6" w:type="dxa"/>
          <w:trHeight w:val="20"/>
        </w:trPr>
        <w:tc>
          <w:tcPr>
            <w:tcW w:w="567" w:type="dxa"/>
            <w:shd w:val="clear" w:color="auto" w:fill="auto"/>
            <w:hideMark/>
          </w:tcPr>
          <w:p w14:paraId="31C04FFE"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612</w:t>
            </w:r>
          </w:p>
        </w:tc>
        <w:tc>
          <w:tcPr>
            <w:tcW w:w="2982" w:type="dxa"/>
            <w:shd w:val="clear" w:color="auto" w:fill="auto"/>
            <w:hideMark/>
          </w:tcPr>
          <w:p w14:paraId="39C99C10" w14:textId="3DBCAA05"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Alte venituri din activitatea opera</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ională</w:t>
            </w:r>
          </w:p>
        </w:tc>
        <w:tc>
          <w:tcPr>
            <w:tcW w:w="1144" w:type="dxa"/>
            <w:shd w:val="clear" w:color="auto" w:fill="auto"/>
            <w:hideMark/>
          </w:tcPr>
          <w:p w14:paraId="0674F505"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4FE8872C"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26969254"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79787734"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0,03</w:t>
            </w:r>
          </w:p>
        </w:tc>
        <w:tc>
          <w:tcPr>
            <w:tcW w:w="1134" w:type="dxa"/>
            <w:gridSpan w:val="2"/>
            <w:shd w:val="clear" w:color="auto" w:fill="auto"/>
            <w:hideMark/>
          </w:tcPr>
          <w:p w14:paraId="1D820C2A"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21196DE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0,03</w:t>
            </w:r>
          </w:p>
        </w:tc>
      </w:tr>
      <w:tr w:rsidR="002C339A" w:rsidRPr="00B13B9A" w14:paraId="7B6F47B8" w14:textId="77777777" w:rsidTr="005B5F6E">
        <w:trPr>
          <w:gridAfter w:val="1"/>
          <w:wAfter w:w="6" w:type="dxa"/>
          <w:trHeight w:val="20"/>
        </w:trPr>
        <w:tc>
          <w:tcPr>
            <w:tcW w:w="567" w:type="dxa"/>
            <w:shd w:val="clear" w:color="auto" w:fill="auto"/>
            <w:hideMark/>
          </w:tcPr>
          <w:p w14:paraId="2F677A7F"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621</w:t>
            </w:r>
          </w:p>
        </w:tc>
        <w:tc>
          <w:tcPr>
            <w:tcW w:w="2982" w:type="dxa"/>
            <w:shd w:val="clear" w:color="auto" w:fill="auto"/>
            <w:hideMark/>
          </w:tcPr>
          <w:p w14:paraId="2FD3152E" w14:textId="0C47CF84"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Venituri din opera</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iuni cu active imobilizate</w:t>
            </w:r>
          </w:p>
        </w:tc>
        <w:tc>
          <w:tcPr>
            <w:tcW w:w="1144" w:type="dxa"/>
            <w:shd w:val="clear" w:color="auto" w:fill="auto"/>
            <w:hideMark/>
          </w:tcPr>
          <w:p w14:paraId="4FE064A5"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6E81ED19"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0971CC26"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6DB18F37"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6,60</w:t>
            </w:r>
          </w:p>
        </w:tc>
        <w:tc>
          <w:tcPr>
            <w:tcW w:w="1134" w:type="dxa"/>
            <w:gridSpan w:val="2"/>
            <w:shd w:val="clear" w:color="auto" w:fill="auto"/>
            <w:hideMark/>
          </w:tcPr>
          <w:p w14:paraId="4FD020C6"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7E86261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6,60</w:t>
            </w:r>
          </w:p>
        </w:tc>
      </w:tr>
      <w:tr w:rsidR="002C339A" w:rsidRPr="00B13B9A" w14:paraId="78681312" w14:textId="77777777" w:rsidTr="005B5F6E">
        <w:trPr>
          <w:gridAfter w:val="1"/>
          <w:wAfter w:w="6" w:type="dxa"/>
          <w:trHeight w:val="20"/>
        </w:trPr>
        <w:tc>
          <w:tcPr>
            <w:tcW w:w="567" w:type="dxa"/>
            <w:shd w:val="clear" w:color="auto" w:fill="auto"/>
            <w:hideMark/>
          </w:tcPr>
          <w:p w14:paraId="771F4D42"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622</w:t>
            </w:r>
          </w:p>
        </w:tc>
        <w:tc>
          <w:tcPr>
            <w:tcW w:w="2982" w:type="dxa"/>
            <w:shd w:val="clear" w:color="auto" w:fill="auto"/>
            <w:hideMark/>
          </w:tcPr>
          <w:p w14:paraId="06E3E114"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Venituri financiare</w:t>
            </w:r>
          </w:p>
        </w:tc>
        <w:tc>
          <w:tcPr>
            <w:tcW w:w="1144" w:type="dxa"/>
            <w:shd w:val="clear" w:color="auto" w:fill="auto"/>
            <w:hideMark/>
          </w:tcPr>
          <w:p w14:paraId="6F3E78B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4AAA8E2D"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0C1D3216"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57173262"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283,83</w:t>
            </w:r>
          </w:p>
        </w:tc>
        <w:tc>
          <w:tcPr>
            <w:tcW w:w="1134" w:type="dxa"/>
            <w:gridSpan w:val="2"/>
            <w:shd w:val="clear" w:color="auto" w:fill="auto"/>
            <w:hideMark/>
          </w:tcPr>
          <w:p w14:paraId="2FF4C2E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5BE4ED15"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283,83</w:t>
            </w:r>
          </w:p>
        </w:tc>
      </w:tr>
      <w:tr w:rsidR="002C339A" w:rsidRPr="00B13B9A" w14:paraId="66EF5EE2" w14:textId="77777777" w:rsidTr="005B5F6E">
        <w:trPr>
          <w:gridAfter w:val="1"/>
          <w:wAfter w:w="6" w:type="dxa"/>
          <w:trHeight w:val="20"/>
        </w:trPr>
        <w:tc>
          <w:tcPr>
            <w:tcW w:w="567" w:type="dxa"/>
            <w:shd w:val="clear" w:color="auto" w:fill="auto"/>
            <w:hideMark/>
          </w:tcPr>
          <w:p w14:paraId="4BB08E94"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711</w:t>
            </w:r>
          </w:p>
        </w:tc>
        <w:tc>
          <w:tcPr>
            <w:tcW w:w="2982" w:type="dxa"/>
            <w:shd w:val="clear" w:color="auto" w:fill="auto"/>
            <w:hideMark/>
          </w:tcPr>
          <w:p w14:paraId="4F5A931D" w14:textId="2D0AA5C7" w:rsidR="002C339A" w:rsidRPr="00B13B9A" w:rsidRDefault="002C339A">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Costul v</w:t>
            </w:r>
            <w:r w:rsidR="00E10604">
              <w:rPr>
                <w:rFonts w:asciiTheme="majorHAnsi" w:eastAsia="Times New Roman" w:hAnsiTheme="majorHAnsi" w:cstheme="majorHAnsi"/>
                <w:sz w:val="18"/>
                <w:szCs w:val="18"/>
                <w:lang w:val="ro-MD"/>
              </w:rPr>
              <w:t>â</w:t>
            </w:r>
            <w:r w:rsidRPr="00B13B9A">
              <w:rPr>
                <w:rFonts w:asciiTheme="majorHAnsi" w:eastAsia="Times New Roman" w:hAnsiTheme="majorHAnsi" w:cstheme="majorHAnsi"/>
                <w:sz w:val="18"/>
                <w:szCs w:val="18"/>
                <w:lang w:val="ro-MD"/>
              </w:rPr>
              <w:t>nzărilor</w:t>
            </w:r>
          </w:p>
        </w:tc>
        <w:tc>
          <w:tcPr>
            <w:tcW w:w="1144" w:type="dxa"/>
            <w:shd w:val="clear" w:color="auto" w:fill="auto"/>
            <w:hideMark/>
          </w:tcPr>
          <w:p w14:paraId="60CAA716"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5978D1E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0B188B3E"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76.275,70</w:t>
            </w:r>
          </w:p>
        </w:tc>
        <w:tc>
          <w:tcPr>
            <w:tcW w:w="1134" w:type="dxa"/>
            <w:shd w:val="clear" w:color="auto" w:fill="auto"/>
            <w:hideMark/>
          </w:tcPr>
          <w:p w14:paraId="47A28F95"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shd w:val="clear" w:color="auto" w:fill="auto"/>
            <w:hideMark/>
          </w:tcPr>
          <w:p w14:paraId="426B1A99"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76.275,70</w:t>
            </w:r>
          </w:p>
        </w:tc>
        <w:tc>
          <w:tcPr>
            <w:tcW w:w="1134" w:type="dxa"/>
            <w:shd w:val="clear" w:color="auto" w:fill="auto"/>
            <w:hideMark/>
          </w:tcPr>
          <w:p w14:paraId="21E846C3"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413B1F19" w14:textId="77777777" w:rsidTr="005B5F6E">
        <w:trPr>
          <w:gridAfter w:val="1"/>
          <w:wAfter w:w="6" w:type="dxa"/>
          <w:trHeight w:val="20"/>
        </w:trPr>
        <w:tc>
          <w:tcPr>
            <w:tcW w:w="567" w:type="dxa"/>
            <w:shd w:val="clear" w:color="auto" w:fill="auto"/>
            <w:hideMark/>
          </w:tcPr>
          <w:p w14:paraId="0817FF36"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713</w:t>
            </w:r>
          </w:p>
        </w:tc>
        <w:tc>
          <w:tcPr>
            <w:tcW w:w="2982" w:type="dxa"/>
            <w:shd w:val="clear" w:color="auto" w:fill="auto"/>
            <w:hideMark/>
          </w:tcPr>
          <w:p w14:paraId="1BA67ECE"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Cheltuieli administrative</w:t>
            </w:r>
          </w:p>
        </w:tc>
        <w:tc>
          <w:tcPr>
            <w:tcW w:w="1144" w:type="dxa"/>
            <w:shd w:val="clear" w:color="auto" w:fill="auto"/>
            <w:hideMark/>
          </w:tcPr>
          <w:p w14:paraId="5D5B638D"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1606F357"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23B1FF4A"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8.155,06</w:t>
            </w:r>
          </w:p>
        </w:tc>
        <w:tc>
          <w:tcPr>
            <w:tcW w:w="1134" w:type="dxa"/>
            <w:shd w:val="clear" w:color="auto" w:fill="auto"/>
            <w:hideMark/>
          </w:tcPr>
          <w:p w14:paraId="7E9B7393"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shd w:val="clear" w:color="auto" w:fill="auto"/>
            <w:hideMark/>
          </w:tcPr>
          <w:p w14:paraId="2CADC95C"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8.155,06</w:t>
            </w:r>
          </w:p>
        </w:tc>
        <w:tc>
          <w:tcPr>
            <w:tcW w:w="1134" w:type="dxa"/>
            <w:shd w:val="clear" w:color="auto" w:fill="auto"/>
            <w:hideMark/>
          </w:tcPr>
          <w:p w14:paraId="2212AB1C"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2A691D8D" w14:textId="77777777" w:rsidTr="005B5F6E">
        <w:trPr>
          <w:gridAfter w:val="1"/>
          <w:wAfter w:w="6" w:type="dxa"/>
          <w:trHeight w:val="20"/>
        </w:trPr>
        <w:tc>
          <w:tcPr>
            <w:tcW w:w="567" w:type="dxa"/>
            <w:shd w:val="clear" w:color="auto" w:fill="auto"/>
            <w:hideMark/>
          </w:tcPr>
          <w:p w14:paraId="1424D854"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714</w:t>
            </w:r>
          </w:p>
        </w:tc>
        <w:tc>
          <w:tcPr>
            <w:tcW w:w="2982" w:type="dxa"/>
            <w:shd w:val="clear" w:color="auto" w:fill="auto"/>
            <w:hideMark/>
          </w:tcPr>
          <w:p w14:paraId="648BC49D" w14:textId="6434E30A"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Alte cheltuieli din activitatea opera</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ională</w:t>
            </w:r>
          </w:p>
        </w:tc>
        <w:tc>
          <w:tcPr>
            <w:tcW w:w="1144" w:type="dxa"/>
            <w:shd w:val="clear" w:color="auto" w:fill="auto"/>
            <w:hideMark/>
          </w:tcPr>
          <w:p w14:paraId="61029A6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3BEADD7A"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3C3F6CA9"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91,17</w:t>
            </w:r>
          </w:p>
        </w:tc>
        <w:tc>
          <w:tcPr>
            <w:tcW w:w="1134" w:type="dxa"/>
            <w:shd w:val="clear" w:color="auto" w:fill="auto"/>
            <w:hideMark/>
          </w:tcPr>
          <w:p w14:paraId="683852FA"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shd w:val="clear" w:color="auto" w:fill="auto"/>
            <w:hideMark/>
          </w:tcPr>
          <w:p w14:paraId="53D43AE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91,17</w:t>
            </w:r>
          </w:p>
        </w:tc>
        <w:tc>
          <w:tcPr>
            <w:tcW w:w="1134" w:type="dxa"/>
            <w:shd w:val="clear" w:color="auto" w:fill="auto"/>
            <w:hideMark/>
          </w:tcPr>
          <w:p w14:paraId="0FE39F76"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7BB75F9B" w14:textId="77777777" w:rsidTr="005B5F6E">
        <w:trPr>
          <w:gridAfter w:val="1"/>
          <w:wAfter w:w="6" w:type="dxa"/>
          <w:trHeight w:val="20"/>
        </w:trPr>
        <w:tc>
          <w:tcPr>
            <w:tcW w:w="567" w:type="dxa"/>
            <w:shd w:val="clear" w:color="auto" w:fill="auto"/>
            <w:hideMark/>
          </w:tcPr>
          <w:p w14:paraId="1D9F8018"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722</w:t>
            </w:r>
          </w:p>
        </w:tc>
        <w:tc>
          <w:tcPr>
            <w:tcW w:w="2982" w:type="dxa"/>
            <w:shd w:val="clear" w:color="auto" w:fill="auto"/>
            <w:hideMark/>
          </w:tcPr>
          <w:p w14:paraId="0B01D258"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Cheltuieli financiare</w:t>
            </w:r>
          </w:p>
        </w:tc>
        <w:tc>
          <w:tcPr>
            <w:tcW w:w="1144" w:type="dxa"/>
            <w:shd w:val="clear" w:color="auto" w:fill="auto"/>
            <w:hideMark/>
          </w:tcPr>
          <w:p w14:paraId="5FEF213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73DAB52A"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2864F935"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468,83</w:t>
            </w:r>
          </w:p>
        </w:tc>
        <w:tc>
          <w:tcPr>
            <w:tcW w:w="1134" w:type="dxa"/>
            <w:shd w:val="clear" w:color="auto" w:fill="auto"/>
            <w:hideMark/>
          </w:tcPr>
          <w:p w14:paraId="44B91DED"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shd w:val="clear" w:color="auto" w:fill="auto"/>
            <w:hideMark/>
          </w:tcPr>
          <w:p w14:paraId="0CBDE55E"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468,83</w:t>
            </w:r>
          </w:p>
        </w:tc>
        <w:tc>
          <w:tcPr>
            <w:tcW w:w="1134" w:type="dxa"/>
            <w:shd w:val="clear" w:color="auto" w:fill="auto"/>
            <w:hideMark/>
          </w:tcPr>
          <w:p w14:paraId="6C14F993"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7064C54C" w14:textId="77777777" w:rsidTr="005B5F6E">
        <w:trPr>
          <w:gridAfter w:val="1"/>
          <w:wAfter w:w="6" w:type="dxa"/>
          <w:trHeight w:val="20"/>
        </w:trPr>
        <w:tc>
          <w:tcPr>
            <w:tcW w:w="567" w:type="dxa"/>
            <w:shd w:val="clear" w:color="auto" w:fill="auto"/>
            <w:noWrap/>
            <w:hideMark/>
          </w:tcPr>
          <w:p w14:paraId="44DBAA08" w14:textId="77777777" w:rsidR="002C339A" w:rsidRPr="00B13B9A" w:rsidRDefault="002C339A" w:rsidP="005B5F6E">
            <w:pPr>
              <w:spacing w:after="0" w:line="240" w:lineRule="auto"/>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2982" w:type="dxa"/>
            <w:shd w:val="clear" w:color="auto" w:fill="auto"/>
            <w:noWrap/>
            <w:hideMark/>
          </w:tcPr>
          <w:p w14:paraId="3A16BDF6" w14:textId="77777777" w:rsidR="002C339A" w:rsidRPr="00B13B9A" w:rsidRDefault="002C339A" w:rsidP="005B5F6E">
            <w:pPr>
              <w:spacing w:after="0" w:line="240" w:lineRule="auto"/>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144" w:type="dxa"/>
            <w:shd w:val="clear" w:color="auto" w:fill="auto"/>
            <w:hideMark/>
          </w:tcPr>
          <w:p w14:paraId="15826408"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449.026,16</w:t>
            </w:r>
          </w:p>
        </w:tc>
        <w:tc>
          <w:tcPr>
            <w:tcW w:w="1035" w:type="dxa"/>
            <w:shd w:val="clear" w:color="auto" w:fill="auto"/>
            <w:hideMark/>
          </w:tcPr>
          <w:p w14:paraId="46443C54" w14:textId="77777777" w:rsidR="002C339A" w:rsidRPr="00B13B9A" w:rsidRDefault="002C339A" w:rsidP="005B5F6E">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449.026,16</w:t>
            </w:r>
          </w:p>
        </w:tc>
        <w:tc>
          <w:tcPr>
            <w:tcW w:w="1091" w:type="dxa"/>
            <w:gridSpan w:val="2"/>
            <w:shd w:val="clear" w:color="auto" w:fill="auto"/>
            <w:hideMark/>
          </w:tcPr>
          <w:p w14:paraId="42CB4FE9" w14:textId="77777777" w:rsidR="002C339A" w:rsidRPr="00B13B9A" w:rsidRDefault="002C339A" w:rsidP="005B5F6E">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557.982,09</w:t>
            </w:r>
          </w:p>
        </w:tc>
        <w:tc>
          <w:tcPr>
            <w:tcW w:w="1134" w:type="dxa"/>
            <w:shd w:val="clear" w:color="auto" w:fill="auto"/>
            <w:hideMark/>
          </w:tcPr>
          <w:p w14:paraId="0CC57EFB" w14:textId="77777777" w:rsidR="002C339A" w:rsidRPr="00B13B9A" w:rsidRDefault="002C339A" w:rsidP="005B5F6E">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557.982,09</w:t>
            </w:r>
          </w:p>
        </w:tc>
        <w:tc>
          <w:tcPr>
            <w:tcW w:w="1134" w:type="dxa"/>
            <w:gridSpan w:val="2"/>
            <w:shd w:val="clear" w:color="auto" w:fill="auto"/>
            <w:hideMark/>
          </w:tcPr>
          <w:p w14:paraId="0FA514CA" w14:textId="77777777" w:rsidR="002C339A" w:rsidRPr="00B13B9A" w:rsidRDefault="002C339A" w:rsidP="005B5F6E">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540.041,81</w:t>
            </w:r>
          </w:p>
        </w:tc>
        <w:tc>
          <w:tcPr>
            <w:tcW w:w="1134" w:type="dxa"/>
            <w:shd w:val="clear" w:color="auto" w:fill="auto"/>
            <w:hideMark/>
          </w:tcPr>
          <w:p w14:paraId="4B1B464D" w14:textId="77777777" w:rsidR="002C339A" w:rsidRPr="00B13B9A" w:rsidRDefault="002C339A" w:rsidP="005B5F6E">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540.041,81</w:t>
            </w:r>
          </w:p>
        </w:tc>
      </w:tr>
    </w:tbl>
    <w:p w14:paraId="2E24C586" w14:textId="2BEF86D9" w:rsidR="002C339A" w:rsidRPr="00B13B9A" w:rsidRDefault="002C339A" w:rsidP="002C339A">
      <w:pPr>
        <w:pStyle w:val="cn"/>
        <w:spacing w:line="276" w:lineRule="auto"/>
        <w:ind w:right="71"/>
        <w:jc w:val="both"/>
        <w:rPr>
          <w:rFonts w:asciiTheme="majorHAnsi" w:eastAsiaTheme="minorHAnsi" w:hAnsiTheme="majorHAnsi" w:cstheme="majorHAnsi"/>
          <w:i/>
          <w:sz w:val="20"/>
          <w:szCs w:val="20"/>
          <w:lang w:val="ro-MD" w:eastAsia="en-US"/>
        </w:rPr>
      </w:pPr>
      <w:r w:rsidRPr="00B13B9A">
        <w:rPr>
          <w:rFonts w:asciiTheme="majorHAnsi" w:eastAsiaTheme="minorHAnsi" w:hAnsiTheme="majorHAnsi" w:cstheme="majorHAnsi"/>
          <w:b/>
          <w:i/>
          <w:sz w:val="20"/>
          <w:szCs w:val="20"/>
          <w:lang w:val="ro-MD" w:eastAsia="en-US"/>
        </w:rPr>
        <w:t>Sursa:</w:t>
      </w:r>
      <w:r w:rsidRPr="00B13B9A">
        <w:rPr>
          <w:rFonts w:asciiTheme="majorHAnsi" w:eastAsiaTheme="minorHAnsi" w:hAnsiTheme="majorHAnsi" w:cstheme="majorHAnsi"/>
          <w:i/>
          <w:sz w:val="20"/>
          <w:szCs w:val="20"/>
          <w:lang w:val="ro-MD" w:eastAsia="en-US"/>
        </w:rPr>
        <w:t xml:space="preserve"> Informa</w:t>
      </w:r>
      <w:r w:rsidR="00B13B9A" w:rsidRPr="00B13B9A">
        <w:rPr>
          <w:rFonts w:asciiTheme="majorHAnsi" w:eastAsiaTheme="minorHAnsi" w:hAnsiTheme="majorHAnsi" w:cstheme="majorHAnsi"/>
          <w:i/>
          <w:sz w:val="20"/>
          <w:szCs w:val="20"/>
          <w:lang w:val="ro-MD" w:eastAsia="en-US"/>
        </w:rPr>
        <w:t>ț</w:t>
      </w:r>
      <w:r w:rsidRPr="00B13B9A">
        <w:rPr>
          <w:rFonts w:asciiTheme="majorHAnsi" w:eastAsiaTheme="minorHAnsi" w:hAnsiTheme="majorHAnsi" w:cstheme="majorHAnsi"/>
          <w:i/>
          <w:sz w:val="20"/>
          <w:szCs w:val="20"/>
          <w:lang w:val="ro-MD" w:eastAsia="en-US"/>
        </w:rPr>
        <w:t>ii prezentate de entitate.</w:t>
      </w:r>
    </w:p>
    <w:p w14:paraId="2B11DDD5" w14:textId="77777777" w:rsidR="00332FF7" w:rsidRDefault="00332FF7" w:rsidP="002C339A">
      <w:pPr>
        <w:pStyle w:val="cn"/>
        <w:spacing w:line="276" w:lineRule="auto"/>
        <w:ind w:right="71"/>
        <w:jc w:val="both"/>
        <w:rPr>
          <w:rFonts w:asciiTheme="majorHAnsi" w:eastAsiaTheme="minorHAnsi" w:hAnsiTheme="majorHAnsi" w:cstheme="majorHAnsi"/>
          <w:i/>
          <w:sz w:val="20"/>
          <w:szCs w:val="20"/>
          <w:lang w:val="ro-MD" w:eastAsia="en-US"/>
        </w:rPr>
        <w:sectPr w:rsidR="00332FF7" w:rsidSect="00DB333D">
          <w:pgSz w:w="12240" w:h="15840"/>
          <w:pgMar w:top="851" w:right="758" w:bottom="1134" w:left="1701" w:header="708" w:footer="708" w:gutter="0"/>
          <w:cols w:space="708"/>
          <w:titlePg/>
          <w:docGrid w:linePitch="360"/>
        </w:sectPr>
      </w:pPr>
    </w:p>
    <w:p w14:paraId="05A35525" w14:textId="2F4E9E33" w:rsidR="002C339A" w:rsidRPr="00B13B9A" w:rsidRDefault="002C339A" w:rsidP="002C339A">
      <w:pPr>
        <w:pStyle w:val="3"/>
        <w:jc w:val="right"/>
        <w:rPr>
          <w:rFonts w:cstheme="majorHAnsi"/>
          <w:b/>
          <w:iCs/>
          <w:color w:val="auto"/>
        </w:rPr>
      </w:pPr>
      <w:bookmarkStart w:id="62" w:name="_Toc158317263"/>
      <w:r w:rsidRPr="00B13B9A">
        <w:rPr>
          <w:rFonts w:cstheme="majorHAnsi"/>
          <w:b/>
          <w:iCs/>
          <w:color w:val="auto"/>
        </w:rPr>
        <w:t>Anexa nr. 9</w:t>
      </w:r>
      <w:bookmarkEnd w:id="62"/>
    </w:p>
    <w:p w14:paraId="6627D949" w14:textId="77777777" w:rsidR="00FB1833" w:rsidRPr="00B13B9A" w:rsidRDefault="00FB1833" w:rsidP="00FB1833">
      <w:pPr>
        <w:jc w:val="center"/>
        <w:rPr>
          <w:rFonts w:asciiTheme="majorHAnsi" w:eastAsiaTheme="minorEastAsia" w:hAnsiTheme="majorHAnsi"/>
          <w:b/>
          <w:bCs/>
          <w:kern w:val="24"/>
          <w:sz w:val="24"/>
          <w:szCs w:val="28"/>
          <w:lang w:val="ro-MD"/>
        </w:rPr>
      </w:pPr>
      <w:r w:rsidRPr="00B13B9A">
        <w:rPr>
          <w:rFonts w:asciiTheme="majorHAnsi" w:eastAsiaTheme="minorEastAsia" w:hAnsiTheme="majorHAnsi"/>
          <w:b/>
          <w:bCs/>
          <w:kern w:val="24"/>
          <w:sz w:val="24"/>
          <w:szCs w:val="28"/>
          <w:lang w:val="ro-MD"/>
        </w:rPr>
        <w:t>Sursele criteriilor de audit</w:t>
      </w:r>
    </w:p>
    <w:tbl>
      <w:tblPr>
        <w:tblStyle w:val="a3"/>
        <w:tblW w:w="9918" w:type="dxa"/>
        <w:tblLook w:val="04A0" w:firstRow="1" w:lastRow="0" w:firstColumn="1" w:lastColumn="0" w:noHBand="0" w:noVBand="1"/>
      </w:tblPr>
      <w:tblGrid>
        <w:gridCol w:w="3539"/>
        <w:gridCol w:w="6379"/>
      </w:tblGrid>
      <w:tr w:rsidR="00FB1833" w:rsidRPr="00B13B9A" w14:paraId="366A9A66" w14:textId="77777777" w:rsidTr="00046446">
        <w:trPr>
          <w:trHeight w:val="20"/>
        </w:trPr>
        <w:tc>
          <w:tcPr>
            <w:tcW w:w="3539" w:type="dxa"/>
            <w:shd w:val="clear" w:color="auto" w:fill="9CC2E5" w:themeFill="accent1" w:themeFillTint="99"/>
            <w:vAlign w:val="center"/>
          </w:tcPr>
          <w:p w14:paraId="21C7AB80" w14:textId="77777777" w:rsidR="00FB1833" w:rsidRPr="00B13B9A" w:rsidRDefault="00FB1833" w:rsidP="001457CE">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Acte legislative</w:t>
            </w:r>
          </w:p>
        </w:tc>
        <w:tc>
          <w:tcPr>
            <w:tcW w:w="6379" w:type="dxa"/>
            <w:shd w:val="clear" w:color="auto" w:fill="9CC2E5" w:themeFill="accent1" w:themeFillTint="99"/>
            <w:vAlign w:val="center"/>
          </w:tcPr>
          <w:p w14:paraId="040B0926" w14:textId="77777777" w:rsidR="00FB1833" w:rsidRPr="00B13B9A" w:rsidRDefault="00FB1833" w:rsidP="001457CE">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Prevederi</w:t>
            </w:r>
          </w:p>
        </w:tc>
      </w:tr>
      <w:tr w:rsidR="00FB1833" w:rsidRPr="001924A7" w14:paraId="39706405" w14:textId="77777777" w:rsidTr="00046446">
        <w:trPr>
          <w:trHeight w:val="20"/>
        </w:trPr>
        <w:tc>
          <w:tcPr>
            <w:tcW w:w="3539" w:type="dxa"/>
            <w:shd w:val="clear" w:color="auto" w:fill="auto"/>
            <w:vAlign w:val="center"/>
          </w:tcPr>
          <w:p w14:paraId="32B1F93F" w14:textId="02B41545" w:rsidR="00FB1833" w:rsidRPr="00B13B9A" w:rsidRDefault="00FB1833" w:rsidP="001457CE">
            <w:pPr>
              <w:rPr>
                <w:rFonts w:asciiTheme="majorHAnsi" w:hAnsiTheme="majorHAnsi" w:cstheme="majorHAnsi"/>
                <w:sz w:val="20"/>
                <w:szCs w:val="20"/>
                <w:lang w:val="ro-MD"/>
              </w:rPr>
            </w:pPr>
            <w:r w:rsidRPr="00B13B9A">
              <w:rPr>
                <w:rFonts w:asciiTheme="majorHAnsi" w:hAnsiTheme="majorHAnsi" w:cstheme="majorHAnsi"/>
                <w:sz w:val="20"/>
                <w:szCs w:val="20"/>
                <w:lang w:val="ro-MD"/>
              </w:rPr>
              <w:t>Legea ocrotirii sănătă</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nr. 411 din 28.03.1995</w:t>
            </w:r>
          </w:p>
        </w:tc>
        <w:tc>
          <w:tcPr>
            <w:tcW w:w="6379" w:type="dxa"/>
            <w:shd w:val="clear" w:color="auto" w:fill="auto"/>
            <w:vAlign w:val="center"/>
          </w:tcPr>
          <w:p w14:paraId="70B3B695" w14:textId="18F0A70E" w:rsidR="00FB1833" w:rsidRPr="00B13B9A" w:rsidRDefault="00FB1833" w:rsidP="001457CE">
            <w:pPr>
              <w:rPr>
                <w:rFonts w:asciiTheme="majorHAnsi" w:hAnsiTheme="majorHAnsi" w:cstheme="majorHAnsi"/>
                <w:sz w:val="20"/>
                <w:szCs w:val="20"/>
                <w:lang w:val="ro-MD"/>
              </w:rPr>
            </w:pPr>
            <w:r w:rsidRPr="00B13B9A">
              <w:rPr>
                <w:rFonts w:asciiTheme="majorHAnsi" w:hAnsiTheme="majorHAnsi" w:cstheme="majorHAnsi"/>
                <w:sz w:val="20"/>
                <w:szCs w:val="20"/>
                <w:lang w:val="ro-MD"/>
              </w:rPr>
              <w:t>Reglementează dreptul persoanei fizice la ocrotirea sănătă</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w:t>
            </w:r>
          </w:p>
        </w:tc>
      </w:tr>
      <w:tr w:rsidR="00FB1833" w:rsidRPr="001924A7" w14:paraId="64E64E90" w14:textId="77777777" w:rsidTr="00046446">
        <w:trPr>
          <w:trHeight w:val="20"/>
        </w:trPr>
        <w:tc>
          <w:tcPr>
            <w:tcW w:w="3539" w:type="dxa"/>
            <w:shd w:val="clear" w:color="auto" w:fill="auto"/>
            <w:vAlign w:val="center"/>
          </w:tcPr>
          <w:p w14:paraId="27B9F141" w14:textId="7F3E907C" w:rsidR="00FB1833" w:rsidRPr="00B13B9A" w:rsidRDefault="00FB1833" w:rsidP="001457CE">
            <w:pPr>
              <w:rPr>
                <w:rFonts w:asciiTheme="majorHAnsi" w:hAnsiTheme="majorHAnsi" w:cstheme="majorHAnsi"/>
                <w:sz w:val="20"/>
                <w:szCs w:val="20"/>
                <w:lang w:val="ro-MD"/>
              </w:rPr>
            </w:pPr>
            <w:r w:rsidRPr="00B13B9A">
              <w:rPr>
                <w:rFonts w:asciiTheme="majorHAnsi" w:hAnsiTheme="majorHAnsi" w:cstheme="majorHAnsi"/>
                <w:sz w:val="20"/>
                <w:szCs w:val="20"/>
                <w:lang w:val="ro-MD"/>
              </w:rPr>
              <w:t>Legea nr. 10 din 03.02.2009 privind supravegherea de stat a sănătă</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publice</w:t>
            </w:r>
          </w:p>
          <w:p w14:paraId="2369117F" w14:textId="77777777" w:rsidR="00FB1833" w:rsidRPr="00B13B9A" w:rsidRDefault="00FB1833" w:rsidP="001457CE">
            <w:pPr>
              <w:rPr>
                <w:rFonts w:asciiTheme="majorHAnsi" w:hAnsiTheme="majorHAnsi" w:cstheme="majorHAnsi"/>
                <w:sz w:val="20"/>
                <w:szCs w:val="20"/>
                <w:lang w:val="ro-MD"/>
              </w:rPr>
            </w:pPr>
          </w:p>
          <w:p w14:paraId="10D10889" w14:textId="77777777" w:rsidR="00FB1833" w:rsidRPr="00B13B9A" w:rsidRDefault="00FB1833" w:rsidP="001457CE">
            <w:pPr>
              <w:rPr>
                <w:rFonts w:asciiTheme="majorHAnsi" w:hAnsiTheme="majorHAnsi" w:cstheme="majorHAnsi"/>
                <w:sz w:val="20"/>
                <w:szCs w:val="20"/>
                <w:lang w:val="ro-MD"/>
              </w:rPr>
            </w:pPr>
          </w:p>
        </w:tc>
        <w:tc>
          <w:tcPr>
            <w:tcW w:w="6379" w:type="dxa"/>
            <w:shd w:val="clear" w:color="auto" w:fill="auto"/>
            <w:vAlign w:val="center"/>
          </w:tcPr>
          <w:p w14:paraId="3E41299D" w14:textId="4C329C23" w:rsidR="00FB1833" w:rsidRPr="00B13B9A" w:rsidRDefault="00FB1833" w:rsidP="001457CE">
            <w:pPr>
              <w:rPr>
                <w:rFonts w:asciiTheme="majorHAnsi" w:hAnsiTheme="majorHAnsi" w:cstheme="majorHAnsi"/>
                <w:sz w:val="20"/>
                <w:szCs w:val="20"/>
                <w:lang w:val="ro-MD"/>
              </w:rPr>
            </w:pPr>
            <w:r w:rsidRPr="00B13B9A">
              <w:rPr>
                <w:rFonts w:asciiTheme="majorHAnsi" w:hAnsiTheme="majorHAnsi" w:cstheme="majorHAnsi"/>
                <w:sz w:val="20"/>
                <w:szCs w:val="20"/>
                <w:lang w:val="ro-MD"/>
              </w:rPr>
              <w:t>Reglementează organizarea supravegherii de stat a sănătă</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publice, stabilind cerin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e generale de sănătate publică, drepturile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obliga</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iile persoanelor fizice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 xml:space="preserve">i juridice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modul de organizare a sistemului de supraveghere de stat a sănătă</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publice.</w:t>
            </w:r>
          </w:p>
        </w:tc>
      </w:tr>
      <w:tr w:rsidR="00FB1833" w:rsidRPr="001924A7" w14:paraId="4B77F092" w14:textId="77777777" w:rsidTr="00046446">
        <w:trPr>
          <w:trHeight w:val="20"/>
        </w:trPr>
        <w:tc>
          <w:tcPr>
            <w:tcW w:w="3539" w:type="dxa"/>
          </w:tcPr>
          <w:p w14:paraId="7260E50B" w14:textId="36E7F958" w:rsidR="00FB1833" w:rsidRPr="00B13B9A" w:rsidRDefault="00FB1833" w:rsidP="001457CE">
            <w:pPr>
              <w:jc w:val="both"/>
              <w:rPr>
                <w:rFonts w:asciiTheme="majorHAnsi" w:hAnsiTheme="majorHAnsi" w:cstheme="majorHAnsi"/>
                <w:i/>
                <w:noProof/>
                <w:color w:val="000000" w:themeColor="text1"/>
                <w:sz w:val="20"/>
                <w:szCs w:val="20"/>
                <w:lang w:val="ro-MD" w:eastAsia="ru-RU"/>
              </w:rPr>
            </w:pPr>
            <w:r w:rsidRPr="00B13B9A">
              <w:rPr>
                <w:rFonts w:asciiTheme="majorHAnsi" w:hAnsiTheme="majorHAnsi" w:cstheme="majorHAnsi"/>
                <w:bCs/>
                <w:iCs/>
                <w:sz w:val="20"/>
                <w:szCs w:val="20"/>
                <w:lang w:val="ro-MD"/>
              </w:rPr>
              <w:t>Legea contabilită</w:t>
            </w:r>
            <w:r w:rsidR="00B13B9A" w:rsidRPr="00B13B9A">
              <w:rPr>
                <w:rFonts w:asciiTheme="majorHAnsi" w:hAnsiTheme="majorHAnsi" w:cstheme="majorHAnsi"/>
                <w:bCs/>
                <w:iCs/>
                <w:sz w:val="20"/>
                <w:szCs w:val="20"/>
                <w:lang w:val="ro-MD"/>
              </w:rPr>
              <w:t>ț</w:t>
            </w:r>
            <w:r w:rsidRPr="00B13B9A">
              <w:rPr>
                <w:rFonts w:asciiTheme="majorHAnsi" w:hAnsiTheme="majorHAnsi" w:cstheme="majorHAnsi"/>
                <w:bCs/>
                <w:iCs/>
                <w:sz w:val="20"/>
                <w:szCs w:val="20"/>
                <w:lang w:val="ro-MD"/>
              </w:rPr>
              <w:t xml:space="preserve">ii </w:t>
            </w:r>
            <w:r w:rsidR="00B13B9A" w:rsidRPr="00B13B9A">
              <w:rPr>
                <w:rFonts w:asciiTheme="majorHAnsi" w:hAnsiTheme="majorHAnsi" w:cstheme="majorHAnsi"/>
                <w:bCs/>
                <w:iCs/>
                <w:sz w:val="20"/>
                <w:szCs w:val="20"/>
                <w:lang w:val="ro-MD"/>
              </w:rPr>
              <w:t>ș</w:t>
            </w:r>
            <w:r w:rsidRPr="00B13B9A">
              <w:rPr>
                <w:rFonts w:asciiTheme="majorHAnsi" w:hAnsiTheme="majorHAnsi" w:cstheme="majorHAnsi"/>
                <w:bCs/>
                <w:iCs/>
                <w:sz w:val="20"/>
                <w:szCs w:val="20"/>
                <w:lang w:val="ro-MD"/>
              </w:rPr>
              <w:t>i raportării financiare nr. 287 din 15.12.2017</w:t>
            </w:r>
          </w:p>
        </w:tc>
        <w:tc>
          <w:tcPr>
            <w:tcW w:w="6379" w:type="dxa"/>
          </w:tcPr>
          <w:p w14:paraId="0A3FC512" w14:textId="1EE433E0" w:rsidR="00FB1833" w:rsidRPr="00B13B9A" w:rsidRDefault="00FB1833" w:rsidP="001457CE">
            <w:pPr>
              <w:jc w:val="both"/>
              <w:rPr>
                <w:rFonts w:asciiTheme="majorHAnsi" w:hAnsiTheme="majorHAnsi" w:cstheme="majorHAnsi"/>
                <w:noProof/>
                <w:color w:val="000000" w:themeColor="text1"/>
                <w:sz w:val="20"/>
                <w:szCs w:val="20"/>
                <w:lang w:val="ro-MD" w:eastAsia="ru-RU"/>
              </w:rPr>
            </w:pPr>
            <w:r w:rsidRPr="00B13B9A">
              <w:rPr>
                <w:rFonts w:asciiTheme="majorHAnsi" w:hAnsiTheme="majorHAnsi" w:cstheme="majorHAnsi"/>
                <w:noProof/>
                <w:color w:val="000000" w:themeColor="text1"/>
                <w:sz w:val="20"/>
                <w:szCs w:val="20"/>
                <w:lang w:val="ro-MD" w:eastAsia="ru-RU"/>
              </w:rPr>
              <w:t>Stabile</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 xml:space="preserve">te cadrul normativ de bază, principiile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cerin</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 xml:space="preserve">ele generale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mecanismul de reglementare în domeniul contabilită</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 xml:space="preserve">ii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raportării financiare.</w:t>
            </w:r>
          </w:p>
        </w:tc>
      </w:tr>
      <w:tr w:rsidR="00FB1833" w:rsidRPr="001924A7" w14:paraId="35293D3E" w14:textId="77777777" w:rsidTr="00046446">
        <w:trPr>
          <w:trHeight w:val="20"/>
        </w:trPr>
        <w:tc>
          <w:tcPr>
            <w:tcW w:w="3539" w:type="dxa"/>
          </w:tcPr>
          <w:p w14:paraId="5354F13F" w14:textId="24C12F83" w:rsidR="00FB1833" w:rsidRPr="00B13B9A" w:rsidRDefault="00FB1833" w:rsidP="001457CE">
            <w:pPr>
              <w:jc w:val="both"/>
              <w:rPr>
                <w:rFonts w:asciiTheme="majorHAnsi" w:hAnsiTheme="majorHAnsi" w:cstheme="majorHAnsi"/>
                <w:i/>
                <w:noProof/>
                <w:color w:val="000000" w:themeColor="text1"/>
                <w:sz w:val="20"/>
                <w:szCs w:val="20"/>
                <w:lang w:val="ro-MD" w:eastAsia="ru-RU"/>
              </w:rPr>
            </w:pPr>
            <w:r w:rsidRPr="00B13B9A">
              <w:rPr>
                <w:rFonts w:asciiTheme="majorHAnsi" w:hAnsiTheme="majorHAnsi" w:cstheme="majorHAnsi"/>
                <w:sz w:val="20"/>
                <w:szCs w:val="20"/>
                <w:lang w:val="ro-MD"/>
              </w:rPr>
              <w:t>Legea privind achizi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iile publice nr. 131 din 03.07.2015</w:t>
            </w:r>
          </w:p>
        </w:tc>
        <w:tc>
          <w:tcPr>
            <w:tcW w:w="6379" w:type="dxa"/>
          </w:tcPr>
          <w:p w14:paraId="7CB7E06A" w14:textId="1A2C2196" w:rsidR="00FB1833" w:rsidRPr="00B13B9A" w:rsidRDefault="00FB1833" w:rsidP="001457CE">
            <w:pPr>
              <w:jc w:val="both"/>
              <w:rPr>
                <w:rFonts w:asciiTheme="majorHAnsi" w:hAnsiTheme="majorHAnsi" w:cstheme="majorHAnsi"/>
                <w:noProof/>
                <w:color w:val="000000" w:themeColor="text1"/>
                <w:sz w:val="20"/>
                <w:szCs w:val="20"/>
                <w:lang w:val="ro-MD" w:eastAsia="ru-RU"/>
              </w:rPr>
            </w:pPr>
            <w:r w:rsidRPr="00B13B9A">
              <w:rPr>
                <w:rFonts w:asciiTheme="majorHAnsi" w:hAnsiTheme="majorHAnsi" w:cstheme="majorHAnsi"/>
                <w:noProof/>
                <w:color w:val="000000" w:themeColor="text1"/>
                <w:sz w:val="20"/>
                <w:szCs w:val="20"/>
                <w:lang w:val="ro-MD" w:eastAsia="ru-RU"/>
              </w:rPr>
              <w:t>Reglementează ini</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 xml:space="preserve">ierea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desfă</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urarea procedurilor de achizi</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ie publică de către autorită</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ile contractante, avînd ca scop primordial utilizarea eficientă a resurselor financiare publice de către autorită</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ile contractante prin asigurarea concuren</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ei, tratarea tuturor operatorilor economici în egală masură prin asigurararea transparen</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ei achizi</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 xml:space="preserve">iilor publice. </w:t>
            </w:r>
          </w:p>
        </w:tc>
      </w:tr>
      <w:tr w:rsidR="00FB1833" w:rsidRPr="001924A7" w14:paraId="0BE5AE23" w14:textId="77777777" w:rsidTr="00046446">
        <w:trPr>
          <w:trHeight w:val="20"/>
        </w:trPr>
        <w:tc>
          <w:tcPr>
            <w:tcW w:w="3539" w:type="dxa"/>
          </w:tcPr>
          <w:p w14:paraId="0A1F3B62" w14:textId="054FE728" w:rsidR="00FB1833" w:rsidRPr="00B13B9A" w:rsidRDefault="00FB1833" w:rsidP="00585605">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Legea nr.270 din 23.11.2018 privind sistemul unitar de salarizare în sectorul bugetar</w:t>
            </w:r>
          </w:p>
        </w:tc>
        <w:tc>
          <w:tcPr>
            <w:tcW w:w="6379" w:type="dxa"/>
          </w:tcPr>
          <w:p w14:paraId="6B35D97E" w14:textId="7419AAAE" w:rsidR="00FB1833" w:rsidRPr="00B13B9A" w:rsidRDefault="00FB1833" w:rsidP="001457CE">
            <w:pPr>
              <w:jc w:val="both"/>
              <w:rPr>
                <w:rFonts w:asciiTheme="majorHAnsi" w:hAnsiTheme="majorHAnsi" w:cstheme="majorHAnsi"/>
                <w:noProof/>
                <w:color w:val="000000" w:themeColor="text1"/>
                <w:sz w:val="20"/>
                <w:szCs w:val="20"/>
                <w:lang w:val="ro-MD" w:eastAsia="ru-RU"/>
              </w:rPr>
            </w:pPr>
            <w:r w:rsidRPr="00B13B9A">
              <w:rPr>
                <w:rFonts w:asciiTheme="majorHAnsi" w:hAnsiTheme="majorHAnsi" w:cstheme="majorHAnsi"/>
                <w:noProof/>
                <w:color w:val="000000" w:themeColor="text1"/>
                <w:sz w:val="20"/>
                <w:szCs w:val="20"/>
                <w:lang w:val="ro-MD" w:eastAsia="ru-RU"/>
              </w:rPr>
              <w:t xml:space="preserve">Reglementează stabilirea unui sistem unitar de salarizare în sectorul bugetar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 xml:space="preserve">i reprezintă un cadru general ce cuprinde principiile, regulile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procedurile de stabilire a drepturilor salariale în raport cu ierarhia func</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iilor din sectorul bugetar.</w:t>
            </w:r>
          </w:p>
        </w:tc>
      </w:tr>
      <w:tr w:rsidR="00FB1833" w:rsidRPr="001924A7" w14:paraId="79C49072" w14:textId="77777777" w:rsidTr="00046446">
        <w:trPr>
          <w:trHeight w:val="20"/>
        </w:trPr>
        <w:tc>
          <w:tcPr>
            <w:tcW w:w="3539" w:type="dxa"/>
          </w:tcPr>
          <w:p w14:paraId="055635D5" w14:textId="333C928A"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Legea nr.121 din 04.05.2007 privind administrarea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deetatizarea proprietă</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publice</w:t>
            </w:r>
          </w:p>
        </w:tc>
        <w:tc>
          <w:tcPr>
            <w:tcW w:w="6379" w:type="dxa"/>
          </w:tcPr>
          <w:p w14:paraId="575BD9EF" w14:textId="1ECB0C61" w:rsidR="00FB1833" w:rsidRPr="00B13B9A" w:rsidRDefault="00FB1833" w:rsidP="001457CE">
            <w:pPr>
              <w:jc w:val="both"/>
              <w:rPr>
                <w:rFonts w:asciiTheme="majorHAnsi" w:hAnsiTheme="majorHAnsi" w:cstheme="majorHAnsi"/>
                <w:noProof/>
                <w:color w:val="000000" w:themeColor="text1"/>
                <w:sz w:val="20"/>
                <w:szCs w:val="20"/>
                <w:lang w:val="ro-MD" w:eastAsia="ru-RU"/>
              </w:rPr>
            </w:pPr>
            <w:r w:rsidRPr="00B13B9A">
              <w:rPr>
                <w:rFonts w:asciiTheme="majorHAnsi" w:hAnsiTheme="majorHAnsi" w:cstheme="majorHAnsi"/>
                <w:noProof/>
                <w:color w:val="000000" w:themeColor="text1"/>
                <w:sz w:val="20"/>
                <w:szCs w:val="20"/>
                <w:lang w:val="ro-MD" w:eastAsia="ru-RU"/>
              </w:rPr>
              <w:t xml:space="preserve">Reglementează raporturile ce </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 xml:space="preserve">in de administrarea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deetatizarea proprietă</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ii publice.</w:t>
            </w:r>
          </w:p>
        </w:tc>
      </w:tr>
      <w:tr w:rsidR="00FB1833" w:rsidRPr="001924A7" w14:paraId="4EAA7715" w14:textId="77777777" w:rsidTr="00046446">
        <w:trPr>
          <w:trHeight w:val="20"/>
        </w:trPr>
        <w:tc>
          <w:tcPr>
            <w:tcW w:w="3539" w:type="dxa"/>
          </w:tcPr>
          <w:p w14:paraId="04E65177" w14:textId="08D00F8F" w:rsidR="00FB1833" w:rsidRPr="00B13B9A" w:rsidRDefault="00FB1833" w:rsidP="001457CE">
            <w:pPr>
              <w:jc w:val="both"/>
              <w:rPr>
                <w:rFonts w:asciiTheme="majorHAnsi" w:hAnsiTheme="majorHAnsi" w:cstheme="majorHAnsi"/>
                <w:bCs/>
                <w:iCs/>
                <w:sz w:val="20"/>
                <w:szCs w:val="20"/>
                <w:lang w:val="ro-MD"/>
              </w:rPr>
            </w:pPr>
            <w:r w:rsidRPr="00B13B9A">
              <w:rPr>
                <w:rFonts w:asciiTheme="majorHAnsi" w:hAnsiTheme="majorHAnsi" w:cstheme="majorHAnsi"/>
                <w:sz w:val="20"/>
                <w:szCs w:val="20"/>
                <w:lang w:val="ro-MD"/>
              </w:rPr>
              <w:t>Legea nr.29 din 04.05.2018 privind delimitarea proprietă</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publice</w:t>
            </w:r>
          </w:p>
        </w:tc>
        <w:tc>
          <w:tcPr>
            <w:tcW w:w="6379" w:type="dxa"/>
          </w:tcPr>
          <w:p w14:paraId="12CFF303" w14:textId="6819F733" w:rsidR="00FB1833" w:rsidRPr="00B13B9A" w:rsidRDefault="00FB1833" w:rsidP="001457CE">
            <w:pPr>
              <w:jc w:val="both"/>
              <w:rPr>
                <w:rFonts w:asciiTheme="majorHAnsi" w:hAnsiTheme="majorHAnsi" w:cstheme="majorHAnsi"/>
                <w:noProof/>
                <w:color w:val="000000" w:themeColor="text1"/>
                <w:sz w:val="20"/>
                <w:szCs w:val="20"/>
                <w:lang w:val="ro-MD" w:eastAsia="ru-RU"/>
              </w:rPr>
            </w:pPr>
            <w:r w:rsidRPr="00B13B9A">
              <w:rPr>
                <w:rFonts w:asciiTheme="majorHAnsi" w:hAnsiTheme="majorHAnsi" w:cstheme="majorHAnsi"/>
                <w:noProof/>
                <w:color w:val="000000" w:themeColor="text1"/>
                <w:sz w:val="20"/>
                <w:szCs w:val="20"/>
                <w:lang w:val="ro-MD" w:eastAsia="ru-RU"/>
              </w:rPr>
              <w:t>Reglementează regimul juridic aplicabil proprietă</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ii publice, competen</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 xml:space="preserve">ele Guvernului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ale autorită</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ilor administra</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 xml:space="preserve">iei publice centrale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locale în procesul delimitării bunurilor proprietate publică</w:t>
            </w:r>
          </w:p>
        </w:tc>
      </w:tr>
      <w:tr w:rsidR="00FB1833" w:rsidRPr="001924A7" w14:paraId="4279712F" w14:textId="77777777" w:rsidTr="00046446">
        <w:trPr>
          <w:trHeight w:val="20"/>
        </w:trPr>
        <w:tc>
          <w:tcPr>
            <w:tcW w:w="3539" w:type="dxa"/>
          </w:tcPr>
          <w:p w14:paraId="7CA734EB" w14:textId="77777777"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bCs/>
                <w:iCs/>
                <w:sz w:val="20"/>
                <w:szCs w:val="20"/>
                <w:lang w:val="ro-MD"/>
              </w:rPr>
              <w:t>Legea nr. 102 din 09.06.2017 cu privire la dispozitivele medicale</w:t>
            </w:r>
          </w:p>
        </w:tc>
        <w:tc>
          <w:tcPr>
            <w:tcW w:w="6379" w:type="dxa"/>
          </w:tcPr>
          <w:p w14:paraId="35A628D6" w14:textId="13AF473B" w:rsidR="00FB1833" w:rsidRPr="00B13B9A" w:rsidRDefault="00FB1833" w:rsidP="001457CE">
            <w:pPr>
              <w:jc w:val="both"/>
              <w:rPr>
                <w:rFonts w:asciiTheme="majorHAnsi" w:hAnsiTheme="majorHAnsi" w:cstheme="majorHAnsi"/>
                <w:noProof/>
                <w:color w:val="000000" w:themeColor="text1"/>
                <w:sz w:val="20"/>
                <w:szCs w:val="20"/>
                <w:lang w:val="ro-MD" w:eastAsia="ru-RU"/>
              </w:rPr>
            </w:pPr>
            <w:r w:rsidRPr="00B13B9A">
              <w:rPr>
                <w:rFonts w:asciiTheme="majorHAnsi" w:hAnsiTheme="majorHAnsi" w:cstheme="majorHAnsi"/>
                <w:noProof/>
                <w:color w:val="000000" w:themeColor="text1"/>
                <w:sz w:val="20"/>
                <w:szCs w:val="20"/>
                <w:lang w:val="ro-MD" w:eastAsia="ru-RU"/>
              </w:rPr>
              <w:t>Reglementează punerea în func</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 xml:space="preserve">iune a dispozitivelor medicale, cadrul legal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institu</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 xml:space="preserve">ional pentru controlul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supravegherea dispozitivelor medicale aflate în utilizare.</w:t>
            </w:r>
          </w:p>
        </w:tc>
      </w:tr>
      <w:tr w:rsidR="00FB1833" w:rsidRPr="001924A7" w14:paraId="5B1DDF05" w14:textId="77777777" w:rsidTr="00046446">
        <w:trPr>
          <w:trHeight w:val="20"/>
        </w:trPr>
        <w:tc>
          <w:tcPr>
            <w:tcW w:w="3539" w:type="dxa"/>
          </w:tcPr>
          <w:p w14:paraId="47F7F0F0" w14:textId="7CF835BD"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Legea nr. 306 30.11.2018 privind siguran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a alimentelor</w:t>
            </w:r>
          </w:p>
        </w:tc>
        <w:tc>
          <w:tcPr>
            <w:tcW w:w="6379" w:type="dxa"/>
          </w:tcPr>
          <w:p w14:paraId="0DE3115D" w14:textId="45B33B31" w:rsidR="00FB1833" w:rsidRPr="00B13B9A" w:rsidRDefault="00FB1833" w:rsidP="001457CE">
            <w:pPr>
              <w:jc w:val="both"/>
              <w:rPr>
                <w:rFonts w:asciiTheme="majorHAnsi" w:hAnsiTheme="majorHAnsi" w:cstheme="majorHAnsi"/>
                <w:noProof/>
                <w:color w:val="000000" w:themeColor="text1"/>
                <w:sz w:val="20"/>
                <w:szCs w:val="20"/>
                <w:lang w:val="ro-MD" w:eastAsia="ru-RU"/>
              </w:rPr>
            </w:pPr>
            <w:r w:rsidRPr="00B13B9A">
              <w:rPr>
                <w:rFonts w:asciiTheme="majorHAnsi" w:hAnsiTheme="majorHAnsi" w:cstheme="majorHAnsi"/>
                <w:noProof/>
                <w:color w:val="000000" w:themeColor="text1"/>
                <w:sz w:val="20"/>
                <w:szCs w:val="20"/>
                <w:lang w:val="ro-MD" w:eastAsia="ru-RU"/>
              </w:rPr>
              <w:t>Stabile</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te principiile generale de reglementare a domeniului produselor alimentare.</w:t>
            </w:r>
          </w:p>
        </w:tc>
      </w:tr>
      <w:tr w:rsidR="00FB1833" w:rsidRPr="001924A7" w14:paraId="3D695CDB" w14:textId="77777777" w:rsidTr="00046446">
        <w:trPr>
          <w:trHeight w:val="20"/>
        </w:trPr>
        <w:tc>
          <w:tcPr>
            <w:tcW w:w="3539" w:type="dxa"/>
          </w:tcPr>
          <w:p w14:paraId="2401B289" w14:textId="3193AA5C"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HG nr. 837 din 06.07.2016 pentru aprobarea Regulamentului privind salarizarea angaja</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ilor din institu</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iile medico-sanitare publice încadrate în sistemul asigurării obligatorii de asisten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a medicală</w:t>
            </w:r>
          </w:p>
        </w:tc>
        <w:tc>
          <w:tcPr>
            <w:tcW w:w="6379" w:type="dxa"/>
          </w:tcPr>
          <w:p w14:paraId="702B04F0" w14:textId="32154183" w:rsidR="00FB1833" w:rsidRPr="00B13B9A" w:rsidRDefault="00FB1833" w:rsidP="001457CE">
            <w:pPr>
              <w:jc w:val="both"/>
              <w:rPr>
                <w:rFonts w:asciiTheme="majorHAnsi" w:hAnsiTheme="majorHAnsi" w:cstheme="majorHAnsi"/>
                <w:noProof/>
                <w:color w:val="000000" w:themeColor="text1"/>
                <w:sz w:val="20"/>
                <w:szCs w:val="20"/>
                <w:lang w:val="ro-MD" w:eastAsia="ru-RU"/>
              </w:rPr>
            </w:pPr>
            <w:r w:rsidRPr="00B13B9A">
              <w:rPr>
                <w:rFonts w:asciiTheme="majorHAnsi" w:hAnsiTheme="majorHAnsi" w:cstheme="majorHAnsi"/>
                <w:noProof/>
                <w:color w:val="000000" w:themeColor="text1"/>
                <w:sz w:val="20"/>
                <w:szCs w:val="20"/>
                <w:lang w:val="ro-MD" w:eastAsia="ru-RU"/>
              </w:rPr>
              <w:t>Stabile</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 xml:space="preserve">te modul, mărimea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condi</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iile de remunerare a muncii angaja</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ilor încadra</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 în institu</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iile medico-sanitare publice.</w:t>
            </w:r>
          </w:p>
        </w:tc>
      </w:tr>
      <w:tr w:rsidR="00FB1833" w:rsidRPr="00B13B9A" w14:paraId="0700171C" w14:textId="77777777" w:rsidTr="00046446">
        <w:trPr>
          <w:trHeight w:val="20"/>
        </w:trPr>
        <w:tc>
          <w:tcPr>
            <w:tcW w:w="3539" w:type="dxa"/>
          </w:tcPr>
          <w:p w14:paraId="0E1C062B" w14:textId="4AAB07B4"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HG 1387 din 10.12.2007 cu privire la aprobarea Programului unic al asigurării obligatorii de asisten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ă medicală</w:t>
            </w:r>
          </w:p>
        </w:tc>
        <w:tc>
          <w:tcPr>
            <w:tcW w:w="6379" w:type="dxa"/>
          </w:tcPr>
          <w:p w14:paraId="64255378" w14:textId="43FF415D" w:rsidR="00FB1833" w:rsidRPr="00B13B9A" w:rsidRDefault="00FB1833" w:rsidP="001457CE">
            <w:pPr>
              <w:jc w:val="both"/>
              <w:rPr>
                <w:rFonts w:asciiTheme="majorHAnsi" w:hAnsiTheme="majorHAnsi" w:cstheme="majorHAnsi"/>
                <w:noProof/>
                <w:color w:val="000000" w:themeColor="text1"/>
                <w:sz w:val="20"/>
                <w:szCs w:val="20"/>
                <w:lang w:val="ro-MD" w:eastAsia="ru-RU"/>
              </w:rPr>
            </w:pPr>
            <w:r w:rsidRPr="00B13B9A">
              <w:rPr>
                <w:rFonts w:asciiTheme="majorHAnsi" w:hAnsiTheme="majorHAnsi" w:cstheme="majorHAnsi"/>
                <w:noProof/>
                <w:color w:val="000000" w:themeColor="text1"/>
                <w:sz w:val="20"/>
                <w:szCs w:val="20"/>
                <w:lang w:val="ro-MD" w:eastAsia="ru-RU"/>
              </w:rPr>
              <w:t>Stabile</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te volumul asisten</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ei acordate persoanelor de către institu</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iile medico-sanitare contractate de Compania Na</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ională de Asigurări în Medicină.</w:t>
            </w:r>
          </w:p>
        </w:tc>
      </w:tr>
      <w:tr w:rsidR="00FB1833" w:rsidRPr="001924A7" w14:paraId="500069F4" w14:textId="77777777" w:rsidTr="00046446">
        <w:trPr>
          <w:trHeight w:val="20"/>
        </w:trPr>
        <w:tc>
          <w:tcPr>
            <w:tcW w:w="3539" w:type="dxa"/>
          </w:tcPr>
          <w:p w14:paraId="298351F5" w14:textId="42EBFBFF"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Hotărârea Guvernului nr.1507 din 31.12.2008 cu privire la aprobarea Planului de dezvoltare a contabilită</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ii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auditului în sectorul corporativ pe ani 2009-2014</w:t>
            </w:r>
          </w:p>
        </w:tc>
        <w:tc>
          <w:tcPr>
            <w:tcW w:w="6379" w:type="dxa"/>
          </w:tcPr>
          <w:p w14:paraId="2DEBF41B" w14:textId="00FC1FA1" w:rsidR="00FB1833" w:rsidRPr="00B13B9A" w:rsidRDefault="00FB1833" w:rsidP="001457CE">
            <w:pPr>
              <w:jc w:val="both"/>
              <w:rPr>
                <w:rFonts w:asciiTheme="majorHAnsi" w:hAnsiTheme="majorHAnsi" w:cstheme="majorHAnsi"/>
                <w:noProof/>
                <w:color w:val="000000" w:themeColor="text1"/>
                <w:sz w:val="20"/>
                <w:szCs w:val="20"/>
                <w:lang w:val="ro-MD" w:eastAsia="ru-RU"/>
              </w:rPr>
            </w:pPr>
            <w:r w:rsidRPr="00B13B9A">
              <w:rPr>
                <w:rFonts w:asciiTheme="majorHAnsi" w:hAnsiTheme="majorHAnsi" w:cstheme="majorHAnsi"/>
                <w:noProof/>
                <w:color w:val="000000" w:themeColor="text1"/>
                <w:sz w:val="20"/>
                <w:szCs w:val="20"/>
                <w:lang w:val="ro-MD" w:eastAsia="ru-RU"/>
              </w:rPr>
              <w:t>Stabile</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te priorită</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ile de dezvoltare a contabilită</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 xml:space="preserve">ii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 xml:space="preserve">i auditului în Republica Moldova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stabile</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 xml:space="preserve">te măsurile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ac</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iunile necesare pentru realizarea acestor priorită</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w:t>
            </w:r>
          </w:p>
        </w:tc>
      </w:tr>
      <w:tr w:rsidR="00FB1833" w:rsidRPr="001924A7" w14:paraId="1A731613" w14:textId="77777777" w:rsidTr="00046446">
        <w:trPr>
          <w:trHeight w:val="20"/>
        </w:trPr>
        <w:tc>
          <w:tcPr>
            <w:tcW w:w="3539" w:type="dxa"/>
          </w:tcPr>
          <w:p w14:paraId="3AED8DAF" w14:textId="77777777"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HG nr. 500 din 12.05.1998 despre aprobarea Regulamentului privind casarea bunurilor uzate, raportate la mijloacele fixe</w:t>
            </w:r>
          </w:p>
        </w:tc>
        <w:tc>
          <w:tcPr>
            <w:tcW w:w="6379" w:type="dxa"/>
          </w:tcPr>
          <w:p w14:paraId="46613676" w14:textId="791D8F01" w:rsidR="00FB1833" w:rsidRPr="00B13B9A" w:rsidRDefault="00FB1833" w:rsidP="001457CE">
            <w:pPr>
              <w:jc w:val="both"/>
              <w:rPr>
                <w:rFonts w:asciiTheme="majorHAnsi" w:hAnsiTheme="majorHAnsi" w:cstheme="majorHAnsi"/>
                <w:noProof/>
                <w:color w:val="000000" w:themeColor="text1"/>
                <w:sz w:val="20"/>
                <w:szCs w:val="20"/>
                <w:lang w:val="ro-MD" w:eastAsia="ru-RU"/>
              </w:rPr>
            </w:pPr>
            <w:r w:rsidRPr="00B13B9A">
              <w:rPr>
                <w:rFonts w:asciiTheme="majorHAnsi" w:hAnsiTheme="majorHAnsi" w:cstheme="majorHAnsi"/>
                <w:noProof/>
                <w:color w:val="000000" w:themeColor="text1"/>
                <w:sz w:val="20"/>
                <w:szCs w:val="20"/>
                <w:lang w:val="ro-MD" w:eastAsia="ru-RU"/>
              </w:rPr>
              <w:t>Reglementează modul de casare a bunurilor imobile, a ma</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inilor, utilajelor, unită</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 xml:space="preserve">ilor de transport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altor bunuri uzate, raportate la mijloacele fixe.</w:t>
            </w:r>
          </w:p>
        </w:tc>
      </w:tr>
      <w:tr w:rsidR="00FB1833" w:rsidRPr="00B13B9A" w14:paraId="57ABD81F" w14:textId="77777777" w:rsidTr="00046446">
        <w:trPr>
          <w:trHeight w:val="20"/>
        </w:trPr>
        <w:tc>
          <w:tcPr>
            <w:tcW w:w="3539" w:type="dxa"/>
          </w:tcPr>
          <w:p w14:paraId="4C229C23" w14:textId="7C3C1987"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bCs/>
                <w:iCs/>
                <w:sz w:val="20"/>
                <w:szCs w:val="20"/>
                <w:lang w:val="ro-MD"/>
              </w:rPr>
              <w:t>HG nr. 966 din 14.11.2017 pentru aprobarea Regulamentului privind verificarea periodică a dispozitivelor medicale puse în func</w:t>
            </w:r>
            <w:r w:rsidR="00B13B9A" w:rsidRPr="00B13B9A">
              <w:rPr>
                <w:rFonts w:asciiTheme="majorHAnsi" w:hAnsiTheme="majorHAnsi" w:cstheme="majorHAnsi"/>
                <w:bCs/>
                <w:iCs/>
                <w:sz w:val="20"/>
                <w:szCs w:val="20"/>
                <w:lang w:val="ro-MD"/>
              </w:rPr>
              <w:t>ț</w:t>
            </w:r>
            <w:r w:rsidRPr="00B13B9A">
              <w:rPr>
                <w:rFonts w:asciiTheme="majorHAnsi" w:hAnsiTheme="majorHAnsi" w:cstheme="majorHAnsi"/>
                <w:bCs/>
                <w:iCs/>
                <w:sz w:val="20"/>
                <w:szCs w:val="20"/>
                <w:lang w:val="ro-MD"/>
              </w:rPr>
              <w:t xml:space="preserve">iune </w:t>
            </w:r>
            <w:r w:rsidR="00B13B9A" w:rsidRPr="00B13B9A">
              <w:rPr>
                <w:rFonts w:asciiTheme="majorHAnsi" w:hAnsiTheme="majorHAnsi" w:cstheme="majorHAnsi"/>
                <w:bCs/>
                <w:iCs/>
                <w:sz w:val="20"/>
                <w:szCs w:val="20"/>
                <w:lang w:val="ro-MD"/>
              </w:rPr>
              <w:t>ș</w:t>
            </w:r>
            <w:r w:rsidRPr="00B13B9A">
              <w:rPr>
                <w:rFonts w:asciiTheme="majorHAnsi" w:hAnsiTheme="majorHAnsi" w:cstheme="majorHAnsi"/>
                <w:bCs/>
                <w:iCs/>
                <w:sz w:val="20"/>
                <w:szCs w:val="20"/>
                <w:lang w:val="ro-MD"/>
              </w:rPr>
              <w:t>i aflate în utilizare</w:t>
            </w:r>
          </w:p>
        </w:tc>
        <w:tc>
          <w:tcPr>
            <w:tcW w:w="6379" w:type="dxa"/>
          </w:tcPr>
          <w:p w14:paraId="66CCBE42" w14:textId="76024D75" w:rsidR="00FB1833" w:rsidRPr="00B13B9A" w:rsidRDefault="00FB1833" w:rsidP="001457CE">
            <w:pPr>
              <w:jc w:val="both"/>
              <w:rPr>
                <w:rFonts w:asciiTheme="majorHAnsi" w:hAnsiTheme="majorHAnsi" w:cstheme="majorHAnsi"/>
                <w:noProof/>
                <w:color w:val="000000" w:themeColor="text1"/>
                <w:sz w:val="20"/>
                <w:szCs w:val="20"/>
                <w:lang w:val="ro-MD" w:eastAsia="ru-RU"/>
              </w:rPr>
            </w:pPr>
            <w:r w:rsidRPr="00B13B9A">
              <w:rPr>
                <w:rFonts w:asciiTheme="majorHAnsi" w:hAnsiTheme="majorHAnsi" w:cstheme="majorHAnsi"/>
                <w:noProof/>
                <w:color w:val="000000" w:themeColor="text1"/>
                <w:sz w:val="20"/>
                <w:szCs w:val="20"/>
                <w:lang w:val="ro-MD" w:eastAsia="ru-RU"/>
              </w:rPr>
              <w:t>Stabile</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 xml:space="preserve">te nomenclatorul, periodicitatea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mecanismul de verificare obligatorie a dispozitivelor medicale puse în func</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 xml:space="preserve">iune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aflate în utilizare</w:t>
            </w:r>
          </w:p>
        </w:tc>
      </w:tr>
      <w:tr w:rsidR="00FB1833" w:rsidRPr="00B13B9A" w14:paraId="6C8F3DA1" w14:textId="77777777" w:rsidTr="00046446">
        <w:trPr>
          <w:trHeight w:val="20"/>
        </w:trPr>
        <w:tc>
          <w:tcPr>
            <w:tcW w:w="3539" w:type="dxa"/>
          </w:tcPr>
          <w:p w14:paraId="768EF78C" w14:textId="4A5BF6FB"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HG nr. 10 din 20.01.2021 pentru aprobarea Regulamentului cu privire la activitatea grupului de lucru în domeniul achizi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iilor publice</w:t>
            </w:r>
          </w:p>
        </w:tc>
        <w:tc>
          <w:tcPr>
            <w:tcW w:w="6379" w:type="dxa"/>
          </w:tcPr>
          <w:p w14:paraId="65BBB157" w14:textId="561FA764"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Stabile</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te condi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w:t>
            </w:r>
            <w:r w:rsidR="00585605" w:rsidRPr="00B13B9A">
              <w:rPr>
                <w:rFonts w:asciiTheme="majorHAnsi" w:hAnsiTheme="majorHAnsi" w:cstheme="majorHAnsi"/>
                <w:sz w:val="20"/>
                <w:szCs w:val="20"/>
                <w:lang w:val="ro-MD"/>
              </w:rPr>
              <w:t>le</w:t>
            </w:r>
            <w:r w:rsidRPr="00B13B9A">
              <w:rPr>
                <w:rFonts w:asciiTheme="majorHAnsi" w:hAnsiTheme="majorHAnsi" w:cstheme="majorHAnsi"/>
                <w:sz w:val="20"/>
                <w:szCs w:val="20"/>
                <w:lang w:val="ro-MD"/>
              </w:rPr>
              <w:t xml:space="preserve"> generale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specifice privind crearea grupului de lucru în domeniul achizi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iilor publice.</w:t>
            </w:r>
          </w:p>
        </w:tc>
      </w:tr>
      <w:tr w:rsidR="00FB1833" w:rsidRPr="001924A7" w14:paraId="5D452141" w14:textId="77777777" w:rsidTr="00046446">
        <w:trPr>
          <w:trHeight w:val="20"/>
        </w:trPr>
        <w:tc>
          <w:tcPr>
            <w:tcW w:w="3539" w:type="dxa"/>
          </w:tcPr>
          <w:p w14:paraId="4E3C4053" w14:textId="2BBA4490" w:rsidR="00FB1833" w:rsidRPr="00B13B9A" w:rsidRDefault="00FB1833" w:rsidP="001457CE">
            <w:pPr>
              <w:jc w:val="both"/>
              <w:rPr>
                <w:rFonts w:asciiTheme="majorHAnsi" w:hAnsiTheme="majorHAnsi" w:cstheme="majorHAnsi"/>
                <w:i/>
                <w:noProof/>
                <w:color w:val="000000" w:themeColor="text1"/>
                <w:sz w:val="20"/>
                <w:szCs w:val="20"/>
                <w:lang w:val="ro-MD" w:eastAsia="ru-RU"/>
              </w:rPr>
            </w:pPr>
            <w:r w:rsidRPr="00B13B9A">
              <w:rPr>
                <w:rFonts w:asciiTheme="majorHAnsi" w:hAnsiTheme="majorHAnsi" w:cstheme="majorHAnsi"/>
                <w:sz w:val="20"/>
                <w:szCs w:val="20"/>
                <w:lang w:val="ro-MD"/>
              </w:rPr>
              <w:t>HG nr. 1419 din 28.12.2016 pentru aprobarea Regulamentului cu privire la modul de planificare a contractelor de achizi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publice</w:t>
            </w:r>
          </w:p>
        </w:tc>
        <w:tc>
          <w:tcPr>
            <w:tcW w:w="6379" w:type="dxa"/>
          </w:tcPr>
          <w:p w14:paraId="787C8D49" w14:textId="25AD02C0"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Stabile</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te modul de planificare a contractelor de achizi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publice.</w:t>
            </w:r>
          </w:p>
        </w:tc>
      </w:tr>
      <w:tr w:rsidR="00FB1833" w:rsidRPr="001924A7" w14:paraId="28780115" w14:textId="77777777" w:rsidTr="00046446">
        <w:trPr>
          <w:trHeight w:val="20"/>
        </w:trPr>
        <w:tc>
          <w:tcPr>
            <w:tcW w:w="3539" w:type="dxa"/>
          </w:tcPr>
          <w:p w14:paraId="40199EA5" w14:textId="723B7DE6" w:rsidR="00FB1833" w:rsidRPr="00B13B9A" w:rsidRDefault="00FB1833" w:rsidP="001457CE">
            <w:pPr>
              <w:jc w:val="both"/>
              <w:rPr>
                <w:rFonts w:asciiTheme="majorHAnsi" w:hAnsiTheme="majorHAnsi" w:cstheme="majorHAnsi"/>
                <w:i/>
                <w:noProof/>
                <w:color w:val="000000" w:themeColor="text1"/>
                <w:sz w:val="20"/>
                <w:szCs w:val="20"/>
                <w:lang w:val="ro-MD" w:eastAsia="ru-RU"/>
              </w:rPr>
            </w:pPr>
            <w:r w:rsidRPr="00B13B9A">
              <w:rPr>
                <w:rFonts w:asciiTheme="majorHAnsi" w:hAnsiTheme="majorHAnsi" w:cstheme="majorHAnsi"/>
                <w:sz w:val="20"/>
                <w:szCs w:val="20"/>
                <w:lang w:val="ro-MD"/>
              </w:rPr>
              <w:t>HG nr. 665 din 27.05.2016 pentru aprobarea Regulamentului cu privire la achizi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iile publice de valoare mică </w:t>
            </w:r>
            <w:r w:rsidRPr="00B13B9A">
              <w:rPr>
                <w:rFonts w:asciiTheme="majorHAnsi" w:hAnsiTheme="majorHAnsi" w:cstheme="majorHAnsi"/>
                <w:i/>
                <w:iCs/>
                <w:sz w:val="20"/>
                <w:szCs w:val="20"/>
                <w:lang w:val="ro-MD"/>
              </w:rPr>
              <w:t>(abrogată din 01.07.2023)</w:t>
            </w:r>
          </w:p>
        </w:tc>
        <w:tc>
          <w:tcPr>
            <w:tcW w:w="6379" w:type="dxa"/>
          </w:tcPr>
          <w:p w14:paraId="31E7E63A" w14:textId="639DA06A"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Stabile</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te temeiurile juridice de realizare a achizi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iilor publice de bunuri, lucrări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servicii de valoare mică.</w:t>
            </w:r>
          </w:p>
        </w:tc>
      </w:tr>
      <w:tr w:rsidR="00FB1833" w:rsidRPr="001924A7" w14:paraId="4F3B1FAC" w14:textId="77777777" w:rsidTr="00046446">
        <w:trPr>
          <w:trHeight w:val="20"/>
        </w:trPr>
        <w:tc>
          <w:tcPr>
            <w:tcW w:w="3539" w:type="dxa"/>
          </w:tcPr>
          <w:p w14:paraId="1ECE5D72" w14:textId="5D53AE93"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HG nr. 987 din 10.10.2018 pentru aprobarea Regulamentului privind achizi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ia bunurilor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serviciilor prin cererea ofertelor de pre</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uri</w:t>
            </w:r>
          </w:p>
        </w:tc>
        <w:tc>
          <w:tcPr>
            <w:tcW w:w="6379" w:type="dxa"/>
          </w:tcPr>
          <w:p w14:paraId="6DE39795" w14:textId="308AB67C"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Stabile</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 xml:space="preserve">te temeiurile juridice de organizare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desfă</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urare a procedurii de cerere a ofertelor de pre</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uri în scopul economisirii banilor publici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eficientizării achizi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iilor de bunuri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servicii.</w:t>
            </w:r>
          </w:p>
        </w:tc>
      </w:tr>
      <w:tr w:rsidR="00FB1833" w:rsidRPr="00B13B9A" w14:paraId="499DE9AA" w14:textId="77777777" w:rsidTr="00046446">
        <w:trPr>
          <w:trHeight w:val="20"/>
        </w:trPr>
        <w:tc>
          <w:tcPr>
            <w:tcW w:w="3539" w:type="dxa"/>
          </w:tcPr>
          <w:p w14:paraId="2A3ADCBB" w14:textId="3886C583"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Ordinului Ministerului Sănătă</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nr.432 din 11.05.2022 cu privire la implementarea Programului Na</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ional de răspuns la tuberculoză pentru anii 2022-2025</w:t>
            </w:r>
          </w:p>
        </w:tc>
        <w:tc>
          <w:tcPr>
            <w:tcW w:w="6379" w:type="dxa"/>
          </w:tcPr>
          <w:p w14:paraId="2F32C435" w14:textId="3C72B31D"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Reglementează stocarea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gestionarea stocului de medicamente antituberculoase</w:t>
            </w:r>
          </w:p>
        </w:tc>
      </w:tr>
      <w:tr w:rsidR="00FB1833" w:rsidRPr="00B13B9A" w14:paraId="67145D13" w14:textId="77777777" w:rsidTr="00046446">
        <w:trPr>
          <w:trHeight w:val="20"/>
        </w:trPr>
        <w:tc>
          <w:tcPr>
            <w:tcW w:w="3539" w:type="dxa"/>
          </w:tcPr>
          <w:p w14:paraId="4A19F261" w14:textId="2F9AE01D"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Ordinul Ministerului Sănătă</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Nr. 238 din 31.07.2009 privind ameliorarea alimenta</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iei pacien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ilor în institu</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iile medico-sanitare spitalice</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ti</w:t>
            </w:r>
          </w:p>
        </w:tc>
        <w:tc>
          <w:tcPr>
            <w:tcW w:w="6379" w:type="dxa"/>
          </w:tcPr>
          <w:p w14:paraId="607441FC" w14:textId="7D46B747"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Stabile</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te cerin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ele de bază privind organizarea alimenta</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iei pacien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ilor în institu</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iile medico-sanitare spitalice</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ti.</w:t>
            </w:r>
          </w:p>
        </w:tc>
      </w:tr>
      <w:tr w:rsidR="00FB1833" w:rsidRPr="001924A7" w14:paraId="61CDC56A" w14:textId="77777777" w:rsidTr="00046446">
        <w:trPr>
          <w:trHeight w:val="20"/>
        </w:trPr>
        <w:tc>
          <w:tcPr>
            <w:tcW w:w="3539" w:type="dxa"/>
          </w:tcPr>
          <w:p w14:paraId="13439DC3" w14:textId="1181B875" w:rsidR="00FB1833" w:rsidRPr="00B13B9A" w:rsidRDefault="00FB1833" w:rsidP="001457CE">
            <w:pPr>
              <w:jc w:val="both"/>
              <w:rPr>
                <w:rFonts w:asciiTheme="majorHAnsi" w:hAnsiTheme="majorHAnsi" w:cstheme="majorHAnsi"/>
                <w:i/>
                <w:noProof/>
                <w:color w:val="000000" w:themeColor="text1"/>
                <w:sz w:val="20"/>
                <w:szCs w:val="20"/>
                <w:lang w:val="ro-MD" w:eastAsia="ru-RU"/>
              </w:rPr>
            </w:pPr>
            <w:r w:rsidRPr="00B13B9A">
              <w:rPr>
                <w:rFonts w:asciiTheme="majorHAnsi" w:hAnsiTheme="majorHAnsi" w:cstheme="majorHAnsi"/>
                <w:sz w:val="20"/>
                <w:szCs w:val="20"/>
                <w:lang w:val="ro-MD"/>
              </w:rPr>
              <w:t>Ordinul Ministerului Finan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elor Nr. 60 din 29.05.2012 cu privire la aprobarea Regulamentului privind inventarierea</w:t>
            </w:r>
          </w:p>
        </w:tc>
        <w:tc>
          <w:tcPr>
            <w:tcW w:w="6379" w:type="dxa"/>
          </w:tcPr>
          <w:p w14:paraId="2407FEFC" w14:textId="77BC9CCD" w:rsidR="00FB1833" w:rsidRPr="00B13B9A" w:rsidRDefault="00FB1833" w:rsidP="001457CE">
            <w:pPr>
              <w:jc w:val="both"/>
              <w:rPr>
                <w:rFonts w:asciiTheme="majorHAnsi" w:hAnsiTheme="majorHAnsi" w:cstheme="majorHAnsi"/>
                <w:noProof/>
                <w:color w:val="000000" w:themeColor="text1"/>
                <w:sz w:val="20"/>
                <w:szCs w:val="20"/>
                <w:lang w:val="ro-MD" w:eastAsia="ru-RU"/>
              </w:rPr>
            </w:pPr>
            <w:r w:rsidRPr="00B13B9A">
              <w:rPr>
                <w:rFonts w:asciiTheme="majorHAnsi" w:hAnsiTheme="majorHAnsi" w:cstheme="majorHAnsi"/>
                <w:noProof/>
                <w:color w:val="000000" w:themeColor="text1"/>
                <w:sz w:val="20"/>
                <w:szCs w:val="20"/>
                <w:lang w:val="ro-MD" w:eastAsia="ru-RU"/>
              </w:rPr>
              <w:t>Stabile</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 xml:space="preserve">te regulile de efectuare a inventarierii elementelor de activ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 xml:space="preserve">i datorii, constatarea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 xml:space="preserve">i înregistrarea rezultatelor inventarierii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perfectarea formularelor utilizate la efectuarea inventarierii.</w:t>
            </w:r>
          </w:p>
        </w:tc>
      </w:tr>
      <w:tr w:rsidR="00FB1833" w:rsidRPr="001924A7" w14:paraId="0033B36E" w14:textId="77777777" w:rsidTr="00046446">
        <w:trPr>
          <w:trHeight w:val="20"/>
        </w:trPr>
        <w:tc>
          <w:tcPr>
            <w:tcW w:w="3539" w:type="dxa"/>
          </w:tcPr>
          <w:p w14:paraId="2E1B525E" w14:textId="77777777"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Ordinul MSMPS nr.243 din 09.03.2020 cu privire la motivarea personalului</w:t>
            </w:r>
          </w:p>
        </w:tc>
        <w:tc>
          <w:tcPr>
            <w:tcW w:w="6379" w:type="dxa"/>
          </w:tcPr>
          <w:p w14:paraId="6933B856" w14:textId="55369154" w:rsidR="00FB1833" w:rsidRPr="00B13B9A" w:rsidRDefault="00FB1833" w:rsidP="001457CE">
            <w:pPr>
              <w:jc w:val="both"/>
              <w:rPr>
                <w:rFonts w:asciiTheme="majorHAnsi" w:hAnsiTheme="majorHAnsi" w:cstheme="majorHAnsi"/>
                <w:noProof/>
                <w:color w:val="000000" w:themeColor="text1"/>
                <w:sz w:val="20"/>
                <w:szCs w:val="20"/>
                <w:lang w:val="ro-MD" w:eastAsia="ru-RU"/>
              </w:rPr>
            </w:pPr>
            <w:r w:rsidRPr="00B13B9A">
              <w:rPr>
                <w:rFonts w:asciiTheme="majorHAnsi" w:hAnsiTheme="majorHAnsi" w:cstheme="majorHAnsi"/>
                <w:noProof/>
                <w:color w:val="000000" w:themeColor="text1"/>
                <w:sz w:val="20"/>
                <w:szCs w:val="20"/>
                <w:lang w:val="ro-MD" w:eastAsia="ru-RU"/>
              </w:rPr>
              <w:t>Reglementează acordarea suplimentului de plată la salariul de func</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ie a personalului implicat nemijlocit în acordarea asisten</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ei medicale pacien</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ilor cu COVID-19.</w:t>
            </w:r>
          </w:p>
        </w:tc>
      </w:tr>
      <w:tr w:rsidR="00FB1833" w:rsidRPr="001924A7" w14:paraId="37B17D85" w14:textId="77777777" w:rsidTr="00046446">
        <w:trPr>
          <w:trHeight w:val="20"/>
        </w:trPr>
        <w:tc>
          <w:tcPr>
            <w:tcW w:w="3539" w:type="dxa"/>
          </w:tcPr>
          <w:p w14:paraId="5A7743EC" w14:textId="77777777"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Ordinul MSMPS nr.466 din 15.05.2020 cu privire la motivarea personalului.</w:t>
            </w:r>
          </w:p>
        </w:tc>
        <w:tc>
          <w:tcPr>
            <w:tcW w:w="6379" w:type="dxa"/>
          </w:tcPr>
          <w:p w14:paraId="2C75A115" w14:textId="673467A8" w:rsidR="00FB1833" w:rsidRPr="00B13B9A" w:rsidRDefault="00FB1833" w:rsidP="001457CE">
            <w:pPr>
              <w:jc w:val="both"/>
              <w:rPr>
                <w:rFonts w:asciiTheme="majorHAnsi" w:hAnsiTheme="majorHAnsi" w:cstheme="majorHAnsi"/>
                <w:noProof/>
                <w:color w:val="000000" w:themeColor="text1"/>
                <w:sz w:val="20"/>
                <w:szCs w:val="20"/>
                <w:lang w:val="ro-MD" w:eastAsia="ru-RU"/>
              </w:rPr>
            </w:pPr>
            <w:r w:rsidRPr="00B13B9A">
              <w:rPr>
                <w:rFonts w:asciiTheme="majorHAnsi" w:hAnsiTheme="majorHAnsi" w:cstheme="majorHAnsi"/>
                <w:noProof/>
                <w:color w:val="000000" w:themeColor="text1"/>
                <w:sz w:val="20"/>
                <w:szCs w:val="20"/>
                <w:lang w:val="ro-MD" w:eastAsia="ru-RU"/>
              </w:rPr>
              <w:t>Reglementează acordarea suplimentului de plată la salariul de func</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ie a personalului implicat nemijlocit în acordarea asisten</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ei medicale pacien</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ilor cu COVID-19.</w:t>
            </w:r>
          </w:p>
        </w:tc>
      </w:tr>
      <w:tr w:rsidR="00FB1833" w:rsidRPr="001924A7" w14:paraId="691AFBD5" w14:textId="77777777" w:rsidTr="00046446">
        <w:trPr>
          <w:trHeight w:val="20"/>
        </w:trPr>
        <w:tc>
          <w:tcPr>
            <w:tcW w:w="3539" w:type="dxa"/>
          </w:tcPr>
          <w:p w14:paraId="2F291775" w14:textId="77777777"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Ordinul MF nr. 118 din 06.08.2013</w:t>
            </w:r>
          </w:p>
          <w:p w14:paraId="5675A990" w14:textId="33E62691"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privind aprobarea Standardelor Na</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ionale de Contabilitate</w:t>
            </w:r>
          </w:p>
        </w:tc>
        <w:tc>
          <w:tcPr>
            <w:tcW w:w="6379" w:type="dxa"/>
          </w:tcPr>
          <w:p w14:paraId="7AF6CCC8" w14:textId="294DC8E6" w:rsidR="00FB1833" w:rsidRPr="00B13B9A" w:rsidRDefault="00FB1833" w:rsidP="001457CE">
            <w:pPr>
              <w:jc w:val="both"/>
              <w:rPr>
                <w:rFonts w:asciiTheme="majorHAnsi" w:hAnsiTheme="majorHAnsi" w:cstheme="majorHAnsi"/>
                <w:noProof/>
                <w:color w:val="000000" w:themeColor="text1"/>
                <w:sz w:val="20"/>
                <w:szCs w:val="20"/>
                <w:lang w:val="ro-MD" w:eastAsia="ru-RU"/>
              </w:rPr>
            </w:pPr>
            <w:r w:rsidRPr="00B13B9A">
              <w:rPr>
                <w:rFonts w:asciiTheme="majorHAnsi" w:hAnsiTheme="majorHAnsi" w:cstheme="majorHAnsi"/>
                <w:noProof/>
                <w:color w:val="000000" w:themeColor="text1"/>
                <w:sz w:val="20"/>
                <w:szCs w:val="20"/>
                <w:lang w:val="ro-MD" w:eastAsia="ru-RU"/>
              </w:rPr>
              <w:t>Prevede aprobarea SNC, stabile</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 xml:space="preserve">te modul de contabilizare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de prezentare a informa</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iilor aferente în situa</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iile financiare.</w:t>
            </w:r>
          </w:p>
        </w:tc>
      </w:tr>
    </w:tbl>
    <w:p w14:paraId="4B3BF8DD" w14:textId="77777777" w:rsidR="00FB1833" w:rsidRPr="00B13B9A" w:rsidRDefault="00FB1833" w:rsidP="00FB1833">
      <w:pPr>
        <w:pStyle w:val="cn"/>
        <w:spacing w:line="276" w:lineRule="auto"/>
        <w:ind w:right="71"/>
        <w:jc w:val="both"/>
        <w:rPr>
          <w:rFonts w:asciiTheme="majorHAnsi" w:eastAsiaTheme="minorHAnsi" w:hAnsiTheme="majorHAnsi" w:cstheme="majorHAnsi"/>
          <w:i/>
          <w:sz w:val="20"/>
          <w:szCs w:val="20"/>
          <w:lang w:val="ro-MD" w:eastAsia="en-US"/>
        </w:rPr>
      </w:pPr>
    </w:p>
    <w:p w14:paraId="56C711FF" w14:textId="77777777" w:rsidR="00FA7B71" w:rsidRPr="00B13B9A" w:rsidRDefault="00FA7B71" w:rsidP="001A0E43">
      <w:pPr>
        <w:spacing w:after="0" w:line="240" w:lineRule="auto"/>
        <w:jc w:val="right"/>
        <w:rPr>
          <w:rFonts w:asciiTheme="majorHAnsi" w:hAnsiTheme="majorHAnsi" w:cstheme="majorHAnsi"/>
          <w:i/>
          <w:iCs/>
          <w:sz w:val="24"/>
          <w:szCs w:val="24"/>
          <w:lang w:val="ro-MD"/>
        </w:rPr>
      </w:pPr>
      <w:r w:rsidRPr="00B13B9A">
        <w:rPr>
          <w:rFonts w:asciiTheme="majorHAnsi" w:hAnsiTheme="majorHAnsi" w:cstheme="majorHAnsi"/>
          <w:i/>
          <w:iCs/>
          <w:sz w:val="24"/>
          <w:szCs w:val="24"/>
          <w:lang w:val="ro-MD"/>
        </w:rPr>
        <w:br w:type="page"/>
      </w:r>
    </w:p>
    <w:p w14:paraId="5BC82D44" w14:textId="299BAB9C" w:rsidR="00782BD2" w:rsidRPr="00B13B9A" w:rsidRDefault="00782BD2" w:rsidP="00764FE8">
      <w:pPr>
        <w:pStyle w:val="3"/>
        <w:jc w:val="right"/>
        <w:rPr>
          <w:rFonts w:cstheme="majorHAnsi"/>
          <w:b/>
          <w:iCs/>
          <w:color w:val="auto"/>
        </w:rPr>
      </w:pPr>
      <w:bookmarkStart w:id="63" w:name="_Toc158317264"/>
      <w:r w:rsidRPr="00B13B9A">
        <w:rPr>
          <w:rFonts w:cstheme="majorHAnsi"/>
          <w:b/>
          <w:iCs/>
          <w:color w:val="auto"/>
        </w:rPr>
        <w:t xml:space="preserve">Anexa nr. </w:t>
      </w:r>
      <w:r w:rsidR="002C339A" w:rsidRPr="00B13B9A">
        <w:rPr>
          <w:rFonts w:cstheme="majorHAnsi"/>
          <w:b/>
          <w:iCs/>
          <w:color w:val="auto"/>
        </w:rPr>
        <w:t>10</w:t>
      </w:r>
      <w:bookmarkEnd w:id="63"/>
    </w:p>
    <w:p w14:paraId="297D614C" w14:textId="6563A2D9" w:rsidR="00EF1983" w:rsidRPr="00B13B9A" w:rsidRDefault="00EF1983" w:rsidP="00EF1983">
      <w:pPr>
        <w:spacing w:after="0" w:line="276" w:lineRule="auto"/>
        <w:jc w:val="center"/>
        <w:rPr>
          <w:rFonts w:asciiTheme="majorHAnsi" w:hAnsiTheme="majorHAnsi" w:cstheme="majorHAnsi"/>
          <w:b/>
          <w:color w:val="000000" w:themeColor="text1"/>
          <w:sz w:val="24"/>
          <w:szCs w:val="24"/>
          <w:lang w:val="ro-MD"/>
        </w:rPr>
      </w:pPr>
      <w:r w:rsidRPr="00B13B9A">
        <w:rPr>
          <w:rFonts w:asciiTheme="majorHAnsi" w:hAnsiTheme="majorHAnsi" w:cstheme="majorHAnsi"/>
          <w:b/>
          <w:color w:val="000000" w:themeColor="text1"/>
          <w:sz w:val="24"/>
          <w:szCs w:val="24"/>
          <w:lang w:val="ro-MD"/>
        </w:rPr>
        <w:t>Cheltuielile suportate în cadrul clinicii Vorniceni</w:t>
      </w:r>
      <w:r w:rsidR="00585605" w:rsidRPr="00B13B9A">
        <w:rPr>
          <w:rFonts w:asciiTheme="majorHAnsi" w:hAnsiTheme="majorHAnsi" w:cstheme="majorHAnsi"/>
          <w:b/>
          <w:color w:val="000000" w:themeColor="text1"/>
          <w:sz w:val="24"/>
          <w:szCs w:val="24"/>
          <w:lang w:val="ro-MD"/>
        </w:rPr>
        <w:t>,</w:t>
      </w:r>
      <w:r w:rsidRPr="00B13B9A">
        <w:rPr>
          <w:rFonts w:asciiTheme="majorHAnsi" w:hAnsiTheme="majorHAnsi" w:cstheme="majorHAnsi"/>
          <w:b/>
          <w:color w:val="000000" w:themeColor="text1"/>
          <w:sz w:val="24"/>
          <w:szCs w:val="24"/>
          <w:lang w:val="ro-MD"/>
        </w:rPr>
        <w:t xml:space="preserve"> pe tipuri</w:t>
      </w:r>
      <w:r w:rsidR="00585605" w:rsidRPr="00B13B9A">
        <w:rPr>
          <w:rFonts w:asciiTheme="majorHAnsi" w:hAnsiTheme="majorHAnsi" w:cstheme="majorHAnsi"/>
          <w:b/>
          <w:color w:val="000000" w:themeColor="text1"/>
          <w:sz w:val="24"/>
          <w:szCs w:val="24"/>
          <w:lang w:val="ro-MD"/>
        </w:rPr>
        <w:t>,</w:t>
      </w:r>
      <w:r w:rsidRPr="00B13B9A">
        <w:rPr>
          <w:rFonts w:asciiTheme="majorHAnsi" w:hAnsiTheme="majorHAnsi" w:cstheme="majorHAnsi"/>
          <w:b/>
          <w:color w:val="000000" w:themeColor="text1"/>
          <w:sz w:val="24"/>
          <w:szCs w:val="24"/>
          <w:lang w:val="ro-MD"/>
        </w:rPr>
        <w:t xml:space="preserve"> în perioada 2018-2023 (6 luni)</w:t>
      </w:r>
    </w:p>
    <w:tbl>
      <w:tblPr>
        <w:tblpPr w:leftFromText="180" w:rightFromText="180" w:vertAnchor="text" w:horzAnchor="margin" w:tblpY="-14"/>
        <w:tblW w:w="9913" w:type="dxa"/>
        <w:tblLook w:val="04A0" w:firstRow="1" w:lastRow="0" w:firstColumn="1" w:lastColumn="0" w:noHBand="0" w:noVBand="1"/>
      </w:tblPr>
      <w:tblGrid>
        <w:gridCol w:w="2972"/>
        <w:gridCol w:w="944"/>
        <w:gridCol w:w="944"/>
        <w:gridCol w:w="990"/>
        <w:gridCol w:w="1091"/>
        <w:gridCol w:w="993"/>
        <w:gridCol w:w="853"/>
        <w:gridCol w:w="1126"/>
      </w:tblGrid>
      <w:tr w:rsidR="00EF1983" w:rsidRPr="00B13B9A" w14:paraId="4611A1AA" w14:textId="77777777" w:rsidTr="00332FF7">
        <w:trPr>
          <w:trHeight w:val="20"/>
        </w:trPr>
        <w:tc>
          <w:tcPr>
            <w:tcW w:w="2972" w:type="dxa"/>
            <w:tcBorders>
              <w:top w:val="single" w:sz="4" w:space="0" w:color="auto"/>
              <w:left w:val="single" w:sz="4" w:space="0" w:color="auto"/>
              <w:bottom w:val="nil"/>
              <w:right w:val="single" w:sz="4" w:space="0" w:color="auto"/>
            </w:tcBorders>
            <w:shd w:val="clear" w:color="auto" w:fill="auto"/>
            <w:vAlign w:val="center"/>
            <w:hideMark/>
          </w:tcPr>
          <w:p w14:paraId="4A0A610C" w14:textId="77777777" w:rsidR="00EF1983" w:rsidRPr="00B13B9A" w:rsidRDefault="00EF1983" w:rsidP="0061151B">
            <w:pPr>
              <w:spacing w:after="0" w:line="240" w:lineRule="auto"/>
              <w:jc w:val="center"/>
              <w:rPr>
                <w:rFonts w:asciiTheme="majorHAnsi" w:eastAsia="Times New Roman" w:hAnsiTheme="majorHAnsi" w:cstheme="majorHAnsi"/>
                <w:b/>
                <w:bCs/>
                <w:i/>
                <w:iCs/>
                <w:color w:val="000000"/>
                <w:sz w:val="18"/>
                <w:szCs w:val="18"/>
                <w:lang w:val="ro-MD"/>
              </w:rPr>
            </w:pPr>
            <w:r w:rsidRPr="00B13B9A">
              <w:rPr>
                <w:rFonts w:asciiTheme="majorHAnsi" w:eastAsia="Times New Roman" w:hAnsiTheme="majorHAnsi" w:cstheme="majorHAnsi"/>
                <w:b/>
                <w:bCs/>
                <w:i/>
                <w:iCs/>
                <w:color w:val="000000"/>
                <w:sz w:val="18"/>
                <w:szCs w:val="18"/>
                <w:lang w:val="ro-MD"/>
              </w:rPr>
              <w:t>Anii</w:t>
            </w:r>
          </w:p>
        </w:tc>
        <w:tc>
          <w:tcPr>
            <w:tcW w:w="9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39EB4B" w14:textId="77777777" w:rsidR="00EF1983" w:rsidRPr="00B13B9A" w:rsidRDefault="00EF1983" w:rsidP="0061151B">
            <w:pPr>
              <w:spacing w:after="0" w:line="240" w:lineRule="auto"/>
              <w:jc w:val="center"/>
              <w:rPr>
                <w:rFonts w:asciiTheme="majorHAnsi" w:eastAsia="Times New Roman" w:hAnsiTheme="majorHAnsi" w:cstheme="majorHAnsi"/>
                <w:b/>
                <w:bCs/>
                <w:i/>
                <w:iCs/>
                <w:color w:val="000000"/>
                <w:sz w:val="18"/>
                <w:szCs w:val="18"/>
                <w:lang w:val="ro-MD"/>
              </w:rPr>
            </w:pPr>
            <w:r w:rsidRPr="00B13B9A">
              <w:rPr>
                <w:rFonts w:asciiTheme="majorHAnsi" w:eastAsia="Times New Roman" w:hAnsiTheme="majorHAnsi" w:cstheme="majorHAnsi"/>
                <w:b/>
                <w:bCs/>
                <w:i/>
                <w:iCs/>
                <w:color w:val="000000"/>
                <w:sz w:val="18"/>
                <w:szCs w:val="18"/>
                <w:lang w:val="ro-MD"/>
              </w:rPr>
              <w:t>2018</w:t>
            </w:r>
          </w:p>
        </w:tc>
        <w:tc>
          <w:tcPr>
            <w:tcW w:w="9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045F3B" w14:textId="77777777" w:rsidR="00EF1983" w:rsidRPr="00B13B9A" w:rsidRDefault="00EF1983" w:rsidP="0061151B">
            <w:pPr>
              <w:spacing w:after="0" w:line="240" w:lineRule="auto"/>
              <w:jc w:val="center"/>
              <w:rPr>
                <w:rFonts w:asciiTheme="majorHAnsi" w:eastAsia="Times New Roman" w:hAnsiTheme="majorHAnsi" w:cstheme="majorHAnsi"/>
                <w:b/>
                <w:bCs/>
                <w:i/>
                <w:iCs/>
                <w:color w:val="000000"/>
                <w:sz w:val="18"/>
                <w:szCs w:val="18"/>
                <w:lang w:val="ro-MD"/>
              </w:rPr>
            </w:pPr>
            <w:r w:rsidRPr="00B13B9A">
              <w:rPr>
                <w:rFonts w:asciiTheme="majorHAnsi" w:eastAsia="Times New Roman" w:hAnsiTheme="majorHAnsi" w:cstheme="majorHAnsi"/>
                <w:b/>
                <w:bCs/>
                <w:i/>
                <w:iCs/>
                <w:color w:val="000000"/>
                <w:sz w:val="18"/>
                <w:szCs w:val="18"/>
                <w:lang w:val="ro-MD"/>
              </w:rPr>
              <w:t>2019</w:t>
            </w:r>
          </w:p>
        </w:tc>
        <w:tc>
          <w:tcPr>
            <w:tcW w:w="990" w:type="dxa"/>
            <w:vMerge w:val="restart"/>
            <w:tcBorders>
              <w:top w:val="single" w:sz="4" w:space="0" w:color="auto"/>
              <w:left w:val="nil"/>
              <w:bottom w:val="single" w:sz="4" w:space="0" w:color="000000"/>
              <w:right w:val="single" w:sz="4" w:space="0" w:color="auto"/>
            </w:tcBorders>
            <w:shd w:val="clear" w:color="auto" w:fill="auto"/>
            <w:vAlign w:val="center"/>
            <w:hideMark/>
          </w:tcPr>
          <w:p w14:paraId="6AC6431B" w14:textId="77777777" w:rsidR="00EF1983" w:rsidRPr="00B13B9A" w:rsidRDefault="00EF1983" w:rsidP="0061151B">
            <w:pPr>
              <w:spacing w:after="0" w:line="240" w:lineRule="auto"/>
              <w:jc w:val="center"/>
              <w:rPr>
                <w:rFonts w:asciiTheme="majorHAnsi" w:eastAsia="Times New Roman" w:hAnsiTheme="majorHAnsi" w:cstheme="majorHAnsi"/>
                <w:b/>
                <w:bCs/>
                <w:i/>
                <w:iCs/>
                <w:color w:val="000000"/>
                <w:sz w:val="18"/>
                <w:szCs w:val="18"/>
                <w:lang w:val="ro-MD"/>
              </w:rPr>
            </w:pPr>
            <w:r w:rsidRPr="00B13B9A">
              <w:rPr>
                <w:rFonts w:asciiTheme="majorHAnsi" w:eastAsia="Times New Roman" w:hAnsiTheme="majorHAnsi" w:cstheme="majorHAnsi"/>
                <w:b/>
                <w:bCs/>
                <w:i/>
                <w:iCs/>
                <w:color w:val="000000"/>
                <w:sz w:val="18"/>
                <w:szCs w:val="18"/>
                <w:lang w:val="ro-MD"/>
              </w:rPr>
              <w:t>2020</w:t>
            </w:r>
          </w:p>
        </w:tc>
        <w:tc>
          <w:tcPr>
            <w:tcW w:w="10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09597F" w14:textId="77777777" w:rsidR="00EF1983" w:rsidRPr="00B13B9A" w:rsidRDefault="00EF1983" w:rsidP="0061151B">
            <w:pPr>
              <w:spacing w:after="0" w:line="240" w:lineRule="auto"/>
              <w:jc w:val="center"/>
              <w:rPr>
                <w:rFonts w:asciiTheme="majorHAnsi" w:eastAsia="Times New Roman" w:hAnsiTheme="majorHAnsi" w:cstheme="majorHAnsi"/>
                <w:b/>
                <w:bCs/>
                <w:i/>
                <w:iCs/>
                <w:color w:val="000000"/>
                <w:sz w:val="18"/>
                <w:szCs w:val="18"/>
                <w:lang w:val="ro-MD"/>
              </w:rPr>
            </w:pPr>
            <w:r w:rsidRPr="00B13B9A">
              <w:rPr>
                <w:rFonts w:asciiTheme="majorHAnsi" w:eastAsia="Times New Roman" w:hAnsiTheme="majorHAnsi" w:cstheme="majorHAnsi"/>
                <w:b/>
                <w:bCs/>
                <w:i/>
                <w:iCs/>
                <w:color w:val="000000"/>
                <w:sz w:val="18"/>
                <w:szCs w:val="18"/>
                <w:lang w:val="ro-MD"/>
              </w:rPr>
              <w:t>2021</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BB2C30" w14:textId="77777777" w:rsidR="00EF1983" w:rsidRPr="00B13B9A" w:rsidRDefault="00EF1983" w:rsidP="0061151B">
            <w:pPr>
              <w:spacing w:after="0" w:line="240" w:lineRule="auto"/>
              <w:jc w:val="center"/>
              <w:rPr>
                <w:rFonts w:asciiTheme="majorHAnsi" w:eastAsia="Times New Roman" w:hAnsiTheme="majorHAnsi" w:cstheme="majorHAnsi"/>
                <w:b/>
                <w:bCs/>
                <w:i/>
                <w:iCs/>
                <w:color w:val="000000"/>
                <w:sz w:val="18"/>
                <w:szCs w:val="18"/>
                <w:lang w:val="ro-MD"/>
              </w:rPr>
            </w:pPr>
            <w:r w:rsidRPr="00B13B9A">
              <w:rPr>
                <w:rFonts w:asciiTheme="majorHAnsi" w:eastAsia="Times New Roman" w:hAnsiTheme="majorHAnsi" w:cstheme="majorHAnsi"/>
                <w:b/>
                <w:bCs/>
                <w:i/>
                <w:iCs/>
                <w:color w:val="000000"/>
                <w:sz w:val="18"/>
                <w:szCs w:val="18"/>
                <w:lang w:val="ro-MD"/>
              </w:rPr>
              <w:t>2022</w:t>
            </w:r>
          </w:p>
        </w:tc>
        <w:tc>
          <w:tcPr>
            <w:tcW w:w="8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9AF91E" w14:textId="77777777" w:rsidR="00EF1983" w:rsidRPr="00B13B9A" w:rsidRDefault="00EF1983" w:rsidP="0061151B">
            <w:pPr>
              <w:spacing w:after="0" w:line="240" w:lineRule="auto"/>
              <w:jc w:val="center"/>
              <w:rPr>
                <w:rFonts w:asciiTheme="majorHAnsi" w:eastAsia="Times New Roman" w:hAnsiTheme="majorHAnsi" w:cstheme="majorHAnsi"/>
                <w:b/>
                <w:bCs/>
                <w:i/>
                <w:iCs/>
                <w:color w:val="000000"/>
                <w:sz w:val="18"/>
                <w:szCs w:val="18"/>
                <w:lang w:val="ro-MD"/>
              </w:rPr>
            </w:pPr>
            <w:r w:rsidRPr="00B13B9A">
              <w:rPr>
                <w:rFonts w:asciiTheme="majorHAnsi" w:eastAsia="Times New Roman" w:hAnsiTheme="majorHAnsi" w:cstheme="majorHAnsi"/>
                <w:b/>
                <w:bCs/>
                <w:i/>
                <w:iCs/>
                <w:color w:val="000000"/>
                <w:sz w:val="18"/>
                <w:szCs w:val="18"/>
                <w:lang w:val="ro-MD"/>
              </w:rPr>
              <w:t xml:space="preserve">2023 </w:t>
            </w:r>
          </w:p>
          <w:p w14:paraId="6753B8E8" w14:textId="77777777" w:rsidR="00EF1983" w:rsidRPr="00B13B9A" w:rsidRDefault="00EF1983" w:rsidP="0061151B">
            <w:pPr>
              <w:spacing w:after="0" w:line="240" w:lineRule="auto"/>
              <w:jc w:val="center"/>
              <w:rPr>
                <w:rFonts w:asciiTheme="majorHAnsi" w:eastAsia="Times New Roman" w:hAnsiTheme="majorHAnsi" w:cstheme="majorHAnsi"/>
                <w:b/>
                <w:bCs/>
                <w:i/>
                <w:iCs/>
                <w:color w:val="000000"/>
                <w:sz w:val="18"/>
                <w:szCs w:val="18"/>
                <w:lang w:val="ro-MD"/>
              </w:rPr>
            </w:pPr>
            <w:r w:rsidRPr="00B13B9A">
              <w:rPr>
                <w:rFonts w:asciiTheme="majorHAnsi" w:eastAsia="Times New Roman" w:hAnsiTheme="majorHAnsi" w:cstheme="majorHAnsi"/>
                <w:b/>
                <w:bCs/>
                <w:i/>
                <w:iCs/>
                <w:color w:val="000000"/>
                <w:sz w:val="18"/>
                <w:szCs w:val="18"/>
                <w:lang w:val="ro-MD"/>
              </w:rPr>
              <w:t>(6 luni)</w:t>
            </w:r>
          </w:p>
        </w:tc>
        <w:tc>
          <w:tcPr>
            <w:tcW w:w="1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E9814A" w14:textId="77777777" w:rsidR="00EF1983" w:rsidRPr="00B13B9A" w:rsidRDefault="00EF1983" w:rsidP="0061151B">
            <w:pPr>
              <w:spacing w:after="0" w:line="240" w:lineRule="auto"/>
              <w:jc w:val="center"/>
              <w:rPr>
                <w:rFonts w:asciiTheme="majorHAnsi" w:eastAsia="Times New Roman" w:hAnsiTheme="majorHAnsi" w:cstheme="majorHAnsi"/>
                <w:b/>
                <w:bCs/>
                <w:i/>
                <w:iCs/>
                <w:color w:val="000000"/>
                <w:sz w:val="18"/>
                <w:szCs w:val="18"/>
                <w:lang w:val="ro-MD"/>
              </w:rPr>
            </w:pPr>
            <w:r w:rsidRPr="00B13B9A">
              <w:rPr>
                <w:rFonts w:asciiTheme="majorHAnsi" w:eastAsia="Times New Roman" w:hAnsiTheme="majorHAnsi" w:cstheme="majorHAnsi"/>
                <w:b/>
                <w:bCs/>
                <w:i/>
                <w:iCs/>
                <w:color w:val="000000"/>
                <w:sz w:val="18"/>
                <w:szCs w:val="18"/>
                <w:lang w:val="ro-MD"/>
              </w:rPr>
              <w:t xml:space="preserve">Total </w:t>
            </w:r>
          </w:p>
        </w:tc>
      </w:tr>
      <w:tr w:rsidR="00EF1983" w:rsidRPr="00B13B9A" w14:paraId="6CCEF877"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D73CFED" w14:textId="77777777" w:rsidR="00EF1983" w:rsidRPr="00B13B9A" w:rsidRDefault="00EF1983" w:rsidP="0061151B">
            <w:pPr>
              <w:spacing w:after="0" w:line="240" w:lineRule="auto"/>
              <w:jc w:val="center"/>
              <w:rPr>
                <w:rFonts w:asciiTheme="majorHAnsi" w:eastAsia="Times New Roman" w:hAnsiTheme="majorHAnsi" w:cstheme="majorHAnsi"/>
                <w:b/>
                <w:bCs/>
                <w:i/>
                <w:iCs/>
                <w:color w:val="000000"/>
                <w:sz w:val="18"/>
                <w:szCs w:val="18"/>
                <w:lang w:val="ro-MD"/>
              </w:rPr>
            </w:pPr>
            <w:r w:rsidRPr="00B13B9A">
              <w:rPr>
                <w:rFonts w:asciiTheme="majorHAnsi" w:eastAsia="Times New Roman" w:hAnsiTheme="majorHAnsi" w:cstheme="majorHAnsi"/>
                <w:b/>
                <w:bCs/>
                <w:i/>
                <w:iCs/>
                <w:color w:val="000000"/>
                <w:sz w:val="18"/>
                <w:szCs w:val="18"/>
                <w:lang w:val="ro-MD"/>
              </w:rPr>
              <w:t>Articole de cheltuieli</w:t>
            </w:r>
          </w:p>
        </w:tc>
        <w:tc>
          <w:tcPr>
            <w:tcW w:w="944" w:type="dxa"/>
            <w:vMerge/>
            <w:tcBorders>
              <w:top w:val="single" w:sz="4" w:space="0" w:color="auto"/>
              <w:left w:val="single" w:sz="4" w:space="0" w:color="auto"/>
              <w:bottom w:val="single" w:sz="4" w:space="0" w:color="000000"/>
              <w:right w:val="single" w:sz="4" w:space="0" w:color="auto"/>
            </w:tcBorders>
            <w:vAlign w:val="center"/>
            <w:hideMark/>
          </w:tcPr>
          <w:p w14:paraId="4EFC706B" w14:textId="77777777" w:rsidR="00EF1983" w:rsidRPr="00B13B9A" w:rsidRDefault="00EF1983" w:rsidP="0061151B">
            <w:pPr>
              <w:spacing w:after="0" w:line="240" w:lineRule="auto"/>
              <w:rPr>
                <w:rFonts w:asciiTheme="majorHAnsi" w:eastAsia="Times New Roman" w:hAnsiTheme="majorHAnsi" w:cstheme="majorHAnsi"/>
                <w:b/>
                <w:bCs/>
                <w:i/>
                <w:iCs/>
                <w:color w:val="000000"/>
                <w:sz w:val="18"/>
                <w:szCs w:val="18"/>
                <w:lang w:val="ro-MD"/>
              </w:rPr>
            </w:pPr>
          </w:p>
        </w:tc>
        <w:tc>
          <w:tcPr>
            <w:tcW w:w="944" w:type="dxa"/>
            <w:vMerge/>
            <w:tcBorders>
              <w:top w:val="single" w:sz="4" w:space="0" w:color="auto"/>
              <w:left w:val="single" w:sz="4" w:space="0" w:color="auto"/>
              <w:bottom w:val="single" w:sz="4" w:space="0" w:color="000000"/>
              <w:right w:val="single" w:sz="4" w:space="0" w:color="auto"/>
            </w:tcBorders>
            <w:vAlign w:val="center"/>
            <w:hideMark/>
          </w:tcPr>
          <w:p w14:paraId="457190FD" w14:textId="77777777" w:rsidR="00EF1983" w:rsidRPr="00B13B9A" w:rsidRDefault="00EF1983" w:rsidP="0061151B">
            <w:pPr>
              <w:spacing w:after="0" w:line="240" w:lineRule="auto"/>
              <w:rPr>
                <w:rFonts w:asciiTheme="majorHAnsi" w:eastAsia="Times New Roman" w:hAnsiTheme="majorHAnsi" w:cstheme="majorHAnsi"/>
                <w:b/>
                <w:bCs/>
                <w:i/>
                <w:iCs/>
                <w:color w:val="000000"/>
                <w:sz w:val="18"/>
                <w:szCs w:val="18"/>
                <w:lang w:val="ro-MD"/>
              </w:rPr>
            </w:pPr>
          </w:p>
        </w:tc>
        <w:tc>
          <w:tcPr>
            <w:tcW w:w="990" w:type="dxa"/>
            <w:vMerge/>
            <w:tcBorders>
              <w:top w:val="single" w:sz="4" w:space="0" w:color="auto"/>
              <w:left w:val="nil"/>
              <w:bottom w:val="single" w:sz="4" w:space="0" w:color="000000"/>
              <w:right w:val="single" w:sz="4" w:space="0" w:color="auto"/>
            </w:tcBorders>
            <w:vAlign w:val="center"/>
            <w:hideMark/>
          </w:tcPr>
          <w:p w14:paraId="30D404C4" w14:textId="77777777" w:rsidR="00EF1983" w:rsidRPr="00B13B9A" w:rsidRDefault="00EF1983" w:rsidP="0061151B">
            <w:pPr>
              <w:spacing w:after="0" w:line="240" w:lineRule="auto"/>
              <w:rPr>
                <w:rFonts w:asciiTheme="majorHAnsi" w:eastAsia="Times New Roman" w:hAnsiTheme="majorHAnsi" w:cstheme="majorHAnsi"/>
                <w:b/>
                <w:bCs/>
                <w:i/>
                <w:iCs/>
                <w:color w:val="000000"/>
                <w:sz w:val="18"/>
                <w:szCs w:val="18"/>
                <w:lang w:val="ro-MD"/>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14:paraId="50C79849" w14:textId="77777777" w:rsidR="00EF1983" w:rsidRPr="00B13B9A" w:rsidRDefault="00EF1983" w:rsidP="0061151B">
            <w:pPr>
              <w:spacing w:after="0" w:line="240" w:lineRule="auto"/>
              <w:rPr>
                <w:rFonts w:asciiTheme="majorHAnsi" w:eastAsia="Times New Roman" w:hAnsiTheme="majorHAnsi" w:cstheme="majorHAnsi"/>
                <w:b/>
                <w:bCs/>
                <w:i/>
                <w:iCs/>
                <w:color w:val="000000"/>
                <w:sz w:val="18"/>
                <w:szCs w:val="18"/>
                <w:lang w:val="ro-MD"/>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142A147F" w14:textId="77777777" w:rsidR="00EF1983" w:rsidRPr="00B13B9A" w:rsidRDefault="00EF1983" w:rsidP="0061151B">
            <w:pPr>
              <w:spacing w:after="0" w:line="240" w:lineRule="auto"/>
              <w:rPr>
                <w:rFonts w:asciiTheme="majorHAnsi" w:eastAsia="Times New Roman" w:hAnsiTheme="majorHAnsi" w:cstheme="majorHAnsi"/>
                <w:b/>
                <w:bCs/>
                <w:i/>
                <w:iCs/>
                <w:color w:val="000000"/>
                <w:sz w:val="18"/>
                <w:szCs w:val="18"/>
                <w:lang w:val="ro-MD"/>
              </w:rPr>
            </w:pPr>
          </w:p>
        </w:tc>
        <w:tc>
          <w:tcPr>
            <w:tcW w:w="853" w:type="dxa"/>
            <w:vMerge/>
            <w:tcBorders>
              <w:top w:val="single" w:sz="4" w:space="0" w:color="auto"/>
              <w:left w:val="single" w:sz="4" w:space="0" w:color="auto"/>
              <w:bottom w:val="single" w:sz="4" w:space="0" w:color="000000"/>
              <w:right w:val="single" w:sz="4" w:space="0" w:color="auto"/>
            </w:tcBorders>
            <w:vAlign w:val="center"/>
            <w:hideMark/>
          </w:tcPr>
          <w:p w14:paraId="2D60F5CC" w14:textId="77777777" w:rsidR="00EF1983" w:rsidRPr="00B13B9A" w:rsidRDefault="00EF1983" w:rsidP="0061151B">
            <w:pPr>
              <w:spacing w:after="0" w:line="240" w:lineRule="auto"/>
              <w:rPr>
                <w:rFonts w:asciiTheme="majorHAnsi" w:eastAsia="Times New Roman" w:hAnsiTheme="majorHAnsi" w:cstheme="majorHAnsi"/>
                <w:b/>
                <w:bCs/>
                <w:i/>
                <w:iCs/>
                <w:color w:val="000000"/>
                <w:sz w:val="18"/>
                <w:szCs w:val="18"/>
                <w:lang w:val="ro-MD"/>
              </w:rPr>
            </w:pPr>
          </w:p>
        </w:tc>
        <w:tc>
          <w:tcPr>
            <w:tcW w:w="1126" w:type="dxa"/>
            <w:vMerge/>
            <w:tcBorders>
              <w:top w:val="single" w:sz="4" w:space="0" w:color="auto"/>
              <w:left w:val="single" w:sz="4" w:space="0" w:color="auto"/>
              <w:bottom w:val="single" w:sz="4" w:space="0" w:color="000000"/>
              <w:right w:val="single" w:sz="4" w:space="0" w:color="auto"/>
            </w:tcBorders>
            <w:vAlign w:val="center"/>
            <w:hideMark/>
          </w:tcPr>
          <w:p w14:paraId="7BC26CA5" w14:textId="77777777" w:rsidR="00EF1983" w:rsidRPr="00B13B9A" w:rsidRDefault="00EF1983" w:rsidP="0061151B">
            <w:pPr>
              <w:spacing w:after="0" w:line="240" w:lineRule="auto"/>
              <w:rPr>
                <w:rFonts w:asciiTheme="majorHAnsi" w:eastAsia="Times New Roman" w:hAnsiTheme="majorHAnsi" w:cstheme="majorHAnsi"/>
                <w:b/>
                <w:bCs/>
                <w:i/>
                <w:iCs/>
                <w:color w:val="000000"/>
                <w:sz w:val="18"/>
                <w:szCs w:val="18"/>
                <w:lang w:val="ro-MD"/>
              </w:rPr>
            </w:pPr>
          </w:p>
        </w:tc>
      </w:tr>
      <w:tr w:rsidR="00EF1983" w:rsidRPr="00B13B9A" w14:paraId="7110B812"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B1ED741" w14:textId="77777777" w:rsidR="00EF1983" w:rsidRPr="00B13B9A" w:rsidRDefault="00EF1983" w:rsidP="0061151B">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Retribuirea muncii</w:t>
            </w:r>
          </w:p>
        </w:tc>
        <w:tc>
          <w:tcPr>
            <w:tcW w:w="944" w:type="dxa"/>
            <w:tcBorders>
              <w:top w:val="nil"/>
              <w:left w:val="nil"/>
              <w:bottom w:val="single" w:sz="4" w:space="0" w:color="auto"/>
              <w:right w:val="single" w:sz="4" w:space="0" w:color="auto"/>
            </w:tcBorders>
            <w:shd w:val="clear" w:color="auto" w:fill="auto"/>
            <w:noWrap/>
            <w:vAlign w:val="center"/>
            <w:hideMark/>
          </w:tcPr>
          <w:p w14:paraId="4934B35A"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9 884,86</w:t>
            </w:r>
          </w:p>
        </w:tc>
        <w:tc>
          <w:tcPr>
            <w:tcW w:w="944" w:type="dxa"/>
            <w:tcBorders>
              <w:top w:val="nil"/>
              <w:left w:val="nil"/>
              <w:bottom w:val="single" w:sz="4" w:space="0" w:color="auto"/>
              <w:right w:val="single" w:sz="4" w:space="0" w:color="auto"/>
            </w:tcBorders>
            <w:shd w:val="clear" w:color="auto" w:fill="auto"/>
            <w:noWrap/>
            <w:vAlign w:val="center"/>
            <w:hideMark/>
          </w:tcPr>
          <w:p w14:paraId="05D15C44"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9 213,20</w:t>
            </w:r>
          </w:p>
        </w:tc>
        <w:tc>
          <w:tcPr>
            <w:tcW w:w="990" w:type="dxa"/>
            <w:tcBorders>
              <w:top w:val="nil"/>
              <w:left w:val="nil"/>
              <w:bottom w:val="single" w:sz="4" w:space="0" w:color="auto"/>
              <w:right w:val="single" w:sz="4" w:space="0" w:color="auto"/>
            </w:tcBorders>
            <w:shd w:val="clear" w:color="auto" w:fill="auto"/>
            <w:noWrap/>
            <w:vAlign w:val="center"/>
            <w:hideMark/>
          </w:tcPr>
          <w:p w14:paraId="4BCD44A4"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11 352,86</w:t>
            </w:r>
          </w:p>
        </w:tc>
        <w:tc>
          <w:tcPr>
            <w:tcW w:w="1091" w:type="dxa"/>
            <w:tcBorders>
              <w:top w:val="nil"/>
              <w:left w:val="nil"/>
              <w:bottom w:val="single" w:sz="4" w:space="0" w:color="auto"/>
              <w:right w:val="single" w:sz="4" w:space="0" w:color="auto"/>
            </w:tcBorders>
            <w:shd w:val="clear" w:color="auto" w:fill="auto"/>
            <w:noWrap/>
            <w:vAlign w:val="center"/>
            <w:hideMark/>
          </w:tcPr>
          <w:p w14:paraId="1CCF1A4D"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13 840,64</w:t>
            </w:r>
          </w:p>
        </w:tc>
        <w:tc>
          <w:tcPr>
            <w:tcW w:w="993" w:type="dxa"/>
            <w:tcBorders>
              <w:top w:val="nil"/>
              <w:left w:val="nil"/>
              <w:bottom w:val="single" w:sz="4" w:space="0" w:color="auto"/>
              <w:right w:val="single" w:sz="4" w:space="0" w:color="auto"/>
            </w:tcBorders>
            <w:shd w:val="clear" w:color="auto" w:fill="auto"/>
            <w:noWrap/>
            <w:vAlign w:val="center"/>
            <w:hideMark/>
          </w:tcPr>
          <w:p w14:paraId="5030C3D4"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12 386,84</w:t>
            </w:r>
          </w:p>
        </w:tc>
        <w:tc>
          <w:tcPr>
            <w:tcW w:w="853" w:type="dxa"/>
            <w:tcBorders>
              <w:top w:val="nil"/>
              <w:left w:val="nil"/>
              <w:bottom w:val="single" w:sz="4" w:space="0" w:color="auto"/>
              <w:right w:val="single" w:sz="4" w:space="0" w:color="auto"/>
            </w:tcBorders>
            <w:shd w:val="clear" w:color="auto" w:fill="auto"/>
            <w:noWrap/>
            <w:vAlign w:val="center"/>
            <w:hideMark/>
          </w:tcPr>
          <w:p w14:paraId="79D57D45"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4 497,98</w:t>
            </w:r>
          </w:p>
        </w:tc>
        <w:tc>
          <w:tcPr>
            <w:tcW w:w="1126" w:type="dxa"/>
            <w:tcBorders>
              <w:top w:val="nil"/>
              <w:left w:val="nil"/>
              <w:bottom w:val="single" w:sz="4" w:space="0" w:color="auto"/>
              <w:right w:val="single" w:sz="4" w:space="0" w:color="auto"/>
            </w:tcBorders>
            <w:shd w:val="clear" w:color="auto" w:fill="auto"/>
            <w:noWrap/>
            <w:vAlign w:val="center"/>
            <w:hideMark/>
          </w:tcPr>
          <w:p w14:paraId="0E33B76E"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61 176,39</w:t>
            </w:r>
          </w:p>
        </w:tc>
      </w:tr>
      <w:tr w:rsidR="00EF1983" w:rsidRPr="00B13B9A" w14:paraId="5D876BE3"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97284D3" w14:textId="3A6B5D50" w:rsidR="00EF1983" w:rsidRPr="00B13B9A" w:rsidRDefault="00EF1983" w:rsidP="00585605">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xml:space="preserve">Fondul </w:t>
            </w:r>
            <w:r w:rsidR="00585605" w:rsidRPr="00B13B9A">
              <w:rPr>
                <w:rFonts w:asciiTheme="majorHAnsi" w:eastAsia="Times New Roman" w:hAnsiTheme="majorHAnsi" w:cstheme="majorHAnsi"/>
                <w:color w:val="000000"/>
                <w:sz w:val="18"/>
                <w:szCs w:val="18"/>
                <w:lang w:val="ro-MD"/>
              </w:rPr>
              <w:t>s</w:t>
            </w:r>
            <w:r w:rsidRPr="00B13B9A">
              <w:rPr>
                <w:rFonts w:asciiTheme="majorHAnsi" w:eastAsia="Times New Roman" w:hAnsiTheme="majorHAnsi" w:cstheme="majorHAnsi"/>
                <w:color w:val="000000"/>
                <w:sz w:val="18"/>
                <w:szCs w:val="18"/>
                <w:lang w:val="ro-MD"/>
              </w:rPr>
              <w:t>ocial</w:t>
            </w:r>
          </w:p>
        </w:tc>
        <w:tc>
          <w:tcPr>
            <w:tcW w:w="944" w:type="dxa"/>
            <w:tcBorders>
              <w:top w:val="nil"/>
              <w:left w:val="nil"/>
              <w:bottom w:val="single" w:sz="4" w:space="0" w:color="auto"/>
              <w:right w:val="single" w:sz="4" w:space="0" w:color="auto"/>
            </w:tcBorders>
            <w:shd w:val="clear" w:color="auto" w:fill="auto"/>
            <w:noWrap/>
            <w:vAlign w:val="center"/>
            <w:hideMark/>
          </w:tcPr>
          <w:p w14:paraId="295E56EA"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2 135,30</w:t>
            </w:r>
          </w:p>
        </w:tc>
        <w:tc>
          <w:tcPr>
            <w:tcW w:w="944" w:type="dxa"/>
            <w:tcBorders>
              <w:top w:val="nil"/>
              <w:left w:val="nil"/>
              <w:bottom w:val="single" w:sz="4" w:space="0" w:color="auto"/>
              <w:right w:val="single" w:sz="4" w:space="0" w:color="auto"/>
            </w:tcBorders>
            <w:shd w:val="clear" w:color="auto" w:fill="auto"/>
            <w:noWrap/>
            <w:vAlign w:val="center"/>
            <w:hideMark/>
          </w:tcPr>
          <w:p w14:paraId="233914B1"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1 641,67</w:t>
            </w:r>
          </w:p>
        </w:tc>
        <w:tc>
          <w:tcPr>
            <w:tcW w:w="990" w:type="dxa"/>
            <w:tcBorders>
              <w:top w:val="nil"/>
              <w:left w:val="nil"/>
              <w:bottom w:val="single" w:sz="4" w:space="0" w:color="auto"/>
              <w:right w:val="single" w:sz="4" w:space="0" w:color="auto"/>
            </w:tcBorders>
            <w:shd w:val="clear" w:color="auto" w:fill="auto"/>
            <w:noWrap/>
            <w:vAlign w:val="center"/>
            <w:hideMark/>
          </w:tcPr>
          <w:p w14:paraId="5FDBA14A"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2 030,11</w:t>
            </w:r>
          </w:p>
        </w:tc>
        <w:tc>
          <w:tcPr>
            <w:tcW w:w="1091" w:type="dxa"/>
            <w:tcBorders>
              <w:top w:val="nil"/>
              <w:left w:val="nil"/>
              <w:bottom w:val="single" w:sz="4" w:space="0" w:color="auto"/>
              <w:right w:val="single" w:sz="4" w:space="0" w:color="auto"/>
            </w:tcBorders>
            <w:shd w:val="clear" w:color="auto" w:fill="auto"/>
            <w:noWrap/>
            <w:vAlign w:val="center"/>
            <w:hideMark/>
          </w:tcPr>
          <w:p w14:paraId="07C78FAB"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3 321,75</w:t>
            </w:r>
          </w:p>
        </w:tc>
        <w:tc>
          <w:tcPr>
            <w:tcW w:w="993" w:type="dxa"/>
            <w:tcBorders>
              <w:top w:val="nil"/>
              <w:left w:val="nil"/>
              <w:bottom w:val="single" w:sz="4" w:space="0" w:color="auto"/>
              <w:right w:val="single" w:sz="4" w:space="0" w:color="auto"/>
            </w:tcBorders>
            <w:shd w:val="clear" w:color="auto" w:fill="auto"/>
            <w:noWrap/>
            <w:vAlign w:val="center"/>
            <w:hideMark/>
          </w:tcPr>
          <w:p w14:paraId="0DDF494C"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2 983,23</w:t>
            </w:r>
          </w:p>
        </w:tc>
        <w:tc>
          <w:tcPr>
            <w:tcW w:w="853" w:type="dxa"/>
            <w:tcBorders>
              <w:top w:val="nil"/>
              <w:left w:val="nil"/>
              <w:bottom w:val="single" w:sz="4" w:space="0" w:color="auto"/>
              <w:right w:val="single" w:sz="4" w:space="0" w:color="auto"/>
            </w:tcBorders>
            <w:shd w:val="clear" w:color="auto" w:fill="auto"/>
            <w:noWrap/>
            <w:vAlign w:val="center"/>
            <w:hideMark/>
          </w:tcPr>
          <w:p w14:paraId="4A0BA899"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1 079,52</w:t>
            </w:r>
          </w:p>
        </w:tc>
        <w:tc>
          <w:tcPr>
            <w:tcW w:w="1126" w:type="dxa"/>
            <w:tcBorders>
              <w:top w:val="nil"/>
              <w:left w:val="nil"/>
              <w:bottom w:val="single" w:sz="4" w:space="0" w:color="auto"/>
              <w:right w:val="single" w:sz="4" w:space="0" w:color="auto"/>
            </w:tcBorders>
            <w:shd w:val="clear" w:color="auto" w:fill="auto"/>
            <w:noWrap/>
            <w:vAlign w:val="center"/>
            <w:hideMark/>
          </w:tcPr>
          <w:p w14:paraId="3C4FD411"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13 191,58</w:t>
            </w:r>
          </w:p>
        </w:tc>
      </w:tr>
      <w:tr w:rsidR="00EF1983" w:rsidRPr="00B13B9A" w14:paraId="35D27084"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F42C9E5" w14:textId="77777777" w:rsidR="00EF1983" w:rsidRPr="00B13B9A" w:rsidRDefault="00EF1983" w:rsidP="0061151B">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Prime obligatorii medicale</w:t>
            </w:r>
          </w:p>
        </w:tc>
        <w:tc>
          <w:tcPr>
            <w:tcW w:w="944" w:type="dxa"/>
            <w:tcBorders>
              <w:top w:val="nil"/>
              <w:left w:val="nil"/>
              <w:bottom w:val="single" w:sz="4" w:space="0" w:color="auto"/>
              <w:right w:val="single" w:sz="4" w:space="0" w:color="auto"/>
            </w:tcBorders>
            <w:shd w:val="clear" w:color="auto" w:fill="auto"/>
            <w:noWrap/>
            <w:vAlign w:val="center"/>
            <w:hideMark/>
          </w:tcPr>
          <w:p w14:paraId="30481548"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441,32</w:t>
            </w:r>
          </w:p>
        </w:tc>
        <w:tc>
          <w:tcPr>
            <w:tcW w:w="944" w:type="dxa"/>
            <w:tcBorders>
              <w:top w:val="nil"/>
              <w:left w:val="nil"/>
              <w:bottom w:val="single" w:sz="4" w:space="0" w:color="auto"/>
              <w:right w:val="single" w:sz="4" w:space="0" w:color="auto"/>
            </w:tcBorders>
            <w:shd w:val="clear" w:color="auto" w:fill="auto"/>
            <w:vAlign w:val="center"/>
            <w:hideMark/>
          </w:tcPr>
          <w:p w14:paraId="586542BF"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411,12</w:t>
            </w:r>
          </w:p>
        </w:tc>
        <w:tc>
          <w:tcPr>
            <w:tcW w:w="990" w:type="dxa"/>
            <w:tcBorders>
              <w:top w:val="nil"/>
              <w:left w:val="nil"/>
              <w:bottom w:val="single" w:sz="4" w:space="0" w:color="auto"/>
              <w:right w:val="single" w:sz="4" w:space="0" w:color="auto"/>
            </w:tcBorders>
            <w:shd w:val="clear" w:color="auto" w:fill="auto"/>
            <w:noWrap/>
            <w:vAlign w:val="center"/>
            <w:hideMark/>
          </w:tcPr>
          <w:p w14:paraId="3FBE8030"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507,52</w:t>
            </w:r>
          </w:p>
        </w:tc>
        <w:tc>
          <w:tcPr>
            <w:tcW w:w="1091" w:type="dxa"/>
            <w:tcBorders>
              <w:top w:val="nil"/>
              <w:left w:val="nil"/>
              <w:bottom w:val="single" w:sz="4" w:space="0" w:color="auto"/>
              <w:right w:val="single" w:sz="4" w:space="0" w:color="auto"/>
            </w:tcBorders>
            <w:shd w:val="clear" w:color="auto" w:fill="auto"/>
            <w:noWrap/>
            <w:vAlign w:val="center"/>
            <w:hideMark/>
          </w:tcPr>
          <w:p w14:paraId="0A48935F"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w:t>
            </w:r>
          </w:p>
        </w:tc>
        <w:tc>
          <w:tcPr>
            <w:tcW w:w="993" w:type="dxa"/>
            <w:tcBorders>
              <w:top w:val="nil"/>
              <w:left w:val="nil"/>
              <w:bottom w:val="single" w:sz="4" w:space="0" w:color="auto"/>
              <w:right w:val="single" w:sz="4" w:space="0" w:color="auto"/>
            </w:tcBorders>
            <w:shd w:val="clear" w:color="auto" w:fill="auto"/>
            <w:noWrap/>
            <w:vAlign w:val="center"/>
            <w:hideMark/>
          </w:tcPr>
          <w:p w14:paraId="1D4A6680"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0</w:t>
            </w:r>
          </w:p>
        </w:tc>
        <w:tc>
          <w:tcPr>
            <w:tcW w:w="853" w:type="dxa"/>
            <w:tcBorders>
              <w:top w:val="nil"/>
              <w:left w:val="nil"/>
              <w:bottom w:val="single" w:sz="4" w:space="0" w:color="auto"/>
              <w:right w:val="single" w:sz="4" w:space="0" w:color="auto"/>
            </w:tcBorders>
            <w:shd w:val="clear" w:color="auto" w:fill="auto"/>
            <w:noWrap/>
            <w:vAlign w:val="center"/>
            <w:hideMark/>
          </w:tcPr>
          <w:p w14:paraId="4A4AFED0"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0</w:t>
            </w:r>
          </w:p>
        </w:tc>
        <w:tc>
          <w:tcPr>
            <w:tcW w:w="1126" w:type="dxa"/>
            <w:tcBorders>
              <w:top w:val="nil"/>
              <w:left w:val="nil"/>
              <w:bottom w:val="single" w:sz="4" w:space="0" w:color="auto"/>
              <w:right w:val="single" w:sz="4" w:space="0" w:color="auto"/>
            </w:tcBorders>
            <w:shd w:val="clear" w:color="auto" w:fill="auto"/>
            <w:noWrap/>
            <w:vAlign w:val="center"/>
            <w:hideMark/>
          </w:tcPr>
          <w:p w14:paraId="3A1E41E3"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1 359,96</w:t>
            </w:r>
          </w:p>
        </w:tc>
      </w:tr>
      <w:tr w:rsidR="00EF1983" w:rsidRPr="00B13B9A" w14:paraId="6851D54D"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53343A1" w14:textId="77777777" w:rsidR="00EF1983" w:rsidRPr="00B13B9A" w:rsidRDefault="00EF1983" w:rsidP="0061151B">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Concedii medicale</w:t>
            </w:r>
          </w:p>
        </w:tc>
        <w:tc>
          <w:tcPr>
            <w:tcW w:w="944" w:type="dxa"/>
            <w:tcBorders>
              <w:top w:val="nil"/>
              <w:left w:val="nil"/>
              <w:bottom w:val="single" w:sz="4" w:space="0" w:color="auto"/>
              <w:right w:val="single" w:sz="4" w:space="0" w:color="auto"/>
            </w:tcBorders>
            <w:shd w:val="clear" w:color="auto" w:fill="auto"/>
            <w:noWrap/>
            <w:vAlign w:val="center"/>
            <w:hideMark/>
          </w:tcPr>
          <w:p w14:paraId="7AB662DB"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0,00</w:t>
            </w:r>
          </w:p>
        </w:tc>
        <w:tc>
          <w:tcPr>
            <w:tcW w:w="944" w:type="dxa"/>
            <w:tcBorders>
              <w:top w:val="nil"/>
              <w:left w:val="nil"/>
              <w:bottom w:val="single" w:sz="4" w:space="0" w:color="auto"/>
              <w:right w:val="single" w:sz="4" w:space="0" w:color="auto"/>
            </w:tcBorders>
            <w:shd w:val="clear" w:color="auto" w:fill="auto"/>
            <w:vAlign w:val="center"/>
            <w:hideMark/>
          </w:tcPr>
          <w:p w14:paraId="41FB76ED"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0,00</w:t>
            </w:r>
          </w:p>
        </w:tc>
        <w:tc>
          <w:tcPr>
            <w:tcW w:w="990" w:type="dxa"/>
            <w:tcBorders>
              <w:top w:val="nil"/>
              <w:left w:val="nil"/>
              <w:bottom w:val="single" w:sz="4" w:space="0" w:color="auto"/>
              <w:right w:val="single" w:sz="4" w:space="0" w:color="auto"/>
            </w:tcBorders>
            <w:shd w:val="clear" w:color="auto" w:fill="auto"/>
            <w:noWrap/>
            <w:vAlign w:val="center"/>
            <w:hideMark/>
          </w:tcPr>
          <w:p w14:paraId="670E363D"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w:t>
            </w:r>
          </w:p>
        </w:tc>
        <w:tc>
          <w:tcPr>
            <w:tcW w:w="1091" w:type="dxa"/>
            <w:tcBorders>
              <w:top w:val="nil"/>
              <w:left w:val="nil"/>
              <w:bottom w:val="single" w:sz="4" w:space="0" w:color="auto"/>
              <w:right w:val="single" w:sz="4" w:space="0" w:color="auto"/>
            </w:tcBorders>
            <w:shd w:val="clear" w:color="auto" w:fill="auto"/>
            <w:noWrap/>
            <w:vAlign w:val="center"/>
            <w:hideMark/>
          </w:tcPr>
          <w:p w14:paraId="2743C1B1"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w:t>
            </w:r>
          </w:p>
        </w:tc>
        <w:tc>
          <w:tcPr>
            <w:tcW w:w="993" w:type="dxa"/>
            <w:tcBorders>
              <w:top w:val="nil"/>
              <w:left w:val="nil"/>
              <w:bottom w:val="single" w:sz="4" w:space="0" w:color="auto"/>
              <w:right w:val="single" w:sz="4" w:space="0" w:color="auto"/>
            </w:tcBorders>
            <w:shd w:val="clear" w:color="auto" w:fill="auto"/>
            <w:noWrap/>
            <w:vAlign w:val="center"/>
            <w:hideMark/>
          </w:tcPr>
          <w:p w14:paraId="6D6A5C9E"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49,62</w:t>
            </w:r>
          </w:p>
        </w:tc>
        <w:tc>
          <w:tcPr>
            <w:tcW w:w="853" w:type="dxa"/>
            <w:tcBorders>
              <w:top w:val="nil"/>
              <w:left w:val="nil"/>
              <w:bottom w:val="single" w:sz="4" w:space="0" w:color="auto"/>
              <w:right w:val="single" w:sz="4" w:space="0" w:color="auto"/>
            </w:tcBorders>
            <w:shd w:val="clear" w:color="auto" w:fill="auto"/>
            <w:noWrap/>
            <w:vAlign w:val="center"/>
            <w:hideMark/>
          </w:tcPr>
          <w:p w14:paraId="247017E1"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0,00</w:t>
            </w:r>
          </w:p>
        </w:tc>
        <w:tc>
          <w:tcPr>
            <w:tcW w:w="1126" w:type="dxa"/>
            <w:tcBorders>
              <w:top w:val="nil"/>
              <w:left w:val="nil"/>
              <w:bottom w:val="single" w:sz="4" w:space="0" w:color="auto"/>
              <w:right w:val="single" w:sz="4" w:space="0" w:color="auto"/>
            </w:tcBorders>
            <w:shd w:val="clear" w:color="auto" w:fill="auto"/>
            <w:noWrap/>
            <w:vAlign w:val="center"/>
            <w:hideMark/>
          </w:tcPr>
          <w:p w14:paraId="7B50DD97"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EF1983" w:rsidRPr="00B13B9A" w14:paraId="15E111E9"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670D719" w14:textId="1151E8CB" w:rsidR="00EF1983" w:rsidRPr="00B13B9A" w:rsidRDefault="00EF1983" w:rsidP="0061151B">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Alimenta</w:t>
            </w:r>
            <w:r w:rsidR="00B13B9A" w:rsidRPr="00B13B9A">
              <w:rPr>
                <w:rFonts w:asciiTheme="majorHAnsi" w:eastAsia="Times New Roman" w:hAnsiTheme="majorHAnsi" w:cstheme="majorHAnsi"/>
                <w:color w:val="000000"/>
                <w:sz w:val="18"/>
                <w:szCs w:val="18"/>
                <w:lang w:val="ro-MD"/>
              </w:rPr>
              <w:t>ț</w:t>
            </w:r>
            <w:r w:rsidRPr="00B13B9A">
              <w:rPr>
                <w:rFonts w:asciiTheme="majorHAnsi" w:eastAsia="Times New Roman" w:hAnsiTheme="majorHAnsi" w:cstheme="majorHAnsi"/>
                <w:color w:val="000000"/>
                <w:sz w:val="18"/>
                <w:szCs w:val="18"/>
                <w:lang w:val="ro-MD"/>
              </w:rPr>
              <w:t>ia</w:t>
            </w:r>
          </w:p>
        </w:tc>
        <w:tc>
          <w:tcPr>
            <w:tcW w:w="944" w:type="dxa"/>
            <w:tcBorders>
              <w:top w:val="nil"/>
              <w:left w:val="nil"/>
              <w:bottom w:val="single" w:sz="4" w:space="0" w:color="auto"/>
              <w:right w:val="single" w:sz="4" w:space="0" w:color="auto"/>
            </w:tcBorders>
            <w:shd w:val="clear" w:color="auto" w:fill="auto"/>
            <w:noWrap/>
            <w:vAlign w:val="center"/>
            <w:hideMark/>
          </w:tcPr>
          <w:p w14:paraId="51F891AE"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1 213,21</w:t>
            </w:r>
          </w:p>
        </w:tc>
        <w:tc>
          <w:tcPr>
            <w:tcW w:w="944" w:type="dxa"/>
            <w:tcBorders>
              <w:top w:val="nil"/>
              <w:left w:val="nil"/>
              <w:bottom w:val="single" w:sz="4" w:space="0" w:color="auto"/>
              <w:right w:val="single" w:sz="4" w:space="0" w:color="auto"/>
            </w:tcBorders>
            <w:shd w:val="clear" w:color="auto" w:fill="auto"/>
            <w:vAlign w:val="center"/>
            <w:hideMark/>
          </w:tcPr>
          <w:p w14:paraId="47F99182"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999,42</w:t>
            </w:r>
          </w:p>
        </w:tc>
        <w:tc>
          <w:tcPr>
            <w:tcW w:w="990" w:type="dxa"/>
            <w:tcBorders>
              <w:top w:val="nil"/>
              <w:left w:val="nil"/>
              <w:bottom w:val="single" w:sz="4" w:space="0" w:color="auto"/>
              <w:right w:val="single" w:sz="4" w:space="0" w:color="auto"/>
            </w:tcBorders>
            <w:shd w:val="clear" w:color="auto" w:fill="auto"/>
            <w:noWrap/>
            <w:vAlign w:val="center"/>
            <w:hideMark/>
          </w:tcPr>
          <w:p w14:paraId="4C500523"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1 264,63</w:t>
            </w:r>
          </w:p>
        </w:tc>
        <w:tc>
          <w:tcPr>
            <w:tcW w:w="1091" w:type="dxa"/>
            <w:tcBorders>
              <w:top w:val="nil"/>
              <w:left w:val="nil"/>
              <w:bottom w:val="single" w:sz="4" w:space="0" w:color="auto"/>
              <w:right w:val="single" w:sz="4" w:space="0" w:color="auto"/>
            </w:tcBorders>
            <w:shd w:val="clear" w:color="auto" w:fill="auto"/>
            <w:noWrap/>
            <w:vAlign w:val="center"/>
            <w:hideMark/>
          </w:tcPr>
          <w:p w14:paraId="34E1F28C"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953,03</w:t>
            </w:r>
          </w:p>
        </w:tc>
        <w:tc>
          <w:tcPr>
            <w:tcW w:w="993" w:type="dxa"/>
            <w:tcBorders>
              <w:top w:val="nil"/>
              <w:left w:val="nil"/>
              <w:bottom w:val="single" w:sz="4" w:space="0" w:color="auto"/>
              <w:right w:val="single" w:sz="4" w:space="0" w:color="auto"/>
            </w:tcBorders>
            <w:shd w:val="clear" w:color="auto" w:fill="auto"/>
            <w:noWrap/>
            <w:vAlign w:val="center"/>
            <w:hideMark/>
          </w:tcPr>
          <w:p w14:paraId="5B22AEBD"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726,33</w:t>
            </w:r>
          </w:p>
        </w:tc>
        <w:tc>
          <w:tcPr>
            <w:tcW w:w="853" w:type="dxa"/>
            <w:tcBorders>
              <w:top w:val="nil"/>
              <w:left w:val="nil"/>
              <w:bottom w:val="single" w:sz="4" w:space="0" w:color="auto"/>
              <w:right w:val="single" w:sz="4" w:space="0" w:color="auto"/>
            </w:tcBorders>
            <w:shd w:val="clear" w:color="auto" w:fill="auto"/>
            <w:noWrap/>
            <w:vAlign w:val="center"/>
            <w:hideMark/>
          </w:tcPr>
          <w:p w14:paraId="5C96663F"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566,62</w:t>
            </w:r>
          </w:p>
        </w:tc>
        <w:tc>
          <w:tcPr>
            <w:tcW w:w="1126" w:type="dxa"/>
            <w:tcBorders>
              <w:top w:val="nil"/>
              <w:left w:val="nil"/>
              <w:bottom w:val="single" w:sz="4" w:space="0" w:color="auto"/>
              <w:right w:val="single" w:sz="4" w:space="0" w:color="auto"/>
            </w:tcBorders>
            <w:shd w:val="clear" w:color="auto" w:fill="auto"/>
            <w:noWrap/>
            <w:vAlign w:val="center"/>
            <w:hideMark/>
          </w:tcPr>
          <w:p w14:paraId="10DD53B5"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5 723,24</w:t>
            </w:r>
          </w:p>
        </w:tc>
      </w:tr>
      <w:tr w:rsidR="00EF1983" w:rsidRPr="00B13B9A" w14:paraId="3FB9B1DE"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678D23C" w14:textId="77777777" w:rsidR="00EF1983" w:rsidRPr="00B13B9A" w:rsidRDefault="00EF1983" w:rsidP="0061151B">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Medicamente</w:t>
            </w:r>
          </w:p>
        </w:tc>
        <w:tc>
          <w:tcPr>
            <w:tcW w:w="944" w:type="dxa"/>
            <w:tcBorders>
              <w:top w:val="nil"/>
              <w:left w:val="nil"/>
              <w:bottom w:val="single" w:sz="4" w:space="0" w:color="auto"/>
              <w:right w:val="single" w:sz="4" w:space="0" w:color="auto"/>
            </w:tcBorders>
            <w:shd w:val="clear" w:color="auto" w:fill="auto"/>
            <w:noWrap/>
            <w:vAlign w:val="center"/>
            <w:hideMark/>
          </w:tcPr>
          <w:p w14:paraId="142649A7"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415,29</w:t>
            </w:r>
          </w:p>
        </w:tc>
        <w:tc>
          <w:tcPr>
            <w:tcW w:w="944" w:type="dxa"/>
            <w:tcBorders>
              <w:top w:val="nil"/>
              <w:left w:val="nil"/>
              <w:bottom w:val="single" w:sz="4" w:space="0" w:color="auto"/>
              <w:right w:val="single" w:sz="4" w:space="0" w:color="auto"/>
            </w:tcBorders>
            <w:shd w:val="clear" w:color="auto" w:fill="auto"/>
            <w:vAlign w:val="center"/>
            <w:hideMark/>
          </w:tcPr>
          <w:p w14:paraId="1BE436E7"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352,75</w:t>
            </w:r>
          </w:p>
        </w:tc>
        <w:tc>
          <w:tcPr>
            <w:tcW w:w="990" w:type="dxa"/>
            <w:tcBorders>
              <w:top w:val="nil"/>
              <w:left w:val="nil"/>
              <w:bottom w:val="single" w:sz="4" w:space="0" w:color="auto"/>
              <w:right w:val="single" w:sz="4" w:space="0" w:color="auto"/>
            </w:tcBorders>
            <w:shd w:val="clear" w:color="auto" w:fill="auto"/>
            <w:noWrap/>
            <w:vAlign w:val="center"/>
            <w:hideMark/>
          </w:tcPr>
          <w:p w14:paraId="1D1B0E57"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396,32</w:t>
            </w:r>
          </w:p>
        </w:tc>
        <w:tc>
          <w:tcPr>
            <w:tcW w:w="1091" w:type="dxa"/>
            <w:tcBorders>
              <w:top w:val="nil"/>
              <w:left w:val="nil"/>
              <w:bottom w:val="single" w:sz="4" w:space="0" w:color="auto"/>
              <w:right w:val="single" w:sz="4" w:space="0" w:color="auto"/>
            </w:tcBorders>
            <w:shd w:val="clear" w:color="auto" w:fill="auto"/>
            <w:noWrap/>
            <w:vAlign w:val="center"/>
            <w:hideMark/>
          </w:tcPr>
          <w:p w14:paraId="3201F1F4"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178,10</w:t>
            </w:r>
          </w:p>
        </w:tc>
        <w:tc>
          <w:tcPr>
            <w:tcW w:w="993" w:type="dxa"/>
            <w:tcBorders>
              <w:top w:val="nil"/>
              <w:left w:val="nil"/>
              <w:bottom w:val="single" w:sz="4" w:space="0" w:color="auto"/>
              <w:right w:val="single" w:sz="4" w:space="0" w:color="auto"/>
            </w:tcBorders>
            <w:shd w:val="clear" w:color="auto" w:fill="auto"/>
            <w:noWrap/>
            <w:vAlign w:val="center"/>
            <w:hideMark/>
          </w:tcPr>
          <w:p w14:paraId="0FABE906"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123,05</w:t>
            </w:r>
          </w:p>
        </w:tc>
        <w:tc>
          <w:tcPr>
            <w:tcW w:w="853" w:type="dxa"/>
            <w:tcBorders>
              <w:top w:val="nil"/>
              <w:left w:val="nil"/>
              <w:bottom w:val="single" w:sz="4" w:space="0" w:color="auto"/>
              <w:right w:val="single" w:sz="4" w:space="0" w:color="auto"/>
            </w:tcBorders>
            <w:shd w:val="clear" w:color="auto" w:fill="auto"/>
            <w:noWrap/>
            <w:vAlign w:val="center"/>
            <w:hideMark/>
          </w:tcPr>
          <w:p w14:paraId="51173451"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87,70</w:t>
            </w:r>
          </w:p>
        </w:tc>
        <w:tc>
          <w:tcPr>
            <w:tcW w:w="1126" w:type="dxa"/>
            <w:tcBorders>
              <w:top w:val="nil"/>
              <w:left w:val="nil"/>
              <w:bottom w:val="single" w:sz="4" w:space="0" w:color="auto"/>
              <w:right w:val="single" w:sz="4" w:space="0" w:color="auto"/>
            </w:tcBorders>
            <w:shd w:val="clear" w:color="auto" w:fill="auto"/>
            <w:noWrap/>
            <w:vAlign w:val="center"/>
            <w:hideMark/>
          </w:tcPr>
          <w:p w14:paraId="023ED68E"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1 553,21</w:t>
            </w:r>
          </w:p>
        </w:tc>
      </w:tr>
      <w:tr w:rsidR="00EF1983" w:rsidRPr="00B13B9A" w14:paraId="72C1C31C"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1E978E7" w14:textId="0A77E14E" w:rsidR="00EF1983" w:rsidRPr="00B13B9A" w:rsidRDefault="00EF1983" w:rsidP="00585605">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Repara</w:t>
            </w:r>
            <w:r w:rsidR="00B13B9A" w:rsidRPr="00B13B9A">
              <w:rPr>
                <w:rFonts w:asciiTheme="majorHAnsi" w:eastAsia="Times New Roman" w:hAnsiTheme="majorHAnsi" w:cstheme="majorHAnsi"/>
                <w:color w:val="000000"/>
                <w:sz w:val="18"/>
                <w:szCs w:val="18"/>
                <w:lang w:val="ro-MD"/>
              </w:rPr>
              <w:t>ț</w:t>
            </w:r>
            <w:r w:rsidRPr="00B13B9A">
              <w:rPr>
                <w:rFonts w:asciiTheme="majorHAnsi" w:eastAsia="Times New Roman" w:hAnsiTheme="majorHAnsi" w:cstheme="majorHAnsi"/>
                <w:color w:val="000000"/>
                <w:sz w:val="18"/>
                <w:szCs w:val="18"/>
                <w:lang w:val="ro-MD"/>
              </w:rPr>
              <w:t>ia curent</w:t>
            </w:r>
            <w:r w:rsidR="00585605" w:rsidRPr="00B13B9A">
              <w:rPr>
                <w:rFonts w:asciiTheme="majorHAnsi" w:eastAsia="Times New Roman" w:hAnsiTheme="majorHAnsi" w:cstheme="majorHAnsi"/>
                <w:color w:val="000000"/>
                <w:sz w:val="18"/>
                <w:szCs w:val="18"/>
                <w:lang w:val="ro-MD"/>
              </w:rPr>
              <w:t>ă</w:t>
            </w:r>
            <w:r w:rsidRPr="00B13B9A">
              <w:rPr>
                <w:rFonts w:asciiTheme="majorHAnsi" w:eastAsia="Times New Roman" w:hAnsiTheme="majorHAnsi" w:cstheme="majorHAnsi"/>
                <w:color w:val="000000"/>
                <w:sz w:val="18"/>
                <w:szCs w:val="18"/>
                <w:lang w:val="ro-MD"/>
              </w:rPr>
              <w:t xml:space="preserve"> a MF</w:t>
            </w:r>
          </w:p>
        </w:tc>
        <w:tc>
          <w:tcPr>
            <w:tcW w:w="944" w:type="dxa"/>
            <w:tcBorders>
              <w:top w:val="nil"/>
              <w:left w:val="nil"/>
              <w:bottom w:val="single" w:sz="4" w:space="0" w:color="auto"/>
              <w:right w:val="single" w:sz="4" w:space="0" w:color="auto"/>
            </w:tcBorders>
            <w:shd w:val="clear" w:color="auto" w:fill="auto"/>
            <w:noWrap/>
            <w:vAlign w:val="center"/>
            <w:hideMark/>
          </w:tcPr>
          <w:p w14:paraId="04D00BF1"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73,75</w:t>
            </w:r>
          </w:p>
        </w:tc>
        <w:tc>
          <w:tcPr>
            <w:tcW w:w="944" w:type="dxa"/>
            <w:tcBorders>
              <w:top w:val="nil"/>
              <w:left w:val="nil"/>
              <w:bottom w:val="single" w:sz="4" w:space="0" w:color="auto"/>
              <w:right w:val="single" w:sz="4" w:space="0" w:color="auto"/>
            </w:tcBorders>
            <w:shd w:val="clear" w:color="auto" w:fill="auto"/>
            <w:vAlign w:val="center"/>
            <w:hideMark/>
          </w:tcPr>
          <w:p w14:paraId="3C66BDBF"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59,81</w:t>
            </w:r>
          </w:p>
        </w:tc>
        <w:tc>
          <w:tcPr>
            <w:tcW w:w="990" w:type="dxa"/>
            <w:tcBorders>
              <w:top w:val="nil"/>
              <w:left w:val="nil"/>
              <w:bottom w:val="single" w:sz="4" w:space="0" w:color="auto"/>
              <w:right w:val="single" w:sz="4" w:space="0" w:color="auto"/>
            </w:tcBorders>
            <w:shd w:val="clear" w:color="auto" w:fill="auto"/>
            <w:noWrap/>
            <w:vAlign w:val="center"/>
            <w:hideMark/>
          </w:tcPr>
          <w:p w14:paraId="4C8A0DC5"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196,70</w:t>
            </w:r>
          </w:p>
        </w:tc>
        <w:tc>
          <w:tcPr>
            <w:tcW w:w="1091" w:type="dxa"/>
            <w:tcBorders>
              <w:top w:val="nil"/>
              <w:left w:val="nil"/>
              <w:bottom w:val="single" w:sz="4" w:space="0" w:color="auto"/>
              <w:right w:val="single" w:sz="4" w:space="0" w:color="auto"/>
            </w:tcBorders>
            <w:shd w:val="clear" w:color="auto" w:fill="auto"/>
            <w:noWrap/>
            <w:vAlign w:val="center"/>
            <w:hideMark/>
          </w:tcPr>
          <w:p w14:paraId="673F200C"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151,62</w:t>
            </w:r>
          </w:p>
        </w:tc>
        <w:tc>
          <w:tcPr>
            <w:tcW w:w="993" w:type="dxa"/>
            <w:tcBorders>
              <w:top w:val="nil"/>
              <w:left w:val="nil"/>
              <w:bottom w:val="single" w:sz="4" w:space="0" w:color="auto"/>
              <w:right w:val="single" w:sz="4" w:space="0" w:color="auto"/>
            </w:tcBorders>
            <w:shd w:val="clear" w:color="auto" w:fill="auto"/>
            <w:noWrap/>
            <w:vAlign w:val="center"/>
            <w:hideMark/>
          </w:tcPr>
          <w:p w14:paraId="7BBD5242"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107,22</w:t>
            </w:r>
          </w:p>
        </w:tc>
        <w:tc>
          <w:tcPr>
            <w:tcW w:w="853" w:type="dxa"/>
            <w:tcBorders>
              <w:top w:val="nil"/>
              <w:left w:val="nil"/>
              <w:bottom w:val="single" w:sz="4" w:space="0" w:color="auto"/>
              <w:right w:val="single" w:sz="4" w:space="0" w:color="auto"/>
            </w:tcBorders>
            <w:shd w:val="clear" w:color="auto" w:fill="auto"/>
            <w:noWrap/>
            <w:vAlign w:val="center"/>
            <w:hideMark/>
          </w:tcPr>
          <w:p w14:paraId="2909AF61"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7,90</w:t>
            </w:r>
          </w:p>
        </w:tc>
        <w:tc>
          <w:tcPr>
            <w:tcW w:w="1126" w:type="dxa"/>
            <w:tcBorders>
              <w:top w:val="nil"/>
              <w:left w:val="nil"/>
              <w:bottom w:val="single" w:sz="4" w:space="0" w:color="auto"/>
              <w:right w:val="single" w:sz="4" w:space="0" w:color="auto"/>
            </w:tcBorders>
            <w:shd w:val="clear" w:color="auto" w:fill="auto"/>
            <w:noWrap/>
            <w:vAlign w:val="center"/>
            <w:hideMark/>
          </w:tcPr>
          <w:p w14:paraId="7399EA63"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597,00</w:t>
            </w:r>
          </w:p>
        </w:tc>
      </w:tr>
      <w:tr w:rsidR="00EF1983" w:rsidRPr="00B13B9A" w14:paraId="726127D6"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E66FFC9" w14:textId="299D813F" w:rsidR="00EF1983" w:rsidRPr="00B13B9A" w:rsidRDefault="00EF1983" w:rsidP="0061151B">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Perfec</w:t>
            </w:r>
            <w:r w:rsidR="00B13B9A" w:rsidRPr="00B13B9A">
              <w:rPr>
                <w:rFonts w:asciiTheme="majorHAnsi" w:eastAsia="Times New Roman" w:hAnsiTheme="majorHAnsi" w:cstheme="majorHAnsi"/>
                <w:color w:val="000000"/>
                <w:sz w:val="18"/>
                <w:szCs w:val="18"/>
                <w:lang w:val="ro-MD"/>
              </w:rPr>
              <w:t>ț</w:t>
            </w:r>
            <w:r w:rsidRPr="00B13B9A">
              <w:rPr>
                <w:rFonts w:asciiTheme="majorHAnsi" w:eastAsia="Times New Roman" w:hAnsiTheme="majorHAnsi" w:cstheme="majorHAnsi"/>
                <w:color w:val="000000"/>
                <w:sz w:val="18"/>
                <w:szCs w:val="18"/>
                <w:lang w:val="ro-MD"/>
              </w:rPr>
              <w:t>ionare cadre</w:t>
            </w:r>
          </w:p>
        </w:tc>
        <w:tc>
          <w:tcPr>
            <w:tcW w:w="944" w:type="dxa"/>
            <w:tcBorders>
              <w:top w:val="nil"/>
              <w:left w:val="nil"/>
              <w:bottom w:val="single" w:sz="4" w:space="0" w:color="auto"/>
              <w:right w:val="single" w:sz="4" w:space="0" w:color="auto"/>
            </w:tcBorders>
            <w:shd w:val="clear" w:color="auto" w:fill="auto"/>
            <w:noWrap/>
            <w:vAlign w:val="center"/>
            <w:hideMark/>
          </w:tcPr>
          <w:p w14:paraId="206F8A2D"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15,04</w:t>
            </w:r>
          </w:p>
        </w:tc>
        <w:tc>
          <w:tcPr>
            <w:tcW w:w="944" w:type="dxa"/>
            <w:tcBorders>
              <w:top w:val="nil"/>
              <w:left w:val="nil"/>
              <w:bottom w:val="single" w:sz="4" w:space="0" w:color="auto"/>
              <w:right w:val="single" w:sz="4" w:space="0" w:color="auto"/>
            </w:tcBorders>
            <w:shd w:val="clear" w:color="auto" w:fill="auto"/>
            <w:vAlign w:val="center"/>
            <w:hideMark/>
          </w:tcPr>
          <w:p w14:paraId="7214B71D"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0,80</w:t>
            </w:r>
          </w:p>
        </w:tc>
        <w:tc>
          <w:tcPr>
            <w:tcW w:w="990" w:type="dxa"/>
            <w:tcBorders>
              <w:top w:val="nil"/>
              <w:left w:val="nil"/>
              <w:bottom w:val="single" w:sz="4" w:space="0" w:color="auto"/>
              <w:right w:val="single" w:sz="4" w:space="0" w:color="auto"/>
            </w:tcBorders>
            <w:shd w:val="clear" w:color="auto" w:fill="auto"/>
            <w:noWrap/>
            <w:vAlign w:val="center"/>
            <w:hideMark/>
          </w:tcPr>
          <w:p w14:paraId="1FC1BA6A"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1,78</w:t>
            </w:r>
          </w:p>
        </w:tc>
        <w:tc>
          <w:tcPr>
            <w:tcW w:w="1091" w:type="dxa"/>
            <w:tcBorders>
              <w:top w:val="nil"/>
              <w:left w:val="nil"/>
              <w:bottom w:val="single" w:sz="4" w:space="0" w:color="auto"/>
              <w:right w:val="single" w:sz="4" w:space="0" w:color="auto"/>
            </w:tcBorders>
            <w:shd w:val="clear" w:color="auto" w:fill="auto"/>
            <w:noWrap/>
            <w:vAlign w:val="center"/>
            <w:hideMark/>
          </w:tcPr>
          <w:p w14:paraId="6619371E"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0,00</w:t>
            </w:r>
          </w:p>
        </w:tc>
        <w:tc>
          <w:tcPr>
            <w:tcW w:w="993" w:type="dxa"/>
            <w:tcBorders>
              <w:top w:val="nil"/>
              <w:left w:val="nil"/>
              <w:bottom w:val="single" w:sz="4" w:space="0" w:color="auto"/>
              <w:right w:val="single" w:sz="4" w:space="0" w:color="auto"/>
            </w:tcBorders>
            <w:shd w:val="clear" w:color="auto" w:fill="auto"/>
            <w:noWrap/>
            <w:vAlign w:val="center"/>
            <w:hideMark/>
          </w:tcPr>
          <w:p w14:paraId="70646618"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0,00</w:t>
            </w:r>
          </w:p>
        </w:tc>
        <w:tc>
          <w:tcPr>
            <w:tcW w:w="853" w:type="dxa"/>
            <w:tcBorders>
              <w:top w:val="nil"/>
              <w:left w:val="nil"/>
              <w:bottom w:val="single" w:sz="4" w:space="0" w:color="auto"/>
              <w:right w:val="single" w:sz="4" w:space="0" w:color="auto"/>
            </w:tcBorders>
            <w:shd w:val="clear" w:color="auto" w:fill="auto"/>
            <w:noWrap/>
            <w:vAlign w:val="center"/>
            <w:hideMark/>
          </w:tcPr>
          <w:p w14:paraId="56AD8BA5"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0,00</w:t>
            </w:r>
          </w:p>
        </w:tc>
        <w:tc>
          <w:tcPr>
            <w:tcW w:w="1126" w:type="dxa"/>
            <w:tcBorders>
              <w:top w:val="nil"/>
              <w:left w:val="nil"/>
              <w:bottom w:val="single" w:sz="4" w:space="0" w:color="auto"/>
              <w:right w:val="single" w:sz="4" w:space="0" w:color="auto"/>
            </w:tcBorders>
            <w:shd w:val="clear" w:color="auto" w:fill="auto"/>
            <w:noWrap/>
            <w:vAlign w:val="center"/>
            <w:hideMark/>
          </w:tcPr>
          <w:p w14:paraId="5AD32C8E"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17,61</w:t>
            </w:r>
          </w:p>
        </w:tc>
      </w:tr>
      <w:tr w:rsidR="00EF1983" w:rsidRPr="00B13B9A" w14:paraId="0ED91DE8"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4423E4C" w14:textId="77777777" w:rsidR="00EF1983" w:rsidRPr="00B13B9A" w:rsidRDefault="00EF1983" w:rsidP="0061151B">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Produse petroliere</w:t>
            </w:r>
          </w:p>
        </w:tc>
        <w:tc>
          <w:tcPr>
            <w:tcW w:w="944" w:type="dxa"/>
            <w:tcBorders>
              <w:top w:val="nil"/>
              <w:left w:val="nil"/>
              <w:bottom w:val="single" w:sz="4" w:space="0" w:color="auto"/>
              <w:right w:val="single" w:sz="4" w:space="0" w:color="auto"/>
            </w:tcBorders>
            <w:shd w:val="clear" w:color="auto" w:fill="auto"/>
            <w:noWrap/>
            <w:vAlign w:val="center"/>
            <w:hideMark/>
          </w:tcPr>
          <w:p w14:paraId="4C5C9F55"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98,62</w:t>
            </w:r>
          </w:p>
        </w:tc>
        <w:tc>
          <w:tcPr>
            <w:tcW w:w="944" w:type="dxa"/>
            <w:tcBorders>
              <w:top w:val="nil"/>
              <w:left w:val="nil"/>
              <w:bottom w:val="single" w:sz="4" w:space="0" w:color="auto"/>
              <w:right w:val="single" w:sz="4" w:space="0" w:color="auto"/>
            </w:tcBorders>
            <w:shd w:val="clear" w:color="auto" w:fill="auto"/>
            <w:vAlign w:val="center"/>
            <w:hideMark/>
          </w:tcPr>
          <w:p w14:paraId="185962C9"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114,90</w:t>
            </w:r>
          </w:p>
        </w:tc>
        <w:tc>
          <w:tcPr>
            <w:tcW w:w="990" w:type="dxa"/>
            <w:tcBorders>
              <w:top w:val="nil"/>
              <w:left w:val="nil"/>
              <w:bottom w:val="single" w:sz="4" w:space="0" w:color="auto"/>
              <w:right w:val="single" w:sz="4" w:space="0" w:color="auto"/>
            </w:tcBorders>
            <w:shd w:val="clear" w:color="auto" w:fill="auto"/>
            <w:noWrap/>
            <w:vAlign w:val="center"/>
            <w:hideMark/>
          </w:tcPr>
          <w:p w14:paraId="382F89DE"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129,66</w:t>
            </w:r>
          </w:p>
        </w:tc>
        <w:tc>
          <w:tcPr>
            <w:tcW w:w="1091" w:type="dxa"/>
            <w:tcBorders>
              <w:top w:val="nil"/>
              <w:left w:val="nil"/>
              <w:bottom w:val="single" w:sz="4" w:space="0" w:color="auto"/>
              <w:right w:val="single" w:sz="4" w:space="0" w:color="auto"/>
            </w:tcBorders>
            <w:shd w:val="clear" w:color="auto" w:fill="auto"/>
            <w:noWrap/>
            <w:vAlign w:val="center"/>
            <w:hideMark/>
          </w:tcPr>
          <w:p w14:paraId="12C8E31E"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122,88</w:t>
            </w:r>
          </w:p>
        </w:tc>
        <w:tc>
          <w:tcPr>
            <w:tcW w:w="993" w:type="dxa"/>
            <w:tcBorders>
              <w:top w:val="nil"/>
              <w:left w:val="nil"/>
              <w:bottom w:val="single" w:sz="4" w:space="0" w:color="auto"/>
              <w:right w:val="single" w:sz="4" w:space="0" w:color="auto"/>
            </w:tcBorders>
            <w:shd w:val="clear" w:color="auto" w:fill="auto"/>
            <w:noWrap/>
            <w:vAlign w:val="center"/>
            <w:hideMark/>
          </w:tcPr>
          <w:p w14:paraId="3FBDA4BB"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55,32</w:t>
            </w:r>
          </w:p>
        </w:tc>
        <w:tc>
          <w:tcPr>
            <w:tcW w:w="853" w:type="dxa"/>
            <w:tcBorders>
              <w:top w:val="nil"/>
              <w:left w:val="nil"/>
              <w:bottom w:val="single" w:sz="4" w:space="0" w:color="auto"/>
              <w:right w:val="single" w:sz="4" w:space="0" w:color="auto"/>
            </w:tcBorders>
            <w:shd w:val="clear" w:color="auto" w:fill="auto"/>
            <w:noWrap/>
            <w:vAlign w:val="center"/>
            <w:hideMark/>
          </w:tcPr>
          <w:p w14:paraId="69656190"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307,72</w:t>
            </w:r>
          </w:p>
        </w:tc>
        <w:tc>
          <w:tcPr>
            <w:tcW w:w="1126" w:type="dxa"/>
            <w:tcBorders>
              <w:top w:val="nil"/>
              <w:left w:val="nil"/>
              <w:bottom w:val="single" w:sz="4" w:space="0" w:color="auto"/>
              <w:right w:val="single" w:sz="4" w:space="0" w:color="auto"/>
            </w:tcBorders>
            <w:shd w:val="clear" w:color="auto" w:fill="auto"/>
            <w:noWrap/>
            <w:vAlign w:val="center"/>
            <w:hideMark/>
          </w:tcPr>
          <w:p w14:paraId="715CC406"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829,11</w:t>
            </w:r>
          </w:p>
        </w:tc>
      </w:tr>
      <w:tr w:rsidR="00EF1983" w:rsidRPr="00B13B9A" w14:paraId="59979C56"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A5D0D58" w14:textId="77777777" w:rsidR="00EF1983" w:rsidRPr="00B13B9A" w:rsidRDefault="00EF1983" w:rsidP="0061151B">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Gaz</w:t>
            </w:r>
          </w:p>
        </w:tc>
        <w:tc>
          <w:tcPr>
            <w:tcW w:w="944" w:type="dxa"/>
            <w:tcBorders>
              <w:top w:val="nil"/>
              <w:left w:val="nil"/>
              <w:bottom w:val="single" w:sz="4" w:space="0" w:color="auto"/>
              <w:right w:val="single" w:sz="4" w:space="0" w:color="auto"/>
            </w:tcBorders>
            <w:shd w:val="clear" w:color="auto" w:fill="auto"/>
            <w:noWrap/>
            <w:vAlign w:val="center"/>
            <w:hideMark/>
          </w:tcPr>
          <w:p w14:paraId="1ED5CE6D"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1 066,51</w:t>
            </w:r>
          </w:p>
        </w:tc>
        <w:tc>
          <w:tcPr>
            <w:tcW w:w="944" w:type="dxa"/>
            <w:tcBorders>
              <w:top w:val="nil"/>
              <w:left w:val="nil"/>
              <w:bottom w:val="single" w:sz="4" w:space="0" w:color="auto"/>
              <w:right w:val="single" w:sz="4" w:space="0" w:color="auto"/>
            </w:tcBorders>
            <w:shd w:val="clear" w:color="auto" w:fill="auto"/>
            <w:vAlign w:val="center"/>
            <w:hideMark/>
          </w:tcPr>
          <w:p w14:paraId="0B5CDCD4"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828,01</w:t>
            </w:r>
          </w:p>
        </w:tc>
        <w:tc>
          <w:tcPr>
            <w:tcW w:w="990" w:type="dxa"/>
            <w:tcBorders>
              <w:top w:val="nil"/>
              <w:left w:val="nil"/>
              <w:bottom w:val="single" w:sz="4" w:space="0" w:color="auto"/>
              <w:right w:val="single" w:sz="4" w:space="0" w:color="auto"/>
            </w:tcBorders>
            <w:shd w:val="clear" w:color="auto" w:fill="auto"/>
            <w:noWrap/>
            <w:vAlign w:val="center"/>
            <w:hideMark/>
          </w:tcPr>
          <w:p w14:paraId="04907175"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670,41</w:t>
            </w:r>
          </w:p>
        </w:tc>
        <w:tc>
          <w:tcPr>
            <w:tcW w:w="1091" w:type="dxa"/>
            <w:tcBorders>
              <w:top w:val="nil"/>
              <w:left w:val="nil"/>
              <w:bottom w:val="single" w:sz="4" w:space="0" w:color="auto"/>
              <w:right w:val="single" w:sz="4" w:space="0" w:color="auto"/>
            </w:tcBorders>
            <w:shd w:val="clear" w:color="auto" w:fill="auto"/>
            <w:noWrap/>
            <w:vAlign w:val="center"/>
            <w:hideMark/>
          </w:tcPr>
          <w:p w14:paraId="345D5113"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1 140,28</w:t>
            </w:r>
          </w:p>
        </w:tc>
        <w:tc>
          <w:tcPr>
            <w:tcW w:w="993" w:type="dxa"/>
            <w:tcBorders>
              <w:top w:val="nil"/>
              <w:left w:val="nil"/>
              <w:bottom w:val="single" w:sz="4" w:space="0" w:color="auto"/>
              <w:right w:val="single" w:sz="4" w:space="0" w:color="auto"/>
            </w:tcBorders>
            <w:shd w:val="clear" w:color="auto" w:fill="auto"/>
            <w:noWrap/>
            <w:vAlign w:val="center"/>
            <w:hideMark/>
          </w:tcPr>
          <w:p w14:paraId="7AFC08E3"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1 881,99</w:t>
            </w:r>
          </w:p>
        </w:tc>
        <w:tc>
          <w:tcPr>
            <w:tcW w:w="853" w:type="dxa"/>
            <w:tcBorders>
              <w:top w:val="nil"/>
              <w:left w:val="nil"/>
              <w:bottom w:val="single" w:sz="4" w:space="0" w:color="auto"/>
              <w:right w:val="single" w:sz="4" w:space="0" w:color="auto"/>
            </w:tcBorders>
            <w:shd w:val="clear" w:color="auto" w:fill="auto"/>
            <w:noWrap/>
            <w:vAlign w:val="center"/>
            <w:hideMark/>
          </w:tcPr>
          <w:p w14:paraId="31EDD524"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726,21</w:t>
            </w:r>
          </w:p>
        </w:tc>
        <w:tc>
          <w:tcPr>
            <w:tcW w:w="1126" w:type="dxa"/>
            <w:tcBorders>
              <w:top w:val="nil"/>
              <w:left w:val="nil"/>
              <w:bottom w:val="single" w:sz="4" w:space="0" w:color="auto"/>
              <w:right w:val="single" w:sz="4" w:space="0" w:color="auto"/>
            </w:tcBorders>
            <w:shd w:val="clear" w:color="auto" w:fill="auto"/>
            <w:noWrap/>
            <w:vAlign w:val="center"/>
            <w:hideMark/>
          </w:tcPr>
          <w:p w14:paraId="0C16967B"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6 313,41</w:t>
            </w:r>
          </w:p>
        </w:tc>
      </w:tr>
      <w:tr w:rsidR="00EF1983" w:rsidRPr="00B13B9A" w14:paraId="3B173392"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8557D2A" w14:textId="77777777" w:rsidR="00EF1983" w:rsidRPr="00B13B9A" w:rsidRDefault="00EF1983" w:rsidP="0061151B">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Energie electrică</w:t>
            </w:r>
          </w:p>
        </w:tc>
        <w:tc>
          <w:tcPr>
            <w:tcW w:w="944" w:type="dxa"/>
            <w:tcBorders>
              <w:top w:val="nil"/>
              <w:left w:val="nil"/>
              <w:bottom w:val="single" w:sz="4" w:space="0" w:color="auto"/>
              <w:right w:val="single" w:sz="4" w:space="0" w:color="auto"/>
            </w:tcBorders>
            <w:shd w:val="clear" w:color="auto" w:fill="auto"/>
            <w:noWrap/>
            <w:vAlign w:val="center"/>
            <w:hideMark/>
          </w:tcPr>
          <w:p w14:paraId="72AF79A3"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986,99</w:t>
            </w:r>
          </w:p>
        </w:tc>
        <w:tc>
          <w:tcPr>
            <w:tcW w:w="944" w:type="dxa"/>
            <w:tcBorders>
              <w:top w:val="nil"/>
              <w:left w:val="nil"/>
              <w:bottom w:val="single" w:sz="4" w:space="0" w:color="auto"/>
              <w:right w:val="single" w:sz="4" w:space="0" w:color="auto"/>
            </w:tcBorders>
            <w:shd w:val="clear" w:color="auto" w:fill="auto"/>
            <w:vAlign w:val="center"/>
            <w:hideMark/>
          </w:tcPr>
          <w:p w14:paraId="50DA6A0F"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677,93</w:t>
            </w:r>
          </w:p>
        </w:tc>
        <w:tc>
          <w:tcPr>
            <w:tcW w:w="990" w:type="dxa"/>
            <w:tcBorders>
              <w:top w:val="nil"/>
              <w:left w:val="nil"/>
              <w:bottom w:val="single" w:sz="4" w:space="0" w:color="auto"/>
              <w:right w:val="single" w:sz="4" w:space="0" w:color="auto"/>
            </w:tcBorders>
            <w:shd w:val="clear" w:color="auto" w:fill="auto"/>
            <w:noWrap/>
            <w:vAlign w:val="center"/>
            <w:hideMark/>
          </w:tcPr>
          <w:p w14:paraId="6623A76D"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873,39</w:t>
            </w:r>
          </w:p>
        </w:tc>
        <w:tc>
          <w:tcPr>
            <w:tcW w:w="1091" w:type="dxa"/>
            <w:tcBorders>
              <w:top w:val="nil"/>
              <w:left w:val="nil"/>
              <w:bottom w:val="single" w:sz="4" w:space="0" w:color="auto"/>
              <w:right w:val="single" w:sz="4" w:space="0" w:color="auto"/>
            </w:tcBorders>
            <w:shd w:val="clear" w:color="auto" w:fill="auto"/>
            <w:noWrap/>
            <w:vAlign w:val="center"/>
            <w:hideMark/>
          </w:tcPr>
          <w:p w14:paraId="00DAE29C"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539,25</w:t>
            </w:r>
          </w:p>
        </w:tc>
        <w:tc>
          <w:tcPr>
            <w:tcW w:w="993" w:type="dxa"/>
            <w:tcBorders>
              <w:top w:val="nil"/>
              <w:left w:val="nil"/>
              <w:bottom w:val="single" w:sz="4" w:space="0" w:color="auto"/>
              <w:right w:val="single" w:sz="4" w:space="0" w:color="auto"/>
            </w:tcBorders>
            <w:shd w:val="clear" w:color="auto" w:fill="auto"/>
            <w:noWrap/>
            <w:vAlign w:val="center"/>
            <w:hideMark/>
          </w:tcPr>
          <w:p w14:paraId="68341E43"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695,22</w:t>
            </w:r>
          </w:p>
        </w:tc>
        <w:tc>
          <w:tcPr>
            <w:tcW w:w="853" w:type="dxa"/>
            <w:tcBorders>
              <w:top w:val="nil"/>
              <w:left w:val="nil"/>
              <w:bottom w:val="single" w:sz="4" w:space="0" w:color="auto"/>
              <w:right w:val="single" w:sz="4" w:space="0" w:color="auto"/>
            </w:tcBorders>
            <w:shd w:val="clear" w:color="auto" w:fill="auto"/>
            <w:noWrap/>
            <w:vAlign w:val="center"/>
            <w:hideMark/>
          </w:tcPr>
          <w:p w14:paraId="3279D4E5"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379,28</w:t>
            </w:r>
          </w:p>
        </w:tc>
        <w:tc>
          <w:tcPr>
            <w:tcW w:w="1126" w:type="dxa"/>
            <w:tcBorders>
              <w:top w:val="nil"/>
              <w:left w:val="nil"/>
              <w:bottom w:val="single" w:sz="4" w:space="0" w:color="auto"/>
              <w:right w:val="single" w:sz="4" w:space="0" w:color="auto"/>
            </w:tcBorders>
            <w:shd w:val="clear" w:color="auto" w:fill="auto"/>
            <w:noWrap/>
            <w:vAlign w:val="center"/>
            <w:hideMark/>
          </w:tcPr>
          <w:p w14:paraId="06E9315B"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4 152,06</w:t>
            </w:r>
          </w:p>
        </w:tc>
      </w:tr>
      <w:tr w:rsidR="00EF1983" w:rsidRPr="00B13B9A" w14:paraId="6DE3F44E"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42234C5" w14:textId="5C88E167" w:rsidR="00EF1983" w:rsidRPr="00B13B9A" w:rsidRDefault="00EF1983" w:rsidP="0061151B">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Apă, canalizare, de</w:t>
            </w:r>
            <w:r w:rsidR="00B13B9A" w:rsidRPr="00B13B9A">
              <w:rPr>
                <w:rFonts w:asciiTheme="majorHAnsi" w:eastAsia="Times New Roman" w:hAnsiTheme="majorHAnsi" w:cstheme="majorHAnsi"/>
                <w:color w:val="000000"/>
                <w:sz w:val="18"/>
                <w:szCs w:val="18"/>
                <w:lang w:val="ro-MD"/>
              </w:rPr>
              <w:t>ș</w:t>
            </w:r>
            <w:r w:rsidRPr="00B13B9A">
              <w:rPr>
                <w:rFonts w:asciiTheme="majorHAnsi" w:eastAsia="Times New Roman" w:hAnsiTheme="majorHAnsi" w:cstheme="majorHAnsi"/>
                <w:color w:val="000000"/>
                <w:sz w:val="18"/>
                <w:szCs w:val="18"/>
                <w:lang w:val="ro-MD"/>
              </w:rPr>
              <w:t>euri</w:t>
            </w:r>
          </w:p>
        </w:tc>
        <w:tc>
          <w:tcPr>
            <w:tcW w:w="944" w:type="dxa"/>
            <w:tcBorders>
              <w:top w:val="nil"/>
              <w:left w:val="nil"/>
              <w:bottom w:val="single" w:sz="4" w:space="0" w:color="auto"/>
              <w:right w:val="single" w:sz="4" w:space="0" w:color="auto"/>
            </w:tcBorders>
            <w:shd w:val="clear" w:color="auto" w:fill="auto"/>
            <w:noWrap/>
            <w:vAlign w:val="center"/>
            <w:hideMark/>
          </w:tcPr>
          <w:p w14:paraId="2F4F1D0B"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36,71</w:t>
            </w:r>
          </w:p>
        </w:tc>
        <w:tc>
          <w:tcPr>
            <w:tcW w:w="944" w:type="dxa"/>
            <w:tcBorders>
              <w:top w:val="nil"/>
              <w:left w:val="nil"/>
              <w:bottom w:val="single" w:sz="4" w:space="0" w:color="auto"/>
              <w:right w:val="single" w:sz="4" w:space="0" w:color="auto"/>
            </w:tcBorders>
            <w:shd w:val="clear" w:color="auto" w:fill="auto"/>
            <w:vAlign w:val="center"/>
            <w:hideMark/>
          </w:tcPr>
          <w:p w14:paraId="091A00AC"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21,25</w:t>
            </w:r>
          </w:p>
        </w:tc>
        <w:tc>
          <w:tcPr>
            <w:tcW w:w="990" w:type="dxa"/>
            <w:tcBorders>
              <w:top w:val="nil"/>
              <w:left w:val="nil"/>
              <w:bottom w:val="single" w:sz="4" w:space="0" w:color="auto"/>
              <w:right w:val="single" w:sz="4" w:space="0" w:color="auto"/>
            </w:tcBorders>
            <w:shd w:val="clear" w:color="auto" w:fill="auto"/>
            <w:noWrap/>
            <w:vAlign w:val="center"/>
            <w:hideMark/>
          </w:tcPr>
          <w:p w14:paraId="45987983"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43,37</w:t>
            </w:r>
          </w:p>
        </w:tc>
        <w:tc>
          <w:tcPr>
            <w:tcW w:w="1091" w:type="dxa"/>
            <w:tcBorders>
              <w:top w:val="nil"/>
              <w:left w:val="nil"/>
              <w:bottom w:val="single" w:sz="4" w:space="0" w:color="auto"/>
              <w:right w:val="single" w:sz="4" w:space="0" w:color="auto"/>
            </w:tcBorders>
            <w:shd w:val="clear" w:color="auto" w:fill="auto"/>
            <w:noWrap/>
            <w:vAlign w:val="center"/>
            <w:hideMark/>
          </w:tcPr>
          <w:p w14:paraId="057A64D2"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38,27</w:t>
            </w:r>
          </w:p>
        </w:tc>
        <w:tc>
          <w:tcPr>
            <w:tcW w:w="993" w:type="dxa"/>
            <w:tcBorders>
              <w:top w:val="nil"/>
              <w:left w:val="nil"/>
              <w:bottom w:val="single" w:sz="4" w:space="0" w:color="auto"/>
              <w:right w:val="single" w:sz="4" w:space="0" w:color="auto"/>
            </w:tcBorders>
            <w:shd w:val="clear" w:color="auto" w:fill="auto"/>
            <w:noWrap/>
            <w:vAlign w:val="center"/>
            <w:hideMark/>
          </w:tcPr>
          <w:p w14:paraId="437A71AE"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37,53</w:t>
            </w:r>
          </w:p>
        </w:tc>
        <w:tc>
          <w:tcPr>
            <w:tcW w:w="853" w:type="dxa"/>
            <w:tcBorders>
              <w:top w:val="nil"/>
              <w:left w:val="nil"/>
              <w:bottom w:val="single" w:sz="4" w:space="0" w:color="auto"/>
              <w:right w:val="single" w:sz="4" w:space="0" w:color="auto"/>
            </w:tcBorders>
            <w:shd w:val="clear" w:color="auto" w:fill="auto"/>
            <w:noWrap/>
            <w:vAlign w:val="center"/>
            <w:hideMark/>
          </w:tcPr>
          <w:p w14:paraId="4B67EC30"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10,39</w:t>
            </w:r>
          </w:p>
        </w:tc>
        <w:tc>
          <w:tcPr>
            <w:tcW w:w="1126" w:type="dxa"/>
            <w:tcBorders>
              <w:top w:val="nil"/>
              <w:left w:val="nil"/>
              <w:bottom w:val="single" w:sz="4" w:space="0" w:color="auto"/>
              <w:right w:val="single" w:sz="4" w:space="0" w:color="auto"/>
            </w:tcBorders>
            <w:shd w:val="clear" w:color="auto" w:fill="auto"/>
            <w:noWrap/>
            <w:vAlign w:val="center"/>
            <w:hideMark/>
          </w:tcPr>
          <w:p w14:paraId="6CDCCE51"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187,52</w:t>
            </w:r>
          </w:p>
        </w:tc>
      </w:tr>
      <w:tr w:rsidR="00EF1983" w:rsidRPr="00B13B9A" w14:paraId="603412FB"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D205057" w14:textId="77777777" w:rsidR="00EF1983" w:rsidRPr="00B13B9A" w:rsidRDefault="00EF1983" w:rsidP="0061151B">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Amortizarea MF</w:t>
            </w:r>
          </w:p>
        </w:tc>
        <w:tc>
          <w:tcPr>
            <w:tcW w:w="944" w:type="dxa"/>
            <w:tcBorders>
              <w:top w:val="nil"/>
              <w:left w:val="nil"/>
              <w:bottom w:val="single" w:sz="4" w:space="0" w:color="auto"/>
              <w:right w:val="single" w:sz="4" w:space="0" w:color="auto"/>
            </w:tcBorders>
            <w:shd w:val="clear" w:color="auto" w:fill="auto"/>
            <w:noWrap/>
            <w:vAlign w:val="center"/>
            <w:hideMark/>
          </w:tcPr>
          <w:p w14:paraId="3BB70B1F"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1 052,12</w:t>
            </w:r>
          </w:p>
        </w:tc>
        <w:tc>
          <w:tcPr>
            <w:tcW w:w="944" w:type="dxa"/>
            <w:tcBorders>
              <w:top w:val="nil"/>
              <w:left w:val="nil"/>
              <w:bottom w:val="single" w:sz="4" w:space="0" w:color="auto"/>
              <w:right w:val="single" w:sz="4" w:space="0" w:color="auto"/>
            </w:tcBorders>
            <w:shd w:val="clear" w:color="auto" w:fill="auto"/>
            <w:vAlign w:val="center"/>
            <w:hideMark/>
          </w:tcPr>
          <w:p w14:paraId="78328537"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1 240,91</w:t>
            </w:r>
          </w:p>
        </w:tc>
        <w:tc>
          <w:tcPr>
            <w:tcW w:w="990" w:type="dxa"/>
            <w:tcBorders>
              <w:top w:val="nil"/>
              <w:left w:val="nil"/>
              <w:bottom w:val="single" w:sz="4" w:space="0" w:color="auto"/>
              <w:right w:val="single" w:sz="4" w:space="0" w:color="auto"/>
            </w:tcBorders>
            <w:shd w:val="clear" w:color="auto" w:fill="auto"/>
            <w:noWrap/>
            <w:vAlign w:val="center"/>
            <w:hideMark/>
          </w:tcPr>
          <w:p w14:paraId="452D90D5"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1 102,15</w:t>
            </w:r>
          </w:p>
        </w:tc>
        <w:tc>
          <w:tcPr>
            <w:tcW w:w="1091" w:type="dxa"/>
            <w:tcBorders>
              <w:top w:val="nil"/>
              <w:left w:val="nil"/>
              <w:bottom w:val="single" w:sz="4" w:space="0" w:color="auto"/>
              <w:right w:val="single" w:sz="4" w:space="0" w:color="auto"/>
            </w:tcBorders>
            <w:shd w:val="clear" w:color="auto" w:fill="auto"/>
            <w:noWrap/>
            <w:vAlign w:val="center"/>
            <w:hideMark/>
          </w:tcPr>
          <w:p w14:paraId="001A0CFB"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1 118,79</w:t>
            </w:r>
          </w:p>
        </w:tc>
        <w:tc>
          <w:tcPr>
            <w:tcW w:w="993" w:type="dxa"/>
            <w:tcBorders>
              <w:top w:val="nil"/>
              <w:left w:val="nil"/>
              <w:bottom w:val="single" w:sz="4" w:space="0" w:color="auto"/>
              <w:right w:val="single" w:sz="4" w:space="0" w:color="auto"/>
            </w:tcBorders>
            <w:shd w:val="clear" w:color="auto" w:fill="auto"/>
            <w:noWrap/>
            <w:vAlign w:val="center"/>
            <w:hideMark/>
          </w:tcPr>
          <w:p w14:paraId="0270A53F"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1 095,47</w:t>
            </w:r>
          </w:p>
        </w:tc>
        <w:tc>
          <w:tcPr>
            <w:tcW w:w="853" w:type="dxa"/>
            <w:tcBorders>
              <w:top w:val="nil"/>
              <w:left w:val="nil"/>
              <w:bottom w:val="single" w:sz="4" w:space="0" w:color="auto"/>
              <w:right w:val="single" w:sz="4" w:space="0" w:color="auto"/>
            </w:tcBorders>
            <w:shd w:val="clear" w:color="auto" w:fill="auto"/>
            <w:noWrap/>
            <w:vAlign w:val="center"/>
            <w:hideMark/>
          </w:tcPr>
          <w:p w14:paraId="36800DDF"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469,47</w:t>
            </w:r>
          </w:p>
        </w:tc>
        <w:tc>
          <w:tcPr>
            <w:tcW w:w="1126" w:type="dxa"/>
            <w:tcBorders>
              <w:top w:val="nil"/>
              <w:left w:val="nil"/>
              <w:bottom w:val="single" w:sz="4" w:space="0" w:color="auto"/>
              <w:right w:val="single" w:sz="4" w:space="0" w:color="auto"/>
            </w:tcBorders>
            <w:shd w:val="clear" w:color="auto" w:fill="auto"/>
            <w:noWrap/>
            <w:vAlign w:val="center"/>
            <w:hideMark/>
          </w:tcPr>
          <w:p w14:paraId="69A0FDC3"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6 078,92</w:t>
            </w:r>
          </w:p>
        </w:tc>
      </w:tr>
      <w:tr w:rsidR="00EF1983" w:rsidRPr="00B13B9A" w14:paraId="73309F39"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8C90BAA" w14:textId="77777777" w:rsidR="00EF1983" w:rsidRPr="00B13B9A" w:rsidRDefault="00EF1983" w:rsidP="0061151B">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Uzura OMVSD</w:t>
            </w:r>
          </w:p>
        </w:tc>
        <w:tc>
          <w:tcPr>
            <w:tcW w:w="944" w:type="dxa"/>
            <w:tcBorders>
              <w:top w:val="nil"/>
              <w:left w:val="nil"/>
              <w:bottom w:val="single" w:sz="4" w:space="0" w:color="auto"/>
              <w:right w:val="single" w:sz="4" w:space="0" w:color="auto"/>
            </w:tcBorders>
            <w:shd w:val="clear" w:color="auto" w:fill="auto"/>
            <w:noWrap/>
            <w:vAlign w:val="center"/>
            <w:hideMark/>
          </w:tcPr>
          <w:p w14:paraId="63D1427C"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3,63</w:t>
            </w:r>
          </w:p>
        </w:tc>
        <w:tc>
          <w:tcPr>
            <w:tcW w:w="944" w:type="dxa"/>
            <w:tcBorders>
              <w:top w:val="nil"/>
              <w:left w:val="nil"/>
              <w:bottom w:val="single" w:sz="4" w:space="0" w:color="auto"/>
              <w:right w:val="single" w:sz="4" w:space="0" w:color="auto"/>
            </w:tcBorders>
            <w:shd w:val="clear" w:color="auto" w:fill="auto"/>
            <w:vAlign w:val="center"/>
            <w:hideMark/>
          </w:tcPr>
          <w:p w14:paraId="6DF0850E"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0,00</w:t>
            </w:r>
          </w:p>
        </w:tc>
        <w:tc>
          <w:tcPr>
            <w:tcW w:w="990" w:type="dxa"/>
            <w:tcBorders>
              <w:top w:val="nil"/>
              <w:left w:val="nil"/>
              <w:bottom w:val="single" w:sz="4" w:space="0" w:color="auto"/>
              <w:right w:val="single" w:sz="4" w:space="0" w:color="auto"/>
            </w:tcBorders>
            <w:shd w:val="clear" w:color="auto" w:fill="auto"/>
            <w:noWrap/>
            <w:vAlign w:val="center"/>
            <w:hideMark/>
          </w:tcPr>
          <w:p w14:paraId="3F2D6D83"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45,63</w:t>
            </w:r>
          </w:p>
        </w:tc>
        <w:tc>
          <w:tcPr>
            <w:tcW w:w="1091" w:type="dxa"/>
            <w:tcBorders>
              <w:top w:val="nil"/>
              <w:left w:val="nil"/>
              <w:bottom w:val="single" w:sz="4" w:space="0" w:color="auto"/>
              <w:right w:val="single" w:sz="4" w:space="0" w:color="auto"/>
            </w:tcBorders>
            <w:shd w:val="clear" w:color="auto" w:fill="auto"/>
            <w:noWrap/>
            <w:vAlign w:val="center"/>
            <w:hideMark/>
          </w:tcPr>
          <w:p w14:paraId="4CCF0525"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33,00</w:t>
            </w:r>
          </w:p>
        </w:tc>
        <w:tc>
          <w:tcPr>
            <w:tcW w:w="993" w:type="dxa"/>
            <w:tcBorders>
              <w:top w:val="nil"/>
              <w:left w:val="nil"/>
              <w:bottom w:val="single" w:sz="4" w:space="0" w:color="auto"/>
              <w:right w:val="nil"/>
            </w:tcBorders>
            <w:shd w:val="clear" w:color="auto" w:fill="auto"/>
            <w:noWrap/>
            <w:vAlign w:val="center"/>
            <w:hideMark/>
          </w:tcPr>
          <w:p w14:paraId="3D052C04"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109,45</w:t>
            </w:r>
          </w:p>
        </w:tc>
        <w:tc>
          <w:tcPr>
            <w:tcW w:w="853" w:type="dxa"/>
            <w:tcBorders>
              <w:top w:val="nil"/>
              <w:left w:val="single" w:sz="4" w:space="0" w:color="auto"/>
              <w:bottom w:val="single" w:sz="4" w:space="0" w:color="auto"/>
              <w:right w:val="nil"/>
            </w:tcBorders>
            <w:shd w:val="clear" w:color="auto" w:fill="auto"/>
            <w:noWrap/>
            <w:vAlign w:val="center"/>
            <w:hideMark/>
          </w:tcPr>
          <w:p w14:paraId="0A766B8D"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0,00</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14:paraId="7C08A862"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191,71</w:t>
            </w:r>
          </w:p>
        </w:tc>
      </w:tr>
      <w:tr w:rsidR="00EF1983" w:rsidRPr="00B13B9A" w14:paraId="62CEEA12"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B595601" w14:textId="77777777" w:rsidR="00EF1983" w:rsidRPr="00B13B9A" w:rsidRDefault="00EF1983" w:rsidP="0061151B">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Paza</w:t>
            </w:r>
          </w:p>
        </w:tc>
        <w:tc>
          <w:tcPr>
            <w:tcW w:w="944" w:type="dxa"/>
            <w:tcBorders>
              <w:top w:val="nil"/>
              <w:left w:val="nil"/>
              <w:bottom w:val="single" w:sz="4" w:space="0" w:color="auto"/>
              <w:right w:val="single" w:sz="4" w:space="0" w:color="auto"/>
            </w:tcBorders>
            <w:shd w:val="clear" w:color="auto" w:fill="auto"/>
            <w:noWrap/>
            <w:vAlign w:val="center"/>
            <w:hideMark/>
          </w:tcPr>
          <w:p w14:paraId="1D45276D"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0,00</w:t>
            </w:r>
          </w:p>
        </w:tc>
        <w:tc>
          <w:tcPr>
            <w:tcW w:w="944" w:type="dxa"/>
            <w:tcBorders>
              <w:top w:val="nil"/>
              <w:left w:val="nil"/>
              <w:bottom w:val="single" w:sz="4" w:space="0" w:color="auto"/>
              <w:right w:val="single" w:sz="4" w:space="0" w:color="auto"/>
            </w:tcBorders>
            <w:shd w:val="clear" w:color="auto" w:fill="auto"/>
            <w:vAlign w:val="center"/>
            <w:hideMark/>
          </w:tcPr>
          <w:p w14:paraId="010649E2"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0,00</w:t>
            </w:r>
          </w:p>
        </w:tc>
        <w:tc>
          <w:tcPr>
            <w:tcW w:w="990" w:type="dxa"/>
            <w:tcBorders>
              <w:top w:val="nil"/>
              <w:left w:val="nil"/>
              <w:bottom w:val="single" w:sz="4" w:space="0" w:color="auto"/>
              <w:right w:val="single" w:sz="4" w:space="0" w:color="auto"/>
            </w:tcBorders>
            <w:shd w:val="clear" w:color="auto" w:fill="auto"/>
            <w:noWrap/>
            <w:vAlign w:val="center"/>
            <w:hideMark/>
          </w:tcPr>
          <w:p w14:paraId="694D08F0"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0,00</w:t>
            </w:r>
          </w:p>
        </w:tc>
        <w:tc>
          <w:tcPr>
            <w:tcW w:w="1091" w:type="dxa"/>
            <w:tcBorders>
              <w:top w:val="nil"/>
              <w:left w:val="nil"/>
              <w:bottom w:val="single" w:sz="4" w:space="0" w:color="auto"/>
              <w:right w:val="single" w:sz="4" w:space="0" w:color="auto"/>
            </w:tcBorders>
            <w:shd w:val="clear" w:color="auto" w:fill="auto"/>
            <w:noWrap/>
            <w:vAlign w:val="center"/>
            <w:hideMark/>
          </w:tcPr>
          <w:p w14:paraId="4B5CD4FA"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274,49</w:t>
            </w:r>
          </w:p>
        </w:tc>
        <w:tc>
          <w:tcPr>
            <w:tcW w:w="993" w:type="dxa"/>
            <w:tcBorders>
              <w:top w:val="nil"/>
              <w:left w:val="nil"/>
              <w:bottom w:val="single" w:sz="4" w:space="0" w:color="auto"/>
              <w:right w:val="nil"/>
            </w:tcBorders>
            <w:shd w:val="clear" w:color="auto" w:fill="auto"/>
            <w:noWrap/>
            <w:vAlign w:val="center"/>
            <w:hideMark/>
          </w:tcPr>
          <w:p w14:paraId="43634E71"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60,18</w:t>
            </w:r>
          </w:p>
        </w:tc>
        <w:tc>
          <w:tcPr>
            <w:tcW w:w="853" w:type="dxa"/>
            <w:tcBorders>
              <w:top w:val="nil"/>
              <w:left w:val="single" w:sz="4" w:space="0" w:color="auto"/>
              <w:bottom w:val="single" w:sz="4" w:space="0" w:color="auto"/>
              <w:right w:val="nil"/>
            </w:tcBorders>
            <w:shd w:val="clear" w:color="auto" w:fill="auto"/>
            <w:noWrap/>
            <w:vAlign w:val="center"/>
            <w:hideMark/>
          </w:tcPr>
          <w:p w14:paraId="53C513CD"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0,00</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14:paraId="4A9575A4"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334,67</w:t>
            </w:r>
          </w:p>
        </w:tc>
      </w:tr>
      <w:tr w:rsidR="00EF1983" w:rsidRPr="00B13B9A" w14:paraId="0CC4F35A"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6F6980B" w14:textId="77777777" w:rsidR="00EF1983" w:rsidRPr="00B13B9A" w:rsidRDefault="00EF1983" w:rsidP="0061151B">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Alte cheltuieli(mat. gos., prot. munc.)</w:t>
            </w:r>
          </w:p>
        </w:tc>
        <w:tc>
          <w:tcPr>
            <w:tcW w:w="944" w:type="dxa"/>
            <w:tcBorders>
              <w:top w:val="nil"/>
              <w:left w:val="nil"/>
              <w:bottom w:val="single" w:sz="4" w:space="0" w:color="auto"/>
              <w:right w:val="single" w:sz="4" w:space="0" w:color="auto"/>
            </w:tcBorders>
            <w:shd w:val="clear" w:color="auto" w:fill="auto"/>
            <w:noWrap/>
            <w:vAlign w:val="center"/>
            <w:hideMark/>
          </w:tcPr>
          <w:p w14:paraId="2D33C03B"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267,40</w:t>
            </w:r>
          </w:p>
        </w:tc>
        <w:tc>
          <w:tcPr>
            <w:tcW w:w="944" w:type="dxa"/>
            <w:tcBorders>
              <w:top w:val="nil"/>
              <w:left w:val="nil"/>
              <w:bottom w:val="single" w:sz="4" w:space="0" w:color="auto"/>
              <w:right w:val="single" w:sz="4" w:space="0" w:color="auto"/>
            </w:tcBorders>
            <w:shd w:val="clear" w:color="auto" w:fill="auto"/>
            <w:vAlign w:val="center"/>
            <w:hideMark/>
          </w:tcPr>
          <w:p w14:paraId="35624FEE"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276,34</w:t>
            </w:r>
          </w:p>
        </w:tc>
        <w:tc>
          <w:tcPr>
            <w:tcW w:w="990" w:type="dxa"/>
            <w:tcBorders>
              <w:top w:val="nil"/>
              <w:left w:val="nil"/>
              <w:bottom w:val="single" w:sz="4" w:space="0" w:color="auto"/>
              <w:right w:val="single" w:sz="4" w:space="0" w:color="auto"/>
            </w:tcBorders>
            <w:shd w:val="clear" w:color="auto" w:fill="auto"/>
            <w:noWrap/>
            <w:vAlign w:val="center"/>
            <w:hideMark/>
          </w:tcPr>
          <w:p w14:paraId="17A135A8"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194,77</w:t>
            </w:r>
          </w:p>
        </w:tc>
        <w:tc>
          <w:tcPr>
            <w:tcW w:w="1091" w:type="dxa"/>
            <w:tcBorders>
              <w:top w:val="nil"/>
              <w:left w:val="nil"/>
              <w:bottom w:val="single" w:sz="4" w:space="0" w:color="auto"/>
              <w:right w:val="single" w:sz="4" w:space="0" w:color="auto"/>
            </w:tcBorders>
            <w:shd w:val="clear" w:color="auto" w:fill="auto"/>
            <w:noWrap/>
            <w:vAlign w:val="center"/>
            <w:hideMark/>
          </w:tcPr>
          <w:p w14:paraId="1E94197E"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273,59</w:t>
            </w:r>
          </w:p>
        </w:tc>
        <w:tc>
          <w:tcPr>
            <w:tcW w:w="993" w:type="dxa"/>
            <w:tcBorders>
              <w:top w:val="nil"/>
              <w:left w:val="nil"/>
              <w:bottom w:val="single" w:sz="4" w:space="0" w:color="auto"/>
              <w:right w:val="nil"/>
            </w:tcBorders>
            <w:shd w:val="clear" w:color="auto" w:fill="auto"/>
            <w:noWrap/>
            <w:vAlign w:val="center"/>
            <w:hideMark/>
          </w:tcPr>
          <w:p w14:paraId="32A2B7BD"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191,87</w:t>
            </w:r>
          </w:p>
        </w:tc>
        <w:tc>
          <w:tcPr>
            <w:tcW w:w="853" w:type="dxa"/>
            <w:tcBorders>
              <w:top w:val="nil"/>
              <w:left w:val="single" w:sz="4" w:space="0" w:color="auto"/>
              <w:bottom w:val="single" w:sz="4" w:space="0" w:color="auto"/>
              <w:right w:val="nil"/>
            </w:tcBorders>
            <w:shd w:val="clear" w:color="auto" w:fill="auto"/>
            <w:noWrap/>
            <w:vAlign w:val="center"/>
            <w:hideMark/>
          </w:tcPr>
          <w:p w14:paraId="276F93A5"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90,40</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14:paraId="7E7FED71"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1 294,37</w:t>
            </w:r>
          </w:p>
        </w:tc>
      </w:tr>
      <w:tr w:rsidR="00EF1983" w:rsidRPr="00B13B9A" w14:paraId="4D657C07"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AB87B5D" w14:textId="77777777" w:rsidR="00EF1983" w:rsidRPr="00B13B9A" w:rsidRDefault="00EF1983" w:rsidP="0061151B">
            <w:pPr>
              <w:spacing w:after="0" w:line="240" w:lineRule="auto"/>
              <w:jc w:val="center"/>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Total</w:t>
            </w:r>
          </w:p>
        </w:tc>
        <w:tc>
          <w:tcPr>
            <w:tcW w:w="944" w:type="dxa"/>
            <w:tcBorders>
              <w:top w:val="nil"/>
              <w:left w:val="nil"/>
              <w:bottom w:val="single" w:sz="4" w:space="0" w:color="auto"/>
              <w:right w:val="single" w:sz="4" w:space="0" w:color="auto"/>
            </w:tcBorders>
            <w:shd w:val="clear" w:color="auto" w:fill="auto"/>
            <w:noWrap/>
            <w:vAlign w:val="center"/>
            <w:hideMark/>
          </w:tcPr>
          <w:p w14:paraId="12619D6B" w14:textId="77777777" w:rsidR="00EF1983" w:rsidRPr="00B13B9A" w:rsidRDefault="00EF1983" w:rsidP="0061151B">
            <w:pPr>
              <w:spacing w:after="0" w:line="240" w:lineRule="auto"/>
              <w:jc w:val="right"/>
              <w:rPr>
                <w:rFonts w:asciiTheme="majorHAnsi" w:eastAsia="Times New Roman" w:hAnsiTheme="majorHAnsi" w:cstheme="majorHAnsi"/>
                <w:b/>
                <w:color w:val="000000"/>
                <w:sz w:val="18"/>
                <w:szCs w:val="18"/>
                <w:lang w:val="ro-MD"/>
              </w:rPr>
            </w:pPr>
            <w:r w:rsidRPr="00B13B9A">
              <w:rPr>
                <w:rFonts w:asciiTheme="majorHAnsi" w:eastAsia="Times New Roman" w:hAnsiTheme="majorHAnsi" w:cstheme="majorHAnsi"/>
                <w:b/>
                <w:color w:val="000000"/>
                <w:sz w:val="18"/>
                <w:szCs w:val="18"/>
                <w:lang w:val="ro-MD"/>
              </w:rPr>
              <w:t>17 690,76</w:t>
            </w:r>
          </w:p>
        </w:tc>
        <w:tc>
          <w:tcPr>
            <w:tcW w:w="944" w:type="dxa"/>
            <w:tcBorders>
              <w:top w:val="nil"/>
              <w:left w:val="nil"/>
              <w:bottom w:val="single" w:sz="4" w:space="0" w:color="auto"/>
              <w:right w:val="single" w:sz="4" w:space="0" w:color="auto"/>
            </w:tcBorders>
            <w:shd w:val="clear" w:color="auto" w:fill="auto"/>
            <w:vAlign w:val="center"/>
            <w:hideMark/>
          </w:tcPr>
          <w:p w14:paraId="45E0C473" w14:textId="77777777" w:rsidR="00EF1983" w:rsidRPr="00B13B9A" w:rsidRDefault="00EF1983" w:rsidP="0061151B">
            <w:pPr>
              <w:spacing w:after="0" w:line="240" w:lineRule="auto"/>
              <w:jc w:val="right"/>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15 838,11</w:t>
            </w:r>
          </w:p>
        </w:tc>
        <w:tc>
          <w:tcPr>
            <w:tcW w:w="990" w:type="dxa"/>
            <w:tcBorders>
              <w:top w:val="nil"/>
              <w:left w:val="nil"/>
              <w:bottom w:val="single" w:sz="4" w:space="0" w:color="auto"/>
              <w:right w:val="single" w:sz="4" w:space="0" w:color="auto"/>
            </w:tcBorders>
            <w:shd w:val="clear" w:color="auto" w:fill="auto"/>
            <w:noWrap/>
            <w:vAlign w:val="center"/>
            <w:hideMark/>
          </w:tcPr>
          <w:p w14:paraId="5ADD3A8E" w14:textId="77777777" w:rsidR="00EF1983" w:rsidRPr="00B13B9A" w:rsidRDefault="00EF1983" w:rsidP="0061151B">
            <w:pPr>
              <w:spacing w:after="0" w:line="240" w:lineRule="auto"/>
              <w:jc w:val="right"/>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18 809,29</w:t>
            </w:r>
          </w:p>
        </w:tc>
        <w:tc>
          <w:tcPr>
            <w:tcW w:w="1091" w:type="dxa"/>
            <w:tcBorders>
              <w:top w:val="nil"/>
              <w:left w:val="nil"/>
              <w:bottom w:val="single" w:sz="4" w:space="0" w:color="auto"/>
              <w:right w:val="single" w:sz="4" w:space="0" w:color="auto"/>
            </w:tcBorders>
            <w:shd w:val="clear" w:color="auto" w:fill="auto"/>
            <w:noWrap/>
            <w:vAlign w:val="center"/>
            <w:hideMark/>
          </w:tcPr>
          <w:p w14:paraId="741C3E10" w14:textId="77777777" w:rsidR="00EF1983" w:rsidRPr="00B13B9A" w:rsidRDefault="00EF1983" w:rsidP="0061151B">
            <w:pPr>
              <w:spacing w:after="0" w:line="240" w:lineRule="auto"/>
              <w:jc w:val="right"/>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21 985,69</w:t>
            </w:r>
          </w:p>
        </w:tc>
        <w:tc>
          <w:tcPr>
            <w:tcW w:w="993" w:type="dxa"/>
            <w:tcBorders>
              <w:top w:val="nil"/>
              <w:left w:val="nil"/>
              <w:bottom w:val="single" w:sz="4" w:space="0" w:color="auto"/>
              <w:right w:val="nil"/>
            </w:tcBorders>
            <w:shd w:val="clear" w:color="auto" w:fill="auto"/>
            <w:noWrap/>
            <w:vAlign w:val="center"/>
            <w:hideMark/>
          </w:tcPr>
          <w:p w14:paraId="7A85DBE7" w14:textId="77777777" w:rsidR="00EF1983" w:rsidRPr="00B13B9A" w:rsidRDefault="00EF1983" w:rsidP="0061151B">
            <w:pPr>
              <w:spacing w:after="0" w:line="240" w:lineRule="auto"/>
              <w:jc w:val="right"/>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20 503,34</w:t>
            </w:r>
          </w:p>
        </w:tc>
        <w:tc>
          <w:tcPr>
            <w:tcW w:w="853" w:type="dxa"/>
            <w:tcBorders>
              <w:top w:val="nil"/>
              <w:left w:val="single" w:sz="4" w:space="0" w:color="auto"/>
              <w:bottom w:val="single" w:sz="4" w:space="0" w:color="auto"/>
              <w:right w:val="nil"/>
            </w:tcBorders>
            <w:shd w:val="clear" w:color="auto" w:fill="auto"/>
            <w:noWrap/>
            <w:vAlign w:val="center"/>
            <w:hideMark/>
          </w:tcPr>
          <w:p w14:paraId="7C5222ED" w14:textId="77777777" w:rsidR="00EF1983" w:rsidRPr="00B13B9A" w:rsidRDefault="00EF1983" w:rsidP="0061151B">
            <w:pPr>
              <w:spacing w:after="0" w:line="240" w:lineRule="auto"/>
              <w:jc w:val="right"/>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8 223,18</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14:paraId="7612E198" w14:textId="77777777" w:rsidR="00EF1983" w:rsidRPr="00B13B9A" w:rsidRDefault="00EF1983" w:rsidP="0061151B">
            <w:pPr>
              <w:spacing w:after="0" w:line="240" w:lineRule="auto"/>
              <w:jc w:val="right"/>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103 000,75</w:t>
            </w:r>
          </w:p>
        </w:tc>
      </w:tr>
    </w:tbl>
    <w:p w14:paraId="49540377" w14:textId="7139A960" w:rsidR="00764FE8" w:rsidRPr="00B13B9A" w:rsidRDefault="00EF1983" w:rsidP="00046446">
      <w:pPr>
        <w:spacing w:after="0" w:line="276" w:lineRule="auto"/>
        <w:jc w:val="both"/>
        <w:rPr>
          <w:rFonts w:asciiTheme="majorHAnsi" w:hAnsiTheme="majorHAnsi" w:cstheme="majorHAnsi"/>
          <w:i/>
          <w:color w:val="000000" w:themeColor="text1"/>
          <w:sz w:val="20"/>
          <w:szCs w:val="20"/>
          <w:lang w:val="ro-MD"/>
        </w:rPr>
      </w:pPr>
      <w:r w:rsidRPr="00B13B9A">
        <w:rPr>
          <w:rFonts w:asciiTheme="majorHAnsi" w:hAnsiTheme="majorHAnsi" w:cstheme="majorHAnsi"/>
          <w:b/>
          <w:i/>
          <w:color w:val="000000" w:themeColor="text1"/>
          <w:sz w:val="20"/>
          <w:szCs w:val="20"/>
          <w:lang w:val="ro-MD"/>
        </w:rPr>
        <w:t>Sursa:</w:t>
      </w:r>
      <w:r w:rsidRPr="00B13B9A">
        <w:rPr>
          <w:rFonts w:asciiTheme="majorHAnsi" w:hAnsiTheme="majorHAnsi" w:cstheme="majorHAnsi"/>
          <w:i/>
          <w:color w:val="000000" w:themeColor="text1"/>
          <w:sz w:val="20"/>
          <w:szCs w:val="20"/>
          <w:lang w:val="ro-MD"/>
        </w:rPr>
        <w:t xml:space="preserve"> Informa</w:t>
      </w:r>
      <w:r w:rsidR="00B13B9A" w:rsidRPr="00B13B9A">
        <w:rPr>
          <w:rFonts w:asciiTheme="majorHAnsi" w:hAnsiTheme="majorHAnsi" w:cstheme="majorHAnsi"/>
          <w:i/>
          <w:color w:val="000000" w:themeColor="text1"/>
          <w:sz w:val="20"/>
          <w:szCs w:val="20"/>
          <w:lang w:val="ro-MD"/>
        </w:rPr>
        <w:t>ț</w:t>
      </w:r>
      <w:r w:rsidRPr="00B13B9A">
        <w:rPr>
          <w:rFonts w:asciiTheme="majorHAnsi" w:hAnsiTheme="majorHAnsi" w:cstheme="majorHAnsi"/>
          <w:i/>
          <w:color w:val="000000" w:themeColor="text1"/>
          <w:sz w:val="20"/>
          <w:szCs w:val="20"/>
          <w:lang w:val="ro-MD"/>
        </w:rPr>
        <w:t>ii generate de audit în baza rapoartelor de cheltuieli, prezentate de entitate</w:t>
      </w:r>
      <w:r w:rsidR="00585605" w:rsidRPr="00B13B9A">
        <w:rPr>
          <w:rFonts w:asciiTheme="majorHAnsi" w:hAnsiTheme="majorHAnsi" w:cstheme="majorHAnsi"/>
          <w:i/>
          <w:color w:val="000000" w:themeColor="text1"/>
          <w:sz w:val="20"/>
          <w:szCs w:val="20"/>
          <w:lang w:val="ro-MD"/>
        </w:rPr>
        <w:t>.</w:t>
      </w:r>
    </w:p>
    <w:p w14:paraId="3715CDCA" w14:textId="77777777" w:rsidR="00FA7B71" w:rsidRPr="00B13B9A" w:rsidRDefault="00FA7B71" w:rsidP="00046446">
      <w:pPr>
        <w:spacing w:after="0" w:line="276" w:lineRule="auto"/>
        <w:jc w:val="both"/>
        <w:rPr>
          <w:rFonts w:asciiTheme="majorHAnsi" w:hAnsiTheme="majorHAnsi" w:cstheme="majorHAnsi"/>
          <w:b/>
          <w:iCs/>
          <w:sz w:val="24"/>
          <w:szCs w:val="24"/>
          <w:lang w:val="ro-MD"/>
        </w:rPr>
      </w:pPr>
    </w:p>
    <w:p w14:paraId="5A8484E4" w14:textId="29505F2D" w:rsidR="00782BD2" w:rsidRPr="00B13B9A" w:rsidRDefault="00782BD2" w:rsidP="00046446">
      <w:pPr>
        <w:pStyle w:val="3"/>
        <w:spacing w:before="0"/>
        <w:jc w:val="right"/>
        <w:rPr>
          <w:rFonts w:cstheme="majorHAnsi"/>
          <w:b/>
          <w:iCs/>
          <w:color w:val="auto"/>
        </w:rPr>
      </w:pPr>
      <w:bookmarkStart w:id="64" w:name="_Toc158317265"/>
      <w:r w:rsidRPr="00B13B9A">
        <w:rPr>
          <w:rFonts w:cstheme="majorHAnsi"/>
          <w:b/>
          <w:iCs/>
          <w:color w:val="auto"/>
        </w:rPr>
        <w:t xml:space="preserve">Anexa nr. </w:t>
      </w:r>
      <w:r w:rsidR="001457CE" w:rsidRPr="00B13B9A">
        <w:rPr>
          <w:rFonts w:cstheme="majorHAnsi"/>
          <w:b/>
          <w:iCs/>
          <w:color w:val="auto"/>
        </w:rPr>
        <w:t>1</w:t>
      </w:r>
      <w:r w:rsidR="002C339A" w:rsidRPr="00B13B9A">
        <w:rPr>
          <w:rFonts w:cstheme="majorHAnsi"/>
          <w:b/>
          <w:iCs/>
          <w:color w:val="auto"/>
        </w:rPr>
        <w:t>1</w:t>
      </w:r>
      <w:bookmarkEnd w:id="64"/>
    </w:p>
    <w:p w14:paraId="58E26ED6" w14:textId="77777777" w:rsidR="00EF1983" w:rsidRPr="00B13B9A" w:rsidRDefault="00895306" w:rsidP="00046446">
      <w:pPr>
        <w:spacing w:after="0" w:line="240" w:lineRule="auto"/>
        <w:jc w:val="center"/>
        <w:rPr>
          <w:rFonts w:asciiTheme="majorHAnsi" w:hAnsiTheme="majorHAnsi" w:cstheme="majorHAnsi"/>
          <w:i/>
          <w:iCs/>
          <w:sz w:val="24"/>
          <w:szCs w:val="24"/>
          <w:lang w:val="ro-MD"/>
        </w:rPr>
      </w:pPr>
      <w:r w:rsidRPr="00B13B9A">
        <w:rPr>
          <w:noProof/>
          <w:lang w:val="ru-RU" w:eastAsia="ru-RU"/>
        </w:rPr>
        <w:drawing>
          <wp:inline distT="0" distB="0" distL="0" distR="0" wp14:anchorId="606BB2AA" wp14:editId="602B0A0F">
            <wp:extent cx="6508115" cy="2025650"/>
            <wp:effectExtent l="0" t="0" r="6985"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1C2E867" w14:textId="25AF4C75" w:rsidR="0007264E" w:rsidRPr="00B13B9A" w:rsidRDefault="0007264E" w:rsidP="0007264E">
      <w:pPr>
        <w:pStyle w:val="cn"/>
        <w:spacing w:line="276" w:lineRule="auto"/>
        <w:ind w:right="71"/>
        <w:jc w:val="both"/>
        <w:rPr>
          <w:rFonts w:asciiTheme="majorHAnsi" w:eastAsiaTheme="minorHAnsi" w:hAnsiTheme="majorHAnsi" w:cstheme="majorHAnsi"/>
          <w:i/>
          <w:sz w:val="20"/>
          <w:szCs w:val="20"/>
          <w:lang w:val="ro-MD" w:eastAsia="en-US"/>
        </w:rPr>
      </w:pPr>
      <w:r w:rsidRPr="00B13B9A">
        <w:rPr>
          <w:rFonts w:asciiTheme="majorHAnsi" w:eastAsiaTheme="minorHAnsi" w:hAnsiTheme="majorHAnsi" w:cstheme="majorHAnsi"/>
          <w:b/>
          <w:i/>
          <w:sz w:val="20"/>
          <w:szCs w:val="20"/>
          <w:lang w:val="ro-MD" w:eastAsia="en-US"/>
        </w:rPr>
        <w:t>Sursa:</w:t>
      </w:r>
      <w:r w:rsidRPr="00B13B9A">
        <w:rPr>
          <w:rFonts w:asciiTheme="majorHAnsi" w:eastAsiaTheme="minorHAnsi" w:hAnsiTheme="majorHAnsi" w:cstheme="majorHAnsi"/>
          <w:i/>
          <w:sz w:val="20"/>
          <w:szCs w:val="20"/>
          <w:lang w:val="ro-MD" w:eastAsia="en-US"/>
        </w:rPr>
        <w:t xml:space="preserve"> E</w:t>
      </w:r>
      <w:r w:rsidR="00804A06" w:rsidRPr="00B13B9A">
        <w:rPr>
          <w:rFonts w:asciiTheme="majorHAnsi" w:eastAsiaTheme="minorHAnsi" w:hAnsiTheme="majorHAnsi" w:cstheme="majorHAnsi"/>
          <w:i/>
          <w:sz w:val="20"/>
          <w:szCs w:val="20"/>
          <w:lang w:val="ro-MD" w:eastAsia="en-US"/>
        </w:rPr>
        <w:t>laborat</w:t>
      </w:r>
      <w:r w:rsidRPr="00B13B9A">
        <w:rPr>
          <w:rFonts w:asciiTheme="majorHAnsi" w:eastAsiaTheme="minorHAnsi" w:hAnsiTheme="majorHAnsi" w:cstheme="majorHAnsi"/>
          <w:i/>
          <w:sz w:val="20"/>
          <w:szCs w:val="20"/>
          <w:lang w:val="ro-MD" w:eastAsia="en-US"/>
        </w:rPr>
        <w:t xml:space="preserve"> de audit în baza datelor prezentate de entitate</w:t>
      </w:r>
      <w:r w:rsidR="00804A06" w:rsidRPr="00B13B9A">
        <w:rPr>
          <w:rFonts w:asciiTheme="majorHAnsi" w:eastAsiaTheme="minorHAnsi" w:hAnsiTheme="majorHAnsi" w:cstheme="majorHAnsi"/>
          <w:i/>
          <w:sz w:val="20"/>
          <w:szCs w:val="20"/>
          <w:lang w:val="ro-MD" w:eastAsia="en-US"/>
        </w:rPr>
        <w:t>.</w:t>
      </w:r>
    </w:p>
    <w:p w14:paraId="3527A4F7" w14:textId="77777777" w:rsidR="00FA7B71" w:rsidRPr="00B13B9A" w:rsidRDefault="00FA7B71" w:rsidP="00782BD2">
      <w:pPr>
        <w:spacing w:after="0" w:line="240" w:lineRule="auto"/>
        <w:jc w:val="right"/>
        <w:rPr>
          <w:rFonts w:asciiTheme="majorHAnsi" w:hAnsiTheme="majorHAnsi" w:cstheme="majorHAnsi"/>
          <w:b/>
          <w:iCs/>
          <w:sz w:val="24"/>
          <w:szCs w:val="24"/>
          <w:lang w:val="ro-MD"/>
        </w:rPr>
      </w:pPr>
    </w:p>
    <w:p w14:paraId="4CF07338" w14:textId="0E3BCC79" w:rsidR="00782BD2" w:rsidRPr="00027B88" w:rsidRDefault="00782BD2" w:rsidP="00027B88">
      <w:pPr>
        <w:pStyle w:val="3"/>
        <w:jc w:val="right"/>
        <w:rPr>
          <w:b/>
        </w:rPr>
      </w:pPr>
      <w:bookmarkStart w:id="65" w:name="_Toc158317266"/>
      <w:r w:rsidRPr="00027B88">
        <w:rPr>
          <w:b/>
        </w:rPr>
        <w:t>Anexa nr. 1</w:t>
      </w:r>
      <w:r w:rsidR="002C339A" w:rsidRPr="00027B88">
        <w:rPr>
          <w:b/>
        </w:rPr>
        <w:t>2</w:t>
      </w:r>
      <w:bookmarkEnd w:id="65"/>
    </w:p>
    <w:p w14:paraId="55E41466" w14:textId="77777777" w:rsidR="00895306" w:rsidRPr="00B13B9A" w:rsidRDefault="00895306" w:rsidP="00046446">
      <w:pPr>
        <w:spacing w:after="0" w:line="240" w:lineRule="auto"/>
        <w:jc w:val="center"/>
        <w:rPr>
          <w:rFonts w:asciiTheme="majorHAnsi" w:hAnsiTheme="majorHAnsi" w:cstheme="majorHAnsi"/>
          <w:i/>
          <w:iCs/>
          <w:sz w:val="24"/>
          <w:szCs w:val="24"/>
          <w:lang w:val="ro-MD"/>
        </w:rPr>
      </w:pPr>
      <w:r w:rsidRPr="00B13B9A">
        <w:rPr>
          <w:noProof/>
          <w:lang w:val="ru-RU" w:eastAsia="ru-RU"/>
        </w:rPr>
        <w:drawing>
          <wp:inline distT="0" distB="0" distL="0" distR="0" wp14:anchorId="2D85C651" wp14:editId="2B0C16A2">
            <wp:extent cx="6371590" cy="2209800"/>
            <wp:effectExtent l="0" t="0" r="1016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BD18525" w14:textId="77777777" w:rsidR="00027B88" w:rsidRDefault="0007264E" w:rsidP="00046446">
      <w:pPr>
        <w:pStyle w:val="cn"/>
        <w:ind w:right="71"/>
        <w:jc w:val="both"/>
        <w:rPr>
          <w:rFonts w:asciiTheme="majorHAnsi" w:eastAsiaTheme="minorHAnsi" w:hAnsiTheme="majorHAnsi" w:cstheme="majorHAnsi"/>
          <w:i/>
          <w:sz w:val="20"/>
          <w:szCs w:val="20"/>
          <w:lang w:val="ro-MD" w:eastAsia="en-US"/>
        </w:rPr>
        <w:sectPr w:rsidR="00027B88" w:rsidSect="00046446">
          <w:pgSz w:w="12240" w:h="15840"/>
          <w:pgMar w:top="851" w:right="758" w:bottom="993" w:left="1701" w:header="708" w:footer="272" w:gutter="0"/>
          <w:cols w:space="708"/>
          <w:titlePg/>
          <w:docGrid w:linePitch="360"/>
        </w:sectPr>
      </w:pPr>
      <w:r w:rsidRPr="00B13B9A">
        <w:rPr>
          <w:rFonts w:asciiTheme="majorHAnsi" w:eastAsiaTheme="minorHAnsi" w:hAnsiTheme="majorHAnsi" w:cstheme="majorHAnsi"/>
          <w:b/>
          <w:i/>
          <w:sz w:val="20"/>
          <w:szCs w:val="20"/>
          <w:lang w:val="ro-MD" w:eastAsia="en-US"/>
        </w:rPr>
        <w:t>Sursa:</w:t>
      </w:r>
      <w:r w:rsidRPr="00B13B9A">
        <w:rPr>
          <w:rFonts w:asciiTheme="majorHAnsi" w:eastAsiaTheme="minorHAnsi" w:hAnsiTheme="majorHAnsi" w:cstheme="majorHAnsi"/>
          <w:i/>
          <w:sz w:val="20"/>
          <w:szCs w:val="20"/>
          <w:lang w:val="ro-MD" w:eastAsia="en-US"/>
        </w:rPr>
        <w:t xml:space="preserve"> E</w:t>
      </w:r>
      <w:r w:rsidR="005C3DCF" w:rsidRPr="00B13B9A">
        <w:rPr>
          <w:rFonts w:asciiTheme="majorHAnsi" w:eastAsiaTheme="minorHAnsi" w:hAnsiTheme="majorHAnsi" w:cstheme="majorHAnsi"/>
          <w:i/>
          <w:sz w:val="20"/>
          <w:szCs w:val="20"/>
          <w:lang w:val="ro-MD" w:eastAsia="en-US"/>
        </w:rPr>
        <w:t>labor</w:t>
      </w:r>
      <w:r w:rsidRPr="00B13B9A">
        <w:rPr>
          <w:rFonts w:asciiTheme="majorHAnsi" w:eastAsiaTheme="minorHAnsi" w:hAnsiTheme="majorHAnsi" w:cstheme="majorHAnsi"/>
          <w:i/>
          <w:sz w:val="20"/>
          <w:szCs w:val="20"/>
          <w:lang w:val="ro-MD" w:eastAsia="en-US"/>
        </w:rPr>
        <w:t>at de audit în baza datelor prezentate de entitate</w:t>
      </w:r>
      <w:r w:rsidR="005C3DCF" w:rsidRPr="00B13B9A">
        <w:rPr>
          <w:rFonts w:asciiTheme="majorHAnsi" w:eastAsiaTheme="minorHAnsi" w:hAnsiTheme="majorHAnsi" w:cstheme="majorHAnsi"/>
          <w:i/>
          <w:sz w:val="20"/>
          <w:szCs w:val="20"/>
          <w:lang w:val="ro-MD" w:eastAsia="en-US"/>
        </w:rPr>
        <w:t xml:space="preserve">.   </w:t>
      </w:r>
    </w:p>
    <w:p w14:paraId="3BD2F50B" w14:textId="77777777" w:rsidR="000A5AB9" w:rsidRPr="00B13B9A" w:rsidRDefault="000A5AB9" w:rsidP="00D3471D">
      <w:pPr>
        <w:pStyle w:val="3"/>
        <w:jc w:val="right"/>
        <w:rPr>
          <w:rFonts w:cstheme="majorHAnsi"/>
          <w:b/>
          <w:iCs/>
          <w:color w:val="auto"/>
        </w:rPr>
      </w:pPr>
      <w:bookmarkStart w:id="66" w:name="_Toc158317267"/>
      <w:r w:rsidRPr="00B13B9A">
        <w:rPr>
          <w:rFonts w:cstheme="majorHAnsi"/>
          <w:b/>
          <w:iCs/>
          <w:color w:val="auto"/>
        </w:rPr>
        <w:t>Anexa nr. 1</w:t>
      </w:r>
      <w:r w:rsidR="001457CE" w:rsidRPr="00B13B9A">
        <w:rPr>
          <w:rFonts w:cstheme="majorHAnsi"/>
          <w:b/>
          <w:iCs/>
          <w:color w:val="auto"/>
        </w:rPr>
        <w:t>3</w:t>
      </w:r>
      <w:bookmarkEnd w:id="66"/>
    </w:p>
    <w:p w14:paraId="270F7AC5" w14:textId="10BFFB78" w:rsidR="0096393F" w:rsidRPr="00B13B9A" w:rsidRDefault="0096393F" w:rsidP="0096393F">
      <w:pPr>
        <w:pStyle w:val="a7"/>
        <w:spacing w:after="0" w:line="276" w:lineRule="auto"/>
        <w:ind w:left="0" w:firstLine="709"/>
        <w:jc w:val="center"/>
        <w:rPr>
          <w:rFonts w:asciiTheme="majorHAnsi" w:hAnsiTheme="majorHAnsi" w:cstheme="majorHAnsi"/>
          <w:b/>
          <w:bCs/>
          <w:sz w:val="24"/>
          <w:szCs w:val="20"/>
          <w:lang w:val="ro-MD"/>
        </w:rPr>
      </w:pPr>
      <w:r w:rsidRPr="00B13B9A">
        <w:rPr>
          <w:rFonts w:asciiTheme="majorHAnsi" w:hAnsiTheme="majorHAnsi" w:cstheme="majorHAnsi"/>
          <w:b/>
          <w:bCs/>
          <w:sz w:val="24"/>
          <w:szCs w:val="20"/>
          <w:lang w:val="ro-MD"/>
        </w:rPr>
        <w:t>Valoarea estimată de către audit în baza valorii cadastrale/pre</w:t>
      </w:r>
      <w:r w:rsidR="00B13B9A" w:rsidRPr="00B13B9A">
        <w:rPr>
          <w:rFonts w:asciiTheme="majorHAnsi" w:hAnsiTheme="majorHAnsi" w:cstheme="majorHAnsi"/>
          <w:b/>
          <w:bCs/>
          <w:sz w:val="24"/>
          <w:szCs w:val="20"/>
          <w:lang w:val="ro-MD"/>
        </w:rPr>
        <w:t>ț</w:t>
      </w:r>
      <w:r w:rsidR="005C3DCF" w:rsidRPr="00B13B9A">
        <w:rPr>
          <w:rFonts w:asciiTheme="majorHAnsi" w:hAnsiTheme="majorHAnsi" w:cstheme="majorHAnsi"/>
          <w:b/>
          <w:bCs/>
          <w:sz w:val="24"/>
          <w:szCs w:val="20"/>
          <w:lang w:val="ro-MD"/>
        </w:rPr>
        <w:t>ului</w:t>
      </w:r>
      <w:r w:rsidRPr="00B13B9A">
        <w:rPr>
          <w:rFonts w:asciiTheme="majorHAnsi" w:hAnsiTheme="majorHAnsi" w:cstheme="majorHAnsi"/>
          <w:b/>
          <w:bCs/>
          <w:sz w:val="24"/>
          <w:szCs w:val="20"/>
          <w:lang w:val="ro-MD"/>
        </w:rPr>
        <w:t xml:space="preserve"> normativ al </w:t>
      </w:r>
      <w:r w:rsidR="005D56E4" w:rsidRPr="00B13B9A">
        <w:rPr>
          <w:rFonts w:asciiTheme="majorHAnsi" w:hAnsiTheme="majorHAnsi" w:cstheme="majorHAnsi"/>
          <w:b/>
          <w:bCs/>
          <w:sz w:val="24"/>
          <w:szCs w:val="20"/>
          <w:lang w:val="ro-MD"/>
        </w:rPr>
        <w:t>pământului</w:t>
      </w:r>
    </w:p>
    <w:tbl>
      <w:tblPr>
        <w:tblW w:w="9761" w:type="dxa"/>
        <w:tblLook w:val="04A0" w:firstRow="1" w:lastRow="0" w:firstColumn="1" w:lastColumn="0" w:noHBand="0" w:noVBand="1"/>
      </w:tblPr>
      <w:tblGrid>
        <w:gridCol w:w="423"/>
        <w:gridCol w:w="1041"/>
        <w:gridCol w:w="1108"/>
        <w:gridCol w:w="1007"/>
        <w:gridCol w:w="779"/>
        <w:gridCol w:w="832"/>
        <w:gridCol w:w="836"/>
        <w:gridCol w:w="752"/>
        <w:gridCol w:w="726"/>
        <w:gridCol w:w="744"/>
        <w:gridCol w:w="653"/>
        <w:gridCol w:w="860"/>
      </w:tblGrid>
      <w:tr w:rsidR="005C3DCF" w:rsidRPr="00DB333D" w14:paraId="306EBAC3" w14:textId="77777777" w:rsidTr="002101A1">
        <w:trPr>
          <w:trHeight w:val="20"/>
        </w:trPr>
        <w:tc>
          <w:tcPr>
            <w:tcW w:w="41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7E59C47" w14:textId="1A565C93" w:rsidR="0096393F" w:rsidRPr="00DB333D" w:rsidRDefault="0096393F" w:rsidP="00332FF7">
            <w:pPr>
              <w:spacing w:after="0" w:line="240" w:lineRule="auto"/>
              <w:jc w:val="center"/>
              <w:rPr>
                <w:rFonts w:ascii="Calibri Light" w:eastAsia="Times New Roman" w:hAnsi="Calibri Light" w:cs="Calibri Light"/>
                <w:bCs/>
                <w:i/>
                <w:iCs/>
                <w:sz w:val="16"/>
                <w:szCs w:val="16"/>
                <w:lang w:val="ro-MD"/>
              </w:rPr>
            </w:pPr>
            <w:r w:rsidRPr="00DB333D">
              <w:rPr>
                <w:rFonts w:ascii="Calibri Light" w:eastAsia="Times New Roman" w:hAnsi="Calibri Light" w:cs="Calibri Light"/>
                <w:bCs/>
                <w:i/>
                <w:iCs/>
                <w:sz w:val="16"/>
                <w:szCs w:val="16"/>
                <w:lang w:val="ro-MD"/>
              </w:rPr>
              <w:t xml:space="preserve">Nr. </w:t>
            </w:r>
            <w:r w:rsidRPr="00DB333D">
              <w:rPr>
                <w:rFonts w:ascii="Calibri Light" w:eastAsia="Times New Roman" w:hAnsi="Calibri Light" w:cs="Calibri Light"/>
                <w:bCs/>
                <w:i/>
                <w:iCs/>
                <w:sz w:val="16"/>
                <w:szCs w:val="16"/>
                <w:lang w:val="ro-MD"/>
              </w:rPr>
              <w:br/>
            </w:r>
            <w:r w:rsidR="005C3DCF" w:rsidRPr="00DB333D">
              <w:rPr>
                <w:rFonts w:ascii="Calibri Light" w:eastAsia="Times New Roman" w:hAnsi="Calibri Light" w:cs="Calibri Light"/>
                <w:bCs/>
                <w:i/>
                <w:iCs/>
                <w:sz w:val="16"/>
                <w:szCs w:val="16"/>
                <w:lang w:val="ro-MD"/>
              </w:rPr>
              <w:t>crt.</w:t>
            </w:r>
          </w:p>
        </w:tc>
        <w:tc>
          <w:tcPr>
            <w:tcW w:w="10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EA918EC" w14:textId="77777777" w:rsidR="0096393F" w:rsidRPr="00DB333D" w:rsidRDefault="0096393F" w:rsidP="00332FF7">
            <w:pPr>
              <w:spacing w:after="0" w:line="240" w:lineRule="auto"/>
              <w:jc w:val="center"/>
              <w:rPr>
                <w:rFonts w:ascii="Calibri Light" w:eastAsia="Times New Roman" w:hAnsi="Calibri Light" w:cs="Calibri Light"/>
                <w:bCs/>
                <w:i/>
                <w:iCs/>
                <w:sz w:val="16"/>
                <w:szCs w:val="16"/>
                <w:lang w:val="ro-MD"/>
              </w:rPr>
            </w:pPr>
            <w:r w:rsidRPr="00DB333D">
              <w:rPr>
                <w:rFonts w:ascii="Calibri Light" w:eastAsia="Times New Roman" w:hAnsi="Calibri Light" w:cs="Calibri Light"/>
                <w:bCs/>
                <w:i/>
                <w:iCs/>
                <w:sz w:val="16"/>
                <w:szCs w:val="16"/>
                <w:lang w:val="ro-MD"/>
              </w:rPr>
              <w:t>Denumirea bunului imobil proprietate publică a statului</w:t>
            </w:r>
          </w:p>
        </w:tc>
        <w:tc>
          <w:tcPr>
            <w:tcW w:w="113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82DFA5E" w14:textId="7E2A36E9" w:rsidR="0096393F" w:rsidRPr="00DB333D" w:rsidRDefault="0096393F" w:rsidP="00332FF7">
            <w:pPr>
              <w:spacing w:after="0" w:line="240" w:lineRule="auto"/>
              <w:jc w:val="center"/>
              <w:rPr>
                <w:rFonts w:ascii="Calibri Light" w:eastAsia="Times New Roman" w:hAnsi="Calibri Light" w:cs="Calibri Light"/>
                <w:bCs/>
                <w:i/>
                <w:iCs/>
                <w:sz w:val="16"/>
                <w:szCs w:val="16"/>
                <w:lang w:val="ro-MD"/>
              </w:rPr>
            </w:pPr>
            <w:r w:rsidRPr="00DB333D">
              <w:rPr>
                <w:rFonts w:ascii="Calibri Light" w:eastAsia="Times New Roman" w:hAnsi="Calibri Light" w:cs="Calibri Light"/>
                <w:bCs/>
                <w:i/>
                <w:iCs/>
                <w:sz w:val="16"/>
                <w:szCs w:val="16"/>
                <w:lang w:val="ro-MD"/>
              </w:rPr>
              <w:t xml:space="preserve">Adresa </w:t>
            </w:r>
          </w:p>
        </w:tc>
        <w:tc>
          <w:tcPr>
            <w:tcW w:w="103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6EA9974" w14:textId="3C5B7D0E" w:rsidR="0096393F" w:rsidRPr="00DB333D" w:rsidRDefault="0096393F" w:rsidP="00332FF7">
            <w:pPr>
              <w:spacing w:after="0" w:line="240" w:lineRule="auto"/>
              <w:jc w:val="center"/>
              <w:rPr>
                <w:rFonts w:ascii="Calibri Light" w:eastAsia="Times New Roman" w:hAnsi="Calibri Light" w:cs="Calibri Light"/>
                <w:bCs/>
                <w:i/>
                <w:iCs/>
                <w:sz w:val="16"/>
                <w:szCs w:val="16"/>
                <w:lang w:val="ro-MD"/>
              </w:rPr>
            </w:pPr>
            <w:r w:rsidRPr="00DB333D">
              <w:rPr>
                <w:rFonts w:ascii="Calibri Light" w:eastAsia="Times New Roman" w:hAnsi="Calibri Light" w:cs="Calibri Light"/>
                <w:bCs/>
                <w:i/>
                <w:iCs/>
                <w:sz w:val="16"/>
                <w:szCs w:val="16"/>
                <w:lang w:val="ro-MD"/>
              </w:rPr>
              <w:t>Nr.</w:t>
            </w:r>
            <w:r w:rsidR="005C3DCF" w:rsidRPr="00DB333D">
              <w:rPr>
                <w:rFonts w:ascii="Calibri Light" w:eastAsia="Times New Roman" w:hAnsi="Calibri Light" w:cs="Calibri Light"/>
                <w:bCs/>
                <w:i/>
                <w:iCs/>
                <w:sz w:val="16"/>
                <w:szCs w:val="16"/>
                <w:lang w:val="ro-MD"/>
              </w:rPr>
              <w:t xml:space="preserve"> </w:t>
            </w:r>
            <w:r w:rsidR="00B13B9A" w:rsidRPr="00DB333D">
              <w:rPr>
                <w:rFonts w:ascii="Calibri Light" w:eastAsia="Times New Roman" w:hAnsi="Calibri Light" w:cs="Calibri Light"/>
                <w:bCs/>
                <w:i/>
                <w:iCs/>
                <w:sz w:val="16"/>
                <w:szCs w:val="16"/>
                <w:lang w:val="ro-MD"/>
              </w:rPr>
              <w:t>ș</w:t>
            </w:r>
            <w:r w:rsidRPr="00DB333D">
              <w:rPr>
                <w:rFonts w:ascii="Calibri Light" w:eastAsia="Times New Roman" w:hAnsi="Calibri Light" w:cs="Calibri Light"/>
                <w:bCs/>
                <w:i/>
                <w:iCs/>
                <w:sz w:val="16"/>
                <w:szCs w:val="16"/>
                <w:lang w:val="ro-MD"/>
              </w:rPr>
              <w:t xml:space="preserve">i data </w:t>
            </w:r>
            <w:r w:rsidR="005D56E4" w:rsidRPr="00DB333D">
              <w:rPr>
                <w:rFonts w:ascii="Calibri Light" w:eastAsia="Times New Roman" w:hAnsi="Calibri Light" w:cs="Calibri Light"/>
                <w:bCs/>
                <w:i/>
                <w:iCs/>
                <w:sz w:val="16"/>
                <w:szCs w:val="16"/>
                <w:lang w:val="ro-MD"/>
              </w:rPr>
              <w:t>înregistrării</w:t>
            </w:r>
            <w:r w:rsidRPr="00DB333D">
              <w:rPr>
                <w:rFonts w:ascii="Calibri Light" w:eastAsia="Times New Roman" w:hAnsi="Calibri Light" w:cs="Calibri Light"/>
                <w:bCs/>
                <w:i/>
                <w:iCs/>
                <w:sz w:val="16"/>
                <w:szCs w:val="16"/>
                <w:lang w:val="ro-MD"/>
              </w:rPr>
              <w:t xml:space="preserve"> bunului </w:t>
            </w:r>
            <w:r w:rsidR="005C3DCF" w:rsidRPr="00DB333D">
              <w:rPr>
                <w:rFonts w:ascii="Calibri Light" w:eastAsia="Times New Roman" w:hAnsi="Calibri Light" w:cs="Calibri Light"/>
                <w:bCs/>
                <w:i/>
                <w:iCs/>
                <w:sz w:val="16"/>
                <w:szCs w:val="16"/>
                <w:lang w:val="ro-MD"/>
              </w:rPr>
              <w:t>î</w:t>
            </w:r>
            <w:r w:rsidRPr="00DB333D">
              <w:rPr>
                <w:rFonts w:ascii="Calibri Light" w:eastAsia="Times New Roman" w:hAnsi="Calibri Light" w:cs="Calibri Light"/>
                <w:bCs/>
                <w:i/>
                <w:iCs/>
                <w:sz w:val="16"/>
                <w:szCs w:val="16"/>
                <w:lang w:val="ro-MD"/>
              </w:rPr>
              <w:t>n RBI</w:t>
            </w:r>
          </w:p>
        </w:tc>
        <w:tc>
          <w:tcPr>
            <w:tcW w:w="79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10DBE8C" w14:textId="77777777" w:rsidR="0096393F" w:rsidRPr="00DB333D" w:rsidRDefault="0096393F" w:rsidP="00332FF7">
            <w:pPr>
              <w:spacing w:after="0" w:line="240" w:lineRule="auto"/>
              <w:jc w:val="center"/>
              <w:rPr>
                <w:rFonts w:ascii="Calibri Light" w:eastAsia="Times New Roman" w:hAnsi="Calibri Light" w:cs="Calibri Light"/>
                <w:bCs/>
                <w:sz w:val="16"/>
                <w:szCs w:val="16"/>
                <w:lang w:val="ro-MD"/>
              </w:rPr>
            </w:pPr>
            <w:r w:rsidRPr="00DB333D">
              <w:rPr>
                <w:rFonts w:ascii="Calibri Light" w:eastAsia="Times New Roman" w:hAnsi="Calibri Light" w:cs="Calibri Light"/>
                <w:bCs/>
                <w:sz w:val="16"/>
                <w:szCs w:val="16"/>
                <w:lang w:val="ro-MD"/>
              </w:rPr>
              <w:t>Valoarea conform e-Cadastru (mii lei)</w:t>
            </w:r>
          </w:p>
        </w:tc>
        <w:tc>
          <w:tcPr>
            <w:tcW w:w="84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753DEAB" w14:textId="2F141DDA" w:rsidR="0096393F" w:rsidRPr="00DB333D" w:rsidRDefault="0096393F" w:rsidP="00332FF7">
            <w:pPr>
              <w:spacing w:after="0" w:line="240" w:lineRule="auto"/>
              <w:jc w:val="center"/>
              <w:rPr>
                <w:rFonts w:ascii="Calibri Light" w:eastAsia="Times New Roman" w:hAnsi="Calibri Light" w:cs="Calibri Light"/>
                <w:bCs/>
                <w:i/>
                <w:iCs/>
                <w:sz w:val="16"/>
                <w:szCs w:val="16"/>
                <w:lang w:val="ro-MD"/>
              </w:rPr>
            </w:pPr>
            <w:r w:rsidRPr="00DB333D">
              <w:rPr>
                <w:rFonts w:ascii="Calibri Light" w:eastAsia="Times New Roman" w:hAnsi="Calibri Light" w:cs="Calibri Light"/>
                <w:bCs/>
                <w:i/>
                <w:iCs/>
                <w:sz w:val="16"/>
                <w:szCs w:val="16"/>
                <w:lang w:val="ro-MD"/>
              </w:rPr>
              <w:t>Valoarea ini</w:t>
            </w:r>
            <w:r w:rsidR="00B13B9A" w:rsidRPr="00DB333D">
              <w:rPr>
                <w:rFonts w:ascii="Calibri Light" w:eastAsia="Times New Roman" w:hAnsi="Calibri Light" w:cs="Calibri Light"/>
                <w:bCs/>
                <w:i/>
                <w:iCs/>
                <w:sz w:val="16"/>
                <w:szCs w:val="16"/>
                <w:lang w:val="ro-MD"/>
              </w:rPr>
              <w:t>ț</w:t>
            </w:r>
            <w:r w:rsidRPr="00DB333D">
              <w:rPr>
                <w:rFonts w:ascii="Calibri Light" w:eastAsia="Times New Roman" w:hAnsi="Calibri Light" w:cs="Calibri Light"/>
                <w:bCs/>
                <w:i/>
                <w:iCs/>
                <w:sz w:val="16"/>
                <w:szCs w:val="16"/>
                <w:lang w:val="ro-MD"/>
              </w:rPr>
              <w:t>ială a imobilului (mii lei)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7922FD9" w14:textId="305B1780" w:rsidR="0096393F" w:rsidRPr="00DB333D" w:rsidRDefault="005D56E4" w:rsidP="00332FF7">
            <w:pPr>
              <w:spacing w:after="0" w:line="240" w:lineRule="auto"/>
              <w:jc w:val="center"/>
              <w:rPr>
                <w:rFonts w:ascii="Calibri Light" w:eastAsia="Times New Roman" w:hAnsi="Calibri Light" w:cs="Calibri Light"/>
                <w:bCs/>
                <w:i/>
                <w:iCs/>
                <w:sz w:val="16"/>
                <w:szCs w:val="16"/>
                <w:lang w:val="ro-MD"/>
              </w:rPr>
            </w:pPr>
            <w:r w:rsidRPr="00DB333D">
              <w:rPr>
                <w:rFonts w:ascii="Calibri Light" w:eastAsia="Times New Roman" w:hAnsi="Calibri Light" w:cs="Calibri Light"/>
                <w:bCs/>
                <w:i/>
                <w:iCs/>
                <w:sz w:val="16"/>
                <w:szCs w:val="16"/>
                <w:lang w:val="ro-MD"/>
              </w:rPr>
              <w:t>Suprafa</w:t>
            </w:r>
            <w:r w:rsidR="00B13B9A" w:rsidRPr="00DB333D">
              <w:rPr>
                <w:rFonts w:ascii="Calibri Light" w:eastAsia="Times New Roman" w:hAnsi="Calibri Light" w:cs="Calibri Light"/>
                <w:bCs/>
                <w:i/>
                <w:iCs/>
                <w:sz w:val="16"/>
                <w:szCs w:val="16"/>
                <w:lang w:val="ro-MD"/>
              </w:rPr>
              <w:t>ț</w:t>
            </w:r>
            <w:r w:rsidRPr="00DB333D">
              <w:rPr>
                <w:rFonts w:ascii="Calibri Light" w:eastAsia="Times New Roman" w:hAnsi="Calibri Light" w:cs="Calibri Light"/>
                <w:bCs/>
                <w:i/>
                <w:iCs/>
                <w:sz w:val="16"/>
                <w:szCs w:val="16"/>
                <w:lang w:val="ro-MD"/>
              </w:rPr>
              <w:t>a</w:t>
            </w:r>
            <w:r w:rsidR="0096393F" w:rsidRPr="00DB333D">
              <w:rPr>
                <w:rFonts w:ascii="Calibri Light" w:eastAsia="Times New Roman" w:hAnsi="Calibri Light" w:cs="Calibri Light"/>
                <w:bCs/>
                <w:i/>
                <w:iCs/>
                <w:sz w:val="16"/>
                <w:szCs w:val="16"/>
                <w:lang w:val="ro-MD"/>
              </w:rPr>
              <w:t xml:space="preserve"> terenului, ha</w:t>
            </w:r>
          </w:p>
        </w:tc>
        <w:tc>
          <w:tcPr>
            <w:tcW w:w="765"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5E42569F" w14:textId="6702D156" w:rsidR="0096393F" w:rsidRPr="00DB333D" w:rsidRDefault="0096393F" w:rsidP="00332FF7">
            <w:pPr>
              <w:spacing w:after="0" w:line="240" w:lineRule="auto"/>
              <w:jc w:val="center"/>
              <w:rPr>
                <w:rFonts w:ascii="Calibri Light" w:eastAsia="Times New Roman" w:hAnsi="Calibri Light" w:cs="Calibri Light"/>
                <w:bCs/>
                <w:i/>
                <w:iCs/>
                <w:sz w:val="16"/>
                <w:szCs w:val="16"/>
                <w:lang w:val="ro-MD"/>
              </w:rPr>
            </w:pPr>
            <w:r w:rsidRPr="00DB333D">
              <w:rPr>
                <w:rFonts w:ascii="Calibri Light" w:eastAsia="Times New Roman" w:hAnsi="Calibri Light" w:cs="Calibri Light"/>
                <w:bCs/>
                <w:i/>
                <w:iCs/>
                <w:sz w:val="16"/>
                <w:szCs w:val="16"/>
                <w:lang w:val="ro-MD"/>
              </w:rPr>
              <w:t>Imobilul se afla la bilan</w:t>
            </w:r>
            <w:r w:rsidR="00B13B9A" w:rsidRPr="00DB333D">
              <w:rPr>
                <w:rFonts w:ascii="Calibri Light" w:eastAsia="Times New Roman" w:hAnsi="Calibri Light" w:cs="Calibri Light"/>
                <w:bCs/>
                <w:i/>
                <w:iCs/>
                <w:sz w:val="16"/>
                <w:szCs w:val="16"/>
                <w:lang w:val="ro-MD"/>
              </w:rPr>
              <w:t>ț</w:t>
            </w:r>
            <w:r w:rsidR="005C3DCF" w:rsidRPr="00DB333D">
              <w:rPr>
                <w:rFonts w:ascii="Calibri Light" w:eastAsia="Times New Roman" w:hAnsi="Calibri Light" w:cs="Calibri Light"/>
                <w:bCs/>
                <w:i/>
                <w:iCs/>
                <w:sz w:val="16"/>
                <w:szCs w:val="16"/>
                <w:lang w:val="ro-MD"/>
              </w:rPr>
              <w:t>ă</w:t>
            </w:r>
            <w:r w:rsidR="002101A1">
              <w:rPr>
                <w:rFonts w:ascii="Calibri Light" w:eastAsia="Times New Roman" w:hAnsi="Calibri Light" w:cs="Calibri Light"/>
                <w:bCs/>
                <w:i/>
                <w:iCs/>
                <w:sz w:val="16"/>
                <w:szCs w:val="16"/>
                <w:lang w:val="ro-MD"/>
              </w:rPr>
              <w:t xml:space="preserve"> (DA/Nu</w:t>
            </w:r>
            <w:r w:rsidRPr="00DB333D">
              <w:rPr>
                <w:rFonts w:ascii="Calibri Light" w:eastAsia="Times New Roman" w:hAnsi="Calibri Light" w:cs="Calibri Light"/>
                <w:bCs/>
                <w:i/>
                <w:iCs/>
                <w:sz w:val="16"/>
                <w:szCs w:val="16"/>
                <w:lang w:val="ro-MD"/>
              </w:rPr>
              <w:t>)</w:t>
            </w:r>
          </w:p>
        </w:tc>
        <w:tc>
          <w:tcPr>
            <w:tcW w:w="197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201F3D8" w14:textId="77777777" w:rsidR="0096393F" w:rsidRPr="00DB333D" w:rsidRDefault="0096393F" w:rsidP="00332FF7">
            <w:pPr>
              <w:spacing w:after="0" w:line="240" w:lineRule="auto"/>
              <w:jc w:val="center"/>
              <w:rPr>
                <w:rFonts w:ascii="Calibri Light" w:eastAsia="Times New Roman" w:hAnsi="Calibri Light" w:cs="Calibri Light"/>
                <w:bCs/>
                <w:i/>
                <w:iCs/>
                <w:sz w:val="16"/>
                <w:szCs w:val="16"/>
                <w:lang w:val="ro-MD"/>
              </w:rPr>
            </w:pPr>
            <w:r w:rsidRPr="00DB333D">
              <w:rPr>
                <w:rFonts w:ascii="Calibri Light" w:eastAsia="Times New Roman" w:hAnsi="Calibri Light" w:cs="Calibri Light"/>
                <w:bCs/>
                <w:i/>
                <w:iCs/>
                <w:sz w:val="16"/>
                <w:szCs w:val="16"/>
                <w:lang w:val="ro-MD"/>
              </w:rPr>
              <w:t>Valoarea calculată de audit</w:t>
            </w:r>
          </w:p>
        </w:tc>
        <w:tc>
          <w:tcPr>
            <w:tcW w:w="8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FF47665" w14:textId="77777777" w:rsidR="0096393F" w:rsidRPr="00DB333D" w:rsidRDefault="0096393F" w:rsidP="00332FF7">
            <w:pPr>
              <w:spacing w:after="0" w:line="240" w:lineRule="auto"/>
              <w:jc w:val="center"/>
              <w:rPr>
                <w:rFonts w:ascii="Calibri Light" w:eastAsia="Times New Roman" w:hAnsi="Calibri Light" w:cs="Calibri Light"/>
                <w:bCs/>
                <w:i/>
                <w:iCs/>
                <w:sz w:val="16"/>
                <w:szCs w:val="16"/>
                <w:lang w:val="ro-MD"/>
              </w:rPr>
            </w:pPr>
            <w:r w:rsidRPr="00DB333D">
              <w:rPr>
                <w:rFonts w:ascii="Calibri Light" w:eastAsia="Times New Roman" w:hAnsi="Calibri Light" w:cs="Calibri Light"/>
                <w:bCs/>
                <w:i/>
                <w:iCs/>
                <w:sz w:val="16"/>
                <w:szCs w:val="16"/>
                <w:lang w:val="ro-MD"/>
              </w:rPr>
              <w:t>Valoarea terenului ajustată conform actelor normative (mii lei)</w:t>
            </w:r>
          </w:p>
        </w:tc>
      </w:tr>
      <w:tr w:rsidR="005C3DCF" w:rsidRPr="00DB333D" w14:paraId="49538700" w14:textId="77777777" w:rsidTr="002101A1">
        <w:trPr>
          <w:trHeight w:val="20"/>
        </w:trPr>
        <w:tc>
          <w:tcPr>
            <w:tcW w:w="413" w:type="dxa"/>
            <w:vMerge/>
            <w:tcBorders>
              <w:top w:val="single" w:sz="8" w:space="0" w:color="auto"/>
              <w:left w:val="single" w:sz="8" w:space="0" w:color="auto"/>
              <w:bottom w:val="single" w:sz="8" w:space="0" w:color="000000"/>
              <w:right w:val="single" w:sz="4" w:space="0" w:color="auto"/>
            </w:tcBorders>
            <w:vAlign w:val="center"/>
            <w:hideMark/>
          </w:tcPr>
          <w:p w14:paraId="22FF9BEA" w14:textId="77777777" w:rsidR="0096393F" w:rsidRPr="00DB333D" w:rsidRDefault="0096393F" w:rsidP="00332FF7">
            <w:pPr>
              <w:spacing w:after="0" w:line="240" w:lineRule="auto"/>
              <w:rPr>
                <w:rFonts w:ascii="Calibri Light" w:eastAsia="Times New Roman" w:hAnsi="Calibri Light" w:cs="Calibri Light"/>
                <w:b/>
                <w:bCs/>
                <w:i/>
                <w:iCs/>
                <w:sz w:val="16"/>
                <w:szCs w:val="16"/>
                <w:lang w:val="ro-MD"/>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14:paraId="430D2804" w14:textId="77777777" w:rsidR="0096393F" w:rsidRPr="002101A1" w:rsidRDefault="0096393F" w:rsidP="00332FF7">
            <w:pPr>
              <w:spacing w:after="0" w:line="240" w:lineRule="auto"/>
              <w:rPr>
                <w:rFonts w:ascii="Calibri Light" w:eastAsia="Times New Roman" w:hAnsi="Calibri Light" w:cs="Calibri Light"/>
                <w:b/>
                <w:bCs/>
                <w:i/>
                <w:iCs/>
                <w:sz w:val="16"/>
                <w:szCs w:val="16"/>
                <w:lang w:val="ro-MD"/>
              </w:rPr>
            </w:pPr>
          </w:p>
        </w:tc>
        <w:tc>
          <w:tcPr>
            <w:tcW w:w="1136" w:type="dxa"/>
            <w:vMerge/>
            <w:tcBorders>
              <w:top w:val="single" w:sz="8" w:space="0" w:color="auto"/>
              <w:left w:val="single" w:sz="4" w:space="0" w:color="auto"/>
              <w:bottom w:val="single" w:sz="8" w:space="0" w:color="000000"/>
              <w:right w:val="single" w:sz="4" w:space="0" w:color="auto"/>
            </w:tcBorders>
            <w:vAlign w:val="center"/>
            <w:hideMark/>
          </w:tcPr>
          <w:p w14:paraId="6AC4EA48" w14:textId="77777777" w:rsidR="0096393F" w:rsidRPr="002101A1" w:rsidRDefault="0096393F" w:rsidP="00332FF7">
            <w:pPr>
              <w:spacing w:after="0" w:line="240" w:lineRule="auto"/>
              <w:rPr>
                <w:rFonts w:ascii="Calibri Light" w:eastAsia="Times New Roman" w:hAnsi="Calibri Light" w:cs="Calibri Light"/>
                <w:b/>
                <w:bCs/>
                <w:i/>
                <w:iCs/>
                <w:sz w:val="16"/>
                <w:szCs w:val="16"/>
                <w:lang w:val="ro-MD"/>
              </w:rPr>
            </w:pPr>
          </w:p>
        </w:tc>
        <w:tc>
          <w:tcPr>
            <w:tcW w:w="1033" w:type="dxa"/>
            <w:vMerge/>
            <w:tcBorders>
              <w:top w:val="single" w:sz="8" w:space="0" w:color="auto"/>
              <w:left w:val="single" w:sz="4" w:space="0" w:color="auto"/>
              <w:bottom w:val="single" w:sz="8" w:space="0" w:color="000000"/>
              <w:right w:val="single" w:sz="4" w:space="0" w:color="auto"/>
            </w:tcBorders>
            <w:vAlign w:val="center"/>
            <w:hideMark/>
          </w:tcPr>
          <w:p w14:paraId="1F5CBB47" w14:textId="77777777" w:rsidR="0096393F" w:rsidRPr="002101A1" w:rsidRDefault="0096393F" w:rsidP="00332FF7">
            <w:pPr>
              <w:spacing w:after="0" w:line="240" w:lineRule="auto"/>
              <w:rPr>
                <w:rFonts w:ascii="Calibri Light" w:eastAsia="Times New Roman" w:hAnsi="Calibri Light" w:cs="Calibri Light"/>
                <w:b/>
                <w:bCs/>
                <w:i/>
                <w:iCs/>
                <w:sz w:val="16"/>
                <w:szCs w:val="16"/>
                <w:lang w:val="ro-MD"/>
              </w:rPr>
            </w:pPr>
          </w:p>
        </w:tc>
        <w:tc>
          <w:tcPr>
            <w:tcW w:w="793" w:type="dxa"/>
            <w:vMerge/>
            <w:tcBorders>
              <w:top w:val="single" w:sz="8" w:space="0" w:color="auto"/>
              <w:left w:val="single" w:sz="4" w:space="0" w:color="auto"/>
              <w:bottom w:val="single" w:sz="8" w:space="0" w:color="000000"/>
              <w:right w:val="single" w:sz="4" w:space="0" w:color="auto"/>
            </w:tcBorders>
            <w:vAlign w:val="center"/>
            <w:hideMark/>
          </w:tcPr>
          <w:p w14:paraId="438954A8" w14:textId="77777777" w:rsidR="0096393F" w:rsidRPr="002101A1" w:rsidRDefault="0096393F" w:rsidP="00332FF7">
            <w:pPr>
              <w:spacing w:after="0" w:line="240" w:lineRule="auto"/>
              <w:rPr>
                <w:rFonts w:ascii="Calibri Light" w:eastAsia="Times New Roman" w:hAnsi="Calibri Light" w:cs="Calibri Light"/>
                <w:b/>
                <w:bCs/>
                <w:sz w:val="16"/>
                <w:szCs w:val="16"/>
                <w:lang w:val="ro-MD"/>
              </w:rPr>
            </w:pPr>
          </w:p>
        </w:tc>
        <w:tc>
          <w:tcPr>
            <w:tcW w:w="847" w:type="dxa"/>
            <w:vMerge/>
            <w:tcBorders>
              <w:top w:val="single" w:sz="8" w:space="0" w:color="auto"/>
              <w:left w:val="single" w:sz="4" w:space="0" w:color="auto"/>
              <w:bottom w:val="single" w:sz="8" w:space="0" w:color="000000"/>
              <w:right w:val="single" w:sz="4" w:space="0" w:color="auto"/>
            </w:tcBorders>
            <w:vAlign w:val="center"/>
            <w:hideMark/>
          </w:tcPr>
          <w:p w14:paraId="06817DE9" w14:textId="77777777" w:rsidR="0096393F" w:rsidRPr="002101A1" w:rsidRDefault="0096393F" w:rsidP="00332FF7">
            <w:pPr>
              <w:spacing w:after="0" w:line="240" w:lineRule="auto"/>
              <w:rPr>
                <w:rFonts w:ascii="Calibri Light" w:eastAsia="Times New Roman" w:hAnsi="Calibri Light" w:cs="Calibri Light"/>
                <w:b/>
                <w:bCs/>
                <w:i/>
                <w:iCs/>
                <w:sz w:val="16"/>
                <w:szCs w:val="16"/>
                <w:lang w:val="ro-MD"/>
              </w:rPr>
            </w:pPr>
          </w:p>
        </w:tc>
        <w:tc>
          <w:tcPr>
            <w:tcW w:w="852" w:type="dxa"/>
            <w:vMerge/>
            <w:tcBorders>
              <w:top w:val="single" w:sz="8" w:space="0" w:color="auto"/>
              <w:left w:val="single" w:sz="4" w:space="0" w:color="auto"/>
              <w:bottom w:val="single" w:sz="8" w:space="0" w:color="000000"/>
              <w:right w:val="single" w:sz="4" w:space="0" w:color="auto"/>
            </w:tcBorders>
            <w:vAlign w:val="center"/>
            <w:hideMark/>
          </w:tcPr>
          <w:p w14:paraId="30C8150F" w14:textId="77777777" w:rsidR="0096393F" w:rsidRPr="002101A1" w:rsidRDefault="0096393F" w:rsidP="00332FF7">
            <w:pPr>
              <w:spacing w:after="0" w:line="240" w:lineRule="auto"/>
              <w:rPr>
                <w:rFonts w:ascii="Calibri Light" w:eastAsia="Times New Roman" w:hAnsi="Calibri Light" w:cs="Calibri Light"/>
                <w:b/>
                <w:bCs/>
                <w:i/>
                <w:iCs/>
                <w:sz w:val="16"/>
                <w:szCs w:val="16"/>
                <w:lang w:val="ro-MD"/>
              </w:rPr>
            </w:pPr>
          </w:p>
        </w:tc>
        <w:tc>
          <w:tcPr>
            <w:tcW w:w="765" w:type="dxa"/>
            <w:vMerge/>
            <w:tcBorders>
              <w:top w:val="single" w:sz="8" w:space="0" w:color="auto"/>
              <w:left w:val="single" w:sz="4" w:space="0" w:color="auto"/>
              <w:bottom w:val="single" w:sz="8" w:space="0" w:color="000000"/>
              <w:right w:val="single" w:sz="4" w:space="0" w:color="000000"/>
            </w:tcBorders>
            <w:vAlign w:val="center"/>
            <w:hideMark/>
          </w:tcPr>
          <w:p w14:paraId="06DCA9E2" w14:textId="77777777" w:rsidR="0096393F" w:rsidRPr="002101A1" w:rsidRDefault="0096393F" w:rsidP="00332FF7">
            <w:pPr>
              <w:spacing w:after="0" w:line="240" w:lineRule="auto"/>
              <w:rPr>
                <w:rFonts w:ascii="Calibri Light" w:eastAsia="Times New Roman" w:hAnsi="Calibri Light" w:cs="Calibri Light"/>
                <w:b/>
                <w:bCs/>
                <w:i/>
                <w:iCs/>
                <w:sz w:val="16"/>
                <w:szCs w:val="16"/>
                <w:lang w:val="ro-MD"/>
              </w:rPr>
            </w:pPr>
          </w:p>
        </w:tc>
        <w:tc>
          <w:tcPr>
            <w:tcW w:w="739" w:type="dxa"/>
            <w:tcBorders>
              <w:top w:val="nil"/>
              <w:left w:val="nil"/>
              <w:bottom w:val="single" w:sz="8" w:space="0" w:color="auto"/>
              <w:right w:val="nil"/>
            </w:tcBorders>
            <w:shd w:val="clear" w:color="auto" w:fill="auto"/>
            <w:vAlign w:val="center"/>
            <w:hideMark/>
          </w:tcPr>
          <w:p w14:paraId="5A6DF6E0" w14:textId="77777777" w:rsidR="0096393F" w:rsidRPr="002101A1" w:rsidRDefault="0096393F" w:rsidP="00332FF7">
            <w:pPr>
              <w:spacing w:after="0" w:line="240" w:lineRule="auto"/>
              <w:jc w:val="center"/>
              <w:rPr>
                <w:rFonts w:ascii="Calibri Light" w:eastAsia="Times New Roman" w:hAnsi="Calibri Light" w:cs="Calibri Light"/>
                <w:b/>
                <w:bCs/>
                <w:i/>
                <w:iCs/>
                <w:sz w:val="16"/>
                <w:szCs w:val="16"/>
                <w:lang w:val="ro-MD"/>
              </w:rPr>
            </w:pPr>
            <w:r w:rsidRPr="002101A1">
              <w:rPr>
                <w:rFonts w:ascii="Calibri Light" w:eastAsia="Times New Roman" w:hAnsi="Calibri Light" w:cs="Calibri Light"/>
                <w:b/>
                <w:bCs/>
                <w:i/>
                <w:iCs/>
                <w:sz w:val="16"/>
                <w:szCs w:val="16"/>
                <w:lang w:val="ro-MD"/>
              </w:rPr>
              <w:t>tarif, (mii lei)</w:t>
            </w:r>
          </w:p>
        </w:tc>
        <w:tc>
          <w:tcPr>
            <w:tcW w:w="576" w:type="dxa"/>
            <w:tcBorders>
              <w:top w:val="nil"/>
              <w:left w:val="single" w:sz="4" w:space="0" w:color="auto"/>
              <w:bottom w:val="single" w:sz="8" w:space="0" w:color="auto"/>
              <w:right w:val="nil"/>
            </w:tcBorders>
            <w:shd w:val="clear" w:color="auto" w:fill="auto"/>
            <w:vAlign w:val="center"/>
            <w:hideMark/>
          </w:tcPr>
          <w:p w14:paraId="47A4DCEC" w14:textId="2D2B54BE" w:rsidR="0096393F" w:rsidRPr="002101A1" w:rsidRDefault="0096393F" w:rsidP="00332FF7">
            <w:pPr>
              <w:spacing w:after="0" w:line="240" w:lineRule="auto"/>
              <w:jc w:val="center"/>
              <w:rPr>
                <w:rFonts w:ascii="Calibri Light" w:eastAsia="Times New Roman" w:hAnsi="Calibri Light" w:cs="Calibri Light"/>
                <w:b/>
                <w:bCs/>
                <w:i/>
                <w:iCs/>
                <w:sz w:val="16"/>
                <w:szCs w:val="16"/>
                <w:lang w:val="ro-MD"/>
              </w:rPr>
            </w:pPr>
            <w:r w:rsidRPr="002101A1">
              <w:rPr>
                <w:rFonts w:ascii="Calibri Light" w:eastAsia="Times New Roman" w:hAnsi="Calibri Light" w:cs="Calibri Light"/>
                <w:b/>
                <w:bCs/>
                <w:i/>
                <w:iCs/>
                <w:sz w:val="16"/>
                <w:szCs w:val="16"/>
                <w:lang w:val="ro-MD"/>
              </w:rPr>
              <w:t>bonit</w:t>
            </w:r>
            <w:r w:rsidR="005C3DCF" w:rsidRPr="002101A1">
              <w:rPr>
                <w:rFonts w:ascii="Calibri Light" w:eastAsia="Times New Roman" w:hAnsi="Calibri Light" w:cs="Calibri Light"/>
                <w:b/>
                <w:bCs/>
                <w:i/>
                <w:iCs/>
                <w:sz w:val="16"/>
                <w:szCs w:val="16"/>
                <w:lang w:val="ro-MD"/>
              </w:rPr>
              <w:t>ate</w:t>
            </w:r>
          </w:p>
        </w:tc>
        <w:tc>
          <w:tcPr>
            <w:tcW w:w="664" w:type="dxa"/>
            <w:tcBorders>
              <w:top w:val="nil"/>
              <w:left w:val="single" w:sz="4" w:space="0" w:color="auto"/>
              <w:bottom w:val="single" w:sz="8" w:space="0" w:color="auto"/>
              <w:right w:val="single" w:sz="8" w:space="0" w:color="auto"/>
            </w:tcBorders>
            <w:shd w:val="clear" w:color="auto" w:fill="auto"/>
            <w:vAlign w:val="center"/>
            <w:hideMark/>
          </w:tcPr>
          <w:p w14:paraId="1ABC12A4" w14:textId="77777777" w:rsidR="0096393F" w:rsidRPr="002101A1" w:rsidRDefault="0096393F" w:rsidP="00332FF7">
            <w:pPr>
              <w:spacing w:after="0" w:line="240" w:lineRule="auto"/>
              <w:jc w:val="center"/>
              <w:rPr>
                <w:rFonts w:ascii="Calibri Light" w:eastAsia="Times New Roman" w:hAnsi="Calibri Light" w:cs="Calibri Light"/>
                <w:b/>
                <w:bCs/>
                <w:i/>
                <w:iCs/>
                <w:sz w:val="16"/>
                <w:szCs w:val="16"/>
                <w:lang w:val="ro-MD"/>
              </w:rPr>
            </w:pPr>
            <w:r w:rsidRPr="002101A1">
              <w:rPr>
                <w:rFonts w:ascii="Calibri Light" w:eastAsia="Times New Roman" w:hAnsi="Calibri Light" w:cs="Calibri Light"/>
                <w:b/>
                <w:bCs/>
                <w:i/>
                <w:iCs/>
                <w:sz w:val="16"/>
                <w:szCs w:val="16"/>
                <w:lang w:val="ro-MD"/>
              </w:rPr>
              <w:t>suma, mii lei</w:t>
            </w:r>
          </w:p>
        </w:tc>
        <w:tc>
          <w:tcPr>
            <w:tcW w:w="876" w:type="dxa"/>
            <w:vMerge/>
            <w:tcBorders>
              <w:top w:val="single" w:sz="8" w:space="0" w:color="auto"/>
              <w:left w:val="single" w:sz="8" w:space="0" w:color="auto"/>
              <w:bottom w:val="single" w:sz="8" w:space="0" w:color="000000"/>
              <w:right w:val="single" w:sz="8" w:space="0" w:color="auto"/>
            </w:tcBorders>
            <w:vAlign w:val="center"/>
            <w:hideMark/>
          </w:tcPr>
          <w:p w14:paraId="3C23ED4D" w14:textId="77777777" w:rsidR="0096393F" w:rsidRPr="002101A1" w:rsidRDefault="0096393F" w:rsidP="00332FF7">
            <w:pPr>
              <w:spacing w:after="0" w:line="240" w:lineRule="auto"/>
              <w:rPr>
                <w:rFonts w:ascii="Calibri Light" w:eastAsia="Times New Roman" w:hAnsi="Calibri Light" w:cs="Calibri Light"/>
                <w:b/>
                <w:bCs/>
                <w:i/>
                <w:iCs/>
                <w:sz w:val="16"/>
                <w:szCs w:val="16"/>
                <w:lang w:val="ro-MD"/>
              </w:rPr>
            </w:pPr>
          </w:p>
        </w:tc>
      </w:tr>
      <w:tr w:rsidR="005C3DCF" w:rsidRPr="00DB333D" w14:paraId="0756AA3F" w14:textId="77777777" w:rsidTr="002101A1">
        <w:trPr>
          <w:trHeight w:val="20"/>
        </w:trPr>
        <w:tc>
          <w:tcPr>
            <w:tcW w:w="413" w:type="dxa"/>
            <w:tcBorders>
              <w:top w:val="nil"/>
              <w:left w:val="single" w:sz="8" w:space="0" w:color="auto"/>
              <w:bottom w:val="single" w:sz="4" w:space="0" w:color="auto"/>
              <w:right w:val="single" w:sz="4" w:space="0" w:color="auto"/>
            </w:tcBorders>
            <w:shd w:val="clear" w:color="auto" w:fill="auto"/>
            <w:noWrap/>
            <w:vAlign w:val="center"/>
            <w:hideMark/>
          </w:tcPr>
          <w:p w14:paraId="246EF7A6"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1</w:t>
            </w:r>
          </w:p>
        </w:tc>
        <w:tc>
          <w:tcPr>
            <w:tcW w:w="1067" w:type="dxa"/>
            <w:tcBorders>
              <w:top w:val="nil"/>
              <w:left w:val="nil"/>
              <w:bottom w:val="single" w:sz="4" w:space="0" w:color="auto"/>
              <w:right w:val="single" w:sz="4" w:space="0" w:color="auto"/>
            </w:tcBorders>
            <w:shd w:val="clear" w:color="auto" w:fill="auto"/>
            <w:vAlign w:val="center"/>
            <w:hideMark/>
          </w:tcPr>
          <w:p w14:paraId="501F5D51"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Teren (garaje la casele de locuit)</w:t>
            </w:r>
          </w:p>
        </w:tc>
        <w:tc>
          <w:tcPr>
            <w:tcW w:w="1136" w:type="dxa"/>
            <w:tcBorders>
              <w:top w:val="nil"/>
              <w:left w:val="nil"/>
              <w:bottom w:val="single" w:sz="4" w:space="0" w:color="auto"/>
              <w:right w:val="single" w:sz="4" w:space="0" w:color="auto"/>
            </w:tcBorders>
            <w:shd w:val="clear" w:color="auto" w:fill="auto"/>
            <w:vAlign w:val="center"/>
            <w:hideMark/>
          </w:tcPr>
          <w:p w14:paraId="5E4BC73D" w14:textId="56D6E53B"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r</w:t>
            </w:r>
            <w:r w:rsidR="00010558" w:rsidRPr="002101A1">
              <w:rPr>
                <w:rFonts w:ascii="Calibri Light" w:eastAsia="Times New Roman" w:hAnsi="Calibri Light" w:cs="Calibri Light"/>
                <w:sz w:val="16"/>
                <w:szCs w:val="16"/>
                <w:lang w:val="ro-MD"/>
              </w:rPr>
              <w:t>-nu</w:t>
            </w:r>
            <w:r w:rsidRPr="002101A1">
              <w:rPr>
                <w:rFonts w:ascii="Calibri Light" w:eastAsia="Times New Roman" w:hAnsi="Calibri Light" w:cs="Calibri Light"/>
                <w:sz w:val="16"/>
                <w:szCs w:val="16"/>
                <w:lang w:val="ro-MD"/>
              </w:rPr>
              <w:t>l</w:t>
            </w:r>
            <w:r w:rsidR="00010558" w:rsidRPr="002101A1">
              <w:rPr>
                <w:rFonts w:ascii="Calibri Light" w:eastAsia="Times New Roman" w:hAnsi="Calibri Light" w:cs="Calibri Light"/>
                <w:sz w:val="16"/>
                <w:szCs w:val="16"/>
                <w:lang w:val="ro-MD"/>
              </w:rPr>
              <w:t xml:space="preserve"> </w:t>
            </w:r>
            <w:r w:rsidRPr="002101A1">
              <w:rPr>
                <w:rFonts w:ascii="Calibri Light" w:eastAsia="Times New Roman" w:hAnsi="Calibri Light" w:cs="Calibri Light"/>
                <w:sz w:val="16"/>
                <w:szCs w:val="16"/>
                <w:lang w:val="ro-MD"/>
              </w:rPr>
              <w:t>Str</w:t>
            </w:r>
            <w:r w:rsidR="005C3DCF" w:rsidRPr="002101A1">
              <w:rPr>
                <w:rFonts w:ascii="Calibri Light" w:eastAsia="Times New Roman" w:hAnsi="Calibri Light" w:cs="Calibri Light"/>
                <w:sz w:val="16"/>
                <w:szCs w:val="16"/>
                <w:lang w:val="ro-MD"/>
              </w:rPr>
              <w:t>ă</w:t>
            </w:r>
            <w:r w:rsidR="00B13B9A" w:rsidRPr="002101A1">
              <w:rPr>
                <w:rFonts w:ascii="Calibri Light" w:eastAsia="Times New Roman" w:hAnsi="Calibri Light" w:cs="Calibri Light"/>
                <w:sz w:val="16"/>
                <w:szCs w:val="16"/>
                <w:lang w:val="ro-MD"/>
              </w:rPr>
              <w:t>ș</w:t>
            </w:r>
            <w:r w:rsidRPr="002101A1">
              <w:rPr>
                <w:rFonts w:ascii="Calibri Light" w:eastAsia="Times New Roman" w:hAnsi="Calibri Light" w:cs="Calibri Light"/>
                <w:sz w:val="16"/>
                <w:szCs w:val="16"/>
                <w:lang w:val="ro-MD"/>
              </w:rPr>
              <w:t>eni, s.Vorniceni</w:t>
            </w:r>
          </w:p>
        </w:tc>
        <w:tc>
          <w:tcPr>
            <w:tcW w:w="1033" w:type="dxa"/>
            <w:tcBorders>
              <w:top w:val="nil"/>
              <w:left w:val="nil"/>
              <w:bottom w:val="single" w:sz="4" w:space="0" w:color="auto"/>
              <w:right w:val="single" w:sz="4" w:space="0" w:color="auto"/>
            </w:tcBorders>
            <w:shd w:val="clear" w:color="auto" w:fill="auto"/>
            <w:vAlign w:val="center"/>
            <w:hideMark/>
          </w:tcPr>
          <w:p w14:paraId="1C274EB2"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8042208423 13.01.2012</w:t>
            </w:r>
          </w:p>
        </w:tc>
        <w:tc>
          <w:tcPr>
            <w:tcW w:w="793" w:type="dxa"/>
            <w:tcBorders>
              <w:top w:val="nil"/>
              <w:left w:val="nil"/>
              <w:bottom w:val="single" w:sz="4" w:space="0" w:color="auto"/>
              <w:right w:val="single" w:sz="4" w:space="0" w:color="auto"/>
            </w:tcBorders>
            <w:shd w:val="clear" w:color="auto" w:fill="auto"/>
            <w:hideMark/>
          </w:tcPr>
          <w:p w14:paraId="2B02CCD8" w14:textId="77777777" w:rsidR="0096393F" w:rsidRPr="002101A1" w:rsidRDefault="0096393F" w:rsidP="00332FF7">
            <w:pPr>
              <w:spacing w:after="0" w:line="240" w:lineRule="auto"/>
              <w:jc w:val="center"/>
              <w:rPr>
                <w:rFonts w:ascii="Calibri Light" w:eastAsia="Times New Roman" w:hAnsi="Calibri Light" w:cs="Calibri Light"/>
                <w:b/>
                <w:bCs/>
                <w:sz w:val="16"/>
                <w:szCs w:val="16"/>
                <w:lang w:val="ro-MD"/>
              </w:rPr>
            </w:pPr>
            <w:r w:rsidRPr="002101A1">
              <w:rPr>
                <w:rFonts w:ascii="Calibri Light" w:eastAsia="Times New Roman" w:hAnsi="Calibri Light" w:cs="Calibri Light"/>
                <w:b/>
                <w:bCs/>
                <w:sz w:val="16"/>
                <w:szCs w:val="16"/>
                <w:lang w:val="ro-MD"/>
              </w:rPr>
              <w:t> </w:t>
            </w:r>
          </w:p>
        </w:tc>
        <w:tc>
          <w:tcPr>
            <w:tcW w:w="847" w:type="dxa"/>
            <w:tcBorders>
              <w:top w:val="nil"/>
              <w:left w:val="nil"/>
              <w:bottom w:val="single" w:sz="4" w:space="0" w:color="auto"/>
              <w:right w:val="single" w:sz="4" w:space="0" w:color="auto"/>
            </w:tcBorders>
            <w:shd w:val="clear" w:color="auto" w:fill="auto"/>
            <w:noWrap/>
            <w:vAlign w:val="center"/>
            <w:hideMark/>
          </w:tcPr>
          <w:p w14:paraId="25794D91"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0,2</w:t>
            </w:r>
          </w:p>
        </w:tc>
        <w:tc>
          <w:tcPr>
            <w:tcW w:w="852" w:type="dxa"/>
            <w:tcBorders>
              <w:top w:val="nil"/>
              <w:left w:val="nil"/>
              <w:bottom w:val="single" w:sz="4" w:space="0" w:color="auto"/>
              <w:right w:val="single" w:sz="4" w:space="0" w:color="auto"/>
            </w:tcBorders>
            <w:shd w:val="clear" w:color="auto" w:fill="auto"/>
            <w:noWrap/>
            <w:vAlign w:val="center"/>
            <w:hideMark/>
          </w:tcPr>
          <w:p w14:paraId="39A17803"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0,0176</w:t>
            </w:r>
          </w:p>
        </w:tc>
        <w:tc>
          <w:tcPr>
            <w:tcW w:w="765" w:type="dxa"/>
            <w:tcBorders>
              <w:top w:val="nil"/>
              <w:left w:val="nil"/>
              <w:bottom w:val="single" w:sz="4" w:space="0" w:color="auto"/>
              <w:right w:val="single" w:sz="4" w:space="0" w:color="auto"/>
            </w:tcBorders>
            <w:shd w:val="clear" w:color="auto" w:fill="auto"/>
            <w:noWrap/>
            <w:vAlign w:val="center"/>
            <w:hideMark/>
          </w:tcPr>
          <w:p w14:paraId="0285D7BF"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Da</w:t>
            </w:r>
          </w:p>
        </w:tc>
        <w:tc>
          <w:tcPr>
            <w:tcW w:w="739" w:type="dxa"/>
            <w:tcBorders>
              <w:top w:val="nil"/>
              <w:left w:val="nil"/>
              <w:bottom w:val="single" w:sz="4" w:space="0" w:color="auto"/>
              <w:right w:val="nil"/>
            </w:tcBorders>
            <w:shd w:val="clear" w:color="auto" w:fill="auto"/>
            <w:noWrap/>
            <w:vAlign w:val="center"/>
            <w:hideMark/>
          </w:tcPr>
          <w:p w14:paraId="63B266E4"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36,2</w:t>
            </w:r>
          </w:p>
        </w:tc>
        <w:tc>
          <w:tcPr>
            <w:tcW w:w="576" w:type="dxa"/>
            <w:tcBorders>
              <w:top w:val="nil"/>
              <w:left w:val="single" w:sz="4" w:space="0" w:color="auto"/>
              <w:bottom w:val="single" w:sz="4" w:space="0" w:color="auto"/>
              <w:right w:val="nil"/>
            </w:tcBorders>
            <w:shd w:val="clear" w:color="auto" w:fill="auto"/>
            <w:noWrap/>
            <w:vAlign w:val="center"/>
            <w:hideMark/>
          </w:tcPr>
          <w:p w14:paraId="4E2234FC"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65</w:t>
            </w:r>
          </w:p>
        </w:tc>
        <w:tc>
          <w:tcPr>
            <w:tcW w:w="664" w:type="dxa"/>
            <w:tcBorders>
              <w:top w:val="nil"/>
              <w:left w:val="single" w:sz="4" w:space="0" w:color="auto"/>
              <w:bottom w:val="single" w:sz="4" w:space="0" w:color="auto"/>
              <w:right w:val="nil"/>
            </w:tcBorders>
            <w:shd w:val="clear" w:color="auto" w:fill="auto"/>
            <w:noWrap/>
            <w:vAlign w:val="center"/>
            <w:hideMark/>
          </w:tcPr>
          <w:p w14:paraId="11579791"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41,4</w:t>
            </w:r>
          </w:p>
        </w:tc>
        <w:tc>
          <w:tcPr>
            <w:tcW w:w="876" w:type="dxa"/>
            <w:tcBorders>
              <w:top w:val="nil"/>
              <w:left w:val="single" w:sz="4" w:space="0" w:color="auto"/>
              <w:bottom w:val="single" w:sz="4" w:space="0" w:color="auto"/>
              <w:right w:val="single" w:sz="8" w:space="0" w:color="auto"/>
            </w:tcBorders>
            <w:shd w:val="clear" w:color="auto" w:fill="auto"/>
            <w:noWrap/>
            <w:vAlign w:val="center"/>
            <w:hideMark/>
          </w:tcPr>
          <w:p w14:paraId="685E5E5B"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41,4</w:t>
            </w:r>
          </w:p>
        </w:tc>
      </w:tr>
      <w:tr w:rsidR="005C3DCF" w:rsidRPr="00DB333D" w14:paraId="04A7EF8C" w14:textId="77777777" w:rsidTr="002101A1">
        <w:trPr>
          <w:trHeight w:val="20"/>
        </w:trPr>
        <w:tc>
          <w:tcPr>
            <w:tcW w:w="413" w:type="dxa"/>
            <w:tcBorders>
              <w:top w:val="nil"/>
              <w:left w:val="single" w:sz="8" w:space="0" w:color="auto"/>
              <w:bottom w:val="single" w:sz="4" w:space="0" w:color="auto"/>
              <w:right w:val="single" w:sz="4" w:space="0" w:color="auto"/>
            </w:tcBorders>
            <w:shd w:val="clear" w:color="auto" w:fill="auto"/>
            <w:noWrap/>
            <w:vAlign w:val="center"/>
            <w:hideMark/>
          </w:tcPr>
          <w:p w14:paraId="22CDD68E"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2</w:t>
            </w:r>
          </w:p>
        </w:tc>
        <w:tc>
          <w:tcPr>
            <w:tcW w:w="1067" w:type="dxa"/>
            <w:tcBorders>
              <w:top w:val="nil"/>
              <w:left w:val="nil"/>
              <w:bottom w:val="single" w:sz="4" w:space="0" w:color="auto"/>
              <w:right w:val="single" w:sz="4" w:space="0" w:color="auto"/>
            </w:tcBorders>
            <w:shd w:val="clear" w:color="auto" w:fill="auto"/>
            <w:vAlign w:val="center"/>
            <w:hideMark/>
          </w:tcPr>
          <w:p w14:paraId="4DACCABF"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Teren</w:t>
            </w:r>
          </w:p>
        </w:tc>
        <w:tc>
          <w:tcPr>
            <w:tcW w:w="1136" w:type="dxa"/>
            <w:tcBorders>
              <w:top w:val="nil"/>
              <w:left w:val="nil"/>
              <w:bottom w:val="single" w:sz="4" w:space="0" w:color="auto"/>
              <w:right w:val="single" w:sz="4" w:space="0" w:color="auto"/>
            </w:tcBorders>
            <w:shd w:val="clear" w:color="auto" w:fill="auto"/>
            <w:vAlign w:val="center"/>
            <w:hideMark/>
          </w:tcPr>
          <w:p w14:paraId="78EACDF6" w14:textId="5AC18C55"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mun.Chi</w:t>
            </w:r>
            <w:r w:rsidR="00B13B9A" w:rsidRPr="002101A1">
              <w:rPr>
                <w:rFonts w:ascii="Calibri Light" w:eastAsia="Times New Roman" w:hAnsi="Calibri Light" w:cs="Calibri Light"/>
                <w:sz w:val="16"/>
                <w:szCs w:val="16"/>
                <w:lang w:val="ro-MD"/>
              </w:rPr>
              <w:t>ș</w:t>
            </w:r>
            <w:r w:rsidRPr="002101A1">
              <w:rPr>
                <w:rFonts w:ascii="Calibri Light" w:eastAsia="Times New Roman" w:hAnsi="Calibri Light" w:cs="Calibri Light"/>
                <w:sz w:val="16"/>
                <w:szCs w:val="16"/>
                <w:lang w:val="ro-MD"/>
              </w:rPr>
              <w:t>in</w:t>
            </w:r>
            <w:r w:rsidR="005C3DCF" w:rsidRPr="002101A1">
              <w:rPr>
                <w:rFonts w:ascii="Calibri Light" w:eastAsia="Times New Roman" w:hAnsi="Calibri Light" w:cs="Calibri Light"/>
                <w:sz w:val="16"/>
                <w:szCs w:val="16"/>
                <w:lang w:val="ro-MD"/>
              </w:rPr>
              <w:t>ă</w:t>
            </w:r>
            <w:r w:rsidRPr="002101A1">
              <w:rPr>
                <w:rFonts w:ascii="Calibri Light" w:eastAsia="Times New Roman" w:hAnsi="Calibri Light" w:cs="Calibri Light"/>
                <w:sz w:val="16"/>
                <w:szCs w:val="16"/>
                <w:lang w:val="ro-MD"/>
              </w:rPr>
              <w:t>u, str.C.</w:t>
            </w:r>
            <w:r w:rsidR="00010558" w:rsidRPr="002101A1">
              <w:rPr>
                <w:rFonts w:ascii="Calibri Light" w:eastAsia="Times New Roman" w:hAnsi="Calibri Light" w:cs="Calibri Light"/>
                <w:sz w:val="16"/>
                <w:szCs w:val="16"/>
                <w:lang w:val="ro-MD"/>
              </w:rPr>
              <w:t xml:space="preserve"> </w:t>
            </w:r>
            <w:r w:rsidRPr="002101A1">
              <w:rPr>
                <w:rFonts w:ascii="Calibri Light" w:eastAsia="Times New Roman" w:hAnsi="Calibri Light" w:cs="Calibri Light"/>
                <w:sz w:val="16"/>
                <w:szCs w:val="16"/>
                <w:lang w:val="ro-MD"/>
              </w:rPr>
              <w:t>Virnav, 13</w:t>
            </w:r>
          </w:p>
        </w:tc>
        <w:tc>
          <w:tcPr>
            <w:tcW w:w="1033" w:type="dxa"/>
            <w:tcBorders>
              <w:top w:val="nil"/>
              <w:left w:val="nil"/>
              <w:bottom w:val="single" w:sz="4" w:space="0" w:color="auto"/>
              <w:right w:val="single" w:sz="4" w:space="0" w:color="auto"/>
            </w:tcBorders>
            <w:shd w:val="clear" w:color="auto" w:fill="auto"/>
            <w:vAlign w:val="center"/>
            <w:hideMark/>
          </w:tcPr>
          <w:p w14:paraId="62EC48A2"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100213541 01.07.2004</w:t>
            </w:r>
          </w:p>
        </w:tc>
        <w:tc>
          <w:tcPr>
            <w:tcW w:w="793" w:type="dxa"/>
            <w:tcBorders>
              <w:top w:val="nil"/>
              <w:left w:val="nil"/>
              <w:bottom w:val="single" w:sz="4" w:space="0" w:color="auto"/>
              <w:right w:val="single" w:sz="4" w:space="0" w:color="auto"/>
            </w:tcBorders>
            <w:shd w:val="clear" w:color="auto" w:fill="auto"/>
            <w:vAlign w:val="center"/>
            <w:hideMark/>
          </w:tcPr>
          <w:p w14:paraId="1DAB48D8"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7453,6</w:t>
            </w:r>
          </w:p>
        </w:tc>
        <w:tc>
          <w:tcPr>
            <w:tcW w:w="847" w:type="dxa"/>
            <w:tcBorders>
              <w:top w:val="nil"/>
              <w:left w:val="nil"/>
              <w:bottom w:val="single" w:sz="4" w:space="0" w:color="auto"/>
              <w:right w:val="single" w:sz="4" w:space="0" w:color="auto"/>
            </w:tcBorders>
            <w:shd w:val="clear" w:color="auto" w:fill="auto"/>
            <w:noWrap/>
            <w:vAlign w:val="center"/>
            <w:hideMark/>
          </w:tcPr>
          <w:p w14:paraId="4F163FB7"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6 832,9</w:t>
            </w:r>
          </w:p>
        </w:tc>
        <w:tc>
          <w:tcPr>
            <w:tcW w:w="852" w:type="dxa"/>
            <w:tcBorders>
              <w:top w:val="nil"/>
              <w:left w:val="nil"/>
              <w:bottom w:val="single" w:sz="4" w:space="0" w:color="auto"/>
              <w:right w:val="single" w:sz="4" w:space="0" w:color="auto"/>
            </w:tcBorders>
            <w:shd w:val="clear" w:color="auto" w:fill="auto"/>
            <w:noWrap/>
            <w:vAlign w:val="center"/>
            <w:hideMark/>
          </w:tcPr>
          <w:p w14:paraId="239720A1"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0,8538</w:t>
            </w:r>
          </w:p>
        </w:tc>
        <w:tc>
          <w:tcPr>
            <w:tcW w:w="765" w:type="dxa"/>
            <w:tcBorders>
              <w:top w:val="nil"/>
              <w:left w:val="nil"/>
              <w:bottom w:val="single" w:sz="4" w:space="0" w:color="auto"/>
              <w:right w:val="single" w:sz="4" w:space="0" w:color="auto"/>
            </w:tcBorders>
            <w:shd w:val="clear" w:color="auto" w:fill="auto"/>
            <w:noWrap/>
            <w:vAlign w:val="center"/>
            <w:hideMark/>
          </w:tcPr>
          <w:p w14:paraId="77CB8F76"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Da</w:t>
            </w:r>
          </w:p>
        </w:tc>
        <w:tc>
          <w:tcPr>
            <w:tcW w:w="739" w:type="dxa"/>
            <w:tcBorders>
              <w:top w:val="single" w:sz="8" w:space="0" w:color="auto"/>
              <w:left w:val="nil"/>
              <w:bottom w:val="single" w:sz="4" w:space="0" w:color="auto"/>
              <w:right w:val="nil"/>
            </w:tcBorders>
            <w:shd w:val="clear" w:color="auto" w:fill="auto"/>
            <w:noWrap/>
            <w:vAlign w:val="center"/>
            <w:hideMark/>
          </w:tcPr>
          <w:p w14:paraId="574B8CF0"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36,2</w:t>
            </w:r>
          </w:p>
        </w:tc>
        <w:tc>
          <w:tcPr>
            <w:tcW w:w="576" w:type="dxa"/>
            <w:tcBorders>
              <w:top w:val="nil"/>
              <w:left w:val="single" w:sz="4" w:space="0" w:color="auto"/>
              <w:bottom w:val="single" w:sz="4" w:space="0" w:color="auto"/>
              <w:right w:val="nil"/>
            </w:tcBorders>
            <w:shd w:val="clear" w:color="auto" w:fill="auto"/>
            <w:noWrap/>
            <w:vAlign w:val="center"/>
            <w:hideMark/>
          </w:tcPr>
          <w:p w14:paraId="086AC2C2"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65</w:t>
            </w:r>
          </w:p>
        </w:tc>
        <w:tc>
          <w:tcPr>
            <w:tcW w:w="664" w:type="dxa"/>
            <w:tcBorders>
              <w:top w:val="nil"/>
              <w:left w:val="single" w:sz="4" w:space="0" w:color="auto"/>
              <w:bottom w:val="single" w:sz="4" w:space="0" w:color="auto"/>
              <w:right w:val="nil"/>
            </w:tcBorders>
            <w:shd w:val="clear" w:color="auto" w:fill="auto"/>
            <w:noWrap/>
            <w:vAlign w:val="center"/>
            <w:hideMark/>
          </w:tcPr>
          <w:p w14:paraId="02BE51B7"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2 007,3</w:t>
            </w:r>
          </w:p>
        </w:tc>
        <w:tc>
          <w:tcPr>
            <w:tcW w:w="876" w:type="dxa"/>
            <w:tcBorders>
              <w:top w:val="nil"/>
              <w:left w:val="single" w:sz="4" w:space="0" w:color="auto"/>
              <w:bottom w:val="single" w:sz="4" w:space="0" w:color="auto"/>
              <w:right w:val="single" w:sz="8" w:space="0" w:color="auto"/>
            </w:tcBorders>
            <w:shd w:val="clear" w:color="auto" w:fill="auto"/>
            <w:noWrap/>
            <w:vAlign w:val="center"/>
            <w:hideMark/>
          </w:tcPr>
          <w:p w14:paraId="5A5186A9"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7 453,6</w:t>
            </w:r>
          </w:p>
        </w:tc>
      </w:tr>
      <w:tr w:rsidR="005C3DCF" w:rsidRPr="00DB333D" w14:paraId="41CA480D" w14:textId="77777777" w:rsidTr="002101A1">
        <w:trPr>
          <w:trHeight w:val="20"/>
        </w:trPr>
        <w:tc>
          <w:tcPr>
            <w:tcW w:w="413" w:type="dxa"/>
            <w:tcBorders>
              <w:top w:val="nil"/>
              <w:left w:val="single" w:sz="8" w:space="0" w:color="auto"/>
              <w:bottom w:val="single" w:sz="4" w:space="0" w:color="auto"/>
              <w:right w:val="single" w:sz="4" w:space="0" w:color="auto"/>
            </w:tcBorders>
            <w:shd w:val="clear" w:color="auto" w:fill="auto"/>
            <w:noWrap/>
            <w:vAlign w:val="center"/>
            <w:hideMark/>
          </w:tcPr>
          <w:p w14:paraId="399D726D"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3</w:t>
            </w:r>
          </w:p>
        </w:tc>
        <w:tc>
          <w:tcPr>
            <w:tcW w:w="1067" w:type="dxa"/>
            <w:tcBorders>
              <w:top w:val="nil"/>
              <w:left w:val="nil"/>
              <w:bottom w:val="single" w:sz="4" w:space="0" w:color="auto"/>
              <w:right w:val="single" w:sz="4" w:space="0" w:color="auto"/>
            </w:tcBorders>
            <w:shd w:val="clear" w:color="auto" w:fill="auto"/>
            <w:vAlign w:val="center"/>
            <w:hideMark/>
          </w:tcPr>
          <w:p w14:paraId="683B8BA6"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Teren</w:t>
            </w:r>
          </w:p>
        </w:tc>
        <w:tc>
          <w:tcPr>
            <w:tcW w:w="1136" w:type="dxa"/>
            <w:tcBorders>
              <w:top w:val="nil"/>
              <w:left w:val="nil"/>
              <w:bottom w:val="single" w:sz="4" w:space="0" w:color="auto"/>
              <w:right w:val="single" w:sz="4" w:space="0" w:color="auto"/>
            </w:tcBorders>
            <w:shd w:val="clear" w:color="auto" w:fill="auto"/>
            <w:vAlign w:val="center"/>
            <w:hideMark/>
          </w:tcPr>
          <w:p w14:paraId="4F694728" w14:textId="63C22C92"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mun.</w:t>
            </w:r>
            <w:r w:rsidR="00010558" w:rsidRPr="002101A1">
              <w:rPr>
                <w:rFonts w:ascii="Calibri Light" w:eastAsia="Times New Roman" w:hAnsi="Calibri Light" w:cs="Calibri Light"/>
                <w:sz w:val="16"/>
                <w:szCs w:val="16"/>
                <w:lang w:val="ro-MD"/>
              </w:rPr>
              <w:t xml:space="preserve"> </w:t>
            </w:r>
            <w:r w:rsidRPr="002101A1">
              <w:rPr>
                <w:rFonts w:ascii="Calibri Light" w:eastAsia="Times New Roman" w:hAnsi="Calibri Light" w:cs="Calibri Light"/>
                <w:sz w:val="16"/>
                <w:szCs w:val="16"/>
                <w:lang w:val="ro-MD"/>
              </w:rPr>
              <w:t>Chisinau, str.C.Virnav, 13</w:t>
            </w:r>
          </w:p>
        </w:tc>
        <w:tc>
          <w:tcPr>
            <w:tcW w:w="1033" w:type="dxa"/>
            <w:tcBorders>
              <w:top w:val="nil"/>
              <w:left w:val="nil"/>
              <w:bottom w:val="single" w:sz="4" w:space="0" w:color="auto"/>
              <w:right w:val="single" w:sz="4" w:space="0" w:color="auto"/>
            </w:tcBorders>
            <w:shd w:val="clear" w:color="auto" w:fill="auto"/>
            <w:vAlign w:val="center"/>
            <w:hideMark/>
          </w:tcPr>
          <w:p w14:paraId="14DB99EF"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100213274 01.07.2004</w:t>
            </w:r>
          </w:p>
        </w:tc>
        <w:tc>
          <w:tcPr>
            <w:tcW w:w="793" w:type="dxa"/>
            <w:tcBorders>
              <w:top w:val="nil"/>
              <w:left w:val="nil"/>
              <w:bottom w:val="single" w:sz="4" w:space="0" w:color="auto"/>
              <w:right w:val="single" w:sz="4" w:space="0" w:color="auto"/>
            </w:tcBorders>
            <w:shd w:val="clear" w:color="auto" w:fill="auto"/>
            <w:vAlign w:val="center"/>
            <w:hideMark/>
          </w:tcPr>
          <w:p w14:paraId="47AD157A"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1531,3</w:t>
            </w:r>
          </w:p>
        </w:tc>
        <w:tc>
          <w:tcPr>
            <w:tcW w:w="847" w:type="dxa"/>
            <w:tcBorders>
              <w:top w:val="nil"/>
              <w:left w:val="nil"/>
              <w:bottom w:val="single" w:sz="4" w:space="0" w:color="auto"/>
              <w:right w:val="single" w:sz="4" w:space="0" w:color="auto"/>
            </w:tcBorders>
            <w:shd w:val="clear" w:color="auto" w:fill="auto"/>
            <w:noWrap/>
            <w:vAlign w:val="center"/>
            <w:hideMark/>
          </w:tcPr>
          <w:p w14:paraId="561DD73D"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804,4</w:t>
            </w:r>
          </w:p>
        </w:tc>
        <w:tc>
          <w:tcPr>
            <w:tcW w:w="852" w:type="dxa"/>
            <w:tcBorders>
              <w:top w:val="nil"/>
              <w:left w:val="nil"/>
              <w:bottom w:val="single" w:sz="4" w:space="0" w:color="auto"/>
              <w:right w:val="single" w:sz="4" w:space="0" w:color="auto"/>
            </w:tcBorders>
            <w:shd w:val="clear" w:color="auto" w:fill="auto"/>
            <w:noWrap/>
            <w:vAlign w:val="center"/>
            <w:hideMark/>
          </w:tcPr>
          <w:p w14:paraId="51D72AE8"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1,9378</w:t>
            </w:r>
          </w:p>
        </w:tc>
        <w:tc>
          <w:tcPr>
            <w:tcW w:w="765" w:type="dxa"/>
            <w:tcBorders>
              <w:top w:val="nil"/>
              <w:left w:val="nil"/>
              <w:bottom w:val="single" w:sz="4" w:space="0" w:color="auto"/>
              <w:right w:val="single" w:sz="4" w:space="0" w:color="auto"/>
            </w:tcBorders>
            <w:shd w:val="clear" w:color="auto" w:fill="auto"/>
            <w:noWrap/>
            <w:vAlign w:val="center"/>
            <w:hideMark/>
          </w:tcPr>
          <w:p w14:paraId="4695E7C3"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Da</w:t>
            </w:r>
          </w:p>
        </w:tc>
        <w:tc>
          <w:tcPr>
            <w:tcW w:w="739" w:type="dxa"/>
            <w:tcBorders>
              <w:top w:val="single" w:sz="8" w:space="0" w:color="auto"/>
              <w:left w:val="nil"/>
              <w:bottom w:val="single" w:sz="4" w:space="0" w:color="auto"/>
              <w:right w:val="nil"/>
            </w:tcBorders>
            <w:shd w:val="clear" w:color="auto" w:fill="auto"/>
            <w:noWrap/>
            <w:vAlign w:val="center"/>
            <w:hideMark/>
          </w:tcPr>
          <w:p w14:paraId="7FE909BD"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36,2</w:t>
            </w:r>
          </w:p>
        </w:tc>
        <w:tc>
          <w:tcPr>
            <w:tcW w:w="576" w:type="dxa"/>
            <w:tcBorders>
              <w:top w:val="nil"/>
              <w:left w:val="single" w:sz="4" w:space="0" w:color="auto"/>
              <w:bottom w:val="single" w:sz="4" w:space="0" w:color="auto"/>
              <w:right w:val="nil"/>
            </w:tcBorders>
            <w:shd w:val="clear" w:color="auto" w:fill="auto"/>
            <w:noWrap/>
            <w:vAlign w:val="center"/>
            <w:hideMark/>
          </w:tcPr>
          <w:p w14:paraId="2A279910"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65</w:t>
            </w:r>
          </w:p>
        </w:tc>
        <w:tc>
          <w:tcPr>
            <w:tcW w:w="664" w:type="dxa"/>
            <w:tcBorders>
              <w:top w:val="nil"/>
              <w:left w:val="single" w:sz="4" w:space="0" w:color="auto"/>
              <w:bottom w:val="single" w:sz="4" w:space="0" w:color="auto"/>
              <w:right w:val="nil"/>
            </w:tcBorders>
            <w:shd w:val="clear" w:color="auto" w:fill="auto"/>
            <w:noWrap/>
            <w:vAlign w:val="center"/>
            <w:hideMark/>
          </w:tcPr>
          <w:p w14:paraId="4C27C8F6"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4 555,8</w:t>
            </w:r>
          </w:p>
        </w:tc>
        <w:tc>
          <w:tcPr>
            <w:tcW w:w="876" w:type="dxa"/>
            <w:tcBorders>
              <w:top w:val="nil"/>
              <w:left w:val="single" w:sz="4" w:space="0" w:color="auto"/>
              <w:bottom w:val="single" w:sz="4" w:space="0" w:color="auto"/>
              <w:right w:val="single" w:sz="8" w:space="0" w:color="auto"/>
            </w:tcBorders>
            <w:shd w:val="clear" w:color="auto" w:fill="auto"/>
            <w:noWrap/>
            <w:vAlign w:val="center"/>
            <w:hideMark/>
          </w:tcPr>
          <w:p w14:paraId="2D557084"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4 555,8</w:t>
            </w:r>
          </w:p>
        </w:tc>
      </w:tr>
      <w:tr w:rsidR="005C3DCF" w:rsidRPr="00DB333D" w14:paraId="7FD63598" w14:textId="77777777" w:rsidTr="002101A1">
        <w:trPr>
          <w:trHeight w:val="20"/>
        </w:trPr>
        <w:tc>
          <w:tcPr>
            <w:tcW w:w="413" w:type="dxa"/>
            <w:tcBorders>
              <w:top w:val="nil"/>
              <w:left w:val="single" w:sz="8" w:space="0" w:color="auto"/>
              <w:bottom w:val="single" w:sz="4" w:space="0" w:color="auto"/>
              <w:right w:val="single" w:sz="4" w:space="0" w:color="auto"/>
            </w:tcBorders>
            <w:shd w:val="clear" w:color="auto" w:fill="auto"/>
            <w:noWrap/>
            <w:vAlign w:val="center"/>
            <w:hideMark/>
          </w:tcPr>
          <w:p w14:paraId="083AFB3C"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4</w:t>
            </w:r>
          </w:p>
        </w:tc>
        <w:tc>
          <w:tcPr>
            <w:tcW w:w="1067" w:type="dxa"/>
            <w:tcBorders>
              <w:top w:val="nil"/>
              <w:left w:val="nil"/>
              <w:bottom w:val="single" w:sz="4" w:space="0" w:color="auto"/>
              <w:right w:val="single" w:sz="4" w:space="0" w:color="auto"/>
            </w:tcBorders>
            <w:shd w:val="clear" w:color="auto" w:fill="auto"/>
            <w:vAlign w:val="center"/>
            <w:hideMark/>
          </w:tcPr>
          <w:p w14:paraId="59C4DE79"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Teren</w:t>
            </w:r>
          </w:p>
        </w:tc>
        <w:tc>
          <w:tcPr>
            <w:tcW w:w="1136" w:type="dxa"/>
            <w:tcBorders>
              <w:top w:val="nil"/>
              <w:left w:val="nil"/>
              <w:bottom w:val="single" w:sz="4" w:space="0" w:color="auto"/>
              <w:right w:val="single" w:sz="4" w:space="0" w:color="auto"/>
            </w:tcBorders>
            <w:shd w:val="clear" w:color="auto" w:fill="auto"/>
            <w:vAlign w:val="center"/>
            <w:hideMark/>
          </w:tcPr>
          <w:p w14:paraId="7097B234" w14:textId="783C28A9"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r</w:t>
            </w:r>
            <w:r w:rsidR="00010558" w:rsidRPr="002101A1">
              <w:rPr>
                <w:rFonts w:ascii="Calibri Light" w:eastAsia="Times New Roman" w:hAnsi="Calibri Light" w:cs="Calibri Light"/>
                <w:sz w:val="16"/>
                <w:szCs w:val="16"/>
                <w:lang w:val="ro-MD"/>
              </w:rPr>
              <w:t>-nu</w:t>
            </w:r>
            <w:r w:rsidRPr="002101A1">
              <w:rPr>
                <w:rFonts w:ascii="Calibri Light" w:eastAsia="Times New Roman" w:hAnsi="Calibri Light" w:cs="Calibri Light"/>
                <w:sz w:val="16"/>
                <w:szCs w:val="16"/>
                <w:lang w:val="ro-MD"/>
              </w:rPr>
              <w:t>l</w:t>
            </w:r>
            <w:r w:rsidR="00010558" w:rsidRPr="002101A1">
              <w:rPr>
                <w:rFonts w:ascii="Calibri Light" w:eastAsia="Times New Roman" w:hAnsi="Calibri Light" w:cs="Calibri Light"/>
                <w:sz w:val="16"/>
                <w:szCs w:val="16"/>
                <w:lang w:val="ro-MD"/>
              </w:rPr>
              <w:t xml:space="preserve"> </w:t>
            </w:r>
            <w:r w:rsidRPr="002101A1">
              <w:rPr>
                <w:rFonts w:ascii="Calibri Light" w:eastAsia="Times New Roman" w:hAnsi="Calibri Light" w:cs="Calibri Light"/>
                <w:sz w:val="16"/>
                <w:szCs w:val="16"/>
                <w:lang w:val="ro-MD"/>
              </w:rPr>
              <w:t>Straseni, s.Vorniceni</w:t>
            </w:r>
          </w:p>
        </w:tc>
        <w:tc>
          <w:tcPr>
            <w:tcW w:w="1033" w:type="dxa"/>
            <w:tcBorders>
              <w:top w:val="nil"/>
              <w:left w:val="nil"/>
              <w:bottom w:val="single" w:sz="4" w:space="0" w:color="auto"/>
              <w:right w:val="single" w:sz="4" w:space="0" w:color="auto"/>
            </w:tcBorders>
            <w:shd w:val="clear" w:color="auto" w:fill="auto"/>
            <w:vAlign w:val="center"/>
            <w:hideMark/>
          </w:tcPr>
          <w:p w14:paraId="069C6476"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8042208425 13.01.2012</w:t>
            </w:r>
          </w:p>
        </w:tc>
        <w:tc>
          <w:tcPr>
            <w:tcW w:w="793" w:type="dxa"/>
            <w:tcBorders>
              <w:top w:val="nil"/>
              <w:left w:val="nil"/>
              <w:bottom w:val="single" w:sz="4" w:space="0" w:color="auto"/>
              <w:right w:val="single" w:sz="4" w:space="0" w:color="auto"/>
            </w:tcBorders>
            <w:shd w:val="clear" w:color="auto" w:fill="auto"/>
            <w:hideMark/>
          </w:tcPr>
          <w:p w14:paraId="38C6C82D" w14:textId="77777777" w:rsidR="0096393F" w:rsidRPr="002101A1" w:rsidRDefault="0096393F" w:rsidP="00332FF7">
            <w:pPr>
              <w:spacing w:after="0" w:line="240" w:lineRule="auto"/>
              <w:jc w:val="center"/>
              <w:rPr>
                <w:rFonts w:ascii="Calibri Light" w:eastAsia="Times New Roman" w:hAnsi="Calibri Light" w:cs="Calibri Light"/>
                <w:b/>
                <w:bCs/>
                <w:sz w:val="16"/>
                <w:szCs w:val="16"/>
                <w:lang w:val="ro-MD"/>
              </w:rPr>
            </w:pPr>
            <w:r w:rsidRPr="002101A1">
              <w:rPr>
                <w:rFonts w:ascii="Calibri Light" w:eastAsia="Times New Roman" w:hAnsi="Calibri Light" w:cs="Calibri Light"/>
                <w:b/>
                <w:bCs/>
                <w:sz w:val="16"/>
                <w:szCs w:val="16"/>
                <w:lang w:val="ro-MD"/>
              </w:rPr>
              <w:t> </w:t>
            </w:r>
          </w:p>
        </w:tc>
        <w:tc>
          <w:tcPr>
            <w:tcW w:w="847" w:type="dxa"/>
            <w:tcBorders>
              <w:top w:val="nil"/>
              <w:left w:val="nil"/>
              <w:bottom w:val="single" w:sz="4" w:space="0" w:color="auto"/>
              <w:right w:val="single" w:sz="4" w:space="0" w:color="auto"/>
            </w:tcBorders>
            <w:shd w:val="clear" w:color="auto" w:fill="auto"/>
            <w:noWrap/>
            <w:vAlign w:val="center"/>
            <w:hideMark/>
          </w:tcPr>
          <w:p w14:paraId="3CFA40DD"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46,9</w:t>
            </w:r>
          </w:p>
        </w:tc>
        <w:tc>
          <w:tcPr>
            <w:tcW w:w="852" w:type="dxa"/>
            <w:tcBorders>
              <w:top w:val="nil"/>
              <w:left w:val="nil"/>
              <w:bottom w:val="single" w:sz="4" w:space="0" w:color="auto"/>
              <w:right w:val="single" w:sz="4" w:space="0" w:color="auto"/>
            </w:tcBorders>
            <w:shd w:val="clear" w:color="auto" w:fill="auto"/>
            <w:noWrap/>
            <w:vAlign w:val="center"/>
            <w:hideMark/>
          </w:tcPr>
          <w:p w14:paraId="679721F1"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4,6622</w:t>
            </w:r>
          </w:p>
        </w:tc>
        <w:tc>
          <w:tcPr>
            <w:tcW w:w="765" w:type="dxa"/>
            <w:tcBorders>
              <w:top w:val="nil"/>
              <w:left w:val="nil"/>
              <w:bottom w:val="single" w:sz="4" w:space="0" w:color="auto"/>
              <w:right w:val="single" w:sz="4" w:space="0" w:color="auto"/>
            </w:tcBorders>
            <w:shd w:val="clear" w:color="auto" w:fill="auto"/>
            <w:noWrap/>
            <w:vAlign w:val="center"/>
            <w:hideMark/>
          </w:tcPr>
          <w:p w14:paraId="2BFE1B94"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Da</w:t>
            </w:r>
          </w:p>
        </w:tc>
        <w:tc>
          <w:tcPr>
            <w:tcW w:w="739" w:type="dxa"/>
            <w:tcBorders>
              <w:top w:val="single" w:sz="8" w:space="0" w:color="auto"/>
              <w:left w:val="nil"/>
              <w:bottom w:val="single" w:sz="4" w:space="0" w:color="auto"/>
              <w:right w:val="nil"/>
            </w:tcBorders>
            <w:shd w:val="clear" w:color="auto" w:fill="auto"/>
            <w:noWrap/>
            <w:vAlign w:val="center"/>
            <w:hideMark/>
          </w:tcPr>
          <w:p w14:paraId="4E74CE5D"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36,2</w:t>
            </w:r>
          </w:p>
        </w:tc>
        <w:tc>
          <w:tcPr>
            <w:tcW w:w="576" w:type="dxa"/>
            <w:tcBorders>
              <w:top w:val="nil"/>
              <w:left w:val="single" w:sz="4" w:space="0" w:color="auto"/>
              <w:bottom w:val="single" w:sz="4" w:space="0" w:color="auto"/>
              <w:right w:val="nil"/>
            </w:tcBorders>
            <w:shd w:val="clear" w:color="auto" w:fill="auto"/>
            <w:noWrap/>
            <w:vAlign w:val="center"/>
            <w:hideMark/>
          </w:tcPr>
          <w:p w14:paraId="721D9834"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65</w:t>
            </w:r>
          </w:p>
        </w:tc>
        <w:tc>
          <w:tcPr>
            <w:tcW w:w="664" w:type="dxa"/>
            <w:tcBorders>
              <w:top w:val="nil"/>
              <w:left w:val="single" w:sz="4" w:space="0" w:color="auto"/>
              <w:bottom w:val="single" w:sz="4" w:space="0" w:color="auto"/>
              <w:right w:val="nil"/>
            </w:tcBorders>
            <w:shd w:val="clear" w:color="auto" w:fill="auto"/>
            <w:noWrap/>
            <w:vAlign w:val="center"/>
            <w:hideMark/>
          </w:tcPr>
          <w:p w14:paraId="7464FB99"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10 960,9</w:t>
            </w:r>
          </w:p>
        </w:tc>
        <w:tc>
          <w:tcPr>
            <w:tcW w:w="876" w:type="dxa"/>
            <w:tcBorders>
              <w:top w:val="nil"/>
              <w:left w:val="single" w:sz="4" w:space="0" w:color="auto"/>
              <w:bottom w:val="single" w:sz="4" w:space="0" w:color="auto"/>
              <w:right w:val="single" w:sz="8" w:space="0" w:color="auto"/>
            </w:tcBorders>
            <w:shd w:val="clear" w:color="auto" w:fill="auto"/>
            <w:noWrap/>
            <w:vAlign w:val="center"/>
            <w:hideMark/>
          </w:tcPr>
          <w:p w14:paraId="61150E65"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10 960,9</w:t>
            </w:r>
          </w:p>
        </w:tc>
      </w:tr>
      <w:tr w:rsidR="005C3DCF" w:rsidRPr="00DB333D" w14:paraId="062DF194" w14:textId="77777777" w:rsidTr="002101A1">
        <w:trPr>
          <w:trHeight w:val="20"/>
        </w:trPr>
        <w:tc>
          <w:tcPr>
            <w:tcW w:w="413" w:type="dxa"/>
            <w:tcBorders>
              <w:top w:val="nil"/>
              <w:left w:val="single" w:sz="8" w:space="0" w:color="auto"/>
              <w:bottom w:val="single" w:sz="4" w:space="0" w:color="auto"/>
              <w:right w:val="single" w:sz="4" w:space="0" w:color="auto"/>
            </w:tcBorders>
            <w:shd w:val="clear" w:color="auto" w:fill="auto"/>
            <w:noWrap/>
            <w:vAlign w:val="center"/>
            <w:hideMark/>
          </w:tcPr>
          <w:p w14:paraId="57D3008D"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5</w:t>
            </w:r>
          </w:p>
        </w:tc>
        <w:tc>
          <w:tcPr>
            <w:tcW w:w="1067" w:type="dxa"/>
            <w:tcBorders>
              <w:top w:val="nil"/>
              <w:left w:val="nil"/>
              <w:bottom w:val="single" w:sz="4" w:space="0" w:color="auto"/>
              <w:right w:val="single" w:sz="4" w:space="0" w:color="auto"/>
            </w:tcBorders>
            <w:shd w:val="clear" w:color="auto" w:fill="auto"/>
            <w:vAlign w:val="center"/>
            <w:hideMark/>
          </w:tcPr>
          <w:p w14:paraId="54C916A2"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Teren / (rezervoar de apă nr. 1690)</w:t>
            </w:r>
          </w:p>
        </w:tc>
        <w:tc>
          <w:tcPr>
            <w:tcW w:w="1136" w:type="dxa"/>
            <w:tcBorders>
              <w:top w:val="nil"/>
              <w:left w:val="nil"/>
              <w:bottom w:val="single" w:sz="4" w:space="0" w:color="auto"/>
              <w:right w:val="single" w:sz="4" w:space="0" w:color="auto"/>
            </w:tcBorders>
            <w:shd w:val="clear" w:color="auto" w:fill="auto"/>
            <w:vAlign w:val="center"/>
            <w:hideMark/>
          </w:tcPr>
          <w:p w14:paraId="417636E5" w14:textId="36F0D65A"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r</w:t>
            </w:r>
            <w:r w:rsidR="00010558" w:rsidRPr="002101A1">
              <w:rPr>
                <w:rFonts w:ascii="Calibri Light" w:eastAsia="Times New Roman" w:hAnsi="Calibri Light" w:cs="Calibri Light"/>
                <w:sz w:val="16"/>
                <w:szCs w:val="16"/>
                <w:lang w:val="ro-MD"/>
              </w:rPr>
              <w:t>-nu</w:t>
            </w:r>
            <w:r w:rsidRPr="002101A1">
              <w:rPr>
                <w:rFonts w:ascii="Calibri Light" w:eastAsia="Times New Roman" w:hAnsi="Calibri Light" w:cs="Calibri Light"/>
                <w:sz w:val="16"/>
                <w:szCs w:val="16"/>
                <w:lang w:val="ro-MD"/>
              </w:rPr>
              <w:t>l</w:t>
            </w:r>
            <w:r w:rsidR="00010558" w:rsidRPr="002101A1">
              <w:rPr>
                <w:rFonts w:ascii="Calibri Light" w:eastAsia="Times New Roman" w:hAnsi="Calibri Light" w:cs="Calibri Light"/>
                <w:sz w:val="16"/>
                <w:szCs w:val="16"/>
                <w:lang w:val="ro-MD"/>
              </w:rPr>
              <w:t xml:space="preserve"> </w:t>
            </w:r>
            <w:r w:rsidRPr="002101A1">
              <w:rPr>
                <w:rFonts w:ascii="Calibri Light" w:eastAsia="Times New Roman" w:hAnsi="Calibri Light" w:cs="Calibri Light"/>
                <w:sz w:val="16"/>
                <w:szCs w:val="16"/>
                <w:lang w:val="ro-MD"/>
              </w:rPr>
              <w:t>Straseni, s.Vorniceni</w:t>
            </w:r>
          </w:p>
        </w:tc>
        <w:tc>
          <w:tcPr>
            <w:tcW w:w="1033" w:type="dxa"/>
            <w:tcBorders>
              <w:top w:val="nil"/>
              <w:left w:val="nil"/>
              <w:bottom w:val="single" w:sz="4" w:space="0" w:color="auto"/>
              <w:right w:val="single" w:sz="4" w:space="0" w:color="auto"/>
            </w:tcBorders>
            <w:shd w:val="clear" w:color="auto" w:fill="auto"/>
            <w:vAlign w:val="center"/>
            <w:hideMark/>
          </w:tcPr>
          <w:p w14:paraId="6F24B433"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8042208424 13.01.2012</w:t>
            </w:r>
          </w:p>
        </w:tc>
        <w:tc>
          <w:tcPr>
            <w:tcW w:w="793" w:type="dxa"/>
            <w:tcBorders>
              <w:top w:val="nil"/>
              <w:left w:val="nil"/>
              <w:bottom w:val="single" w:sz="4" w:space="0" w:color="auto"/>
              <w:right w:val="single" w:sz="4" w:space="0" w:color="auto"/>
            </w:tcBorders>
            <w:shd w:val="clear" w:color="auto" w:fill="auto"/>
            <w:hideMark/>
          </w:tcPr>
          <w:p w14:paraId="6E21ED87" w14:textId="77777777" w:rsidR="0096393F" w:rsidRPr="002101A1" w:rsidRDefault="0096393F" w:rsidP="00332FF7">
            <w:pPr>
              <w:spacing w:after="0" w:line="240" w:lineRule="auto"/>
              <w:jc w:val="center"/>
              <w:rPr>
                <w:rFonts w:ascii="Calibri Light" w:eastAsia="Times New Roman" w:hAnsi="Calibri Light" w:cs="Calibri Light"/>
                <w:b/>
                <w:bCs/>
                <w:sz w:val="16"/>
                <w:szCs w:val="16"/>
                <w:lang w:val="ro-MD"/>
              </w:rPr>
            </w:pPr>
            <w:r w:rsidRPr="002101A1">
              <w:rPr>
                <w:rFonts w:ascii="Calibri Light" w:eastAsia="Times New Roman" w:hAnsi="Calibri Light" w:cs="Calibri Light"/>
                <w:b/>
                <w:bCs/>
                <w:sz w:val="16"/>
                <w:szCs w:val="16"/>
                <w:lang w:val="ro-MD"/>
              </w:rPr>
              <w:t> </w:t>
            </w:r>
          </w:p>
        </w:tc>
        <w:tc>
          <w:tcPr>
            <w:tcW w:w="847" w:type="dxa"/>
            <w:tcBorders>
              <w:top w:val="nil"/>
              <w:left w:val="nil"/>
              <w:bottom w:val="single" w:sz="4" w:space="0" w:color="auto"/>
              <w:right w:val="single" w:sz="4" w:space="0" w:color="auto"/>
            </w:tcBorders>
            <w:shd w:val="clear" w:color="auto" w:fill="auto"/>
            <w:noWrap/>
            <w:vAlign w:val="center"/>
            <w:hideMark/>
          </w:tcPr>
          <w:p w14:paraId="26A24E8D"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1,3</w:t>
            </w:r>
          </w:p>
        </w:tc>
        <w:tc>
          <w:tcPr>
            <w:tcW w:w="852" w:type="dxa"/>
            <w:tcBorders>
              <w:top w:val="nil"/>
              <w:left w:val="nil"/>
              <w:bottom w:val="single" w:sz="4" w:space="0" w:color="auto"/>
              <w:right w:val="single" w:sz="4" w:space="0" w:color="auto"/>
            </w:tcBorders>
            <w:shd w:val="clear" w:color="auto" w:fill="auto"/>
            <w:noWrap/>
            <w:vAlign w:val="center"/>
            <w:hideMark/>
          </w:tcPr>
          <w:p w14:paraId="3BAC5076"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0,1325</w:t>
            </w:r>
          </w:p>
        </w:tc>
        <w:tc>
          <w:tcPr>
            <w:tcW w:w="765" w:type="dxa"/>
            <w:tcBorders>
              <w:top w:val="nil"/>
              <w:left w:val="nil"/>
              <w:bottom w:val="single" w:sz="4" w:space="0" w:color="auto"/>
              <w:right w:val="single" w:sz="4" w:space="0" w:color="auto"/>
            </w:tcBorders>
            <w:shd w:val="clear" w:color="auto" w:fill="auto"/>
            <w:noWrap/>
            <w:vAlign w:val="center"/>
            <w:hideMark/>
          </w:tcPr>
          <w:p w14:paraId="5C97A584"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Da</w:t>
            </w:r>
          </w:p>
        </w:tc>
        <w:tc>
          <w:tcPr>
            <w:tcW w:w="739" w:type="dxa"/>
            <w:tcBorders>
              <w:top w:val="single" w:sz="8" w:space="0" w:color="auto"/>
              <w:left w:val="nil"/>
              <w:bottom w:val="single" w:sz="4" w:space="0" w:color="auto"/>
              <w:right w:val="nil"/>
            </w:tcBorders>
            <w:shd w:val="clear" w:color="auto" w:fill="auto"/>
            <w:noWrap/>
            <w:vAlign w:val="center"/>
            <w:hideMark/>
          </w:tcPr>
          <w:p w14:paraId="40B5B350"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36,2</w:t>
            </w:r>
          </w:p>
        </w:tc>
        <w:tc>
          <w:tcPr>
            <w:tcW w:w="576" w:type="dxa"/>
            <w:tcBorders>
              <w:top w:val="nil"/>
              <w:left w:val="single" w:sz="4" w:space="0" w:color="auto"/>
              <w:bottom w:val="single" w:sz="4" w:space="0" w:color="auto"/>
              <w:right w:val="nil"/>
            </w:tcBorders>
            <w:shd w:val="clear" w:color="auto" w:fill="auto"/>
            <w:noWrap/>
            <w:vAlign w:val="center"/>
            <w:hideMark/>
          </w:tcPr>
          <w:p w14:paraId="15ACCF4B"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65</w:t>
            </w:r>
          </w:p>
        </w:tc>
        <w:tc>
          <w:tcPr>
            <w:tcW w:w="664" w:type="dxa"/>
            <w:tcBorders>
              <w:top w:val="nil"/>
              <w:left w:val="single" w:sz="4" w:space="0" w:color="auto"/>
              <w:bottom w:val="single" w:sz="4" w:space="0" w:color="auto"/>
              <w:right w:val="nil"/>
            </w:tcBorders>
            <w:shd w:val="clear" w:color="auto" w:fill="auto"/>
            <w:noWrap/>
            <w:vAlign w:val="center"/>
            <w:hideMark/>
          </w:tcPr>
          <w:p w14:paraId="219931CF"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311,5</w:t>
            </w:r>
          </w:p>
        </w:tc>
        <w:tc>
          <w:tcPr>
            <w:tcW w:w="876" w:type="dxa"/>
            <w:tcBorders>
              <w:top w:val="nil"/>
              <w:left w:val="single" w:sz="4" w:space="0" w:color="auto"/>
              <w:bottom w:val="single" w:sz="4" w:space="0" w:color="auto"/>
              <w:right w:val="single" w:sz="8" w:space="0" w:color="auto"/>
            </w:tcBorders>
            <w:shd w:val="clear" w:color="auto" w:fill="auto"/>
            <w:noWrap/>
            <w:vAlign w:val="center"/>
            <w:hideMark/>
          </w:tcPr>
          <w:p w14:paraId="0D18A992"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311,5</w:t>
            </w:r>
          </w:p>
        </w:tc>
      </w:tr>
      <w:tr w:rsidR="005C3DCF" w:rsidRPr="00DB333D" w14:paraId="3F735FEC" w14:textId="77777777" w:rsidTr="002101A1">
        <w:trPr>
          <w:trHeight w:val="20"/>
        </w:trPr>
        <w:tc>
          <w:tcPr>
            <w:tcW w:w="413" w:type="dxa"/>
            <w:tcBorders>
              <w:top w:val="nil"/>
              <w:left w:val="single" w:sz="8" w:space="0" w:color="auto"/>
              <w:bottom w:val="single" w:sz="4" w:space="0" w:color="auto"/>
              <w:right w:val="single" w:sz="4" w:space="0" w:color="auto"/>
            </w:tcBorders>
            <w:shd w:val="clear" w:color="auto" w:fill="auto"/>
            <w:noWrap/>
            <w:vAlign w:val="center"/>
            <w:hideMark/>
          </w:tcPr>
          <w:p w14:paraId="2B995C56"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6</w:t>
            </w:r>
          </w:p>
        </w:tc>
        <w:tc>
          <w:tcPr>
            <w:tcW w:w="1067" w:type="dxa"/>
            <w:tcBorders>
              <w:top w:val="nil"/>
              <w:left w:val="nil"/>
              <w:bottom w:val="single" w:sz="4" w:space="0" w:color="auto"/>
              <w:right w:val="single" w:sz="4" w:space="0" w:color="auto"/>
            </w:tcBorders>
            <w:shd w:val="clear" w:color="auto" w:fill="auto"/>
            <w:vAlign w:val="center"/>
            <w:hideMark/>
          </w:tcPr>
          <w:p w14:paraId="3578111B"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Teren / sondă arteziană nr. 1067</w:t>
            </w:r>
          </w:p>
        </w:tc>
        <w:tc>
          <w:tcPr>
            <w:tcW w:w="1136" w:type="dxa"/>
            <w:tcBorders>
              <w:top w:val="nil"/>
              <w:left w:val="nil"/>
              <w:bottom w:val="single" w:sz="4" w:space="0" w:color="auto"/>
              <w:right w:val="single" w:sz="4" w:space="0" w:color="auto"/>
            </w:tcBorders>
            <w:shd w:val="clear" w:color="auto" w:fill="auto"/>
            <w:vAlign w:val="center"/>
            <w:hideMark/>
          </w:tcPr>
          <w:p w14:paraId="5A3505AF" w14:textId="505C1762"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r</w:t>
            </w:r>
            <w:r w:rsidR="00010558" w:rsidRPr="002101A1">
              <w:rPr>
                <w:rFonts w:ascii="Calibri Light" w:eastAsia="Times New Roman" w:hAnsi="Calibri Light" w:cs="Calibri Light"/>
                <w:sz w:val="16"/>
                <w:szCs w:val="16"/>
                <w:lang w:val="ro-MD"/>
              </w:rPr>
              <w:t>-nu</w:t>
            </w:r>
            <w:r w:rsidRPr="002101A1">
              <w:rPr>
                <w:rFonts w:ascii="Calibri Light" w:eastAsia="Times New Roman" w:hAnsi="Calibri Light" w:cs="Calibri Light"/>
                <w:sz w:val="16"/>
                <w:szCs w:val="16"/>
                <w:lang w:val="ro-MD"/>
              </w:rPr>
              <w:t>l</w:t>
            </w:r>
            <w:r w:rsidR="00010558" w:rsidRPr="002101A1">
              <w:rPr>
                <w:rFonts w:ascii="Calibri Light" w:eastAsia="Times New Roman" w:hAnsi="Calibri Light" w:cs="Calibri Light"/>
                <w:sz w:val="16"/>
                <w:szCs w:val="16"/>
                <w:lang w:val="ro-MD"/>
              </w:rPr>
              <w:t xml:space="preserve"> </w:t>
            </w:r>
            <w:r w:rsidRPr="002101A1">
              <w:rPr>
                <w:rFonts w:ascii="Calibri Light" w:eastAsia="Times New Roman" w:hAnsi="Calibri Light" w:cs="Calibri Light"/>
                <w:sz w:val="16"/>
                <w:szCs w:val="16"/>
                <w:lang w:val="ro-MD"/>
              </w:rPr>
              <w:t>Straseni, s.Vorniceni</w:t>
            </w:r>
          </w:p>
        </w:tc>
        <w:tc>
          <w:tcPr>
            <w:tcW w:w="1033" w:type="dxa"/>
            <w:tcBorders>
              <w:top w:val="nil"/>
              <w:left w:val="nil"/>
              <w:bottom w:val="single" w:sz="4" w:space="0" w:color="auto"/>
              <w:right w:val="single" w:sz="4" w:space="0" w:color="auto"/>
            </w:tcBorders>
            <w:shd w:val="clear" w:color="auto" w:fill="auto"/>
            <w:vAlign w:val="center"/>
            <w:hideMark/>
          </w:tcPr>
          <w:p w14:paraId="3F27F25A"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8042208388 13.01.2012</w:t>
            </w:r>
          </w:p>
        </w:tc>
        <w:tc>
          <w:tcPr>
            <w:tcW w:w="793" w:type="dxa"/>
            <w:tcBorders>
              <w:top w:val="nil"/>
              <w:left w:val="nil"/>
              <w:bottom w:val="single" w:sz="4" w:space="0" w:color="auto"/>
              <w:right w:val="single" w:sz="4" w:space="0" w:color="auto"/>
            </w:tcBorders>
            <w:shd w:val="clear" w:color="auto" w:fill="auto"/>
            <w:hideMark/>
          </w:tcPr>
          <w:p w14:paraId="7A89301F" w14:textId="77777777" w:rsidR="0096393F" w:rsidRPr="002101A1" w:rsidRDefault="0096393F" w:rsidP="00332FF7">
            <w:pPr>
              <w:spacing w:after="0" w:line="240" w:lineRule="auto"/>
              <w:jc w:val="center"/>
              <w:rPr>
                <w:rFonts w:ascii="Calibri Light" w:eastAsia="Times New Roman" w:hAnsi="Calibri Light" w:cs="Calibri Light"/>
                <w:b/>
                <w:bCs/>
                <w:sz w:val="16"/>
                <w:szCs w:val="16"/>
                <w:lang w:val="ro-MD"/>
              </w:rPr>
            </w:pPr>
            <w:r w:rsidRPr="002101A1">
              <w:rPr>
                <w:rFonts w:ascii="Calibri Light" w:eastAsia="Times New Roman" w:hAnsi="Calibri Light" w:cs="Calibri Light"/>
                <w:b/>
                <w:bCs/>
                <w:sz w:val="16"/>
                <w:szCs w:val="16"/>
                <w:lang w:val="ro-MD"/>
              </w:rPr>
              <w:t> </w:t>
            </w:r>
          </w:p>
        </w:tc>
        <w:tc>
          <w:tcPr>
            <w:tcW w:w="847" w:type="dxa"/>
            <w:tcBorders>
              <w:top w:val="nil"/>
              <w:left w:val="nil"/>
              <w:bottom w:val="single" w:sz="4" w:space="0" w:color="auto"/>
              <w:right w:val="single" w:sz="4" w:space="0" w:color="auto"/>
            </w:tcBorders>
            <w:shd w:val="clear" w:color="auto" w:fill="auto"/>
            <w:noWrap/>
            <w:vAlign w:val="center"/>
            <w:hideMark/>
          </w:tcPr>
          <w:p w14:paraId="7C0815C3"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1,5</w:t>
            </w:r>
          </w:p>
        </w:tc>
        <w:tc>
          <w:tcPr>
            <w:tcW w:w="852" w:type="dxa"/>
            <w:tcBorders>
              <w:top w:val="nil"/>
              <w:left w:val="nil"/>
              <w:bottom w:val="single" w:sz="4" w:space="0" w:color="auto"/>
              <w:right w:val="single" w:sz="4" w:space="0" w:color="auto"/>
            </w:tcBorders>
            <w:shd w:val="clear" w:color="auto" w:fill="auto"/>
            <w:noWrap/>
            <w:vAlign w:val="center"/>
            <w:hideMark/>
          </w:tcPr>
          <w:p w14:paraId="5D37C775"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0,1470</w:t>
            </w:r>
          </w:p>
        </w:tc>
        <w:tc>
          <w:tcPr>
            <w:tcW w:w="765" w:type="dxa"/>
            <w:tcBorders>
              <w:top w:val="nil"/>
              <w:left w:val="nil"/>
              <w:bottom w:val="single" w:sz="4" w:space="0" w:color="auto"/>
              <w:right w:val="single" w:sz="4" w:space="0" w:color="auto"/>
            </w:tcBorders>
            <w:shd w:val="clear" w:color="auto" w:fill="auto"/>
            <w:noWrap/>
            <w:vAlign w:val="center"/>
            <w:hideMark/>
          </w:tcPr>
          <w:p w14:paraId="3FEBC9D1"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Da</w:t>
            </w:r>
          </w:p>
        </w:tc>
        <w:tc>
          <w:tcPr>
            <w:tcW w:w="739" w:type="dxa"/>
            <w:tcBorders>
              <w:top w:val="single" w:sz="8" w:space="0" w:color="auto"/>
              <w:left w:val="nil"/>
              <w:bottom w:val="single" w:sz="4" w:space="0" w:color="auto"/>
              <w:right w:val="nil"/>
            </w:tcBorders>
            <w:shd w:val="clear" w:color="auto" w:fill="auto"/>
            <w:noWrap/>
            <w:vAlign w:val="center"/>
            <w:hideMark/>
          </w:tcPr>
          <w:p w14:paraId="53AA297F"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36,2</w:t>
            </w:r>
          </w:p>
        </w:tc>
        <w:tc>
          <w:tcPr>
            <w:tcW w:w="576" w:type="dxa"/>
            <w:tcBorders>
              <w:top w:val="nil"/>
              <w:left w:val="single" w:sz="4" w:space="0" w:color="auto"/>
              <w:bottom w:val="single" w:sz="4" w:space="0" w:color="auto"/>
              <w:right w:val="nil"/>
            </w:tcBorders>
            <w:shd w:val="clear" w:color="auto" w:fill="auto"/>
            <w:noWrap/>
            <w:vAlign w:val="center"/>
            <w:hideMark/>
          </w:tcPr>
          <w:p w14:paraId="4206CD6B"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65</w:t>
            </w:r>
          </w:p>
        </w:tc>
        <w:tc>
          <w:tcPr>
            <w:tcW w:w="664" w:type="dxa"/>
            <w:tcBorders>
              <w:top w:val="nil"/>
              <w:left w:val="single" w:sz="4" w:space="0" w:color="auto"/>
              <w:bottom w:val="single" w:sz="4" w:space="0" w:color="auto"/>
              <w:right w:val="nil"/>
            </w:tcBorders>
            <w:shd w:val="clear" w:color="auto" w:fill="auto"/>
            <w:noWrap/>
            <w:vAlign w:val="center"/>
            <w:hideMark/>
          </w:tcPr>
          <w:p w14:paraId="1A036B5F"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345,6</w:t>
            </w:r>
          </w:p>
        </w:tc>
        <w:tc>
          <w:tcPr>
            <w:tcW w:w="876" w:type="dxa"/>
            <w:tcBorders>
              <w:top w:val="nil"/>
              <w:left w:val="single" w:sz="4" w:space="0" w:color="auto"/>
              <w:bottom w:val="single" w:sz="4" w:space="0" w:color="auto"/>
              <w:right w:val="single" w:sz="8" w:space="0" w:color="auto"/>
            </w:tcBorders>
            <w:shd w:val="clear" w:color="auto" w:fill="auto"/>
            <w:noWrap/>
            <w:vAlign w:val="center"/>
            <w:hideMark/>
          </w:tcPr>
          <w:p w14:paraId="103AEBC3"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345,6</w:t>
            </w:r>
          </w:p>
        </w:tc>
      </w:tr>
      <w:tr w:rsidR="005C3DCF" w:rsidRPr="00DB333D" w14:paraId="695FE7DB" w14:textId="77777777" w:rsidTr="002101A1">
        <w:trPr>
          <w:trHeight w:val="20"/>
        </w:trPr>
        <w:tc>
          <w:tcPr>
            <w:tcW w:w="413" w:type="dxa"/>
            <w:tcBorders>
              <w:top w:val="nil"/>
              <w:left w:val="single" w:sz="8" w:space="0" w:color="auto"/>
              <w:bottom w:val="single" w:sz="4" w:space="0" w:color="auto"/>
              <w:right w:val="single" w:sz="4" w:space="0" w:color="auto"/>
            </w:tcBorders>
            <w:shd w:val="clear" w:color="auto" w:fill="auto"/>
            <w:noWrap/>
            <w:vAlign w:val="center"/>
            <w:hideMark/>
          </w:tcPr>
          <w:p w14:paraId="4833B088"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7</w:t>
            </w:r>
          </w:p>
        </w:tc>
        <w:tc>
          <w:tcPr>
            <w:tcW w:w="1067" w:type="dxa"/>
            <w:tcBorders>
              <w:top w:val="nil"/>
              <w:left w:val="nil"/>
              <w:bottom w:val="single" w:sz="4" w:space="0" w:color="auto"/>
              <w:right w:val="single" w:sz="4" w:space="0" w:color="auto"/>
            </w:tcBorders>
            <w:shd w:val="clear" w:color="auto" w:fill="auto"/>
            <w:vAlign w:val="center"/>
            <w:hideMark/>
          </w:tcPr>
          <w:p w14:paraId="02083C68"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Teren agricol/arabil</w:t>
            </w:r>
          </w:p>
        </w:tc>
        <w:tc>
          <w:tcPr>
            <w:tcW w:w="1136" w:type="dxa"/>
            <w:tcBorders>
              <w:top w:val="nil"/>
              <w:left w:val="nil"/>
              <w:bottom w:val="single" w:sz="4" w:space="0" w:color="auto"/>
              <w:right w:val="single" w:sz="4" w:space="0" w:color="auto"/>
            </w:tcBorders>
            <w:shd w:val="clear" w:color="auto" w:fill="auto"/>
            <w:vAlign w:val="center"/>
            <w:hideMark/>
          </w:tcPr>
          <w:p w14:paraId="110223F2" w14:textId="77F9D886" w:rsidR="0096393F" w:rsidRPr="002101A1" w:rsidRDefault="00010558"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r-nul</w:t>
            </w:r>
            <w:r w:rsidRPr="002101A1" w:rsidDel="00010558">
              <w:rPr>
                <w:rFonts w:ascii="Calibri Light" w:eastAsia="Times New Roman" w:hAnsi="Calibri Light" w:cs="Calibri Light"/>
                <w:sz w:val="16"/>
                <w:szCs w:val="16"/>
                <w:lang w:val="ro-MD"/>
              </w:rPr>
              <w:t xml:space="preserve"> </w:t>
            </w:r>
            <w:r w:rsidR="0096393F" w:rsidRPr="002101A1">
              <w:rPr>
                <w:rFonts w:ascii="Calibri Light" w:eastAsia="Times New Roman" w:hAnsi="Calibri Light" w:cs="Calibri Light"/>
                <w:sz w:val="16"/>
                <w:szCs w:val="16"/>
                <w:lang w:val="ro-MD"/>
              </w:rPr>
              <w:t>Straseni, s.Vorniceni</w:t>
            </w:r>
          </w:p>
        </w:tc>
        <w:tc>
          <w:tcPr>
            <w:tcW w:w="1033" w:type="dxa"/>
            <w:tcBorders>
              <w:top w:val="nil"/>
              <w:left w:val="nil"/>
              <w:bottom w:val="single" w:sz="4" w:space="0" w:color="auto"/>
              <w:right w:val="single" w:sz="4" w:space="0" w:color="auto"/>
            </w:tcBorders>
            <w:shd w:val="clear" w:color="auto" w:fill="auto"/>
            <w:vAlign w:val="center"/>
            <w:hideMark/>
          </w:tcPr>
          <w:p w14:paraId="1A29BD4E"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8042208389 13.01.2012</w:t>
            </w:r>
          </w:p>
        </w:tc>
        <w:tc>
          <w:tcPr>
            <w:tcW w:w="793" w:type="dxa"/>
            <w:tcBorders>
              <w:top w:val="nil"/>
              <w:left w:val="nil"/>
              <w:bottom w:val="single" w:sz="4" w:space="0" w:color="auto"/>
              <w:right w:val="single" w:sz="4" w:space="0" w:color="auto"/>
            </w:tcBorders>
            <w:shd w:val="clear" w:color="auto" w:fill="auto"/>
            <w:hideMark/>
          </w:tcPr>
          <w:p w14:paraId="4E502144" w14:textId="77777777" w:rsidR="0096393F" w:rsidRPr="002101A1" w:rsidRDefault="0096393F" w:rsidP="00332FF7">
            <w:pPr>
              <w:spacing w:after="0" w:line="240" w:lineRule="auto"/>
              <w:jc w:val="center"/>
              <w:rPr>
                <w:rFonts w:ascii="Calibri Light" w:eastAsia="Times New Roman" w:hAnsi="Calibri Light" w:cs="Calibri Light"/>
                <w:b/>
                <w:bCs/>
                <w:sz w:val="16"/>
                <w:szCs w:val="16"/>
                <w:lang w:val="ro-MD"/>
              </w:rPr>
            </w:pPr>
            <w:r w:rsidRPr="002101A1">
              <w:rPr>
                <w:rFonts w:ascii="Calibri Light" w:eastAsia="Times New Roman" w:hAnsi="Calibri Light" w:cs="Calibri Light"/>
                <w:b/>
                <w:bCs/>
                <w:sz w:val="16"/>
                <w:szCs w:val="16"/>
                <w:lang w:val="ro-MD"/>
              </w:rPr>
              <w:t> </w:t>
            </w:r>
          </w:p>
        </w:tc>
        <w:tc>
          <w:tcPr>
            <w:tcW w:w="847" w:type="dxa"/>
            <w:tcBorders>
              <w:top w:val="nil"/>
              <w:left w:val="nil"/>
              <w:bottom w:val="single" w:sz="4" w:space="0" w:color="auto"/>
              <w:right w:val="single" w:sz="4" w:space="0" w:color="auto"/>
            </w:tcBorders>
            <w:shd w:val="clear" w:color="auto" w:fill="auto"/>
            <w:noWrap/>
            <w:vAlign w:val="center"/>
            <w:hideMark/>
          </w:tcPr>
          <w:p w14:paraId="731915ED"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9,4</w:t>
            </w:r>
          </w:p>
        </w:tc>
        <w:tc>
          <w:tcPr>
            <w:tcW w:w="852" w:type="dxa"/>
            <w:tcBorders>
              <w:top w:val="nil"/>
              <w:left w:val="nil"/>
              <w:bottom w:val="single" w:sz="4" w:space="0" w:color="auto"/>
              <w:right w:val="single" w:sz="4" w:space="0" w:color="auto"/>
            </w:tcBorders>
            <w:shd w:val="clear" w:color="auto" w:fill="auto"/>
            <w:noWrap/>
            <w:vAlign w:val="center"/>
            <w:hideMark/>
          </w:tcPr>
          <w:p w14:paraId="246B1857"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0,9326</w:t>
            </w:r>
          </w:p>
        </w:tc>
        <w:tc>
          <w:tcPr>
            <w:tcW w:w="765" w:type="dxa"/>
            <w:tcBorders>
              <w:top w:val="nil"/>
              <w:left w:val="nil"/>
              <w:bottom w:val="single" w:sz="4" w:space="0" w:color="auto"/>
              <w:right w:val="single" w:sz="4" w:space="0" w:color="auto"/>
            </w:tcBorders>
            <w:shd w:val="clear" w:color="auto" w:fill="auto"/>
            <w:noWrap/>
            <w:vAlign w:val="center"/>
            <w:hideMark/>
          </w:tcPr>
          <w:p w14:paraId="3B91832B"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Da</w:t>
            </w:r>
          </w:p>
        </w:tc>
        <w:tc>
          <w:tcPr>
            <w:tcW w:w="739" w:type="dxa"/>
            <w:tcBorders>
              <w:top w:val="nil"/>
              <w:left w:val="nil"/>
              <w:bottom w:val="single" w:sz="4" w:space="0" w:color="auto"/>
              <w:right w:val="nil"/>
            </w:tcBorders>
            <w:shd w:val="clear" w:color="auto" w:fill="auto"/>
            <w:noWrap/>
            <w:vAlign w:val="center"/>
            <w:hideMark/>
          </w:tcPr>
          <w:p w14:paraId="5861DFFC"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1,1</w:t>
            </w:r>
          </w:p>
        </w:tc>
        <w:tc>
          <w:tcPr>
            <w:tcW w:w="576" w:type="dxa"/>
            <w:tcBorders>
              <w:top w:val="nil"/>
              <w:left w:val="single" w:sz="4" w:space="0" w:color="auto"/>
              <w:bottom w:val="single" w:sz="4" w:space="0" w:color="auto"/>
              <w:right w:val="nil"/>
            </w:tcBorders>
            <w:shd w:val="clear" w:color="auto" w:fill="auto"/>
            <w:noWrap/>
            <w:vAlign w:val="center"/>
            <w:hideMark/>
          </w:tcPr>
          <w:p w14:paraId="3DDABECF"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49</w:t>
            </w:r>
          </w:p>
        </w:tc>
        <w:tc>
          <w:tcPr>
            <w:tcW w:w="664" w:type="dxa"/>
            <w:tcBorders>
              <w:top w:val="nil"/>
              <w:left w:val="single" w:sz="4" w:space="0" w:color="auto"/>
              <w:bottom w:val="single" w:sz="4" w:space="0" w:color="auto"/>
              <w:right w:val="nil"/>
            </w:tcBorders>
            <w:shd w:val="clear" w:color="auto" w:fill="auto"/>
            <w:noWrap/>
            <w:vAlign w:val="center"/>
            <w:hideMark/>
          </w:tcPr>
          <w:p w14:paraId="0BD6D322"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51,7</w:t>
            </w:r>
          </w:p>
        </w:tc>
        <w:tc>
          <w:tcPr>
            <w:tcW w:w="876" w:type="dxa"/>
            <w:tcBorders>
              <w:top w:val="nil"/>
              <w:left w:val="single" w:sz="4" w:space="0" w:color="auto"/>
              <w:bottom w:val="single" w:sz="4" w:space="0" w:color="auto"/>
              <w:right w:val="single" w:sz="8" w:space="0" w:color="auto"/>
            </w:tcBorders>
            <w:shd w:val="clear" w:color="auto" w:fill="auto"/>
            <w:noWrap/>
            <w:vAlign w:val="center"/>
            <w:hideMark/>
          </w:tcPr>
          <w:p w14:paraId="4B6E8137"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51,7</w:t>
            </w:r>
          </w:p>
        </w:tc>
      </w:tr>
      <w:tr w:rsidR="005C3DCF" w:rsidRPr="00DB333D" w14:paraId="4BA7FE32" w14:textId="77777777" w:rsidTr="002101A1">
        <w:trPr>
          <w:trHeight w:val="20"/>
        </w:trPr>
        <w:tc>
          <w:tcPr>
            <w:tcW w:w="413" w:type="dxa"/>
            <w:tcBorders>
              <w:top w:val="nil"/>
              <w:left w:val="single" w:sz="8" w:space="0" w:color="auto"/>
              <w:bottom w:val="single" w:sz="4" w:space="0" w:color="auto"/>
              <w:right w:val="single" w:sz="4" w:space="0" w:color="auto"/>
            </w:tcBorders>
            <w:shd w:val="clear" w:color="auto" w:fill="auto"/>
            <w:noWrap/>
            <w:vAlign w:val="center"/>
            <w:hideMark/>
          </w:tcPr>
          <w:p w14:paraId="1F4EA456"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8</w:t>
            </w:r>
          </w:p>
        </w:tc>
        <w:tc>
          <w:tcPr>
            <w:tcW w:w="1067" w:type="dxa"/>
            <w:tcBorders>
              <w:top w:val="nil"/>
              <w:left w:val="nil"/>
              <w:bottom w:val="single" w:sz="4" w:space="0" w:color="auto"/>
              <w:right w:val="single" w:sz="4" w:space="0" w:color="auto"/>
            </w:tcBorders>
            <w:shd w:val="clear" w:color="auto" w:fill="auto"/>
            <w:vAlign w:val="center"/>
            <w:hideMark/>
          </w:tcPr>
          <w:p w14:paraId="270340AC"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Teren</w:t>
            </w:r>
          </w:p>
        </w:tc>
        <w:tc>
          <w:tcPr>
            <w:tcW w:w="1136" w:type="dxa"/>
            <w:tcBorders>
              <w:top w:val="nil"/>
              <w:left w:val="nil"/>
              <w:bottom w:val="single" w:sz="4" w:space="0" w:color="auto"/>
              <w:right w:val="single" w:sz="4" w:space="0" w:color="auto"/>
            </w:tcBorders>
            <w:shd w:val="clear" w:color="auto" w:fill="auto"/>
            <w:vAlign w:val="center"/>
            <w:hideMark/>
          </w:tcPr>
          <w:p w14:paraId="42D4E0A0" w14:textId="46F48949" w:rsidR="0096393F" w:rsidRPr="002101A1" w:rsidRDefault="00010558"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r-nul</w:t>
            </w:r>
            <w:r w:rsidRPr="002101A1" w:rsidDel="00010558">
              <w:rPr>
                <w:rFonts w:ascii="Calibri Light" w:eastAsia="Times New Roman" w:hAnsi="Calibri Light" w:cs="Calibri Light"/>
                <w:sz w:val="16"/>
                <w:szCs w:val="16"/>
                <w:lang w:val="ro-MD"/>
              </w:rPr>
              <w:t xml:space="preserve"> </w:t>
            </w:r>
            <w:r w:rsidR="0096393F" w:rsidRPr="002101A1">
              <w:rPr>
                <w:rFonts w:ascii="Calibri Light" w:eastAsia="Times New Roman" w:hAnsi="Calibri Light" w:cs="Calibri Light"/>
                <w:sz w:val="16"/>
                <w:szCs w:val="16"/>
                <w:lang w:val="ro-MD"/>
              </w:rPr>
              <w:t>Straseni, s.Vorniceni</w:t>
            </w:r>
          </w:p>
        </w:tc>
        <w:tc>
          <w:tcPr>
            <w:tcW w:w="1033" w:type="dxa"/>
            <w:tcBorders>
              <w:top w:val="nil"/>
              <w:left w:val="nil"/>
              <w:bottom w:val="single" w:sz="4" w:space="0" w:color="auto"/>
              <w:right w:val="single" w:sz="4" w:space="0" w:color="auto"/>
            </w:tcBorders>
            <w:shd w:val="clear" w:color="auto" w:fill="auto"/>
            <w:vAlign w:val="center"/>
            <w:hideMark/>
          </w:tcPr>
          <w:p w14:paraId="7BBA214E"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8042208387 13.01.2012</w:t>
            </w:r>
          </w:p>
        </w:tc>
        <w:tc>
          <w:tcPr>
            <w:tcW w:w="793" w:type="dxa"/>
            <w:tcBorders>
              <w:top w:val="nil"/>
              <w:left w:val="nil"/>
              <w:bottom w:val="single" w:sz="4" w:space="0" w:color="auto"/>
              <w:right w:val="single" w:sz="4" w:space="0" w:color="auto"/>
            </w:tcBorders>
            <w:shd w:val="clear" w:color="auto" w:fill="auto"/>
            <w:hideMark/>
          </w:tcPr>
          <w:p w14:paraId="2E9C9C9B" w14:textId="77777777" w:rsidR="0096393F" w:rsidRPr="002101A1" w:rsidRDefault="0096393F" w:rsidP="00332FF7">
            <w:pPr>
              <w:spacing w:after="0" w:line="240" w:lineRule="auto"/>
              <w:jc w:val="center"/>
              <w:rPr>
                <w:rFonts w:ascii="Calibri Light" w:eastAsia="Times New Roman" w:hAnsi="Calibri Light" w:cs="Calibri Light"/>
                <w:b/>
                <w:bCs/>
                <w:sz w:val="16"/>
                <w:szCs w:val="16"/>
                <w:lang w:val="ro-MD"/>
              </w:rPr>
            </w:pPr>
            <w:r w:rsidRPr="002101A1">
              <w:rPr>
                <w:rFonts w:ascii="Calibri Light" w:eastAsia="Times New Roman" w:hAnsi="Calibri Light" w:cs="Calibri Light"/>
                <w:b/>
                <w:bCs/>
                <w:sz w:val="16"/>
                <w:szCs w:val="16"/>
                <w:lang w:val="ro-MD"/>
              </w:rPr>
              <w:t> </w:t>
            </w:r>
          </w:p>
        </w:tc>
        <w:tc>
          <w:tcPr>
            <w:tcW w:w="847" w:type="dxa"/>
            <w:tcBorders>
              <w:top w:val="nil"/>
              <w:left w:val="nil"/>
              <w:bottom w:val="single" w:sz="4" w:space="0" w:color="auto"/>
              <w:right w:val="single" w:sz="4" w:space="0" w:color="auto"/>
            </w:tcBorders>
            <w:shd w:val="clear" w:color="auto" w:fill="auto"/>
            <w:noWrap/>
            <w:vAlign w:val="center"/>
            <w:hideMark/>
          </w:tcPr>
          <w:p w14:paraId="4930B61B"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371,8</w:t>
            </w:r>
          </w:p>
        </w:tc>
        <w:tc>
          <w:tcPr>
            <w:tcW w:w="852" w:type="dxa"/>
            <w:tcBorders>
              <w:top w:val="nil"/>
              <w:left w:val="nil"/>
              <w:bottom w:val="single" w:sz="4" w:space="0" w:color="auto"/>
              <w:right w:val="single" w:sz="4" w:space="0" w:color="auto"/>
            </w:tcBorders>
            <w:shd w:val="clear" w:color="auto" w:fill="auto"/>
            <w:noWrap/>
            <w:vAlign w:val="center"/>
            <w:hideMark/>
          </w:tcPr>
          <w:p w14:paraId="6CC714CE"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36,9588</w:t>
            </w:r>
          </w:p>
        </w:tc>
        <w:tc>
          <w:tcPr>
            <w:tcW w:w="765" w:type="dxa"/>
            <w:tcBorders>
              <w:top w:val="nil"/>
              <w:left w:val="nil"/>
              <w:bottom w:val="single" w:sz="4" w:space="0" w:color="auto"/>
              <w:right w:val="single" w:sz="4" w:space="0" w:color="auto"/>
            </w:tcBorders>
            <w:shd w:val="clear" w:color="auto" w:fill="auto"/>
            <w:noWrap/>
            <w:vAlign w:val="center"/>
            <w:hideMark/>
          </w:tcPr>
          <w:p w14:paraId="2C760B5D"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Da</w:t>
            </w:r>
          </w:p>
        </w:tc>
        <w:tc>
          <w:tcPr>
            <w:tcW w:w="739" w:type="dxa"/>
            <w:tcBorders>
              <w:top w:val="single" w:sz="8" w:space="0" w:color="auto"/>
              <w:left w:val="nil"/>
              <w:bottom w:val="single" w:sz="4" w:space="0" w:color="auto"/>
              <w:right w:val="nil"/>
            </w:tcBorders>
            <w:shd w:val="clear" w:color="auto" w:fill="auto"/>
            <w:noWrap/>
            <w:vAlign w:val="center"/>
            <w:hideMark/>
          </w:tcPr>
          <w:p w14:paraId="479EB13F"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36,2</w:t>
            </w:r>
          </w:p>
        </w:tc>
        <w:tc>
          <w:tcPr>
            <w:tcW w:w="576" w:type="dxa"/>
            <w:tcBorders>
              <w:top w:val="nil"/>
              <w:left w:val="single" w:sz="4" w:space="0" w:color="auto"/>
              <w:bottom w:val="single" w:sz="4" w:space="0" w:color="auto"/>
              <w:right w:val="nil"/>
            </w:tcBorders>
            <w:shd w:val="clear" w:color="auto" w:fill="auto"/>
            <w:noWrap/>
            <w:vAlign w:val="center"/>
            <w:hideMark/>
          </w:tcPr>
          <w:p w14:paraId="2E029C26"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65</w:t>
            </w:r>
          </w:p>
        </w:tc>
        <w:tc>
          <w:tcPr>
            <w:tcW w:w="664" w:type="dxa"/>
            <w:tcBorders>
              <w:top w:val="nil"/>
              <w:left w:val="single" w:sz="4" w:space="0" w:color="auto"/>
              <w:bottom w:val="single" w:sz="4" w:space="0" w:color="auto"/>
              <w:right w:val="nil"/>
            </w:tcBorders>
            <w:shd w:val="clear" w:color="auto" w:fill="auto"/>
            <w:noWrap/>
            <w:vAlign w:val="center"/>
            <w:hideMark/>
          </w:tcPr>
          <w:p w14:paraId="352D249D"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86 890,70</w:t>
            </w:r>
          </w:p>
        </w:tc>
        <w:tc>
          <w:tcPr>
            <w:tcW w:w="876" w:type="dxa"/>
            <w:tcBorders>
              <w:top w:val="nil"/>
              <w:left w:val="single" w:sz="4" w:space="0" w:color="auto"/>
              <w:bottom w:val="single" w:sz="4" w:space="0" w:color="auto"/>
              <w:right w:val="single" w:sz="8" w:space="0" w:color="auto"/>
            </w:tcBorders>
            <w:shd w:val="clear" w:color="auto" w:fill="auto"/>
            <w:noWrap/>
            <w:vAlign w:val="center"/>
            <w:hideMark/>
          </w:tcPr>
          <w:p w14:paraId="1FE26777"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86 890,7</w:t>
            </w:r>
          </w:p>
        </w:tc>
      </w:tr>
      <w:tr w:rsidR="005C3DCF" w:rsidRPr="00DB333D" w14:paraId="7F4EF44E" w14:textId="77777777" w:rsidTr="002101A1">
        <w:trPr>
          <w:trHeight w:val="20"/>
        </w:trPr>
        <w:tc>
          <w:tcPr>
            <w:tcW w:w="413" w:type="dxa"/>
            <w:tcBorders>
              <w:top w:val="nil"/>
              <w:left w:val="single" w:sz="8" w:space="0" w:color="auto"/>
              <w:bottom w:val="single" w:sz="8" w:space="0" w:color="auto"/>
              <w:right w:val="single" w:sz="4" w:space="0" w:color="auto"/>
            </w:tcBorders>
            <w:shd w:val="clear" w:color="auto" w:fill="auto"/>
            <w:noWrap/>
            <w:vAlign w:val="center"/>
            <w:hideMark/>
          </w:tcPr>
          <w:p w14:paraId="06CFA653"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9</w:t>
            </w:r>
          </w:p>
        </w:tc>
        <w:tc>
          <w:tcPr>
            <w:tcW w:w="1067" w:type="dxa"/>
            <w:tcBorders>
              <w:top w:val="nil"/>
              <w:left w:val="nil"/>
              <w:bottom w:val="single" w:sz="8" w:space="0" w:color="auto"/>
              <w:right w:val="single" w:sz="4" w:space="0" w:color="auto"/>
            </w:tcBorders>
            <w:shd w:val="clear" w:color="auto" w:fill="auto"/>
            <w:vAlign w:val="center"/>
            <w:hideMark/>
          </w:tcPr>
          <w:p w14:paraId="672C6FAE"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Teren arabil</w:t>
            </w:r>
          </w:p>
        </w:tc>
        <w:tc>
          <w:tcPr>
            <w:tcW w:w="1136" w:type="dxa"/>
            <w:tcBorders>
              <w:top w:val="nil"/>
              <w:left w:val="nil"/>
              <w:bottom w:val="single" w:sz="8" w:space="0" w:color="auto"/>
              <w:right w:val="single" w:sz="4" w:space="0" w:color="auto"/>
            </w:tcBorders>
            <w:shd w:val="clear" w:color="auto" w:fill="auto"/>
            <w:vAlign w:val="center"/>
            <w:hideMark/>
          </w:tcPr>
          <w:p w14:paraId="2EC54286" w14:textId="2E43920F" w:rsidR="0096393F" w:rsidRPr="002101A1" w:rsidRDefault="00010558"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r-nul</w:t>
            </w:r>
            <w:r w:rsidRPr="002101A1" w:rsidDel="00010558">
              <w:rPr>
                <w:rFonts w:ascii="Calibri Light" w:eastAsia="Times New Roman" w:hAnsi="Calibri Light" w:cs="Calibri Light"/>
                <w:sz w:val="16"/>
                <w:szCs w:val="16"/>
                <w:lang w:val="ro-MD"/>
              </w:rPr>
              <w:t xml:space="preserve"> </w:t>
            </w:r>
            <w:r w:rsidR="0096393F" w:rsidRPr="002101A1">
              <w:rPr>
                <w:rFonts w:ascii="Calibri Light" w:eastAsia="Times New Roman" w:hAnsi="Calibri Light" w:cs="Calibri Light"/>
                <w:sz w:val="16"/>
                <w:szCs w:val="16"/>
                <w:lang w:val="ro-MD"/>
              </w:rPr>
              <w:t>Straseni, s.Vorniceni</w:t>
            </w:r>
          </w:p>
        </w:tc>
        <w:tc>
          <w:tcPr>
            <w:tcW w:w="1033" w:type="dxa"/>
            <w:tcBorders>
              <w:top w:val="nil"/>
              <w:left w:val="nil"/>
              <w:bottom w:val="single" w:sz="8" w:space="0" w:color="auto"/>
              <w:right w:val="single" w:sz="4" w:space="0" w:color="auto"/>
            </w:tcBorders>
            <w:shd w:val="clear" w:color="auto" w:fill="auto"/>
            <w:vAlign w:val="center"/>
            <w:hideMark/>
          </w:tcPr>
          <w:p w14:paraId="6095E020"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8042208390 13.01.2012</w:t>
            </w:r>
          </w:p>
        </w:tc>
        <w:tc>
          <w:tcPr>
            <w:tcW w:w="793" w:type="dxa"/>
            <w:tcBorders>
              <w:top w:val="nil"/>
              <w:left w:val="nil"/>
              <w:bottom w:val="single" w:sz="8" w:space="0" w:color="auto"/>
              <w:right w:val="single" w:sz="4" w:space="0" w:color="auto"/>
            </w:tcBorders>
            <w:shd w:val="clear" w:color="auto" w:fill="auto"/>
            <w:hideMark/>
          </w:tcPr>
          <w:p w14:paraId="70C41678" w14:textId="77777777" w:rsidR="0096393F" w:rsidRPr="002101A1" w:rsidRDefault="0096393F" w:rsidP="00332FF7">
            <w:pPr>
              <w:spacing w:after="0" w:line="240" w:lineRule="auto"/>
              <w:jc w:val="center"/>
              <w:rPr>
                <w:rFonts w:ascii="Calibri Light" w:eastAsia="Times New Roman" w:hAnsi="Calibri Light" w:cs="Calibri Light"/>
                <w:b/>
                <w:bCs/>
                <w:sz w:val="16"/>
                <w:szCs w:val="16"/>
                <w:lang w:val="ro-MD"/>
              </w:rPr>
            </w:pPr>
            <w:r w:rsidRPr="002101A1">
              <w:rPr>
                <w:rFonts w:ascii="Calibri Light" w:eastAsia="Times New Roman" w:hAnsi="Calibri Light" w:cs="Calibri Light"/>
                <w:b/>
                <w:bCs/>
                <w:sz w:val="16"/>
                <w:szCs w:val="16"/>
                <w:lang w:val="ro-MD"/>
              </w:rPr>
              <w:t> </w:t>
            </w:r>
          </w:p>
        </w:tc>
        <w:tc>
          <w:tcPr>
            <w:tcW w:w="847" w:type="dxa"/>
            <w:tcBorders>
              <w:top w:val="nil"/>
              <w:left w:val="nil"/>
              <w:bottom w:val="single" w:sz="8" w:space="0" w:color="auto"/>
              <w:right w:val="single" w:sz="4" w:space="0" w:color="auto"/>
            </w:tcBorders>
            <w:shd w:val="clear" w:color="auto" w:fill="auto"/>
            <w:noWrap/>
            <w:vAlign w:val="center"/>
            <w:hideMark/>
          </w:tcPr>
          <w:p w14:paraId="2D9EFA8C"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20,5</w:t>
            </w:r>
          </w:p>
        </w:tc>
        <w:tc>
          <w:tcPr>
            <w:tcW w:w="852" w:type="dxa"/>
            <w:tcBorders>
              <w:top w:val="nil"/>
              <w:left w:val="nil"/>
              <w:bottom w:val="single" w:sz="8" w:space="0" w:color="auto"/>
              <w:right w:val="single" w:sz="4" w:space="0" w:color="auto"/>
            </w:tcBorders>
            <w:shd w:val="clear" w:color="auto" w:fill="auto"/>
            <w:noWrap/>
            <w:vAlign w:val="center"/>
            <w:hideMark/>
          </w:tcPr>
          <w:p w14:paraId="46FE9790"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2,0355</w:t>
            </w:r>
          </w:p>
        </w:tc>
        <w:tc>
          <w:tcPr>
            <w:tcW w:w="765" w:type="dxa"/>
            <w:tcBorders>
              <w:top w:val="nil"/>
              <w:left w:val="nil"/>
              <w:bottom w:val="single" w:sz="8" w:space="0" w:color="auto"/>
              <w:right w:val="single" w:sz="4" w:space="0" w:color="auto"/>
            </w:tcBorders>
            <w:shd w:val="clear" w:color="auto" w:fill="auto"/>
            <w:noWrap/>
            <w:vAlign w:val="center"/>
            <w:hideMark/>
          </w:tcPr>
          <w:p w14:paraId="30094CD3"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Da</w:t>
            </w:r>
          </w:p>
        </w:tc>
        <w:tc>
          <w:tcPr>
            <w:tcW w:w="739" w:type="dxa"/>
            <w:tcBorders>
              <w:top w:val="nil"/>
              <w:left w:val="nil"/>
              <w:bottom w:val="single" w:sz="8" w:space="0" w:color="auto"/>
              <w:right w:val="nil"/>
            </w:tcBorders>
            <w:shd w:val="clear" w:color="auto" w:fill="auto"/>
            <w:noWrap/>
            <w:vAlign w:val="center"/>
            <w:hideMark/>
          </w:tcPr>
          <w:p w14:paraId="6FD50880"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1,1</w:t>
            </w:r>
          </w:p>
        </w:tc>
        <w:tc>
          <w:tcPr>
            <w:tcW w:w="576" w:type="dxa"/>
            <w:tcBorders>
              <w:top w:val="nil"/>
              <w:left w:val="single" w:sz="4" w:space="0" w:color="auto"/>
              <w:bottom w:val="single" w:sz="8" w:space="0" w:color="auto"/>
              <w:right w:val="nil"/>
            </w:tcBorders>
            <w:shd w:val="clear" w:color="auto" w:fill="auto"/>
            <w:noWrap/>
            <w:vAlign w:val="center"/>
            <w:hideMark/>
          </w:tcPr>
          <w:p w14:paraId="5AB40C23"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49</w:t>
            </w:r>
          </w:p>
        </w:tc>
        <w:tc>
          <w:tcPr>
            <w:tcW w:w="664" w:type="dxa"/>
            <w:tcBorders>
              <w:top w:val="nil"/>
              <w:left w:val="single" w:sz="4" w:space="0" w:color="auto"/>
              <w:bottom w:val="single" w:sz="8" w:space="0" w:color="auto"/>
              <w:right w:val="nil"/>
            </w:tcBorders>
            <w:shd w:val="clear" w:color="auto" w:fill="auto"/>
            <w:noWrap/>
            <w:vAlign w:val="center"/>
            <w:hideMark/>
          </w:tcPr>
          <w:p w14:paraId="48427B72"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112,70</w:t>
            </w:r>
          </w:p>
        </w:tc>
        <w:tc>
          <w:tcPr>
            <w:tcW w:w="876" w:type="dxa"/>
            <w:tcBorders>
              <w:top w:val="nil"/>
              <w:left w:val="single" w:sz="4" w:space="0" w:color="auto"/>
              <w:bottom w:val="single" w:sz="8" w:space="0" w:color="auto"/>
              <w:right w:val="single" w:sz="8" w:space="0" w:color="auto"/>
            </w:tcBorders>
            <w:shd w:val="clear" w:color="auto" w:fill="auto"/>
            <w:noWrap/>
            <w:vAlign w:val="center"/>
            <w:hideMark/>
          </w:tcPr>
          <w:p w14:paraId="3986B15C"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112,7</w:t>
            </w:r>
          </w:p>
        </w:tc>
      </w:tr>
      <w:tr w:rsidR="005C3DCF" w:rsidRPr="00DB333D" w14:paraId="309F9D93" w14:textId="77777777" w:rsidTr="002101A1">
        <w:trPr>
          <w:trHeight w:val="20"/>
        </w:trPr>
        <w:tc>
          <w:tcPr>
            <w:tcW w:w="413" w:type="dxa"/>
            <w:tcBorders>
              <w:top w:val="nil"/>
              <w:left w:val="single" w:sz="8" w:space="0" w:color="auto"/>
              <w:bottom w:val="single" w:sz="8" w:space="0" w:color="auto"/>
              <w:right w:val="single" w:sz="4" w:space="0" w:color="auto"/>
            </w:tcBorders>
            <w:shd w:val="clear" w:color="auto" w:fill="auto"/>
            <w:noWrap/>
            <w:vAlign w:val="center"/>
            <w:hideMark/>
          </w:tcPr>
          <w:p w14:paraId="12FF4508"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 </w:t>
            </w:r>
          </w:p>
        </w:tc>
        <w:tc>
          <w:tcPr>
            <w:tcW w:w="3236" w:type="dxa"/>
            <w:gridSpan w:val="3"/>
            <w:tcBorders>
              <w:top w:val="single" w:sz="8" w:space="0" w:color="auto"/>
              <w:left w:val="nil"/>
              <w:bottom w:val="single" w:sz="8" w:space="0" w:color="auto"/>
              <w:right w:val="nil"/>
            </w:tcBorders>
            <w:shd w:val="clear" w:color="auto" w:fill="auto"/>
            <w:vAlign w:val="center"/>
            <w:hideMark/>
          </w:tcPr>
          <w:p w14:paraId="6607FE93" w14:textId="77777777" w:rsidR="0096393F" w:rsidRPr="002101A1" w:rsidRDefault="0096393F" w:rsidP="00332FF7">
            <w:pPr>
              <w:spacing w:after="0" w:line="240" w:lineRule="auto"/>
              <w:jc w:val="center"/>
              <w:rPr>
                <w:rFonts w:ascii="Calibri Light" w:eastAsia="Times New Roman" w:hAnsi="Calibri Light" w:cs="Calibri Light"/>
                <w:b/>
                <w:bCs/>
                <w:sz w:val="16"/>
                <w:szCs w:val="16"/>
                <w:lang w:val="ro-MD"/>
              </w:rPr>
            </w:pPr>
            <w:r w:rsidRPr="002101A1">
              <w:rPr>
                <w:rFonts w:ascii="Calibri Light" w:eastAsia="Times New Roman" w:hAnsi="Calibri Light" w:cs="Calibri Light"/>
                <w:b/>
                <w:bCs/>
                <w:sz w:val="16"/>
                <w:szCs w:val="16"/>
                <w:lang w:val="ro-MD"/>
              </w:rPr>
              <w:t>Total</w:t>
            </w:r>
          </w:p>
        </w:tc>
        <w:tc>
          <w:tcPr>
            <w:tcW w:w="793" w:type="dxa"/>
            <w:tcBorders>
              <w:top w:val="nil"/>
              <w:left w:val="single" w:sz="4" w:space="0" w:color="auto"/>
              <w:bottom w:val="single" w:sz="8" w:space="0" w:color="auto"/>
              <w:right w:val="single" w:sz="4" w:space="0" w:color="auto"/>
            </w:tcBorders>
            <w:shd w:val="clear" w:color="auto" w:fill="auto"/>
            <w:noWrap/>
            <w:vAlign w:val="center"/>
            <w:hideMark/>
          </w:tcPr>
          <w:p w14:paraId="5BBE2FDB" w14:textId="77777777" w:rsidR="0096393F" w:rsidRPr="002101A1" w:rsidRDefault="0096393F" w:rsidP="00332FF7">
            <w:pPr>
              <w:spacing w:after="0" w:line="240" w:lineRule="auto"/>
              <w:jc w:val="center"/>
              <w:rPr>
                <w:rFonts w:ascii="Calibri Light" w:eastAsia="Times New Roman" w:hAnsi="Calibri Light" w:cs="Calibri Light"/>
                <w:b/>
                <w:bCs/>
                <w:sz w:val="16"/>
                <w:szCs w:val="16"/>
                <w:lang w:val="ro-MD"/>
              </w:rPr>
            </w:pPr>
            <w:r w:rsidRPr="002101A1">
              <w:rPr>
                <w:rFonts w:ascii="Calibri Light" w:eastAsia="Times New Roman" w:hAnsi="Calibri Light" w:cs="Calibri Light"/>
                <w:b/>
                <w:bCs/>
                <w:sz w:val="16"/>
                <w:szCs w:val="16"/>
                <w:lang w:val="ro-MD"/>
              </w:rPr>
              <w:t>8984,9</w:t>
            </w:r>
          </w:p>
        </w:tc>
        <w:tc>
          <w:tcPr>
            <w:tcW w:w="847" w:type="dxa"/>
            <w:tcBorders>
              <w:top w:val="nil"/>
              <w:left w:val="nil"/>
              <w:bottom w:val="single" w:sz="8" w:space="0" w:color="auto"/>
              <w:right w:val="single" w:sz="4" w:space="0" w:color="auto"/>
            </w:tcBorders>
            <w:shd w:val="clear" w:color="auto" w:fill="auto"/>
            <w:noWrap/>
            <w:vAlign w:val="center"/>
            <w:hideMark/>
          </w:tcPr>
          <w:p w14:paraId="2A3ED853" w14:textId="77777777" w:rsidR="0096393F" w:rsidRPr="002101A1" w:rsidRDefault="0096393F" w:rsidP="00332FF7">
            <w:pPr>
              <w:spacing w:after="0" w:line="240" w:lineRule="auto"/>
              <w:jc w:val="center"/>
              <w:rPr>
                <w:rFonts w:ascii="Calibri Light" w:eastAsia="Times New Roman" w:hAnsi="Calibri Light" w:cs="Calibri Light"/>
                <w:b/>
                <w:bCs/>
                <w:sz w:val="16"/>
                <w:szCs w:val="16"/>
                <w:lang w:val="ro-MD"/>
              </w:rPr>
            </w:pPr>
            <w:r w:rsidRPr="002101A1">
              <w:rPr>
                <w:rFonts w:ascii="Calibri Light" w:eastAsia="Times New Roman" w:hAnsi="Calibri Light" w:cs="Calibri Light"/>
                <w:b/>
                <w:bCs/>
                <w:sz w:val="16"/>
                <w:szCs w:val="16"/>
                <w:lang w:val="ro-MD"/>
              </w:rPr>
              <w:t>8 088,9</w:t>
            </w:r>
          </w:p>
        </w:tc>
        <w:tc>
          <w:tcPr>
            <w:tcW w:w="852" w:type="dxa"/>
            <w:tcBorders>
              <w:top w:val="nil"/>
              <w:left w:val="nil"/>
              <w:bottom w:val="single" w:sz="8" w:space="0" w:color="auto"/>
              <w:right w:val="single" w:sz="4" w:space="0" w:color="auto"/>
            </w:tcBorders>
            <w:shd w:val="clear" w:color="auto" w:fill="auto"/>
            <w:noWrap/>
            <w:vAlign w:val="center"/>
            <w:hideMark/>
          </w:tcPr>
          <w:p w14:paraId="47FDB3FB" w14:textId="77777777" w:rsidR="0096393F" w:rsidRPr="002101A1" w:rsidRDefault="0096393F" w:rsidP="00332FF7">
            <w:pPr>
              <w:spacing w:after="0" w:line="240" w:lineRule="auto"/>
              <w:jc w:val="center"/>
              <w:rPr>
                <w:rFonts w:ascii="Calibri Light" w:eastAsia="Times New Roman" w:hAnsi="Calibri Light" w:cs="Calibri Light"/>
                <w:b/>
                <w:bCs/>
                <w:sz w:val="16"/>
                <w:szCs w:val="16"/>
                <w:lang w:val="ro-MD"/>
              </w:rPr>
            </w:pPr>
            <w:r w:rsidRPr="002101A1">
              <w:rPr>
                <w:rFonts w:ascii="Calibri Light" w:eastAsia="Times New Roman" w:hAnsi="Calibri Light" w:cs="Calibri Light"/>
                <w:b/>
                <w:bCs/>
                <w:sz w:val="16"/>
                <w:szCs w:val="16"/>
                <w:lang w:val="ro-MD"/>
              </w:rPr>
              <w:t>47,68</w:t>
            </w:r>
          </w:p>
        </w:tc>
        <w:tc>
          <w:tcPr>
            <w:tcW w:w="765" w:type="dxa"/>
            <w:tcBorders>
              <w:top w:val="nil"/>
              <w:left w:val="nil"/>
              <w:bottom w:val="single" w:sz="8" w:space="0" w:color="auto"/>
              <w:right w:val="single" w:sz="4" w:space="0" w:color="auto"/>
            </w:tcBorders>
            <w:shd w:val="clear" w:color="auto" w:fill="auto"/>
            <w:noWrap/>
            <w:vAlign w:val="center"/>
            <w:hideMark/>
          </w:tcPr>
          <w:p w14:paraId="6AEE7720" w14:textId="77777777" w:rsidR="0096393F" w:rsidRPr="002101A1" w:rsidRDefault="0096393F" w:rsidP="00332FF7">
            <w:pPr>
              <w:spacing w:after="0" w:line="240" w:lineRule="auto"/>
              <w:jc w:val="center"/>
              <w:rPr>
                <w:rFonts w:ascii="Calibri Light" w:eastAsia="Times New Roman" w:hAnsi="Calibri Light" w:cs="Calibri Light"/>
                <w:b/>
                <w:bCs/>
                <w:sz w:val="16"/>
                <w:szCs w:val="16"/>
                <w:lang w:val="ro-MD"/>
              </w:rPr>
            </w:pPr>
            <w:r w:rsidRPr="002101A1">
              <w:rPr>
                <w:rFonts w:ascii="Calibri Light" w:eastAsia="Times New Roman" w:hAnsi="Calibri Light" w:cs="Calibri Light"/>
                <w:b/>
                <w:bCs/>
                <w:sz w:val="16"/>
                <w:szCs w:val="16"/>
                <w:lang w:val="ro-MD"/>
              </w:rPr>
              <w:t> </w:t>
            </w:r>
          </w:p>
        </w:tc>
        <w:tc>
          <w:tcPr>
            <w:tcW w:w="739" w:type="dxa"/>
            <w:tcBorders>
              <w:top w:val="nil"/>
              <w:left w:val="nil"/>
              <w:bottom w:val="single" w:sz="8" w:space="0" w:color="auto"/>
              <w:right w:val="nil"/>
            </w:tcBorders>
            <w:shd w:val="clear" w:color="auto" w:fill="auto"/>
            <w:noWrap/>
            <w:vAlign w:val="center"/>
            <w:hideMark/>
          </w:tcPr>
          <w:p w14:paraId="595D09C0" w14:textId="77777777" w:rsidR="0096393F" w:rsidRPr="002101A1" w:rsidRDefault="0096393F" w:rsidP="00332FF7">
            <w:pPr>
              <w:spacing w:after="0" w:line="240" w:lineRule="auto"/>
              <w:jc w:val="center"/>
              <w:rPr>
                <w:rFonts w:ascii="Calibri Light" w:eastAsia="Times New Roman" w:hAnsi="Calibri Light" w:cs="Calibri Light"/>
                <w:b/>
                <w:bCs/>
                <w:sz w:val="16"/>
                <w:szCs w:val="16"/>
                <w:lang w:val="ro-MD"/>
              </w:rPr>
            </w:pPr>
            <w:r w:rsidRPr="002101A1">
              <w:rPr>
                <w:rFonts w:ascii="Calibri Light" w:eastAsia="Times New Roman" w:hAnsi="Calibri Light" w:cs="Calibri Light"/>
                <w:b/>
                <w:bCs/>
                <w:sz w:val="16"/>
                <w:szCs w:val="16"/>
                <w:lang w:val="ro-MD"/>
              </w:rPr>
              <w:t> </w:t>
            </w:r>
          </w:p>
        </w:tc>
        <w:tc>
          <w:tcPr>
            <w:tcW w:w="576" w:type="dxa"/>
            <w:tcBorders>
              <w:top w:val="nil"/>
              <w:left w:val="single" w:sz="4" w:space="0" w:color="auto"/>
              <w:bottom w:val="single" w:sz="8" w:space="0" w:color="auto"/>
              <w:right w:val="nil"/>
            </w:tcBorders>
            <w:shd w:val="clear" w:color="auto" w:fill="auto"/>
            <w:noWrap/>
            <w:vAlign w:val="center"/>
            <w:hideMark/>
          </w:tcPr>
          <w:p w14:paraId="614BDFCB" w14:textId="77777777" w:rsidR="0096393F" w:rsidRPr="002101A1" w:rsidRDefault="0096393F" w:rsidP="00332FF7">
            <w:pPr>
              <w:spacing w:after="0" w:line="240" w:lineRule="auto"/>
              <w:jc w:val="center"/>
              <w:rPr>
                <w:rFonts w:ascii="Calibri Light" w:eastAsia="Times New Roman" w:hAnsi="Calibri Light" w:cs="Calibri Light"/>
                <w:b/>
                <w:bCs/>
                <w:sz w:val="16"/>
                <w:szCs w:val="16"/>
                <w:lang w:val="ro-MD"/>
              </w:rPr>
            </w:pPr>
            <w:r w:rsidRPr="002101A1">
              <w:rPr>
                <w:rFonts w:ascii="Calibri Light" w:eastAsia="Times New Roman" w:hAnsi="Calibri Light" w:cs="Calibri Light"/>
                <w:b/>
                <w:bCs/>
                <w:sz w:val="16"/>
                <w:szCs w:val="16"/>
                <w:lang w:val="ro-MD"/>
              </w:rPr>
              <w:t> </w:t>
            </w:r>
          </w:p>
        </w:tc>
        <w:tc>
          <w:tcPr>
            <w:tcW w:w="664" w:type="dxa"/>
            <w:tcBorders>
              <w:top w:val="nil"/>
              <w:left w:val="single" w:sz="4" w:space="0" w:color="auto"/>
              <w:bottom w:val="single" w:sz="8" w:space="0" w:color="auto"/>
              <w:right w:val="nil"/>
            </w:tcBorders>
            <w:shd w:val="clear" w:color="auto" w:fill="auto"/>
            <w:noWrap/>
            <w:vAlign w:val="center"/>
            <w:hideMark/>
          </w:tcPr>
          <w:p w14:paraId="36D54ECE" w14:textId="77777777" w:rsidR="0096393F" w:rsidRPr="002101A1" w:rsidRDefault="0096393F" w:rsidP="00332FF7">
            <w:pPr>
              <w:spacing w:after="0" w:line="240" w:lineRule="auto"/>
              <w:jc w:val="right"/>
              <w:rPr>
                <w:rFonts w:ascii="Calibri Light" w:eastAsia="Times New Roman" w:hAnsi="Calibri Light" w:cs="Calibri Light"/>
                <w:b/>
                <w:bCs/>
                <w:sz w:val="16"/>
                <w:szCs w:val="16"/>
                <w:lang w:val="ro-MD"/>
              </w:rPr>
            </w:pPr>
            <w:r w:rsidRPr="002101A1">
              <w:rPr>
                <w:rFonts w:ascii="Calibri Light" w:eastAsia="Times New Roman" w:hAnsi="Calibri Light" w:cs="Calibri Light"/>
                <w:b/>
                <w:bCs/>
                <w:sz w:val="16"/>
                <w:szCs w:val="16"/>
                <w:lang w:val="ro-MD"/>
              </w:rPr>
              <w:t>105 277,6</w:t>
            </w:r>
          </w:p>
        </w:tc>
        <w:tc>
          <w:tcPr>
            <w:tcW w:w="876" w:type="dxa"/>
            <w:tcBorders>
              <w:top w:val="nil"/>
              <w:left w:val="single" w:sz="4" w:space="0" w:color="auto"/>
              <w:bottom w:val="single" w:sz="8" w:space="0" w:color="auto"/>
              <w:right w:val="single" w:sz="8" w:space="0" w:color="auto"/>
            </w:tcBorders>
            <w:shd w:val="clear" w:color="auto" w:fill="auto"/>
            <w:noWrap/>
            <w:vAlign w:val="center"/>
            <w:hideMark/>
          </w:tcPr>
          <w:p w14:paraId="303D096E" w14:textId="77777777" w:rsidR="0096393F" w:rsidRPr="002101A1" w:rsidRDefault="0096393F" w:rsidP="00332FF7">
            <w:pPr>
              <w:spacing w:after="0" w:line="240" w:lineRule="auto"/>
              <w:jc w:val="right"/>
              <w:rPr>
                <w:rFonts w:ascii="Calibri Light" w:eastAsia="Times New Roman" w:hAnsi="Calibri Light" w:cs="Calibri Light"/>
                <w:b/>
                <w:bCs/>
                <w:sz w:val="16"/>
                <w:szCs w:val="16"/>
                <w:lang w:val="ro-MD"/>
              </w:rPr>
            </w:pPr>
            <w:r w:rsidRPr="002101A1">
              <w:rPr>
                <w:rFonts w:ascii="Calibri Light" w:eastAsia="Times New Roman" w:hAnsi="Calibri Light" w:cs="Calibri Light"/>
                <w:b/>
                <w:bCs/>
                <w:sz w:val="16"/>
                <w:szCs w:val="16"/>
                <w:lang w:val="ro-MD"/>
              </w:rPr>
              <w:t>110 723,9</w:t>
            </w:r>
          </w:p>
        </w:tc>
      </w:tr>
    </w:tbl>
    <w:p w14:paraId="766CD75B" w14:textId="34D8CD3E" w:rsidR="0096393F" w:rsidRPr="00B13B9A" w:rsidRDefault="0096393F" w:rsidP="0096393F">
      <w:pPr>
        <w:pStyle w:val="cn"/>
        <w:spacing w:line="276" w:lineRule="auto"/>
        <w:ind w:right="71"/>
        <w:jc w:val="both"/>
        <w:rPr>
          <w:rFonts w:asciiTheme="majorHAnsi" w:eastAsiaTheme="minorHAnsi" w:hAnsiTheme="majorHAnsi" w:cstheme="minorHAnsi"/>
          <w:i/>
          <w:sz w:val="20"/>
          <w:szCs w:val="20"/>
          <w:lang w:val="ro-MD" w:eastAsia="en-US"/>
        </w:rPr>
      </w:pPr>
      <w:r w:rsidRPr="00B13B9A">
        <w:rPr>
          <w:rFonts w:asciiTheme="majorHAnsi" w:eastAsiaTheme="minorHAnsi" w:hAnsiTheme="majorHAnsi" w:cstheme="minorHAnsi"/>
          <w:b/>
          <w:i/>
          <w:sz w:val="20"/>
          <w:szCs w:val="20"/>
          <w:lang w:val="ro-MD" w:eastAsia="en-US"/>
        </w:rPr>
        <w:t>Sursa:</w:t>
      </w:r>
      <w:r w:rsidRPr="00B13B9A">
        <w:rPr>
          <w:rFonts w:asciiTheme="majorHAnsi" w:eastAsiaTheme="minorHAnsi" w:hAnsiTheme="majorHAnsi" w:cstheme="minorHAnsi"/>
          <w:i/>
          <w:sz w:val="20"/>
          <w:szCs w:val="20"/>
          <w:lang w:val="ro-MD" w:eastAsia="en-US"/>
        </w:rPr>
        <w:t xml:space="preserve"> Întocmit de audit în baza cadrului legal</w:t>
      </w:r>
      <w:r w:rsidR="00010558" w:rsidRPr="00B13B9A">
        <w:rPr>
          <w:rFonts w:asciiTheme="majorHAnsi" w:eastAsiaTheme="minorHAnsi" w:hAnsiTheme="majorHAnsi" w:cstheme="minorHAnsi"/>
          <w:i/>
          <w:sz w:val="20"/>
          <w:szCs w:val="20"/>
          <w:lang w:val="ro-MD" w:eastAsia="en-US"/>
        </w:rPr>
        <w:t>.</w:t>
      </w:r>
    </w:p>
    <w:p w14:paraId="488EBEC9" w14:textId="77777777" w:rsidR="00D3471D" w:rsidRPr="00B13B9A" w:rsidRDefault="00D3471D" w:rsidP="00FA7B71">
      <w:pPr>
        <w:spacing w:after="0" w:line="240" w:lineRule="auto"/>
        <w:rPr>
          <w:rFonts w:asciiTheme="majorHAnsi" w:hAnsiTheme="majorHAnsi" w:cstheme="majorHAnsi"/>
          <w:b/>
          <w:iCs/>
          <w:sz w:val="24"/>
          <w:szCs w:val="24"/>
          <w:lang w:val="ro-MD"/>
        </w:rPr>
      </w:pPr>
    </w:p>
    <w:p w14:paraId="09EE6E5D" w14:textId="2C89CD18" w:rsidR="001457CE" w:rsidRPr="00B13B9A" w:rsidRDefault="001457CE" w:rsidP="00FB1833">
      <w:pPr>
        <w:spacing w:after="0" w:line="240" w:lineRule="auto"/>
        <w:rPr>
          <w:rFonts w:asciiTheme="majorHAnsi" w:eastAsia="Times New Roman" w:hAnsiTheme="majorHAnsi" w:cstheme="majorHAnsi"/>
          <w:b/>
          <w:bCs/>
          <w:color w:val="000000"/>
          <w:sz w:val="20"/>
          <w:szCs w:val="20"/>
          <w:lang w:val="ro-MD"/>
        </w:rPr>
      </w:pPr>
    </w:p>
    <w:p w14:paraId="41908D54" w14:textId="77777777" w:rsidR="00027B88" w:rsidRDefault="00027B88" w:rsidP="00FB1833">
      <w:pPr>
        <w:spacing w:after="0" w:line="240" w:lineRule="auto"/>
        <w:rPr>
          <w:rFonts w:asciiTheme="majorHAnsi" w:eastAsia="Times New Roman" w:hAnsiTheme="majorHAnsi" w:cstheme="majorHAnsi"/>
          <w:b/>
          <w:bCs/>
          <w:color w:val="000000"/>
          <w:sz w:val="20"/>
          <w:szCs w:val="20"/>
          <w:lang w:val="ro-MD"/>
        </w:rPr>
        <w:sectPr w:rsidR="00027B88" w:rsidSect="00046446">
          <w:pgSz w:w="12240" w:h="15840"/>
          <w:pgMar w:top="851" w:right="758" w:bottom="993" w:left="1701" w:header="708" w:footer="272" w:gutter="0"/>
          <w:cols w:space="708"/>
          <w:titlePg/>
          <w:docGrid w:linePitch="360"/>
        </w:sectPr>
      </w:pPr>
    </w:p>
    <w:p w14:paraId="1B0CA939" w14:textId="316D1A23" w:rsidR="001457CE" w:rsidRPr="00B13B9A" w:rsidRDefault="001457CE" w:rsidP="00FB1833">
      <w:pPr>
        <w:spacing w:after="0" w:line="240" w:lineRule="auto"/>
        <w:rPr>
          <w:rFonts w:asciiTheme="majorHAnsi" w:eastAsia="Times New Roman" w:hAnsiTheme="majorHAnsi" w:cstheme="majorHAnsi"/>
          <w:b/>
          <w:bCs/>
          <w:color w:val="000000"/>
          <w:sz w:val="20"/>
          <w:szCs w:val="20"/>
          <w:lang w:val="ro-MD"/>
        </w:rPr>
      </w:pPr>
    </w:p>
    <w:p w14:paraId="4FC4B577" w14:textId="77777777" w:rsidR="00FB1833" w:rsidRPr="00B13B9A" w:rsidRDefault="00FB1833" w:rsidP="00FB1833">
      <w:pPr>
        <w:pStyle w:val="3"/>
        <w:jc w:val="right"/>
        <w:rPr>
          <w:rFonts w:cstheme="majorHAnsi"/>
          <w:b/>
          <w:iCs/>
          <w:color w:val="auto"/>
        </w:rPr>
      </w:pPr>
      <w:bookmarkStart w:id="67" w:name="_Toc158317268"/>
      <w:r w:rsidRPr="00B13B9A">
        <w:rPr>
          <w:rFonts w:cstheme="majorHAnsi"/>
          <w:b/>
          <w:iCs/>
          <w:color w:val="auto"/>
        </w:rPr>
        <w:t>Anexa nr. 1</w:t>
      </w:r>
      <w:r w:rsidR="001457CE" w:rsidRPr="00B13B9A">
        <w:rPr>
          <w:rFonts w:cstheme="majorHAnsi"/>
          <w:b/>
          <w:iCs/>
          <w:color w:val="auto"/>
        </w:rPr>
        <w:t>4</w:t>
      </w:r>
      <w:bookmarkEnd w:id="67"/>
    </w:p>
    <w:p w14:paraId="48727431" w14:textId="5000A382" w:rsidR="00FB1833" w:rsidRPr="00B13B9A" w:rsidRDefault="00FB1833" w:rsidP="00FB1833">
      <w:pPr>
        <w:spacing w:after="0" w:line="240" w:lineRule="auto"/>
        <w:jc w:val="center"/>
        <w:rPr>
          <w:rFonts w:asciiTheme="majorHAnsi" w:eastAsia="Times New Roman" w:hAnsiTheme="majorHAnsi" w:cstheme="majorHAnsi"/>
          <w:b/>
          <w:bCs/>
          <w:color w:val="000000"/>
          <w:sz w:val="24"/>
          <w:szCs w:val="20"/>
          <w:lang w:val="ro-MD"/>
        </w:rPr>
      </w:pPr>
      <w:r w:rsidRPr="00B13B9A">
        <w:rPr>
          <w:rFonts w:asciiTheme="majorHAnsi" w:eastAsia="Times New Roman" w:hAnsiTheme="majorHAnsi" w:cstheme="majorHAnsi"/>
          <w:b/>
          <w:bCs/>
          <w:color w:val="000000"/>
          <w:sz w:val="24"/>
          <w:szCs w:val="20"/>
          <w:lang w:val="ro-MD"/>
        </w:rPr>
        <w:t>Lista dispozitivelor medicale puse în func</w:t>
      </w:r>
      <w:r w:rsidR="00B13B9A" w:rsidRPr="00B13B9A">
        <w:rPr>
          <w:rFonts w:asciiTheme="majorHAnsi" w:eastAsia="Times New Roman" w:hAnsiTheme="majorHAnsi" w:cstheme="majorHAnsi"/>
          <w:b/>
          <w:bCs/>
          <w:color w:val="000000"/>
          <w:sz w:val="24"/>
          <w:szCs w:val="20"/>
          <w:lang w:val="ro-MD"/>
        </w:rPr>
        <w:t>ț</w:t>
      </w:r>
      <w:r w:rsidRPr="00B13B9A">
        <w:rPr>
          <w:rFonts w:asciiTheme="majorHAnsi" w:eastAsia="Times New Roman" w:hAnsiTheme="majorHAnsi" w:cstheme="majorHAnsi"/>
          <w:b/>
          <w:bCs/>
          <w:color w:val="000000"/>
          <w:sz w:val="24"/>
          <w:szCs w:val="20"/>
          <w:lang w:val="ro-MD"/>
        </w:rPr>
        <w:t>iune în perioada 2021-2023 (6 luni)</w:t>
      </w:r>
    </w:p>
    <w:tbl>
      <w:tblPr>
        <w:tblW w:w="9140" w:type="dxa"/>
        <w:tblLook w:val="04A0" w:firstRow="1" w:lastRow="0" w:firstColumn="1" w:lastColumn="0" w:noHBand="0" w:noVBand="1"/>
      </w:tblPr>
      <w:tblGrid>
        <w:gridCol w:w="5100"/>
        <w:gridCol w:w="1480"/>
        <w:gridCol w:w="2560"/>
      </w:tblGrid>
      <w:tr w:rsidR="00FB1833" w:rsidRPr="001924A7" w14:paraId="78A750AF" w14:textId="77777777" w:rsidTr="001457CE">
        <w:trPr>
          <w:trHeight w:val="20"/>
        </w:trPr>
        <w:tc>
          <w:tcPr>
            <w:tcW w:w="5100" w:type="dxa"/>
            <w:tcBorders>
              <w:top w:val="single" w:sz="4" w:space="0" w:color="auto"/>
              <w:left w:val="single" w:sz="4" w:space="0" w:color="auto"/>
              <w:bottom w:val="single" w:sz="4" w:space="0" w:color="auto"/>
              <w:right w:val="single" w:sz="4" w:space="0" w:color="auto"/>
            </w:tcBorders>
            <w:shd w:val="clear" w:color="auto" w:fill="auto"/>
            <w:hideMark/>
          </w:tcPr>
          <w:p w14:paraId="69E04D19" w14:textId="7147096F" w:rsidR="00FB1833" w:rsidRPr="00B13B9A" w:rsidRDefault="00FB1833" w:rsidP="005C3DCF">
            <w:pPr>
              <w:spacing w:after="0" w:line="240" w:lineRule="auto"/>
              <w:contextualSpacing/>
              <w:jc w:val="center"/>
              <w:rPr>
                <w:rFonts w:ascii="Calibri Light" w:eastAsia="Times New Roman" w:hAnsi="Calibri Light" w:cs="Calibri Light"/>
                <w:b/>
                <w:bCs/>
                <w:color w:val="000000"/>
                <w:sz w:val="20"/>
                <w:lang w:val="ro-MD"/>
              </w:rPr>
            </w:pPr>
            <w:r w:rsidRPr="00B13B9A">
              <w:rPr>
                <w:rFonts w:ascii="Calibri Light" w:eastAsia="Times New Roman" w:hAnsi="Calibri Light" w:cs="Calibri Light"/>
                <w:b/>
                <w:bCs/>
                <w:color w:val="000000"/>
                <w:sz w:val="20"/>
                <w:lang w:val="ro-MD"/>
              </w:rPr>
              <w:t xml:space="preserve">Denumirea </w:t>
            </w:r>
            <w:r w:rsidR="005C3DCF" w:rsidRPr="00B13B9A">
              <w:rPr>
                <w:rFonts w:ascii="Calibri Light" w:eastAsia="Times New Roman" w:hAnsi="Calibri Light" w:cs="Calibri Light"/>
                <w:b/>
                <w:bCs/>
                <w:color w:val="000000"/>
                <w:sz w:val="20"/>
                <w:lang w:val="ro-MD"/>
              </w:rPr>
              <w:t>u</w:t>
            </w:r>
            <w:r w:rsidRPr="00B13B9A">
              <w:rPr>
                <w:rFonts w:ascii="Calibri Light" w:eastAsia="Times New Roman" w:hAnsi="Calibri Light" w:cs="Calibri Light"/>
                <w:b/>
                <w:bCs/>
                <w:color w:val="000000"/>
                <w:sz w:val="20"/>
                <w:lang w:val="ro-MD"/>
              </w:rPr>
              <w:t>tilajului medical</w:t>
            </w:r>
          </w:p>
        </w:tc>
        <w:tc>
          <w:tcPr>
            <w:tcW w:w="1480" w:type="dxa"/>
            <w:tcBorders>
              <w:top w:val="single" w:sz="4" w:space="0" w:color="auto"/>
              <w:left w:val="nil"/>
              <w:bottom w:val="single" w:sz="4" w:space="0" w:color="auto"/>
              <w:right w:val="single" w:sz="4" w:space="0" w:color="auto"/>
            </w:tcBorders>
            <w:shd w:val="clear" w:color="auto" w:fill="auto"/>
            <w:hideMark/>
          </w:tcPr>
          <w:p w14:paraId="5CFA94FE" w14:textId="26D06A88" w:rsidR="00FB1833" w:rsidRPr="00B13B9A" w:rsidRDefault="00FB1833" w:rsidP="001457CE">
            <w:pPr>
              <w:spacing w:after="0" w:line="240" w:lineRule="auto"/>
              <w:contextualSpacing/>
              <w:jc w:val="center"/>
              <w:rPr>
                <w:rFonts w:ascii="Calibri Light" w:eastAsia="Times New Roman" w:hAnsi="Calibri Light" w:cs="Calibri Light"/>
                <w:b/>
                <w:bCs/>
                <w:color w:val="000000"/>
                <w:sz w:val="20"/>
                <w:lang w:val="ro-MD"/>
              </w:rPr>
            </w:pPr>
            <w:r w:rsidRPr="00B13B9A">
              <w:rPr>
                <w:rFonts w:ascii="Calibri Light" w:eastAsia="Times New Roman" w:hAnsi="Calibri Light" w:cs="Calibri Light"/>
                <w:b/>
                <w:bCs/>
                <w:color w:val="000000"/>
                <w:sz w:val="20"/>
                <w:lang w:val="ro-MD"/>
              </w:rPr>
              <w:t>Nr. de unită</w:t>
            </w:r>
            <w:r w:rsidR="00B13B9A" w:rsidRPr="00B13B9A">
              <w:rPr>
                <w:rFonts w:ascii="Calibri Light" w:eastAsia="Times New Roman" w:hAnsi="Calibri Light" w:cs="Calibri Light"/>
                <w:b/>
                <w:bCs/>
                <w:color w:val="000000"/>
                <w:sz w:val="20"/>
                <w:lang w:val="ro-MD"/>
              </w:rPr>
              <w:t>ț</w:t>
            </w:r>
            <w:r w:rsidRPr="00B13B9A">
              <w:rPr>
                <w:rFonts w:ascii="Calibri Light" w:eastAsia="Times New Roman" w:hAnsi="Calibri Light" w:cs="Calibri Light"/>
                <w:b/>
                <w:bCs/>
                <w:color w:val="000000"/>
                <w:sz w:val="20"/>
                <w:lang w:val="ro-MD"/>
              </w:rPr>
              <w:t>i</w:t>
            </w:r>
          </w:p>
        </w:tc>
        <w:tc>
          <w:tcPr>
            <w:tcW w:w="2560" w:type="dxa"/>
            <w:tcBorders>
              <w:top w:val="single" w:sz="4" w:space="0" w:color="auto"/>
              <w:left w:val="nil"/>
              <w:bottom w:val="single" w:sz="4" w:space="0" w:color="auto"/>
              <w:right w:val="single" w:sz="4" w:space="0" w:color="auto"/>
            </w:tcBorders>
            <w:shd w:val="clear" w:color="auto" w:fill="auto"/>
            <w:hideMark/>
          </w:tcPr>
          <w:p w14:paraId="1432B71B" w14:textId="1A1BF72D" w:rsidR="00FB1833" w:rsidRPr="00B13B9A" w:rsidRDefault="00FB1833" w:rsidP="001457CE">
            <w:pPr>
              <w:spacing w:after="0" w:line="240" w:lineRule="auto"/>
              <w:contextualSpacing/>
              <w:jc w:val="center"/>
              <w:rPr>
                <w:rFonts w:ascii="Calibri Light" w:eastAsia="Times New Roman" w:hAnsi="Calibri Light" w:cs="Calibri Light"/>
                <w:b/>
                <w:bCs/>
                <w:color w:val="000000"/>
                <w:sz w:val="20"/>
                <w:lang w:val="ro-MD"/>
              </w:rPr>
            </w:pPr>
            <w:r w:rsidRPr="00B13B9A">
              <w:rPr>
                <w:rFonts w:ascii="Calibri Light" w:eastAsia="Times New Roman" w:hAnsi="Calibri Light" w:cs="Calibri Light"/>
                <w:b/>
                <w:bCs/>
                <w:color w:val="000000"/>
                <w:sz w:val="20"/>
                <w:lang w:val="ro-MD"/>
              </w:rPr>
              <w:t>Valoare</w:t>
            </w:r>
            <w:r w:rsidR="00FB2E99" w:rsidRPr="00B13B9A">
              <w:rPr>
                <w:rFonts w:ascii="Calibri Light" w:eastAsia="Times New Roman" w:hAnsi="Calibri Light" w:cs="Calibri Light"/>
                <w:b/>
                <w:bCs/>
                <w:color w:val="000000"/>
                <w:sz w:val="20"/>
                <w:lang w:val="ro-MD"/>
              </w:rPr>
              <w:t>a</w:t>
            </w:r>
            <w:r w:rsidRPr="00B13B9A">
              <w:rPr>
                <w:rFonts w:ascii="Calibri Light" w:eastAsia="Times New Roman" w:hAnsi="Calibri Light" w:cs="Calibri Light"/>
                <w:b/>
                <w:bCs/>
                <w:color w:val="000000"/>
                <w:sz w:val="20"/>
                <w:lang w:val="ro-MD"/>
              </w:rPr>
              <w:t xml:space="preserve"> totală de intrare (lei)</w:t>
            </w:r>
          </w:p>
        </w:tc>
      </w:tr>
      <w:tr w:rsidR="00FB1833" w:rsidRPr="00B13B9A" w14:paraId="3CDDE293" w14:textId="77777777" w:rsidTr="001457CE">
        <w:trPr>
          <w:trHeight w:val="20"/>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45CF4D86" w14:textId="77777777" w:rsidR="00FB1833" w:rsidRPr="00B13B9A" w:rsidRDefault="00FB1833" w:rsidP="001457CE">
            <w:pPr>
              <w:spacing w:after="0" w:line="240" w:lineRule="auto"/>
              <w:contextualSpacing/>
              <w:jc w:val="center"/>
              <w:rPr>
                <w:rFonts w:ascii="Calibri Light" w:eastAsia="Times New Roman" w:hAnsi="Calibri Light" w:cs="Calibri Light"/>
                <w:b/>
                <w:bCs/>
                <w:color w:val="000000"/>
                <w:sz w:val="20"/>
                <w:lang w:val="ro-MD"/>
              </w:rPr>
            </w:pPr>
            <w:r w:rsidRPr="00B13B9A">
              <w:rPr>
                <w:rFonts w:ascii="Calibri Light" w:eastAsia="Times New Roman" w:hAnsi="Calibri Light" w:cs="Calibri Light"/>
                <w:b/>
                <w:bCs/>
                <w:color w:val="000000"/>
                <w:sz w:val="20"/>
                <w:lang w:val="ro-MD"/>
              </w:rPr>
              <w:t>2021</w:t>
            </w:r>
          </w:p>
        </w:tc>
      </w:tr>
      <w:tr w:rsidR="00FB1833" w:rsidRPr="00B13B9A" w14:paraId="0F4D4EEE"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2749F387"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Unitate de radiologie digitala mobila X-RAY Italtray</w:t>
            </w:r>
          </w:p>
        </w:tc>
        <w:tc>
          <w:tcPr>
            <w:tcW w:w="1480" w:type="dxa"/>
            <w:tcBorders>
              <w:top w:val="nil"/>
              <w:left w:val="nil"/>
              <w:bottom w:val="single" w:sz="4" w:space="0" w:color="auto"/>
              <w:right w:val="single" w:sz="4" w:space="0" w:color="auto"/>
            </w:tcBorders>
            <w:shd w:val="clear" w:color="auto" w:fill="auto"/>
            <w:noWrap/>
            <w:hideMark/>
          </w:tcPr>
          <w:p w14:paraId="5B103884"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w:t>
            </w:r>
          </w:p>
        </w:tc>
        <w:tc>
          <w:tcPr>
            <w:tcW w:w="2560" w:type="dxa"/>
            <w:tcBorders>
              <w:top w:val="nil"/>
              <w:left w:val="nil"/>
              <w:bottom w:val="single" w:sz="4" w:space="0" w:color="auto"/>
              <w:right w:val="single" w:sz="4" w:space="0" w:color="auto"/>
            </w:tcBorders>
            <w:shd w:val="clear" w:color="auto" w:fill="auto"/>
            <w:noWrap/>
            <w:hideMark/>
          </w:tcPr>
          <w:p w14:paraId="1854FBD1"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1055899,45</w:t>
            </w:r>
          </w:p>
        </w:tc>
      </w:tr>
      <w:tr w:rsidR="00FB1833" w:rsidRPr="00B13B9A" w14:paraId="413B5890"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23D9B74F"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Ventilator pulmonar</w:t>
            </w:r>
          </w:p>
        </w:tc>
        <w:tc>
          <w:tcPr>
            <w:tcW w:w="1480" w:type="dxa"/>
            <w:tcBorders>
              <w:top w:val="nil"/>
              <w:left w:val="nil"/>
              <w:bottom w:val="single" w:sz="4" w:space="0" w:color="auto"/>
              <w:right w:val="single" w:sz="4" w:space="0" w:color="auto"/>
            </w:tcBorders>
            <w:shd w:val="clear" w:color="auto" w:fill="auto"/>
            <w:noWrap/>
            <w:hideMark/>
          </w:tcPr>
          <w:p w14:paraId="725A2A09"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7</w:t>
            </w:r>
          </w:p>
        </w:tc>
        <w:tc>
          <w:tcPr>
            <w:tcW w:w="2560" w:type="dxa"/>
            <w:tcBorders>
              <w:top w:val="nil"/>
              <w:left w:val="nil"/>
              <w:bottom w:val="single" w:sz="4" w:space="0" w:color="auto"/>
              <w:right w:val="single" w:sz="4" w:space="0" w:color="auto"/>
            </w:tcBorders>
            <w:shd w:val="clear" w:color="auto" w:fill="auto"/>
            <w:noWrap/>
            <w:hideMark/>
          </w:tcPr>
          <w:p w14:paraId="080BA165"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2237352,16</w:t>
            </w:r>
          </w:p>
        </w:tc>
      </w:tr>
      <w:tr w:rsidR="00FB1833" w:rsidRPr="00B13B9A" w14:paraId="20561460"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1CC160FC"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Concentrator de oxigen</w:t>
            </w:r>
          </w:p>
        </w:tc>
        <w:tc>
          <w:tcPr>
            <w:tcW w:w="1480" w:type="dxa"/>
            <w:tcBorders>
              <w:top w:val="nil"/>
              <w:left w:val="nil"/>
              <w:bottom w:val="single" w:sz="4" w:space="0" w:color="auto"/>
              <w:right w:val="single" w:sz="4" w:space="0" w:color="auto"/>
            </w:tcBorders>
            <w:shd w:val="clear" w:color="auto" w:fill="auto"/>
            <w:noWrap/>
            <w:hideMark/>
          </w:tcPr>
          <w:p w14:paraId="41B260C3"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29</w:t>
            </w:r>
          </w:p>
        </w:tc>
        <w:tc>
          <w:tcPr>
            <w:tcW w:w="2560" w:type="dxa"/>
            <w:tcBorders>
              <w:top w:val="nil"/>
              <w:left w:val="nil"/>
              <w:bottom w:val="single" w:sz="4" w:space="0" w:color="auto"/>
              <w:right w:val="single" w:sz="4" w:space="0" w:color="auto"/>
            </w:tcBorders>
            <w:shd w:val="clear" w:color="auto" w:fill="auto"/>
            <w:noWrap/>
            <w:hideMark/>
          </w:tcPr>
          <w:p w14:paraId="73370209"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355171,15</w:t>
            </w:r>
          </w:p>
        </w:tc>
      </w:tr>
      <w:tr w:rsidR="00FB1833" w:rsidRPr="00B13B9A" w14:paraId="7EE64C1C"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21585927"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Aparat de terapie respiratorie IBREEZE</w:t>
            </w:r>
          </w:p>
        </w:tc>
        <w:tc>
          <w:tcPr>
            <w:tcW w:w="1480" w:type="dxa"/>
            <w:tcBorders>
              <w:top w:val="nil"/>
              <w:left w:val="nil"/>
              <w:bottom w:val="single" w:sz="4" w:space="0" w:color="auto"/>
              <w:right w:val="single" w:sz="4" w:space="0" w:color="auto"/>
            </w:tcBorders>
            <w:shd w:val="clear" w:color="auto" w:fill="auto"/>
            <w:noWrap/>
            <w:hideMark/>
          </w:tcPr>
          <w:p w14:paraId="5561026F"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w:t>
            </w:r>
          </w:p>
        </w:tc>
        <w:tc>
          <w:tcPr>
            <w:tcW w:w="2560" w:type="dxa"/>
            <w:tcBorders>
              <w:top w:val="nil"/>
              <w:left w:val="nil"/>
              <w:bottom w:val="single" w:sz="4" w:space="0" w:color="auto"/>
              <w:right w:val="single" w:sz="4" w:space="0" w:color="auto"/>
            </w:tcBorders>
            <w:shd w:val="clear" w:color="auto" w:fill="auto"/>
            <w:noWrap/>
            <w:hideMark/>
          </w:tcPr>
          <w:p w14:paraId="05A7514B"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26354,50</w:t>
            </w:r>
          </w:p>
        </w:tc>
      </w:tr>
      <w:tr w:rsidR="00FB1833" w:rsidRPr="00B13B9A" w14:paraId="2E5CF7E9"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6402D245"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Aparat terapie intensiva LUMIS 150 VPAPST</w:t>
            </w:r>
          </w:p>
        </w:tc>
        <w:tc>
          <w:tcPr>
            <w:tcW w:w="1480" w:type="dxa"/>
            <w:tcBorders>
              <w:top w:val="nil"/>
              <w:left w:val="nil"/>
              <w:bottom w:val="single" w:sz="4" w:space="0" w:color="auto"/>
              <w:right w:val="single" w:sz="4" w:space="0" w:color="auto"/>
            </w:tcBorders>
            <w:shd w:val="clear" w:color="auto" w:fill="auto"/>
            <w:noWrap/>
            <w:hideMark/>
          </w:tcPr>
          <w:p w14:paraId="5B4983E5"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w:t>
            </w:r>
          </w:p>
        </w:tc>
        <w:tc>
          <w:tcPr>
            <w:tcW w:w="2560" w:type="dxa"/>
            <w:tcBorders>
              <w:top w:val="nil"/>
              <w:left w:val="nil"/>
              <w:bottom w:val="single" w:sz="4" w:space="0" w:color="auto"/>
              <w:right w:val="single" w:sz="4" w:space="0" w:color="auto"/>
            </w:tcBorders>
            <w:shd w:val="clear" w:color="auto" w:fill="auto"/>
            <w:noWrap/>
            <w:hideMark/>
          </w:tcPr>
          <w:p w14:paraId="2E55D86F"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97530,22</w:t>
            </w:r>
          </w:p>
        </w:tc>
      </w:tr>
      <w:tr w:rsidR="00FB1833" w:rsidRPr="00B13B9A" w14:paraId="361E9B70"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3F9F7A77"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Aparat ventilare "Vent 50-C LM"</w:t>
            </w:r>
          </w:p>
        </w:tc>
        <w:tc>
          <w:tcPr>
            <w:tcW w:w="1480" w:type="dxa"/>
            <w:tcBorders>
              <w:top w:val="nil"/>
              <w:left w:val="nil"/>
              <w:bottom w:val="single" w:sz="4" w:space="0" w:color="auto"/>
              <w:right w:val="single" w:sz="4" w:space="0" w:color="auto"/>
            </w:tcBorders>
            <w:shd w:val="clear" w:color="auto" w:fill="auto"/>
            <w:noWrap/>
            <w:hideMark/>
          </w:tcPr>
          <w:p w14:paraId="6429F262"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w:t>
            </w:r>
          </w:p>
        </w:tc>
        <w:tc>
          <w:tcPr>
            <w:tcW w:w="2560" w:type="dxa"/>
            <w:tcBorders>
              <w:top w:val="nil"/>
              <w:left w:val="nil"/>
              <w:bottom w:val="single" w:sz="4" w:space="0" w:color="auto"/>
              <w:right w:val="single" w:sz="4" w:space="0" w:color="auto"/>
            </w:tcBorders>
            <w:shd w:val="clear" w:color="auto" w:fill="auto"/>
            <w:noWrap/>
            <w:hideMark/>
          </w:tcPr>
          <w:p w14:paraId="38447A8F" w14:textId="77777777" w:rsidR="00FB1833" w:rsidRPr="00B13B9A" w:rsidRDefault="00FB1833" w:rsidP="001457CE">
            <w:pPr>
              <w:spacing w:after="0" w:line="240" w:lineRule="auto"/>
              <w:contextualSpacing/>
              <w:jc w:val="right"/>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116280,44</w:t>
            </w:r>
          </w:p>
        </w:tc>
      </w:tr>
      <w:tr w:rsidR="00FB1833" w:rsidRPr="00B13B9A" w14:paraId="3F42A4BB"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4F3DE935"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Baie de apa Model NB9</w:t>
            </w:r>
          </w:p>
        </w:tc>
        <w:tc>
          <w:tcPr>
            <w:tcW w:w="1480" w:type="dxa"/>
            <w:tcBorders>
              <w:top w:val="nil"/>
              <w:left w:val="nil"/>
              <w:bottom w:val="single" w:sz="4" w:space="0" w:color="auto"/>
              <w:right w:val="single" w:sz="4" w:space="0" w:color="auto"/>
            </w:tcBorders>
            <w:shd w:val="clear" w:color="auto" w:fill="auto"/>
            <w:noWrap/>
            <w:hideMark/>
          </w:tcPr>
          <w:p w14:paraId="15288813"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w:t>
            </w:r>
          </w:p>
        </w:tc>
        <w:tc>
          <w:tcPr>
            <w:tcW w:w="2560" w:type="dxa"/>
            <w:tcBorders>
              <w:top w:val="nil"/>
              <w:left w:val="nil"/>
              <w:bottom w:val="single" w:sz="4" w:space="0" w:color="auto"/>
              <w:right w:val="single" w:sz="4" w:space="0" w:color="auto"/>
            </w:tcBorders>
            <w:shd w:val="clear" w:color="auto" w:fill="auto"/>
            <w:noWrap/>
            <w:hideMark/>
          </w:tcPr>
          <w:p w14:paraId="4EF8F101"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22470,00</w:t>
            </w:r>
          </w:p>
        </w:tc>
      </w:tr>
      <w:tr w:rsidR="00FB1833" w:rsidRPr="00B13B9A" w14:paraId="4E448BE3"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7AB66CF3"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Balance Electronic analytical&amp; Precision balance ACN 120</w:t>
            </w:r>
          </w:p>
        </w:tc>
        <w:tc>
          <w:tcPr>
            <w:tcW w:w="1480" w:type="dxa"/>
            <w:tcBorders>
              <w:top w:val="nil"/>
              <w:left w:val="nil"/>
              <w:bottom w:val="single" w:sz="4" w:space="0" w:color="auto"/>
              <w:right w:val="single" w:sz="4" w:space="0" w:color="auto"/>
            </w:tcBorders>
            <w:shd w:val="clear" w:color="auto" w:fill="auto"/>
            <w:noWrap/>
            <w:hideMark/>
          </w:tcPr>
          <w:p w14:paraId="437EB05F"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w:t>
            </w:r>
          </w:p>
        </w:tc>
        <w:tc>
          <w:tcPr>
            <w:tcW w:w="2560" w:type="dxa"/>
            <w:tcBorders>
              <w:top w:val="nil"/>
              <w:left w:val="nil"/>
              <w:bottom w:val="single" w:sz="4" w:space="0" w:color="auto"/>
              <w:right w:val="single" w:sz="4" w:space="0" w:color="auto"/>
            </w:tcBorders>
            <w:shd w:val="clear" w:color="auto" w:fill="auto"/>
            <w:noWrap/>
            <w:hideMark/>
          </w:tcPr>
          <w:p w14:paraId="6E40FD5B"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28000,00</w:t>
            </w:r>
          </w:p>
        </w:tc>
      </w:tr>
      <w:tr w:rsidR="00FB1833" w:rsidRPr="00B13B9A" w14:paraId="720E31F4"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vAlign w:val="bottom"/>
            <w:hideMark/>
          </w:tcPr>
          <w:p w14:paraId="36B758CF" w14:textId="2D930C89"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Pat p</w:t>
            </w:r>
            <w:r w:rsidR="00FB2E99" w:rsidRPr="00B13B9A">
              <w:rPr>
                <w:rFonts w:ascii="Calibri Light" w:eastAsia="Times New Roman" w:hAnsi="Calibri Light" w:cs="Calibri Light"/>
                <w:sz w:val="20"/>
                <w:lang w:val="ro-MD"/>
              </w:rPr>
              <w:t>entr</w:t>
            </w:r>
            <w:r w:rsidRPr="00B13B9A">
              <w:rPr>
                <w:rFonts w:ascii="Calibri Light" w:eastAsia="Times New Roman" w:hAnsi="Calibri Light" w:cs="Calibri Light"/>
                <w:sz w:val="20"/>
                <w:lang w:val="ro-MD"/>
              </w:rPr>
              <w:t>u terapie intensivă</w:t>
            </w:r>
          </w:p>
        </w:tc>
        <w:tc>
          <w:tcPr>
            <w:tcW w:w="1480" w:type="dxa"/>
            <w:tcBorders>
              <w:top w:val="nil"/>
              <w:left w:val="nil"/>
              <w:bottom w:val="single" w:sz="4" w:space="0" w:color="auto"/>
              <w:right w:val="single" w:sz="4" w:space="0" w:color="auto"/>
            </w:tcBorders>
            <w:shd w:val="clear" w:color="auto" w:fill="auto"/>
            <w:noWrap/>
            <w:hideMark/>
          </w:tcPr>
          <w:p w14:paraId="32D6D2C5"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6</w:t>
            </w:r>
          </w:p>
        </w:tc>
        <w:tc>
          <w:tcPr>
            <w:tcW w:w="2560" w:type="dxa"/>
            <w:tcBorders>
              <w:top w:val="nil"/>
              <w:left w:val="nil"/>
              <w:bottom w:val="single" w:sz="4" w:space="0" w:color="auto"/>
              <w:right w:val="single" w:sz="4" w:space="0" w:color="auto"/>
            </w:tcBorders>
            <w:shd w:val="clear" w:color="auto" w:fill="auto"/>
            <w:noWrap/>
            <w:hideMark/>
          </w:tcPr>
          <w:p w14:paraId="766093AC"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291290,64</w:t>
            </w:r>
          </w:p>
        </w:tc>
      </w:tr>
      <w:tr w:rsidR="00FB1833" w:rsidRPr="00B13B9A" w14:paraId="685FC975"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259F633D"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Detector de particule (pentru hote)</w:t>
            </w:r>
          </w:p>
        </w:tc>
        <w:tc>
          <w:tcPr>
            <w:tcW w:w="1480" w:type="dxa"/>
            <w:tcBorders>
              <w:top w:val="nil"/>
              <w:left w:val="nil"/>
              <w:bottom w:val="single" w:sz="4" w:space="0" w:color="auto"/>
              <w:right w:val="single" w:sz="4" w:space="0" w:color="auto"/>
            </w:tcBorders>
            <w:shd w:val="clear" w:color="auto" w:fill="auto"/>
            <w:noWrap/>
            <w:hideMark/>
          </w:tcPr>
          <w:p w14:paraId="6EAEEFE7"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w:t>
            </w:r>
          </w:p>
        </w:tc>
        <w:tc>
          <w:tcPr>
            <w:tcW w:w="2560" w:type="dxa"/>
            <w:tcBorders>
              <w:top w:val="nil"/>
              <w:left w:val="nil"/>
              <w:bottom w:val="single" w:sz="4" w:space="0" w:color="auto"/>
              <w:right w:val="single" w:sz="4" w:space="0" w:color="auto"/>
            </w:tcBorders>
            <w:shd w:val="clear" w:color="auto" w:fill="auto"/>
            <w:noWrap/>
            <w:hideMark/>
          </w:tcPr>
          <w:p w14:paraId="48365B77"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115450,00</w:t>
            </w:r>
          </w:p>
        </w:tc>
      </w:tr>
      <w:tr w:rsidR="00FB1833" w:rsidRPr="00B13B9A" w14:paraId="46B7997B"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3DC0768E"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DOZIMETER KIT, DAP</w:t>
            </w:r>
          </w:p>
        </w:tc>
        <w:tc>
          <w:tcPr>
            <w:tcW w:w="1480" w:type="dxa"/>
            <w:tcBorders>
              <w:top w:val="nil"/>
              <w:left w:val="nil"/>
              <w:bottom w:val="single" w:sz="4" w:space="0" w:color="auto"/>
              <w:right w:val="single" w:sz="4" w:space="0" w:color="auto"/>
            </w:tcBorders>
            <w:shd w:val="clear" w:color="auto" w:fill="auto"/>
            <w:noWrap/>
            <w:hideMark/>
          </w:tcPr>
          <w:p w14:paraId="1B90F264"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w:t>
            </w:r>
          </w:p>
        </w:tc>
        <w:tc>
          <w:tcPr>
            <w:tcW w:w="2560" w:type="dxa"/>
            <w:tcBorders>
              <w:top w:val="nil"/>
              <w:left w:val="nil"/>
              <w:bottom w:val="single" w:sz="4" w:space="0" w:color="auto"/>
              <w:right w:val="single" w:sz="4" w:space="0" w:color="auto"/>
            </w:tcBorders>
            <w:shd w:val="clear" w:color="auto" w:fill="auto"/>
            <w:noWrap/>
            <w:hideMark/>
          </w:tcPr>
          <w:p w14:paraId="22AFA0C6"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51637,65</w:t>
            </w:r>
          </w:p>
        </w:tc>
      </w:tr>
      <w:tr w:rsidR="00FB1833" w:rsidRPr="00B13B9A" w14:paraId="140AEF04"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0C87DD73"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Fit Test Kit FT-30 Bitrex</w:t>
            </w:r>
          </w:p>
        </w:tc>
        <w:tc>
          <w:tcPr>
            <w:tcW w:w="1480" w:type="dxa"/>
            <w:tcBorders>
              <w:top w:val="nil"/>
              <w:left w:val="nil"/>
              <w:bottom w:val="single" w:sz="4" w:space="0" w:color="auto"/>
              <w:right w:val="single" w:sz="4" w:space="0" w:color="auto"/>
            </w:tcBorders>
            <w:shd w:val="clear" w:color="auto" w:fill="auto"/>
            <w:noWrap/>
            <w:hideMark/>
          </w:tcPr>
          <w:p w14:paraId="53474F7B"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8</w:t>
            </w:r>
          </w:p>
        </w:tc>
        <w:tc>
          <w:tcPr>
            <w:tcW w:w="2560" w:type="dxa"/>
            <w:tcBorders>
              <w:top w:val="nil"/>
              <w:left w:val="nil"/>
              <w:bottom w:val="single" w:sz="4" w:space="0" w:color="auto"/>
              <w:right w:val="single" w:sz="4" w:space="0" w:color="auto"/>
            </w:tcBorders>
            <w:shd w:val="clear" w:color="auto" w:fill="auto"/>
            <w:noWrap/>
            <w:hideMark/>
          </w:tcPr>
          <w:p w14:paraId="71C0FF31"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120000,00</w:t>
            </w:r>
          </w:p>
        </w:tc>
      </w:tr>
      <w:tr w:rsidR="00FB1833" w:rsidRPr="00B13B9A" w14:paraId="3FAE6DAC"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02803BCE"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Fotoliu bronhoscopie/28006</w:t>
            </w:r>
          </w:p>
        </w:tc>
        <w:tc>
          <w:tcPr>
            <w:tcW w:w="1480" w:type="dxa"/>
            <w:tcBorders>
              <w:top w:val="nil"/>
              <w:left w:val="nil"/>
              <w:bottom w:val="single" w:sz="4" w:space="0" w:color="auto"/>
              <w:right w:val="single" w:sz="4" w:space="0" w:color="auto"/>
            </w:tcBorders>
            <w:shd w:val="clear" w:color="auto" w:fill="auto"/>
            <w:noWrap/>
            <w:hideMark/>
          </w:tcPr>
          <w:p w14:paraId="0C830F07"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w:t>
            </w:r>
          </w:p>
        </w:tc>
        <w:tc>
          <w:tcPr>
            <w:tcW w:w="2560" w:type="dxa"/>
            <w:tcBorders>
              <w:top w:val="nil"/>
              <w:left w:val="nil"/>
              <w:bottom w:val="single" w:sz="4" w:space="0" w:color="auto"/>
              <w:right w:val="single" w:sz="4" w:space="0" w:color="auto"/>
            </w:tcBorders>
            <w:shd w:val="clear" w:color="auto" w:fill="auto"/>
            <w:noWrap/>
            <w:hideMark/>
          </w:tcPr>
          <w:p w14:paraId="1AE43413"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44496,00</w:t>
            </w:r>
          </w:p>
        </w:tc>
      </w:tr>
      <w:tr w:rsidR="00FB1833" w:rsidRPr="00B13B9A" w14:paraId="59AF6FA7"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21B23398"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Monitor pentru pacient</w:t>
            </w:r>
          </w:p>
        </w:tc>
        <w:tc>
          <w:tcPr>
            <w:tcW w:w="1480" w:type="dxa"/>
            <w:tcBorders>
              <w:top w:val="nil"/>
              <w:left w:val="nil"/>
              <w:bottom w:val="single" w:sz="4" w:space="0" w:color="auto"/>
              <w:right w:val="single" w:sz="4" w:space="0" w:color="auto"/>
            </w:tcBorders>
            <w:shd w:val="clear" w:color="auto" w:fill="auto"/>
            <w:noWrap/>
            <w:hideMark/>
          </w:tcPr>
          <w:p w14:paraId="4C7210C1"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6</w:t>
            </w:r>
          </w:p>
        </w:tc>
        <w:tc>
          <w:tcPr>
            <w:tcW w:w="2560" w:type="dxa"/>
            <w:tcBorders>
              <w:top w:val="nil"/>
              <w:left w:val="nil"/>
              <w:bottom w:val="single" w:sz="4" w:space="0" w:color="auto"/>
              <w:right w:val="single" w:sz="4" w:space="0" w:color="auto"/>
            </w:tcBorders>
            <w:shd w:val="clear" w:color="auto" w:fill="auto"/>
            <w:noWrap/>
            <w:hideMark/>
          </w:tcPr>
          <w:p w14:paraId="4EF9A157"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85384,20</w:t>
            </w:r>
          </w:p>
        </w:tc>
      </w:tr>
      <w:tr w:rsidR="00FB1833" w:rsidRPr="00B13B9A" w14:paraId="211AB1AD"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3A5B4CD5"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Pompa de perfuzie cu seringa Alaris GH Plus</w:t>
            </w:r>
          </w:p>
        </w:tc>
        <w:tc>
          <w:tcPr>
            <w:tcW w:w="1480" w:type="dxa"/>
            <w:tcBorders>
              <w:top w:val="nil"/>
              <w:left w:val="nil"/>
              <w:bottom w:val="single" w:sz="4" w:space="0" w:color="auto"/>
              <w:right w:val="single" w:sz="4" w:space="0" w:color="auto"/>
            </w:tcBorders>
            <w:shd w:val="clear" w:color="auto" w:fill="auto"/>
            <w:noWrap/>
            <w:hideMark/>
          </w:tcPr>
          <w:p w14:paraId="5B9F682F"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12</w:t>
            </w:r>
          </w:p>
        </w:tc>
        <w:tc>
          <w:tcPr>
            <w:tcW w:w="2560" w:type="dxa"/>
            <w:tcBorders>
              <w:top w:val="nil"/>
              <w:left w:val="nil"/>
              <w:bottom w:val="single" w:sz="4" w:space="0" w:color="auto"/>
              <w:right w:val="single" w:sz="4" w:space="0" w:color="auto"/>
            </w:tcBorders>
            <w:shd w:val="clear" w:color="auto" w:fill="auto"/>
            <w:noWrap/>
            <w:hideMark/>
          </w:tcPr>
          <w:p w14:paraId="0D6CC6FE"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204854,04</w:t>
            </w:r>
          </w:p>
        </w:tc>
      </w:tr>
      <w:tr w:rsidR="00FB1833" w:rsidRPr="00B13B9A" w14:paraId="7602D527"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181F048E" w14:textId="75214649"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Rampa p</w:t>
            </w:r>
            <w:r w:rsidR="00FB2E99" w:rsidRPr="00B13B9A">
              <w:rPr>
                <w:rFonts w:ascii="Calibri Light" w:eastAsia="Times New Roman" w:hAnsi="Calibri Light" w:cs="Calibri Light"/>
                <w:sz w:val="20"/>
                <w:lang w:val="ro-MD"/>
              </w:rPr>
              <w:t>entr</w:t>
            </w:r>
            <w:r w:rsidRPr="00B13B9A">
              <w:rPr>
                <w:rFonts w:ascii="Calibri Light" w:eastAsia="Times New Roman" w:hAnsi="Calibri Light" w:cs="Calibri Light"/>
                <w:sz w:val="20"/>
                <w:lang w:val="ro-MD"/>
              </w:rPr>
              <w:t>u oxigen</w:t>
            </w:r>
          </w:p>
        </w:tc>
        <w:tc>
          <w:tcPr>
            <w:tcW w:w="1480" w:type="dxa"/>
            <w:tcBorders>
              <w:top w:val="nil"/>
              <w:left w:val="nil"/>
              <w:bottom w:val="single" w:sz="4" w:space="0" w:color="auto"/>
              <w:right w:val="single" w:sz="4" w:space="0" w:color="auto"/>
            </w:tcBorders>
            <w:shd w:val="clear" w:color="auto" w:fill="auto"/>
            <w:noWrap/>
            <w:hideMark/>
          </w:tcPr>
          <w:p w14:paraId="78FE72BB"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w:t>
            </w:r>
          </w:p>
        </w:tc>
        <w:tc>
          <w:tcPr>
            <w:tcW w:w="2560" w:type="dxa"/>
            <w:tcBorders>
              <w:top w:val="nil"/>
              <w:left w:val="nil"/>
              <w:bottom w:val="single" w:sz="4" w:space="0" w:color="auto"/>
              <w:right w:val="single" w:sz="4" w:space="0" w:color="auto"/>
            </w:tcBorders>
            <w:shd w:val="clear" w:color="auto" w:fill="auto"/>
            <w:noWrap/>
            <w:hideMark/>
          </w:tcPr>
          <w:p w14:paraId="54846425"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77987,18</w:t>
            </w:r>
          </w:p>
        </w:tc>
      </w:tr>
      <w:tr w:rsidR="00FB1833" w:rsidRPr="00B13B9A" w14:paraId="1C5F5387"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65B820B8"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Scaner Newland HR5280RT-BT-C Bonito</w:t>
            </w:r>
          </w:p>
        </w:tc>
        <w:tc>
          <w:tcPr>
            <w:tcW w:w="1480" w:type="dxa"/>
            <w:tcBorders>
              <w:top w:val="nil"/>
              <w:left w:val="nil"/>
              <w:bottom w:val="single" w:sz="4" w:space="0" w:color="auto"/>
              <w:right w:val="single" w:sz="4" w:space="0" w:color="auto"/>
            </w:tcBorders>
            <w:shd w:val="clear" w:color="auto" w:fill="auto"/>
            <w:noWrap/>
            <w:hideMark/>
          </w:tcPr>
          <w:p w14:paraId="63CC0DE1"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6</w:t>
            </w:r>
          </w:p>
        </w:tc>
        <w:tc>
          <w:tcPr>
            <w:tcW w:w="2560" w:type="dxa"/>
            <w:tcBorders>
              <w:top w:val="nil"/>
              <w:left w:val="nil"/>
              <w:bottom w:val="single" w:sz="4" w:space="0" w:color="auto"/>
              <w:right w:val="single" w:sz="4" w:space="0" w:color="auto"/>
            </w:tcBorders>
            <w:shd w:val="clear" w:color="auto" w:fill="auto"/>
            <w:noWrap/>
            <w:hideMark/>
          </w:tcPr>
          <w:p w14:paraId="263D652E"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37008,00</w:t>
            </w:r>
          </w:p>
        </w:tc>
      </w:tr>
      <w:tr w:rsidR="00FB1833" w:rsidRPr="00B13B9A" w14:paraId="714577F4"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10143644"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Precision Incubator CLW 400 Smart POL-ECO</w:t>
            </w:r>
          </w:p>
        </w:tc>
        <w:tc>
          <w:tcPr>
            <w:tcW w:w="1480" w:type="dxa"/>
            <w:tcBorders>
              <w:top w:val="nil"/>
              <w:left w:val="nil"/>
              <w:bottom w:val="single" w:sz="4" w:space="0" w:color="auto"/>
              <w:right w:val="single" w:sz="4" w:space="0" w:color="auto"/>
            </w:tcBorders>
            <w:shd w:val="clear" w:color="auto" w:fill="auto"/>
            <w:noWrap/>
            <w:hideMark/>
          </w:tcPr>
          <w:p w14:paraId="72728878"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3</w:t>
            </w:r>
          </w:p>
        </w:tc>
        <w:tc>
          <w:tcPr>
            <w:tcW w:w="2560" w:type="dxa"/>
            <w:tcBorders>
              <w:top w:val="nil"/>
              <w:left w:val="nil"/>
              <w:bottom w:val="single" w:sz="4" w:space="0" w:color="auto"/>
              <w:right w:val="single" w:sz="4" w:space="0" w:color="auto"/>
            </w:tcBorders>
            <w:shd w:val="clear" w:color="auto" w:fill="auto"/>
            <w:noWrap/>
            <w:hideMark/>
          </w:tcPr>
          <w:p w14:paraId="2EEA6585"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245100,00</w:t>
            </w:r>
          </w:p>
        </w:tc>
      </w:tr>
      <w:tr w:rsidR="00FB1833" w:rsidRPr="00B13B9A" w14:paraId="794AAE3A"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1117C747" w14:textId="77777777" w:rsidR="00FB1833" w:rsidRPr="00B13B9A" w:rsidRDefault="00FB1833" w:rsidP="001457CE">
            <w:pPr>
              <w:spacing w:after="0" w:line="240" w:lineRule="auto"/>
              <w:contextualSpacing/>
              <w:jc w:val="center"/>
              <w:rPr>
                <w:rFonts w:ascii="Calibri Light" w:eastAsia="Times New Roman" w:hAnsi="Calibri Light" w:cs="Calibri Light"/>
                <w:b/>
                <w:bCs/>
                <w:sz w:val="20"/>
                <w:lang w:val="ro-MD"/>
              </w:rPr>
            </w:pPr>
            <w:r w:rsidRPr="00B13B9A">
              <w:rPr>
                <w:rFonts w:ascii="Calibri Light" w:eastAsia="Times New Roman" w:hAnsi="Calibri Light" w:cs="Calibri Light"/>
                <w:b/>
                <w:bCs/>
                <w:sz w:val="20"/>
                <w:lang w:val="ro-MD"/>
              </w:rPr>
              <w:t>Total 2021</w:t>
            </w:r>
          </w:p>
        </w:tc>
        <w:tc>
          <w:tcPr>
            <w:tcW w:w="1480" w:type="dxa"/>
            <w:tcBorders>
              <w:top w:val="nil"/>
              <w:left w:val="nil"/>
              <w:bottom w:val="single" w:sz="4" w:space="0" w:color="auto"/>
              <w:right w:val="single" w:sz="4" w:space="0" w:color="auto"/>
            </w:tcBorders>
            <w:shd w:val="clear" w:color="auto" w:fill="auto"/>
            <w:noWrap/>
            <w:hideMark/>
          </w:tcPr>
          <w:p w14:paraId="5844972E" w14:textId="77777777" w:rsidR="00FB1833" w:rsidRPr="00B13B9A" w:rsidRDefault="00FB1833" w:rsidP="001457CE">
            <w:pPr>
              <w:spacing w:after="0" w:line="240" w:lineRule="auto"/>
              <w:contextualSpacing/>
              <w:jc w:val="center"/>
              <w:rPr>
                <w:rFonts w:ascii="Calibri Light" w:eastAsia="Times New Roman" w:hAnsi="Calibri Light" w:cs="Calibri Light"/>
                <w:b/>
                <w:bCs/>
                <w:color w:val="000000"/>
                <w:sz w:val="20"/>
                <w:lang w:val="ro-MD"/>
              </w:rPr>
            </w:pPr>
            <w:r w:rsidRPr="00B13B9A">
              <w:rPr>
                <w:rFonts w:ascii="Calibri Light" w:eastAsia="Times New Roman" w:hAnsi="Calibri Light" w:cs="Calibri Light"/>
                <w:b/>
                <w:bCs/>
                <w:color w:val="000000"/>
                <w:sz w:val="20"/>
                <w:lang w:val="ro-MD"/>
              </w:rPr>
              <w:t>92</w:t>
            </w:r>
          </w:p>
        </w:tc>
        <w:tc>
          <w:tcPr>
            <w:tcW w:w="2560" w:type="dxa"/>
            <w:tcBorders>
              <w:top w:val="nil"/>
              <w:left w:val="nil"/>
              <w:bottom w:val="single" w:sz="4" w:space="0" w:color="auto"/>
              <w:right w:val="single" w:sz="4" w:space="0" w:color="auto"/>
            </w:tcBorders>
            <w:shd w:val="clear" w:color="auto" w:fill="auto"/>
            <w:noWrap/>
            <w:hideMark/>
          </w:tcPr>
          <w:p w14:paraId="5A6895E1" w14:textId="77777777" w:rsidR="00FB1833" w:rsidRPr="00B13B9A" w:rsidRDefault="00FB1833" w:rsidP="001457CE">
            <w:pPr>
              <w:spacing w:after="0" w:line="240" w:lineRule="auto"/>
              <w:contextualSpacing/>
              <w:jc w:val="right"/>
              <w:rPr>
                <w:rFonts w:ascii="Calibri Light" w:eastAsia="Times New Roman" w:hAnsi="Calibri Light" w:cs="Calibri Light"/>
                <w:b/>
                <w:bCs/>
                <w:color w:val="000000"/>
                <w:sz w:val="20"/>
                <w:lang w:val="ro-MD"/>
              </w:rPr>
            </w:pPr>
            <w:r w:rsidRPr="00B13B9A">
              <w:rPr>
                <w:rFonts w:ascii="Calibri Light" w:eastAsia="Times New Roman" w:hAnsi="Calibri Light" w:cs="Calibri Light"/>
                <w:b/>
                <w:bCs/>
                <w:color w:val="000000"/>
                <w:sz w:val="20"/>
                <w:lang w:val="ro-MD"/>
              </w:rPr>
              <w:t>5212265,66</w:t>
            </w:r>
          </w:p>
        </w:tc>
      </w:tr>
      <w:tr w:rsidR="00FB1833" w:rsidRPr="00B13B9A" w14:paraId="5BCA096B" w14:textId="77777777" w:rsidTr="001457CE">
        <w:trPr>
          <w:trHeight w:val="20"/>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10AF0F0" w14:textId="77777777" w:rsidR="00FB1833" w:rsidRPr="00B13B9A" w:rsidRDefault="00FB1833" w:rsidP="001457CE">
            <w:pPr>
              <w:spacing w:after="0" w:line="240" w:lineRule="auto"/>
              <w:contextualSpacing/>
              <w:jc w:val="center"/>
              <w:rPr>
                <w:rFonts w:ascii="Calibri Light" w:eastAsia="Times New Roman" w:hAnsi="Calibri Light" w:cs="Calibri Light"/>
                <w:b/>
                <w:bCs/>
                <w:color w:val="000000"/>
                <w:sz w:val="20"/>
                <w:lang w:val="ro-MD"/>
              </w:rPr>
            </w:pPr>
            <w:r w:rsidRPr="00B13B9A">
              <w:rPr>
                <w:rFonts w:ascii="Calibri Light" w:eastAsia="Times New Roman" w:hAnsi="Calibri Light" w:cs="Calibri Light"/>
                <w:b/>
                <w:bCs/>
                <w:color w:val="000000"/>
                <w:sz w:val="20"/>
                <w:lang w:val="ro-MD"/>
              </w:rPr>
              <w:t>2022</w:t>
            </w:r>
          </w:p>
        </w:tc>
      </w:tr>
      <w:tr w:rsidR="00FB1833" w:rsidRPr="00B13B9A" w14:paraId="096A0F9D"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70D82CBA"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GeneXpert IV, 4-Modules, Laptop, 10-color</w:t>
            </w:r>
          </w:p>
        </w:tc>
        <w:tc>
          <w:tcPr>
            <w:tcW w:w="1480" w:type="dxa"/>
            <w:tcBorders>
              <w:top w:val="nil"/>
              <w:left w:val="nil"/>
              <w:bottom w:val="single" w:sz="4" w:space="0" w:color="auto"/>
              <w:right w:val="single" w:sz="4" w:space="0" w:color="auto"/>
            </w:tcBorders>
            <w:shd w:val="clear" w:color="auto" w:fill="auto"/>
            <w:noWrap/>
            <w:hideMark/>
          </w:tcPr>
          <w:p w14:paraId="3038DA20"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3</w:t>
            </w:r>
          </w:p>
        </w:tc>
        <w:tc>
          <w:tcPr>
            <w:tcW w:w="2560" w:type="dxa"/>
            <w:tcBorders>
              <w:top w:val="nil"/>
              <w:left w:val="nil"/>
              <w:bottom w:val="single" w:sz="4" w:space="0" w:color="auto"/>
              <w:right w:val="single" w:sz="4" w:space="0" w:color="auto"/>
            </w:tcBorders>
            <w:shd w:val="clear" w:color="auto" w:fill="auto"/>
            <w:noWrap/>
            <w:hideMark/>
          </w:tcPr>
          <w:p w14:paraId="1014CF86"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1092621,87</w:t>
            </w:r>
          </w:p>
        </w:tc>
      </w:tr>
      <w:tr w:rsidR="00FB1833" w:rsidRPr="00B13B9A" w14:paraId="3E6D1E17"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44E5BBE6"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Respirator medical (Ventilator Laerdal Servi)</w:t>
            </w:r>
          </w:p>
        </w:tc>
        <w:tc>
          <w:tcPr>
            <w:tcW w:w="1480" w:type="dxa"/>
            <w:tcBorders>
              <w:top w:val="nil"/>
              <w:left w:val="nil"/>
              <w:bottom w:val="single" w:sz="4" w:space="0" w:color="auto"/>
              <w:right w:val="single" w:sz="4" w:space="0" w:color="auto"/>
            </w:tcBorders>
            <w:shd w:val="clear" w:color="auto" w:fill="auto"/>
            <w:noWrap/>
            <w:hideMark/>
          </w:tcPr>
          <w:p w14:paraId="3C66336F"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w:t>
            </w:r>
          </w:p>
        </w:tc>
        <w:tc>
          <w:tcPr>
            <w:tcW w:w="2560" w:type="dxa"/>
            <w:tcBorders>
              <w:top w:val="nil"/>
              <w:left w:val="nil"/>
              <w:bottom w:val="single" w:sz="4" w:space="0" w:color="auto"/>
              <w:right w:val="single" w:sz="4" w:space="0" w:color="auto"/>
            </w:tcBorders>
            <w:shd w:val="clear" w:color="auto" w:fill="auto"/>
            <w:noWrap/>
            <w:hideMark/>
          </w:tcPr>
          <w:p w14:paraId="37CFEABD"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194747,40</w:t>
            </w:r>
          </w:p>
        </w:tc>
      </w:tr>
      <w:tr w:rsidR="00FB1833" w:rsidRPr="00B13B9A" w14:paraId="699A4720"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7B28327E"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 xml:space="preserve">Aparat terapie intensiva LUMIS 150 VPAP ST-A </w:t>
            </w:r>
          </w:p>
        </w:tc>
        <w:tc>
          <w:tcPr>
            <w:tcW w:w="1480" w:type="dxa"/>
            <w:tcBorders>
              <w:top w:val="nil"/>
              <w:left w:val="nil"/>
              <w:bottom w:val="single" w:sz="4" w:space="0" w:color="auto"/>
              <w:right w:val="single" w:sz="4" w:space="0" w:color="auto"/>
            </w:tcBorders>
            <w:shd w:val="clear" w:color="auto" w:fill="auto"/>
            <w:noWrap/>
            <w:hideMark/>
          </w:tcPr>
          <w:p w14:paraId="5025F951"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3</w:t>
            </w:r>
          </w:p>
        </w:tc>
        <w:tc>
          <w:tcPr>
            <w:tcW w:w="2560" w:type="dxa"/>
            <w:tcBorders>
              <w:top w:val="nil"/>
              <w:left w:val="nil"/>
              <w:bottom w:val="single" w:sz="4" w:space="0" w:color="auto"/>
              <w:right w:val="single" w:sz="4" w:space="0" w:color="auto"/>
            </w:tcBorders>
            <w:shd w:val="clear" w:color="auto" w:fill="auto"/>
            <w:noWrap/>
            <w:hideMark/>
          </w:tcPr>
          <w:p w14:paraId="5BDA87D8"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146295,35</w:t>
            </w:r>
          </w:p>
        </w:tc>
      </w:tr>
      <w:tr w:rsidR="00FB1833" w:rsidRPr="00B13B9A" w14:paraId="33C4F304"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5EA798C6"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Centrifuga VORTEX</w:t>
            </w:r>
          </w:p>
        </w:tc>
        <w:tc>
          <w:tcPr>
            <w:tcW w:w="1480" w:type="dxa"/>
            <w:tcBorders>
              <w:top w:val="nil"/>
              <w:left w:val="nil"/>
              <w:bottom w:val="single" w:sz="4" w:space="0" w:color="auto"/>
              <w:right w:val="single" w:sz="4" w:space="0" w:color="auto"/>
            </w:tcBorders>
            <w:shd w:val="clear" w:color="auto" w:fill="auto"/>
            <w:noWrap/>
            <w:hideMark/>
          </w:tcPr>
          <w:p w14:paraId="5E9CD153"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4</w:t>
            </w:r>
          </w:p>
        </w:tc>
        <w:tc>
          <w:tcPr>
            <w:tcW w:w="2560" w:type="dxa"/>
            <w:tcBorders>
              <w:top w:val="nil"/>
              <w:left w:val="nil"/>
              <w:bottom w:val="single" w:sz="4" w:space="0" w:color="auto"/>
              <w:right w:val="single" w:sz="4" w:space="0" w:color="auto"/>
            </w:tcBorders>
            <w:shd w:val="clear" w:color="auto" w:fill="auto"/>
            <w:noWrap/>
            <w:hideMark/>
          </w:tcPr>
          <w:p w14:paraId="41173E7C"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38380,00</w:t>
            </w:r>
          </w:p>
        </w:tc>
      </w:tr>
      <w:tr w:rsidR="00FB1833" w:rsidRPr="00B13B9A" w14:paraId="52D288CC"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25AB9D5F"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Electrocardiograf  cu 6channels</w:t>
            </w:r>
          </w:p>
        </w:tc>
        <w:tc>
          <w:tcPr>
            <w:tcW w:w="1480" w:type="dxa"/>
            <w:tcBorders>
              <w:top w:val="nil"/>
              <w:left w:val="nil"/>
              <w:bottom w:val="single" w:sz="4" w:space="0" w:color="auto"/>
              <w:right w:val="single" w:sz="4" w:space="0" w:color="auto"/>
            </w:tcBorders>
            <w:shd w:val="clear" w:color="auto" w:fill="auto"/>
            <w:noWrap/>
            <w:hideMark/>
          </w:tcPr>
          <w:p w14:paraId="43C112D6"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w:t>
            </w:r>
          </w:p>
        </w:tc>
        <w:tc>
          <w:tcPr>
            <w:tcW w:w="2560" w:type="dxa"/>
            <w:tcBorders>
              <w:top w:val="nil"/>
              <w:left w:val="nil"/>
              <w:bottom w:val="single" w:sz="4" w:space="0" w:color="auto"/>
              <w:right w:val="single" w:sz="4" w:space="0" w:color="auto"/>
            </w:tcBorders>
            <w:shd w:val="clear" w:color="auto" w:fill="auto"/>
            <w:noWrap/>
            <w:hideMark/>
          </w:tcPr>
          <w:p w14:paraId="60FC86F6"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21720,00</w:t>
            </w:r>
          </w:p>
        </w:tc>
      </w:tr>
      <w:tr w:rsidR="00FB1833" w:rsidRPr="00B13B9A" w14:paraId="6A60DE3D"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71D6D67E"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PH-300 metru  Extech</w:t>
            </w:r>
          </w:p>
        </w:tc>
        <w:tc>
          <w:tcPr>
            <w:tcW w:w="1480" w:type="dxa"/>
            <w:tcBorders>
              <w:top w:val="nil"/>
              <w:left w:val="nil"/>
              <w:bottom w:val="single" w:sz="4" w:space="0" w:color="auto"/>
              <w:right w:val="single" w:sz="4" w:space="0" w:color="auto"/>
            </w:tcBorders>
            <w:shd w:val="clear" w:color="auto" w:fill="auto"/>
            <w:noWrap/>
            <w:hideMark/>
          </w:tcPr>
          <w:p w14:paraId="59EF9E8D"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w:t>
            </w:r>
          </w:p>
        </w:tc>
        <w:tc>
          <w:tcPr>
            <w:tcW w:w="2560" w:type="dxa"/>
            <w:tcBorders>
              <w:top w:val="nil"/>
              <w:left w:val="nil"/>
              <w:bottom w:val="single" w:sz="4" w:space="0" w:color="auto"/>
              <w:right w:val="single" w:sz="4" w:space="0" w:color="auto"/>
            </w:tcBorders>
            <w:shd w:val="clear" w:color="auto" w:fill="auto"/>
            <w:noWrap/>
            <w:hideMark/>
          </w:tcPr>
          <w:p w14:paraId="58A26DF3"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12520,00</w:t>
            </w:r>
          </w:p>
        </w:tc>
      </w:tr>
      <w:tr w:rsidR="00FB1833" w:rsidRPr="00B13B9A" w14:paraId="588C84B9"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213AB7A2"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Spiroergometru Meta Control 3000</w:t>
            </w:r>
          </w:p>
        </w:tc>
        <w:tc>
          <w:tcPr>
            <w:tcW w:w="1480" w:type="dxa"/>
            <w:tcBorders>
              <w:top w:val="nil"/>
              <w:left w:val="nil"/>
              <w:bottom w:val="single" w:sz="4" w:space="0" w:color="auto"/>
              <w:right w:val="single" w:sz="4" w:space="0" w:color="auto"/>
            </w:tcBorders>
            <w:shd w:val="clear" w:color="auto" w:fill="auto"/>
            <w:noWrap/>
            <w:hideMark/>
          </w:tcPr>
          <w:p w14:paraId="64A383C9"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w:t>
            </w:r>
          </w:p>
        </w:tc>
        <w:tc>
          <w:tcPr>
            <w:tcW w:w="2560" w:type="dxa"/>
            <w:tcBorders>
              <w:top w:val="nil"/>
              <w:left w:val="nil"/>
              <w:bottom w:val="single" w:sz="4" w:space="0" w:color="auto"/>
              <w:right w:val="single" w:sz="4" w:space="0" w:color="auto"/>
            </w:tcBorders>
            <w:shd w:val="clear" w:color="auto" w:fill="auto"/>
            <w:noWrap/>
            <w:hideMark/>
          </w:tcPr>
          <w:p w14:paraId="7003B03A"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676581,50</w:t>
            </w:r>
          </w:p>
        </w:tc>
      </w:tr>
      <w:tr w:rsidR="00FB1833" w:rsidRPr="00B13B9A" w14:paraId="04FF3BAB"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21CC9D87"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Termostat TV-80-1</w:t>
            </w:r>
          </w:p>
        </w:tc>
        <w:tc>
          <w:tcPr>
            <w:tcW w:w="1480" w:type="dxa"/>
            <w:tcBorders>
              <w:top w:val="nil"/>
              <w:left w:val="nil"/>
              <w:bottom w:val="single" w:sz="4" w:space="0" w:color="auto"/>
              <w:right w:val="single" w:sz="4" w:space="0" w:color="auto"/>
            </w:tcBorders>
            <w:shd w:val="clear" w:color="auto" w:fill="auto"/>
            <w:noWrap/>
            <w:hideMark/>
          </w:tcPr>
          <w:p w14:paraId="41C4023C"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w:t>
            </w:r>
          </w:p>
        </w:tc>
        <w:tc>
          <w:tcPr>
            <w:tcW w:w="2560" w:type="dxa"/>
            <w:tcBorders>
              <w:top w:val="nil"/>
              <w:left w:val="nil"/>
              <w:bottom w:val="single" w:sz="4" w:space="0" w:color="auto"/>
              <w:right w:val="single" w:sz="4" w:space="0" w:color="auto"/>
            </w:tcBorders>
            <w:shd w:val="clear" w:color="auto" w:fill="auto"/>
            <w:noWrap/>
            <w:hideMark/>
          </w:tcPr>
          <w:p w14:paraId="1796887F"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29856,00</w:t>
            </w:r>
          </w:p>
        </w:tc>
      </w:tr>
      <w:tr w:rsidR="00FB1833" w:rsidRPr="00B13B9A" w14:paraId="25C29A53"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4EA0C631"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Termometru digital WiFi</w:t>
            </w:r>
          </w:p>
        </w:tc>
        <w:tc>
          <w:tcPr>
            <w:tcW w:w="1480" w:type="dxa"/>
            <w:tcBorders>
              <w:top w:val="nil"/>
              <w:left w:val="nil"/>
              <w:bottom w:val="single" w:sz="4" w:space="0" w:color="auto"/>
              <w:right w:val="single" w:sz="4" w:space="0" w:color="auto"/>
            </w:tcBorders>
            <w:shd w:val="clear" w:color="auto" w:fill="auto"/>
            <w:noWrap/>
            <w:hideMark/>
          </w:tcPr>
          <w:p w14:paraId="08E0330D"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9</w:t>
            </w:r>
          </w:p>
        </w:tc>
        <w:tc>
          <w:tcPr>
            <w:tcW w:w="2560" w:type="dxa"/>
            <w:tcBorders>
              <w:top w:val="nil"/>
              <w:left w:val="nil"/>
              <w:bottom w:val="single" w:sz="4" w:space="0" w:color="auto"/>
              <w:right w:val="single" w:sz="4" w:space="0" w:color="auto"/>
            </w:tcBorders>
            <w:shd w:val="clear" w:color="auto" w:fill="auto"/>
            <w:noWrap/>
            <w:hideMark/>
          </w:tcPr>
          <w:p w14:paraId="1C1326C2"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80760,00</w:t>
            </w:r>
          </w:p>
        </w:tc>
      </w:tr>
      <w:tr w:rsidR="00FB1833" w:rsidRPr="00B13B9A" w14:paraId="499DC744"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noWrap/>
            <w:hideMark/>
          </w:tcPr>
          <w:p w14:paraId="35A71E52" w14:textId="77777777" w:rsidR="00FB1833" w:rsidRPr="00B13B9A" w:rsidRDefault="00FB1833" w:rsidP="001457CE">
            <w:pPr>
              <w:spacing w:after="0" w:line="240" w:lineRule="auto"/>
              <w:contextualSpacing/>
              <w:jc w:val="center"/>
              <w:rPr>
                <w:rFonts w:ascii="Calibri Light" w:eastAsia="Times New Roman" w:hAnsi="Calibri Light" w:cs="Calibri Light"/>
                <w:b/>
                <w:bCs/>
                <w:color w:val="000000"/>
                <w:sz w:val="20"/>
                <w:lang w:val="ro-MD"/>
              </w:rPr>
            </w:pPr>
            <w:r w:rsidRPr="00B13B9A">
              <w:rPr>
                <w:rFonts w:ascii="Calibri Light" w:eastAsia="Times New Roman" w:hAnsi="Calibri Light" w:cs="Calibri Light"/>
                <w:b/>
                <w:bCs/>
                <w:color w:val="000000"/>
                <w:sz w:val="20"/>
                <w:lang w:val="ro-MD"/>
              </w:rPr>
              <w:t>Total 2022</w:t>
            </w:r>
          </w:p>
        </w:tc>
        <w:tc>
          <w:tcPr>
            <w:tcW w:w="1480" w:type="dxa"/>
            <w:tcBorders>
              <w:top w:val="nil"/>
              <w:left w:val="nil"/>
              <w:bottom w:val="single" w:sz="4" w:space="0" w:color="auto"/>
              <w:right w:val="single" w:sz="4" w:space="0" w:color="auto"/>
            </w:tcBorders>
            <w:shd w:val="clear" w:color="auto" w:fill="auto"/>
            <w:noWrap/>
            <w:hideMark/>
          </w:tcPr>
          <w:p w14:paraId="67430428" w14:textId="77777777" w:rsidR="00FB1833" w:rsidRPr="00B13B9A" w:rsidRDefault="00FB1833" w:rsidP="001457CE">
            <w:pPr>
              <w:spacing w:after="0" w:line="240" w:lineRule="auto"/>
              <w:contextualSpacing/>
              <w:jc w:val="center"/>
              <w:rPr>
                <w:rFonts w:ascii="Calibri Light" w:eastAsia="Times New Roman" w:hAnsi="Calibri Light" w:cs="Calibri Light"/>
                <w:b/>
                <w:bCs/>
                <w:color w:val="000000"/>
                <w:sz w:val="20"/>
                <w:lang w:val="ro-MD"/>
              </w:rPr>
            </w:pPr>
            <w:r w:rsidRPr="00B13B9A">
              <w:rPr>
                <w:rFonts w:ascii="Calibri Light" w:eastAsia="Times New Roman" w:hAnsi="Calibri Light" w:cs="Calibri Light"/>
                <w:b/>
                <w:bCs/>
                <w:color w:val="000000"/>
                <w:sz w:val="20"/>
                <w:lang w:val="ro-MD"/>
              </w:rPr>
              <w:t>27</w:t>
            </w:r>
          </w:p>
        </w:tc>
        <w:tc>
          <w:tcPr>
            <w:tcW w:w="2560" w:type="dxa"/>
            <w:tcBorders>
              <w:top w:val="nil"/>
              <w:left w:val="nil"/>
              <w:bottom w:val="single" w:sz="4" w:space="0" w:color="auto"/>
              <w:right w:val="single" w:sz="4" w:space="0" w:color="auto"/>
            </w:tcBorders>
            <w:shd w:val="clear" w:color="auto" w:fill="auto"/>
            <w:noWrap/>
            <w:hideMark/>
          </w:tcPr>
          <w:p w14:paraId="1103609B" w14:textId="77777777" w:rsidR="00FB1833" w:rsidRPr="00B13B9A" w:rsidRDefault="00FB1833" w:rsidP="001457CE">
            <w:pPr>
              <w:spacing w:after="0" w:line="240" w:lineRule="auto"/>
              <w:contextualSpacing/>
              <w:jc w:val="right"/>
              <w:rPr>
                <w:rFonts w:ascii="Calibri Light" w:eastAsia="Times New Roman" w:hAnsi="Calibri Light" w:cs="Calibri Light"/>
                <w:b/>
                <w:bCs/>
                <w:color w:val="000000"/>
                <w:sz w:val="20"/>
                <w:lang w:val="ro-MD"/>
              </w:rPr>
            </w:pPr>
            <w:r w:rsidRPr="00B13B9A">
              <w:rPr>
                <w:rFonts w:ascii="Calibri Light" w:eastAsia="Times New Roman" w:hAnsi="Calibri Light" w:cs="Calibri Light"/>
                <w:b/>
                <w:bCs/>
                <w:color w:val="000000"/>
                <w:sz w:val="20"/>
                <w:lang w:val="ro-MD"/>
              </w:rPr>
              <w:t>2293482,12</w:t>
            </w:r>
          </w:p>
        </w:tc>
      </w:tr>
      <w:tr w:rsidR="00FB1833" w:rsidRPr="00B13B9A" w14:paraId="1FB18834" w14:textId="77777777" w:rsidTr="001457CE">
        <w:trPr>
          <w:trHeight w:val="20"/>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44F254F1" w14:textId="77777777" w:rsidR="00FB1833" w:rsidRPr="00B13B9A" w:rsidRDefault="00FB1833" w:rsidP="001457CE">
            <w:pPr>
              <w:spacing w:after="0" w:line="240" w:lineRule="auto"/>
              <w:contextualSpacing/>
              <w:jc w:val="center"/>
              <w:rPr>
                <w:rFonts w:ascii="Calibri Light" w:eastAsia="Times New Roman" w:hAnsi="Calibri Light" w:cs="Calibri Light"/>
                <w:b/>
                <w:bCs/>
                <w:color w:val="000000"/>
                <w:sz w:val="20"/>
                <w:lang w:val="ro-MD"/>
              </w:rPr>
            </w:pPr>
            <w:r w:rsidRPr="00B13B9A">
              <w:rPr>
                <w:rFonts w:ascii="Calibri Light" w:eastAsia="Times New Roman" w:hAnsi="Calibri Light" w:cs="Calibri Light"/>
                <w:b/>
                <w:bCs/>
                <w:color w:val="000000"/>
                <w:sz w:val="20"/>
                <w:lang w:val="ro-MD"/>
              </w:rPr>
              <w:t>2023</w:t>
            </w:r>
          </w:p>
        </w:tc>
      </w:tr>
      <w:tr w:rsidR="00FB1833" w:rsidRPr="00B13B9A" w14:paraId="54CF2383"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78C306E2" w14:textId="750E2FC5" w:rsidR="00FB1833" w:rsidRPr="00B13B9A" w:rsidRDefault="00FB1833" w:rsidP="00FB2E99">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Analizator automat a</w:t>
            </w:r>
            <w:r w:rsidR="00FB2E99" w:rsidRPr="00B13B9A">
              <w:rPr>
                <w:rFonts w:ascii="Calibri Light" w:eastAsia="Times New Roman" w:hAnsi="Calibri Light" w:cs="Calibri Light"/>
                <w:sz w:val="20"/>
                <w:lang w:val="ro-MD"/>
              </w:rPr>
              <w:t>l</w:t>
            </w:r>
            <w:r w:rsidRPr="00B13B9A">
              <w:rPr>
                <w:rFonts w:ascii="Calibri Light" w:eastAsia="Times New Roman" w:hAnsi="Calibri Light" w:cs="Calibri Light"/>
                <w:sz w:val="20"/>
                <w:lang w:val="ro-MD"/>
              </w:rPr>
              <w:t xml:space="preserve"> gazelor si electrolitilor </w:t>
            </w:r>
            <w:r w:rsidR="00FB2E99" w:rsidRPr="00B13B9A">
              <w:rPr>
                <w:rFonts w:ascii="Calibri Light" w:eastAsia="Times New Roman" w:hAnsi="Calibri Light" w:cs="Calibri Light"/>
                <w:sz w:val="20"/>
                <w:lang w:val="ro-MD"/>
              </w:rPr>
              <w:t>î</w:t>
            </w:r>
            <w:r w:rsidRPr="00B13B9A">
              <w:rPr>
                <w:rFonts w:ascii="Calibri Light" w:eastAsia="Times New Roman" w:hAnsi="Calibri Light" w:cs="Calibri Light"/>
                <w:sz w:val="20"/>
                <w:lang w:val="ro-MD"/>
              </w:rPr>
              <w:t>n s</w:t>
            </w:r>
            <w:r w:rsidR="00FB2E99" w:rsidRPr="00B13B9A">
              <w:rPr>
                <w:rFonts w:ascii="Calibri Light" w:eastAsia="Times New Roman" w:hAnsi="Calibri Light" w:cs="Calibri Light"/>
                <w:sz w:val="20"/>
                <w:lang w:val="ro-MD"/>
              </w:rPr>
              <w:t>â</w:t>
            </w:r>
            <w:r w:rsidRPr="00B13B9A">
              <w:rPr>
                <w:rFonts w:ascii="Calibri Light" w:eastAsia="Times New Roman" w:hAnsi="Calibri Light" w:cs="Calibri Light"/>
                <w:sz w:val="20"/>
                <w:lang w:val="ro-MD"/>
              </w:rPr>
              <w:t>nge (200 teste)</w:t>
            </w:r>
          </w:p>
        </w:tc>
        <w:tc>
          <w:tcPr>
            <w:tcW w:w="1480" w:type="dxa"/>
            <w:tcBorders>
              <w:top w:val="nil"/>
              <w:left w:val="nil"/>
              <w:bottom w:val="single" w:sz="4" w:space="0" w:color="auto"/>
              <w:right w:val="single" w:sz="4" w:space="0" w:color="auto"/>
            </w:tcBorders>
            <w:shd w:val="clear" w:color="auto" w:fill="auto"/>
            <w:noWrap/>
            <w:hideMark/>
          </w:tcPr>
          <w:p w14:paraId="6CEBFDB1"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w:t>
            </w:r>
          </w:p>
        </w:tc>
        <w:tc>
          <w:tcPr>
            <w:tcW w:w="2560" w:type="dxa"/>
            <w:tcBorders>
              <w:top w:val="nil"/>
              <w:left w:val="nil"/>
              <w:bottom w:val="single" w:sz="4" w:space="0" w:color="auto"/>
              <w:right w:val="single" w:sz="4" w:space="0" w:color="auto"/>
            </w:tcBorders>
            <w:shd w:val="clear" w:color="auto" w:fill="auto"/>
            <w:noWrap/>
            <w:hideMark/>
          </w:tcPr>
          <w:p w14:paraId="3470573A"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379680,00</w:t>
            </w:r>
          </w:p>
        </w:tc>
      </w:tr>
      <w:tr w:rsidR="00FB1833" w:rsidRPr="00B13B9A" w14:paraId="6B38151C"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noWrap/>
            <w:hideMark/>
          </w:tcPr>
          <w:p w14:paraId="29923175" w14:textId="77777777" w:rsidR="00FB1833" w:rsidRPr="00B13B9A" w:rsidRDefault="00FB1833" w:rsidP="001457CE">
            <w:pPr>
              <w:spacing w:after="0" w:line="240" w:lineRule="auto"/>
              <w:contextualSpacing/>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Concentrator de oxigen</w:t>
            </w:r>
          </w:p>
        </w:tc>
        <w:tc>
          <w:tcPr>
            <w:tcW w:w="1480" w:type="dxa"/>
            <w:tcBorders>
              <w:top w:val="nil"/>
              <w:left w:val="nil"/>
              <w:bottom w:val="single" w:sz="4" w:space="0" w:color="auto"/>
              <w:right w:val="single" w:sz="4" w:space="0" w:color="auto"/>
            </w:tcBorders>
            <w:shd w:val="clear" w:color="auto" w:fill="auto"/>
            <w:noWrap/>
            <w:hideMark/>
          </w:tcPr>
          <w:p w14:paraId="68801950"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16</w:t>
            </w:r>
          </w:p>
        </w:tc>
        <w:tc>
          <w:tcPr>
            <w:tcW w:w="2560" w:type="dxa"/>
            <w:tcBorders>
              <w:top w:val="nil"/>
              <w:left w:val="nil"/>
              <w:bottom w:val="single" w:sz="4" w:space="0" w:color="auto"/>
              <w:right w:val="single" w:sz="4" w:space="0" w:color="auto"/>
            </w:tcBorders>
            <w:shd w:val="clear" w:color="auto" w:fill="auto"/>
            <w:noWrap/>
            <w:hideMark/>
          </w:tcPr>
          <w:p w14:paraId="1557FAAA"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234986,09</w:t>
            </w:r>
          </w:p>
        </w:tc>
      </w:tr>
      <w:tr w:rsidR="00FB1833" w:rsidRPr="00B13B9A" w14:paraId="423F4E36"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618ECCB4"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Digital color dopler Ultrasound Diagnostic Mirror 2</w:t>
            </w:r>
          </w:p>
        </w:tc>
        <w:tc>
          <w:tcPr>
            <w:tcW w:w="1480" w:type="dxa"/>
            <w:tcBorders>
              <w:top w:val="nil"/>
              <w:left w:val="nil"/>
              <w:bottom w:val="single" w:sz="4" w:space="0" w:color="auto"/>
              <w:right w:val="single" w:sz="4" w:space="0" w:color="auto"/>
            </w:tcBorders>
            <w:shd w:val="clear" w:color="auto" w:fill="auto"/>
            <w:noWrap/>
            <w:hideMark/>
          </w:tcPr>
          <w:p w14:paraId="3E500735"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w:t>
            </w:r>
          </w:p>
        </w:tc>
        <w:tc>
          <w:tcPr>
            <w:tcW w:w="2560" w:type="dxa"/>
            <w:tcBorders>
              <w:top w:val="nil"/>
              <w:left w:val="nil"/>
              <w:bottom w:val="single" w:sz="4" w:space="0" w:color="auto"/>
              <w:right w:val="single" w:sz="4" w:space="0" w:color="auto"/>
            </w:tcBorders>
            <w:shd w:val="clear" w:color="auto" w:fill="auto"/>
            <w:noWrap/>
            <w:hideMark/>
          </w:tcPr>
          <w:p w14:paraId="1F3152B9"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202056,23</w:t>
            </w:r>
          </w:p>
        </w:tc>
      </w:tr>
      <w:tr w:rsidR="00FB1833" w:rsidRPr="00B13B9A" w14:paraId="5B988695"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11A840A4"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 xml:space="preserve">Negatoscop SLIM LED </w:t>
            </w:r>
          </w:p>
        </w:tc>
        <w:tc>
          <w:tcPr>
            <w:tcW w:w="1480" w:type="dxa"/>
            <w:tcBorders>
              <w:top w:val="nil"/>
              <w:left w:val="nil"/>
              <w:bottom w:val="single" w:sz="4" w:space="0" w:color="auto"/>
              <w:right w:val="single" w:sz="4" w:space="0" w:color="auto"/>
            </w:tcBorders>
            <w:shd w:val="clear" w:color="auto" w:fill="auto"/>
            <w:noWrap/>
            <w:hideMark/>
          </w:tcPr>
          <w:p w14:paraId="7EC490F1"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4</w:t>
            </w:r>
          </w:p>
        </w:tc>
        <w:tc>
          <w:tcPr>
            <w:tcW w:w="2560" w:type="dxa"/>
            <w:tcBorders>
              <w:top w:val="nil"/>
              <w:left w:val="nil"/>
              <w:bottom w:val="single" w:sz="4" w:space="0" w:color="auto"/>
              <w:right w:val="single" w:sz="4" w:space="0" w:color="auto"/>
            </w:tcBorders>
            <w:shd w:val="clear" w:color="auto" w:fill="auto"/>
            <w:noWrap/>
            <w:hideMark/>
          </w:tcPr>
          <w:p w14:paraId="55F964B0"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54243,00</w:t>
            </w:r>
          </w:p>
        </w:tc>
      </w:tr>
      <w:tr w:rsidR="00FB1833" w:rsidRPr="00B13B9A" w14:paraId="10FA5BBE"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056FE962"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Ventilator pulmonar</w:t>
            </w:r>
          </w:p>
        </w:tc>
        <w:tc>
          <w:tcPr>
            <w:tcW w:w="1480" w:type="dxa"/>
            <w:tcBorders>
              <w:top w:val="nil"/>
              <w:left w:val="nil"/>
              <w:bottom w:val="single" w:sz="4" w:space="0" w:color="auto"/>
              <w:right w:val="single" w:sz="4" w:space="0" w:color="auto"/>
            </w:tcBorders>
            <w:shd w:val="clear" w:color="auto" w:fill="auto"/>
            <w:noWrap/>
            <w:hideMark/>
          </w:tcPr>
          <w:p w14:paraId="3159139E"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w:t>
            </w:r>
          </w:p>
        </w:tc>
        <w:tc>
          <w:tcPr>
            <w:tcW w:w="2560" w:type="dxa"/>
            <w:tcBorders>
              <w:top w:val="nil"/>
              <w:left w:val="nil"/>
              <w:bottom w:val="single" w:sz="4" w:space="0" w:color="auto"/>
              <w:right w:val="single" w:sz="4" w:space="0" w:color="auto"/>
            </w:tcBorders>
            <w:shd w:val="clear" w:color="auto" w:fill="auto"/>
            <w:noWrap/>
            <w:hideMark/>
          </w:tcPr>
          <w:p w14:paraId="41526506"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404253,08</w:t>
            </w:r>
          </w:p>
        </w:tc>
      </w:tr>
      <w:tr w:rsidR="00FB1833" w:rsidRPr="00B13B9A" w14:paraId="00F789DC"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6F9E4337"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Termometru digital WiFi</w:t>
            </w:r>
          </w:p>
        </w:tc>
        <w:tc>
          <w:tcPr>
            <w:tcW w:w="1480" w:type="dxa"/>
            <w:tcBorders>
              <w:top w:val="nil"/>
              <w:left w:val="nil"/>
              <w:bottom w:val="single" w:sz="4" w:space="0" w:color="auto"/>
              <w:right w:val="single" w:sz="4" w:space="0" w:color="auto"/>
            </w:tcBorders>
            <w:shd w:val="clear" w:color="auto" w:fill="auto"/>
            <w:noWrap/>
            <w:hideMark/>
          </w:tcPr>
          <w:p w14:paraId="258581DA"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10</w:t>
            </w:r>
          </w:p>
        </w:tc>
        <w:tc>
          <w:tcPr>
            <w:tcW w:w="2560" w:type="dxa"/>
            <w:tcBorders>
              <w:top w:val="nil"/>
              <w:left w:val="nil"/>
              <w:bottom w:val="single" w:sz="4" w:space="0" w:color="auto"/>
              <w:right w:val="single" w:sz="4" w:space="0" w:color="auto"/>
            </w:tcBorders>
            <w:shd w:val="clear" w:color="auto" w:fill="auto"/>
            <w:noWrap/>
            <w:hideMark/>
          </w:tcPr>
          <w:p w14:paraId="0DD35F31"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94680,00</w:t>
            </w:r>
          </w:p>
        </w:tc>
      </w:tr>
      <w:tr w:rsidR="00FB1833" w:rsidRPr="00B13B9A" w14:paraId="13B5A128"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noWrap/>
            <w:hideMark/>
          </w:tcPr>
          <w:p w14:paraId="33707319" w14:textId="71BFEDA1" w:rsidR="00FB1833" w:rsidRPr="00B13B9A" w:rsidRDefault="00FB1833" w:rsidP="001457CE">
            <w:pPr>
              <w:spacing w:after="0" w:line="240" w:lineRule="auto"/>
              <w:contextualSpacing/>
              <w:jc w:val="center"/>
              <w:rPr>
                <w:rFonts w:ascii="Calibri Light" w:eastAsia="Times New Roman" w:hAnsi="Calibri Light" w:cs="Calibri Light"/>
                <w:b/>
                <w:bCs/>
                <w:color w:val="000000"/>
                <w:sz w:val="20"/>
                <w:lang w:val="ro-MD"/>
              </w:rPr>
            </w:pPr>
            <w:r w:rsidRPr="00B13B9A">
              <w:rPr>
                <w:rFonts w:ascii="Calibri Light" w:eastAsia="Times New Roman" w:hAnsi="Calibri Light" w:cs="Calibri Light"/>
                <w:b/>
                <w:bCs/>
                <w:color w:val="000000"/>
                <w:sz w:val="20"/>
                <w:lang w:val="ro-MD"/>
              </w:rPr>
              <w:t>Total 2023 (I sem</w:t>
            </w:r>
            <w:r w:rsidR="00E10604">
              <w:rPr>
                <w:rFonts w:ascii="Calibri Light" w:eastAsia="Times New Roman" w:hAnsi="Calibri Light" w:cs="Calibri Light"/>
                <w:b/>
                <w:bCs/>
                <w:color w:val="000000"/>
                <w:sz w:val="20"/>
                <w:lang w:val="ro-MD"/>
              </w:rPr>
              <w:t>.</w:t>
            </w:r>
            <w:r w:rsidRPr="00B13B9A">
              <w:rPr>
                <w:rFonts w:ascii="Calibri Light" w:eastAsia="Times New Roman" w:hAnsi="Calibri Light" w:cs="Calibri Light"/>
                <w:b/>
                <w:bCs/>
                <w:color w:val="000000"/>
                <w:sz w:val="20"/>
                <w:lang w:val="ro-MD"/>
              </w:rPr>
              <w:t>)</w:t>
            </w:r>
          </w:p>
        </w:tc>
        <w:tc>
          <w:tcPr>
            <w:tcW w:w="1480" w:type="dxa"/>
            <w:tcBorders>
              <w:top w:val="nil"/>
              <w:left w:val="nil"/>
              <w:bottom w:val="single" w:sz="4" w:space="0" w:color="auto"/>
              <w:right w:val="single" w:sz="4" w:space="0" w:color="auto"/>
            </w:tcBorders>
            <w:shd w:val="clear" w:color="auto" w:fill="auto"/>
            <w:noWrap/>
            <w:hideMark/>
          </w:tcPr>
          <w:p w14:paraId="7BFC4612" w14:textId="77777777" w:rsidR="00FB1833" w:rsidRPr="00B13B9A" w:rsidRDefault="00FB1833" w:rsidP="001457CE">
            <w:pPr>
              <w:spacing w:after="0" w:line="240" w:lineRule="auto"/>
              <w:contextualSpacing/>
              <w:jc w:val="center"/>
              <w:rPr>
                <w:rFonts w:ascii="Calibri Light" w:eastAsia="Times New Roman" w:hAnsi="Calibri Light" w:cs="Calibri Light"/>
                <w:b/>
                <w:bCs/>
                <w:color w:val="000000"/>
                <w:sz w:val="20"/>
                <w:lang w:val="ro-MD"/>
              </w:rPr>
            </w:pPr>
            <w:r w:rsidRPr="00B13B9A">
              <w:rPr>
                <w:rFonts w:ascii="Calibri Light" w:eastAsia="Times New Roman" w:hAnsi="Calibri Light" w:cs="Calibri Light"/>
                <w:b/>
                <w:bCs/>
                <w:color w:val="000000"/>
                <w:sz w:val="20"/>
                <w:lang w:val="ro-MD"/>
              </w:rPr>
              <w:t>34</w:t>
            </w:r>
          </w:p>
        </w:tc>
        <w:tc>
          <w:tcPr>
            <w:tcW w:w="2560" w:type="dxa"/>
            <w:tcBorders>
              <w:top w:val="nil"/>
              <w:left w:val="nil"/>
              <w:bottom w:val="single" w:sz="4" w:space="0" w:color="auto"/>
              <w:right w:val="single" w:sz="4" w:space="0" w:color="auto"/>
            </w:tcBorders>
            <w:shd w:val="clear" w:color="auto" w:fill="auto"/>
            <w:noWrap/>
            <w:hideMark/>
          </w:tcPr>
          <w:p w14:paraId="18190A87" w14:textId="77777777" w:rsidR="00FB1833" w:rsidRPr="00B13B9A" w:rsidRDefault="00FB1833" w:rsidP="001457CE">
            <w:pPr>
              <w:spacing w:after="0" w:line="240" w:lineRule="auto"/>
              <w:contextualSpacing/>
              <w:jc w:val="right"/>
              <w:rPr>
                <w:rFonts w:ascii="Calibri Light" w:eastAsia="Times New Roman" w:hAnsi="Calibri Light" w:cs="Calibri Light"/>
                <w:b/>
                <w:bCs/>
                <w:color w:val="000000"/>
                <w:sz w:val="20"/>
                <w:lang w:val="ro-MD"/>
              </w:rPr>
            </w:pPr>
            <w:r w:rsidRPr="00B13B9A">
              <w:rPr>
                <w:rFonts w:ascii="Calibri Light" w:eastAsia="Times New Roman" w:hAnsi="Calibri Light" w:cs="Calibri Light"/>
                <w:b/>
                <w:bCs/>
                <w:color w:val="000000"/>
                <w:sz w:val="20"/>
                <w:lang w:val="ro-MD"/>
              </w:rPr>
              <w:t>1369898,40</w:t>
            </w:r>
          </w:p>
        </w:tc>
      </w:tr>
    </w:tbl>
    <w:p w14:paraId="39F43347" w14:textId="634965CF" w:rsidR="00FB1833" w:rsidRPr="00B13B9A" w:rsidRDefault="00FB1833" w:rsidP="00FB1833">
      <w:pPr>
        <w:pStyle w:val="cn"/>
        <w:spacing w:line="276" w:lineRule="auto"/>
        <w:ind w:right="71"/>
        <w:jc w:val="both"/>
        <w:rPr>
          <w:rFonts w:asciiTheme="majorHAnsi" w:eastAsiaTheme="minorHAnsi" w:hAnsiTheme="majorHAnsi" w:cstheme="majorHAnsi"/>
          <w:i/>
          <w:sz w:val="20"/>
          <w:szCs w:val="20"/>
          <w:lang w:val="ro-MD" w:eastAsia="en-US"/>
        </w:rPr>
      </w:pPr>
      <w:r w:rsidRPr="00B13B9A">
        <w:rPr>
          <w:rFonts w:asciiTheme="majorHAnsi" w:eastAsiaTheme="minorHAnsi" w:hAnsiTheme="majorHAnsi" w:cstheme="majorHAnsi"/>
          <w:b/>
          <w:i/>
          <w:sz w:val="20"/>
          <w:szCs w:val="20"/>
          <w:lang w:val="ro-MD" w:eastAsia="en-US"/>
        </w:rPr>
        <w:t>Sursa:</w:t>
      </w:r>
      <w:r w:rsidRPr="00B13B9A">
        <w:rPr>
          <w:rFonts w:asciiTheme="majorHAnsi" w:eastAsiaTheme="minorHAnsi" w:hAnsiTheme="majorHAnsi" w:cstheme="majorHAnsi"/>
          <w:i/>
          <w:sz w:val="20"/>
          <w:szCs w:val="20"/>
          <w:lang w:val="ro-MD" w:eastAsia="en-US"/>
        </w:rPr>
        <w:t xml:space="preserve"> Informa</w:t>
      </w:r>
      <w:r w:rsidR="00B13B9A" w:rsidRPr="00B13B9A">
        <w:rPr>
          <w:rFonts w:asciiTheme="majorHAnsi" w:eastAsiaTheme="minorHAnsi" w:hAnsiTheme="majorHAnsi" w:cstheme="majorHAnsi"/>
          <w:i/>
          <w:sz w:val="20"/>
          <w:szCs w:val="20"/>
          <w:lang w:val="ro-MD" w:eastAsia="en-US"/>
        </w:rPr>
        <w:t>ț</w:t>
      </w:r>
      <w:r w:rsidRPr="00B13B9A">
        <w:rPr>
          <w:rFonts w:asciiTheme="majorHAnsi" w:eastAsiaTheme="minorHAnsi" w:hAnsiTheme="majorHAnsi" w:cstheme="majorHAnsi"/>
          <w:i/>
          <w:sz w:val="20"/>
          <w:szCs w:val="20"/>
          <w:lang w:val="ro-MD" w:eastAsia="en-US"/>
        </w:rPr>
        <w:t xml:space="preserve">ii </w:t>
      </w:r>
      <w:r w:rsidR="00FB2E99" w:rsidRPr="00B13B9A">
        <w:rPr>
          <w:rFonts w:asciiTheme="majorHAnsi" w:eastAsiaTheme="minorHAnsi" w:hAnsiTheme="majorHAnsi" w:cstheme="majorHAnsi"/>
          <w:i/>
          <w:sz w:val="20"/>
          <w:szCs w:val="20"/>
          <w:lang w:val="ro-MD" w:eastAsia="en-US"/>
        </w:rPr>
        <w:t xml:space="preserve">preluate </w:t>
      </w:r>
      <w:r w:rsidRPr="00B13B9A">
        <w:rPr>
          <w:rFonts w:asciiTheme="majorHAnsi" w:eastAsiaTheme="minorHAnsi" w:hAnsiTheme="majorHAnsi" w:cstheme="majorHAnsi"/>
          <w:i/>
          <w:sz w:val="20"/>
          <w:szCs w:val="20"/>
          <w:lang w:val="ro-MD" w:eastAsia="en-US"/>
        </w:rPr>
        <w:t>din eviden</w:t>
      </w:r>
      <w:r w:rsidR="00B13B9A" w:rsidRPr="00B13B9A">
        <w:rPr>
          <w:rFonts w:asciiTheme="majorHAnsi" w:eastAsiaTheme="minorHAnsi" w:hAnsiTheme="majorHAnsi" w:cstheme="majorHAnsi"/>
          <w:i/>
          <w:sz w:val="20"/>
          <w:szCs w:val="20"/>
          <w:lang w:val="ro-MD" w:eastAsia="en-US"/>
        </w:rPr>
        <w:t>ț</w:t>
      </w:r>
      <w:r w:rsidRPr="00B13B9A">
        <w:rPr>
          <w:rFonts w:asciiTheme="majorHAnsi" w:eastAsiaTheme="minorHAnsi" w:hAnsiTheme="majorHAnsi" w:cstheme="majorHAnsi"/>
          <w:i/>
          <w:sz w:val="20"/>
          <w:szCs w:val="20"/>
          <w:lang w:val="ro-MD" w:eastAsia="en-US"/>
        </w:rPr>
        <w:t>a contabilă</w:t>
      </w:r>
      <w:r w:rsidR="00FB2E99" w:rsidRPr="00B13B9A">
        <w:rPr>
          <w:rFonts w:asciiTheme="majorHAnsi" w:eastAsiaTheme="minorHAnsi" w:hAnsiTheme="majorHAnsi" w:cstheme="majorHAnsi"/>
          <w:i/>
          <w:sz w:val="20"/>
          <w:szCs w:val="20"/>
          <w:lang w:val="ro-MD" w:eastAsia="en-US"/>
        </w:rPr>
        <w:t xml:space="preserve"> a IMSP IFP </w:t>
      </w:r>
      <w:r w:rsidR="00FB2E99" w:rsidRPr="00B13B9A">
        <w:rPr>
          <w:rFonts w:asciiTheme="majorHAnsi" w:hAnsiTheme="majorHAnsi" w:cstheme="majorHAnsi"/>
          <w:i/>
          <w:sz w:val="20"/>
          <w:szCs w:val="20"/>
          <w:lang w:val="ro-MD"/>
        </w:rPr>
        <w:t>„Chiril Draganiuc”</w:t>
      </w:r>
      <w:r w:rsidR="00FB2E99" w:rsidRPr="00B13B9A">
        <w:rPr>
          <w:rFonts w:asciiTheme="majorHAnsi" w:eastAsiaTheme="minorHAnsi" w:hAnsiTheme="majorHAnsi" w:cstheme="majorHAnsi"/>
          <w:i/>
          <w:sz w:val="20"/>
          <w:szCs w:val="20"/>
          <w:lang w:val="ro-MD" w:eastAsia="en-US"/>
        </w:rPr>
        <w:t>.</w:t>
      </w:r>
    </w:p>
    <w:p w14:paraId="7C45A612" w14:textId="77777777" w:rsidR="00332FF7" w:rsidRDefault="00332FF7" w:rsidP="00FB1833">
      <w:pPr>
        <w:pStyle w:val="cn"/>
        <w:spacing w:line="276" w:lineRule="auto"/>
        <w:ind w:right="71"/>
        <w:jc w:val="both"/>
        <w:rPr>
          <w:rFonts w:asciiTheme="majorHAnsi" w:eastAsiaTheme="minorHAnsi" w:hAnsiTheme="majorHAnsi" w:cstheme="majorHAnsi"/>
          <w:i/>
          <w:sz w:val="20"/>
          <w:szCs w:val="20"/>
          <w:lang w:val="ro-MD" w:eastAsia="en-US"/>
        </w:rPr>
        <w:sectPr w:rsidR="00332FF7" w:rsidSect="00046446">
          <w:pgSz w:w="12240" w:h="15840"/>
          <w:pgMar w:top="851" w:right="758" w:bottom="993" w:left="1701" w:header="708" w:footer="272" w:gutter="0"/>
          <w:cols w:space="708"/>
          <w:titlePg/>
          <w:docGrid w:linePitch="360"/>
        </w:sectPr>
      </w:pPr>
    </w:p>
    <w:p w14:paraId="7EF72755" w14:textId="77777777" w:rsidR="00FB1833" w:rsidRPr="00B13B9A" w:rsidRDefault="00FB1833" w:rsidP="00FB1833">
      <w:pPr>
        <w:pStyle w:val="3"/>
        <w:jc w:val="right"/>
        <w:rPr>
          <w:rFonts w:cstheme="majorHAnsi"/>
          <w:b/>
          <w:iCs/>
          <w:color w:val="auto"/>
        </w:rPr>
      </w:pPr>
      <w:bookmarkStart w:id="68" w:name="_Toc158317269"/>
      <w:r w:rsidRPr="00B13B9A">
        <w:rPr>
          <w:rFonts w:cstheme="majorHAnsi"/>
          <w:b/>
          <w:iCs/>
          <w:color w:val="auto"/>
        </w:rPr>
        <w:t>Anexa nr. 1</w:t>
      </w:r>
      <w:r w:rsidR="001457CE" w:rsidRPr="00B13B9A">
        <w:rPr>
          <w:rFonts w:cstheme="majorHAnsi"/>
          <w:b/>
          <w:iCs/>
          <w:color w:val="auto"/>
        </w:rPr>
        <w:t>5</w:t>
      </w:r>
      <w:bookmarkEnd w:id="68"/>
    </w:p>
    <w:p w14:paraId="6AACEEE6" w14:textId="7E1EC7A5" w:rsidR="00FB1833" w:rsidRPr="00B13B9A" w:rsidRDefault="00FB1833" w:rsidP="00FB1833">
      <w:pPr>
        <w:spacing w:after="0" w:line="240" w:lineRule="auto"/>
        <w:jc w:val="center"/>
        <w:rPr>
          <w:rFonts w:asciiTheme="majorHAnsi" w:hAnsiTheme="majorHAnsi" w:cstheme="majorHAnsi"/>
          <w:b/>
          <w:bCs/>
          <w:i/>
          <w:iCs/>
          <w:sz w:val="24"/>
          <w:szCs w:val="24"/>
          <w:lang w:val="ro-MD"/>
        </w:rPr>
      </w:pPr>
      <w:r w:rsidRPr="00B13B9A">
        <w:rPr>
          <w:rFonts w:asciiTheme="majorHAnsi" w:hAnsiTheme="majorHAnsi" w:cstheme="majorHAnsi"/>
          <w:b/>
          <w:bCs/>
          <w:i/>
          <w:iCs/>
          <w:sz w:val="24"/>
          <w:szCs w:val="24"/>
          <w:lang w:val="ro-MD"/>
        </w:rPr>
        <w:t>Informa</w:t>
      </w:r>
      <w:r w:rsidR="00B13B9A" w:rsidRPr="00B13B9A">
        <w:rPr>
          <w:rFonts w:asciiTheme="majorHAnsi" w:hAnsiTheme="majorHAnsi" w:cstheme="majorHAnsi"/>
          <w:b/>
          <w:bCs/>
          <w:i/>
          <w:iCs/>
          <w:sz w:val="24"/>
          <w:szCs w:val="24"/>
          <w:lang w:val="ro-MD"/>
        </w:rPr>
        <w:t>ț</w:t>
      </w:r>
      <w:r w:rsidRPr="00B13B9A">
        <w:rPr>
          <w:rFonts w:asciiTheme="majorHAnsi" w:hAnsiTheme="majorHAnsi" w:cstheme="majorHAnsi"/>
          <w:b/>
          <w:bCs/>
          <w:i/>
          <w:iCs/>
          <w:sz w:val="24"/>
          <w:szCs w:val="24"/>
          <w:lang w:val="ro-MD"/>
        </w:rPr>
        <w:t>i</w:t>
      </w:r>
      <w:r w:rsidR="00FB2E99" w:rsidRPr="00B13B9A">
        <w:rPr>
          <w:rFonts w:asciiTheme="majorHAnsi" w:hAnsiTheme="majorHAnsi" w:cstheme="majorHAnsi"/>
          <w:b/>
          <w:bCs/>
          <w:i/>
          <w:iCs/>
          <w:sz w:val="24"/>
          <w:szCs w:val="24"/>
          <w:lang w:val="ro-MD"/>
        </w:rPr>
        <w:t>i</w:t>
      </w:r>
      <w:r w:rsidRPr="00B13B9A">
        <w:rPr>
          <w:rFonts w:asciiTheme="majorHAnsi" w:hAnsiTheme="majorHAnsi" w:cstheme="majorHAnsi"/>
          <w:b/>
          <w:bCs/>
          <w:i/>
          <w:iCs/>
          <w:sz w:val="24"/>
          <w:szCs w:val="24"/>
          <w:lang w:val="ro-MD"/>
        </w:rPr>
        <w:t xml:space="preserve"> aferent</w:t>
      </w:r>
      <w:r w:rsidR="00FB2E99" w:rsidRPr="00B13B9A">
        <w:rPr>
          <w:rFonts w:asciiTheme="majorHAnsi" w:hAnsiTheme="majorHAnsi" w:cstheme="majorHAnsi"/>
          <w:b/>
          <w:bCs/>
          <w:i/>
          <w:iCs/>
          <w:sz w:val="24"/>
          <w:szCs w:val="24"/>
          <w:lang w:val="ro-MD"/>
        </w:rPr>
        <w:t>e</w:t>
      </w:r>
      <w:r w:rsidRPr="00B13B9A">
        <w:rPr>
          <w:rFonts w:asciiTheme="majorHAnsi" w:hAnsiTheme="majorHAnsi" w:cstheme="majorHAnsi"/>
          <w:b/>
          <w:bCs/>
          <w:i/>
          <w:iCs/>
          <w:sz w:val="24"/>
          <w:szCs w:val="24"/>
          <w:lang w:val="ro-MD"/>
        </w:rPr>
        <w:t xml:space="preserve"> procedurilor/contractelor de achizi</w:t>
      </w:r>
      <w:r w:rsidR="00B13B9A" w:rsidRPr="00B13B9A">
        <w:rPr>
          <w:rFonts w:asciiTheme="majorHAnsi" w:hAnsiTheme="majorHAnsi" w:cstheme="majorHAnsi"/>
          <w:b/>
          <w:bCs/>
          <w:i/>
          <w:iCs/>
          <w:sz w:val="24"/>
          <w:szCs w:val="24"/>
          <w:lang w:val="ro-MD"/>
        </w:rPr>
        <w:t>ț</w:t>
      </w:r>
      <w:r w:rsidRPr="00B13B9A">
        <w:rPr>
          <w:rFonts w:asciiTheme="majorHAnsi" w:hAnsiTheme="majorHAnsi" w:cstheme="majorHAnsi"/>
          <w:b/>
          <w:bCs/>
          <w:i/>
          <w:iCs/>
          <w:sz w:val="24"/>
          <w:szCs w:val="24"/>
          <w:lang w:val="ro-MD"/>
        </w:rPr>
        <w:t>ii publice desfă</w:t>
      </w:r>
      <w:r w:rsidR="00B13B9A" w:rsidRPr="00B13B9A">
        <w:rPr>
          <w:rFonts w:asciiTheme="majorHAnsi" w:hAnsiTheme="majorHAnsi" w:cstheme="majorHAnsi"/>
          <w:b/>
          <w:bCs/>
          <w:i/>
          <w:iCs/>
          <w:sz w:val="24"/>
          <w:szCs w:val="24"/>
          <w:lang w:val="ro-MD"/>
        </w:rPr>
        <w:t>ș</w:t>
      </w:r>
      <w:r w:rsidRPr="00B13B9A">
        <w:rPr>
          <w:rFonts w:asciiTheme="majorHAnsi" w:hAnsiTheme="majorHAnsi" w:cstheme="majorHAnsi"/>
          <w:b/>
          <w:bCs/>
          <w:i/>
          <w:iCs/>
          <w:sz w:val="24"/>
          <w:szCs w:val="24"/>
          <w:lang w:val="ro-MD"/>
        </w:rPr>
        <w:t>urate/încheiate</w:t>
      </w:r>
    </w:p>
    <w:p w14:paraId="0755D3B0" w14:textId="27664477" w:rsidR="00FB1833" w:rsidRPr="00B13B9A" w:rsidRDefault="00FB1833" w:rsidP="00FB1833">
      <w:pPr>
        <w:spacing w:after="0" w:line="240" w:lineRule="auto"/>
        <w:jc w:val="center"/>
        <w:rPr>
          <w:rFonts w:asciiTheme="majorHAnsi" w:hAnsiTheme="majorHAnsi" w:cstheme="majorHAnsi"/>
          <w:b/>
          <w:i/>
          <w:sz w:val="24"/>
          <w:szCs w:val="24"/>
          <w:lang w:val="ro-MD"/>
        </w:rPr>
      </w:pPr>
      <w:r w:rsidRPr="00B13B9A">
        <w:rPr>
          <w:rFonts w:asciiTheme="majorHAnsi" w:hAnsiTheme="majorHAnsi" w:cstheme="majorHAnsi"/>
          <w:b/>
          <w:bCs/>
          <w:i/>
          <w:iCs/>
          <w:sz w:val="24"/>
          <w:szCs w:val="24"/>
          <w:lang w:val="ro-MD"/>
        </w:rPr>
        <w:t>în perioada 2021-2023 (I sem</w:t>
      </w:r>
      <w:r w:rsidR="00FB2E99" w:rsidRPr="00B13B9A">
        <w:rPr>
          <w:rFonts w:asciiTheme="majorHAnsi" w:hAnsiTheme="majorHAnsi" w:cstheme="majorHAnsi"/>
          <w:b/>
          <w:bCs/>
          <w:i/>
          <w:iCs/>
          <w:sz w:val="24"/>
          <w:szCs w:val="24"/>
          <w:lang w:val="ro-MD"/>
        </w:rPr>
        <w:t>.</w:t>
      </w:r>
      <w:r w:rsidRPr="00B13B9A">
        <w:rPr>
          <w:rFonts w:asciiTheme="majorHAnsi" w:hAnsiTheme="majorHAnsi" w:cstheme="majorHAnsi"/>
          <w:b/>
          <w:bCs/>
          <w:i/>
          <w:iCs/>
          <w:sz w:val="24"/>
          <w:szCs w:val="24"/>
          <w:lang w:val="ro-MD"/>
        </w:rPr>
        <w:t xml:space="preserve">) de către </w:t>
      </w:r>
      <w:r w:rsidRPr="00B13B9A">
        <w:rPr>
          <w:rFonts w:asciiTheme="majorHAnsi" w:hAnsiTheme="majorHAnsi" w:cstheme="majorHAnsi"/>
          <w:b/>
          <w:i/>
          <w:color w:val="000000" w:themeColor="text1"/>
          <w:sz w:val="24"/>
          <w:szCs w:val="24"/>
          <w:lang w:val="ro-MD"/>
        </w:rPr>
        <w:t xml:space="preserve">IMSP IFP </w:t>
      </w:r>
      <w:r w:rsidRPr="00B13B9A">
        <w:rPr>
          <w:rFonts w:asciiTheme="majorHAnsi" w:hAnsiTheme="majorHAnsi" w:cstheme="majorHAnsi"/>
          <w:b/>
          <w:i/>
          <w:sz w:val="24"/>
          <w:szCs w:val="24"/>
          <w:lang w:val="ro-MD"/>
        </w:rPr>
        <w:t>„Chiril Draganiuc”</w:t>
      </w:r>
    </w:p>
    <w:tbl>
      <w:tblPr>
        <w:tblW w:w="10449" w:type="dxa"/>
        <w:tblInd w:w="-714" w:type="dxa"/>
        <w:tblLook w:val="04A0" w:firstRow="1" w:lastRow="0" w:firstColumn="1" w:lastColumn="0" w:noHBand="0" w:noVBand="1"/>
      </w:tblPr>
      <w:tblGrid>
        <w:gridCol w:w="1843"/>
        <w:gridCol w:w="921"/>
        <w:gridCol w:w="912"/>
        <w:gridCol w:w="943"/>
        <w:gridCol w:w="921"/>
        <w:gridCol w:w="912"/>
        <w:gridCol w:w="1075"/>
        <w:gridCol w:w="1014"/>
        <w:gridCol w:w="961"/>
        <w:gridCol w:w="947"/>
      </w:tblGrid>
      <w:tr w:rsidR="00FB1833" w:rsidRPr="00B13B9A" w14:paraId="36CF0E76" w14:textId="77777777" w:rsidTr="008156E3">
        <w:trPr>
          <w:trHeight w:val="20"/>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2A6AA28" w14:textId="31EA1DFF" w:rsidR="00FB1833" w:rsidRPr="00B13B9A" w:rsidRDefault="00FB1833" w:rsidP="00FB2E99">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 xml:space="preserve">Tip </w:t>
            </w:r>
            <w:r w:rsidR="00FB2E99" w:rsidRPr="00B13B9A">
              <w:rPr>
                <w:rFonts w:asciiTheme="majorHAnsi" w:eastAsia="Times New Roman" w:hAnsiTheme="majorHAnsi" w:cstheme="majorHAnsi"/>
                <w:b/>
                <w:bCs/>
                <w:color w:val="000000"/>
                <w:sz w:val="20"/>
                <w:szCs w:val="20"/>
                <w:lang w:val="ro-MD"/>
              </w:rPr>
              <w:t>p</w:t>
            </w:r>
            <w:r w:rsidRPr="00B13B9A">
              <w:rPr>
                <w:rFonts w:asciiTheme="majorHAnsi" w:eastAsia="Times New Roman" w:hAnsiTheme="majorHAnsi" w:cstheme="majorHAnsi"/>
                <w:b/>
                <w:bCs/>
                <w:color w:val="000000"/>
                <w:sz w:val="20"/>
                <w:szCs w:val="20"/>
                <w:lang w:val="ro-MD"/>
              </w:rPr>
              <w:t>rocedură</w:t>
            </w:r>
          </w:p>
        </w:tc>
        <w:tc>
          <w:tcPr>
            <w:tcW w:w="277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EDA823E"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2021</w:t>
            </w:r>
          </w:p>
        </w:tc>
        <w:tc>
          <w:tcPr>
            <w:tcW w:w="2908"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C369D5"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2022</w:t>
            </w:r>
          </w:p>
        </w:tc>
        <w:tc>
          <w:tcPr>
            <w:tcW w:w="292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6BFCAAC"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2023 (I sem)</w:t>
            </w:r>
          </w:p>
        </w:tc>
      </w:tr>
      <w:tr w:rsidR="00FB1833" w:rsidRPr="00B13B9A" w14:paraId="69B5F10F" w14:textId="77777777" w:rsidTr="008156E3">
        <w:trPr>
          <w:trHeight w:val="20"/>
        </w:trPr>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06AA6F3" w14:textId="77777777" w:rsidR="00FB1833" w:rsidRPr="00B13B9A" w:rsidRDefault="00FB1833" w:rsidP="008156E3">
            <w:pPr>
              <w:spacing w:after="0" w:line="240" w:lineRule="auto"/>
              <w:rPr>
                <w:rFonts w:asciiTheme="majorHAnsi" w:eastAsia="Times New Roman" w:hAnsiTheme="majorHAnsi" w:cstheme="majorHAnsi"/>
                <w:b/>
                <w:bCs/>
                <w:color w:val="000000"/>
                <w:sz w:val="20"/>
                <w:szCs w:val="20"/>
                <w:lang w:val="ro-MD"/>
              </w:rPr>
            </w:pPr>
          </w:p>
        </w:tc>
        <w:tc>
          <w:tcPr>
            <w:tcW w:w="921" w:type="dxa"/>
            <w:tcBorders>
              <w:top w:val="nil"/>
              <w:left w:val="nil"/>
              <w:bottom w:val="single" w:sz="4" w:space="0" w:color="auto"/>
              <w:right w:val="single" w:sz="4" w:space="0" w:color="auto"/>
            </w:tcBorders>
            <w:shd w:val="clear" w:color="auto" w:fill="auto"/>
            <w:noWrap/>
            <w:vAlign w:val="bottom"/>
            <w:hideMark/>
          </w:tcPr>
          <w:p w14:paraId="56938933"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18"/>
                <w:szCs w:val="20"/>
                <w:lang w:val="ro-MD"/>
              </w:rPr>
            </w:pPr>
            <w:r w:rsidRPr="00B13B9A">
              <w:rPr>
                <w:rFonts w:asciiTheme="majorHAnsi" w:eastAsia="Times New Roman" w:hAnsiTheme="majorHAnsi" w:cstheme="majorHAnsi"/>
                <w:b/>
                <w:bCs/>
                <w:color w:val="000000"/>
                <w:sz w:val="18"/>
                <w:szCs w:val="20"/>
                <w:lang w:val="ro-MD"/>
              </w:rPr>
              <w:t>nr. proceduri</w:t>
            </w:r>
          </w:p>
        </w:tc>
        <w:tc>
          <w:tcPr>
            <w:tcW w:w="912" w:type="dxa"/>
            <w:tcBorders>
              <w:top w:val="nil"/>
              <w:left w:val="nil"/>
              <w:bottom w:val="single" w:sz="4" w:space="0" w:color="auto"/>
              <w:right w:val="single" w:sz="4" w:space="0" w:color="auto"/>
            </w:tcBorders>
            <w:shd w:val="clear" w:color="auto" w:fill="auto"/>
            <w:noWrap/>
            <w:vAlign w:val="bottom"/>
            <w:hideMark/>
          </w:tcPr>
          <w:p w14:paraId="750349F5"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18"/>
                <w:szCs w:val="20"/>
                <w:lang w:val="ro-MD"/>
              </w:rPr>
            </w:pPr>
            <w:r w:rsidRPr="00B13B9A">
              <w:rPr>
                <w:rFonts w:asciiTheme="majorHAnsi" w:eastAsia="Times New Roman" w:hAnsiTheme="majorHAnsi" w:cstheme="majorHAnsi"/>
                <w:b/>
                <w:bCs/>
                <w:color w:val="000000"/>
                <w:sz w:val="18"/>
                <w:szCs w:val="20"/>
                <w:lang w:val="ro-MD"/>
              </w:rPr>
              <w:t>nr. contracte</w:t>
            </w:r>
          </w:p>
        </w:tc>
        <w:tc>
          <w:tcPr>
            <w:tcW w:w="943" w:type="dxa"/>
            <w:tcBorders>
              <w:top w:val="nil"/>
              <w:left w:val="nil"/>
              <w:bottom w:val="single" w:sz="4" w:space="0" w:color="auto"/>
              <w:right w:val="single" w:sz="4" w:space="0" w:color="auto"/>
            </w:tcBorders>
            <w:shd w:val="clear" w:color="auto" w:fill="auto"/>
            <w:noWrap/>
            <w:vAlign w:val="bottom"/>
            <w:hideMark/>
          </w:tcPr>
          <w:p w14:paraId="1A393371"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18"/>
                <w:szCs w:val="20"/>
                <w:lang w:val="ro-MD"/>
              </w:rPr>
            </w:pPr>
            <w:r w:rsidRPr="00B13B9A">
              <w:rPr>
                <w:rFonts w:asciiTheme="majorHAnsi" w:eastAsia="Times New Roman" w:hAnsiTheme="majorHAnsi" w:cstheme="majorHAnsi"/>
                <w:b/>
                <w:bCs/>
                <w:color w:val="000000"/>
                <w:sz w:val="18"/>
                <w:szCs w:val="20"/>
                <w:lang w:val="ro-MD"/>
              </w:rPr>
              <w:t>mii lei</w:t>
            </w:r>
          </w:p>
        </w:tc>
        <w:tc>
          <w:tcPr>
            <w:tcW w:w="921" w:type="dxa"/>
            <w:tcBorders>
              <w:top w:val="nil"/>
              <w:left w:val="nil"/>
              <w:bottom w:val="single" w:sz="4" w:space="0" w:color="auto"/>
              <w:right w:val="single" w:sz="4" w:space="0" w:color="auto"/>
            </w:tcBorders>
            <w:shd w:val="clear" w:color="auto" w:fill="auto"/>
            <w:noWrap/>
            <w:vAlign w:val="bottom"/>
            <w:hideMark/>
          </w:tcPr>
          <w:p w14:paraId="1F773E36"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18"/>
                <w:szCs w:val="20"/>
                <w:lang w:val="ro-MD"/>
              </w:rPr>
            </w:pPr>
            <w:r w:rsidRPr="00B13B9A">
              <w:rPr>
                <w:rFonts w:asciiTheme="majorHAnsi" w:eastAsia="Times New Roman" w:hAnsiTheme="majorHAnsi" w:cstheme="majorHAnsi"/>
                <w:b/>
                <w:bCs/>
                <w:color w:val="000000"/>
                <w:sz w:val="18"/>
                <w:szCs w:val="20"/>
                <w:lang w:val="ro-MD"/>
              </w:rPr>
              <w:t>nr. proceduri</w:t>
            </w:r>
          </w:p>
        </w:tc>
        <w:tc>
          <w:tcPr>
            <w:tcW w:w="912" w:type="dxa"/>
            <w:tcBorders>
              <w:top w:val="nil"/>
              <w:left w:val="nil"/>
              <w:bottom w:val="single" w:sz="4" w:space="0" w:color="auto"/>
              <w:right w:val="single" w:sz="4" w:space="0" w:color="auto"/>
            </w:tcBorders>
            <w:shd w:val="clear" w:color="auto" w:fill="auto"/>
            <w:noWrap/>
            <w:vAlign w:val="bottom"/>
            <w:hideMark/>
          </w:tcPr>
          <w:p w14:paraId="3C9A4E05"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18"/>
                <w:szCs w:val="20"/>
                <w:lang w:val="ro-MD"/>
              </w:rPr>
            </w:pPr>
            <w:r w:rsidRPr="00B13B9A">
              <w:rPr>
                <w:rFonts w:asciiTheme="majorHAnsi" w:eastAsia="Times New Roman" w:hAnsiTheme="majorHAnsi" w:cstheme="majorHAnsi"/>
                <w:b/>
                <w:bCs/>
                <w:color w:val="000000"/>
                <w:sz w:val="18"/>
                <w:szCs w:val="20"/>
                <w:lang w:val="ro-MD"/>
              </w:rPr>
              <w:t>nr. contracte</w:t>
            </w:r>
          </w:p>
        </w:tc>
        <w:tc>
          <w:tcPr>
            <w:tcW w:w="1075" w:type="dxa"/>
            <w:tcBorders>
              <w:top w:val="nil"/>
              <w:left w:val="nil"/>
              <w:bottom w:val="single" w:sz="4" w:space="0" w:color="auto"/>
              <w:right w:val="single" w:sz="4" w:space="0" w:color="auto"/>
            </w:tcBorders>
            <w:shd w:val="clear" w:color="auto" w:fill="auto"/>
            <w:noWrap/>
            <w:vAlign w:val="bottom"/>
            <w:hideMark/>
          </w:tcPr>
          <w:p w14:paraId="06AFFCB2"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18"/>
                <w:szCs w:val="20"/>
                <w:lang w:val="ro-MD"/>
              </w:rPr>
            </w:pPr>
            <w:r w:rsidRPr="00B13B9A">
              <w:rPr>
                <w:rFonts w:asciiTheme="majorHAnsi" w:eastAsia="Times New Roman" w:hAnsiTheme="majorHAnsi" w:cstheme="majorHAnsi"/>
                <w:b/>
                <w:bCs/>
                <w:color w:val="000000"/>
                <w:sz w:val="18"/>
                <w:szCs w:val="20"/>
                <w:lang w:val="ro-MD"/>
              </w:rPr>
              <w:t>mii lei</w:t>
            </w:r>
          </w:p>
        </w:tc>
        <w:tc>
          <w:tcPr>
            <w:tcW w:w="1014" w:type="dxa"/>
            <w:tcBorders>
              <w:top w:val="nil"/>
              <w:left w:val="nil"/>
              <w:bottom w:val="single" w:sz="4" w:space="0" w:color="auto"/>
              <w:right w:val="single" w:sz="4" w:space="0" w:color="auto"/>
            </w:tcBorders>
            <w:shd w:val="clear" w:color="auto" w:fill="auto"/>
            <w:noWrap/>
            <w:vAlign w:val="bottom"/>
            <w:hideMark/>
          </w:tcPr>
          <w:p w14:paraId="287DFB34"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18"/>
                <w:szCs w:val="20"/>
                <w:lang w:val="ro-MD"/>
              </w:rPr>
            </w:pPr>
            <w:r w:rsidRPr="00B13B9A">
              <w:rPr>
                <w:rFonts w:asciiTheme="majorHAnsi" w:eastAsia="Times New Roman" w:hAnsiTheme="majorHAnsi" w:cstheme="majorHAnsi"/>
                <w:b/>
                <w:bCs/>
                <w:color w:val="000000"/>
                <w:sz w:val="18"/>
                <w:szCs w:val="20"/>
                <w:lang w:val="ro-MD"/>
              </w:rPr>
              <w:t>nr. proceduri</w:t>
            </w:r>
          </w:p>
        </w:tc>
        <w:tc>
          <w:tcPr>
            <w:tcW w:w="961" w:type="dxa"/>
            <w:tcBorders>
              <w:top w:val="nil"/>
              <w:left w:val="nil"/>
              <w:bottom w:val="single" w:sz="4" w:space="0" w:color="auto"/>
              <w:right w:val="single" w:sz="4" w:space="0" w:color="auto"/>
            </w:tcBorders>
            <w:shd w:val="clear" w:color="auto" w:fill="auto"/>
            <w:noWrap/>
            <w:vAlign w:val="bottom"/>
            <w:hideMark/>
          </w:tcPr>
          <w:p w14:paraId="041AB8C2"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18"/>
                <w:szCs w:val="20"/>
                <w:lang w:val="ro-MD"/>
              </w:rPr>
            </w:pPr>
            <w:r w:rsidRPr="00B13B9A">
              <w:rPr>
                <w:rFonts w:asciiTheme="majorHAnsi" w:eastAsia="Times New Roman" w:hAnsiTheme="majorHAnsi" w:cstheme="majorHAnsi"/>
                <w:b/>
                <w:bCs/>
                <w:color w:val="000000"/>
                <w:sz w:val="18"/>
                <w:szCs w:val="20"/>
                <w:lang w:val="ro-MD"/>
              </w:rPr>
              <w:t>nr. contracte</w:t>
            </w:r>
          </w:p>
        </w:tc>
        <w:tc>
          <w:tcPr>
            <w:tcW w:w="947" w:type="dxa"/>
            <w:tcBorders>
              <w:top w:val="nil"/>
              <w:left w:val="nil"/>
              <w:bottom w:val="single" w:sz="4" w:space="0" w:color="auto"/>
              <w:right w:val="single" w:sz="4" w:space="0" w:color="auto"/>
            </w:tcBorders>
            <w:shd w:val="clear" w:color="auto" w:fill="auto"/>
            <w:noWrap/>
            <w:vAlign w:val="bottom"/>
            <w:hideMark/>
          </w:tcPr>
          <w:p w14:paraId="102EAD2A"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18"/>
                <w:szCs w:val="20"/>
                <w:lang w:val="ro-MD"/>
              </w:rPr>
            </w:pPr>
            <w:r w:rsidRPr="00B13B9A">
              <w:rPr>
                <w:rFonts w:asciiTheme="majorHAnsi" w:eastAsia="Times New Roman" w:hAnsiTheme="majorHAnsi" w:cstheme="majorHAnsi"/>
                <w:b/>
                <w:bCs/>
                <w:color w:val="000000"/>
                <w:sz w:val="18"/>
                <w:szCs w:val="20"/>
                <w:lang w:val="ro-MD"/>
              </w:rPr>
              <w:t>mii lei</w:t>
            </w:r>
          </w:p>
        </w:tc>
      </w:tr>
      <w:tr w:rsidR="00FB1833" w:rsidRPr="00B13B9A" w14:paraId="68A0D2E9" w14:textId="77777777" w:rsidTr="008156E3">
        <w:trPr>
          <w:trHeight w:val="2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03EDAD43" w14:textId="4B77D72B" w:rsidR="00FB1833" w:rsidRPr="00B13B9A" w:rsidRDefault="00FB1833" w:rsidP="008156E3">
            <w:pPr>
              <w:spacing w:after="0" w:line="240" w:lineRule="auto"/>
              <w:rPr>
                <w:rFonts w:asciiTheme="majorHAnsi" w:eastAsia="Times New Roman" w:hAnsiTheme="majorHAnsi" w:cstheme="majorHAnsi"/>
                <w:bCs/>
                <w:color w:val="000000"/>
                <w:sz w:val="20"/>
                <w:szCs w:val="20"/>
                <w:lang w:val="ro-MD"/>
              </w:rPr>
            </w:pPr>
            <w:r w:rsidRPr="00B13B9A">
              <w:rPr>
                <w:rFonts w:asciiTheme="majorHAnsi" w:eastAsia="Times New Roman" w:hAnsiTheme="majorHAnsi" w:cstheme="majorHAnsi"/>
                <w:bCs/>
                <w:color w:val="000000"/>
                <w:sz w:val="20"/>
                <w:szCs w:val="20"/>
                <w:lang w:val="ro-MD"/>
              </w:rPr>
              <w:t>Achizi</w:t>
            </w:r>
            <w:r w:rsidR="00B13B9A" w:rsidRPr="00B13B9A">
              <w:rPr>
                <w:rFonts w:asciiTheme="majorHAnsi" w:eastAsia="Times New Roman" w:hAnsiTheme="majorHAnsi" w:cstheme="majorHAnsi"/>
                <w:bCs/>
                <w:color w:val="000000"/>
                <w:sz w:val="20"/>
                <w:szCs w:val="20"/>
                <w:lang w:val="ro-MD"/>
              </w:rPr>
              <w:t>ț</w:t>
            </w:r>
            <w:r w:rsidRPr="00B13B9A">
              <w:rPr>
                <w:rFonts w:asciiTheme="majorHAnsi" w:eastAsia="Times New Roman" w:hAnsiTheme="majorHAnsi" w:cstheme="majorHAnsi"/>
                <w:bCs/>
                <w:color w:val="000000"/>
                <w:sz w:val="20"/>
                <w:szCs w:val="20"/>
                <w:lang w:val="ro-MD"/>
              </w:rPr>
              <w:t xml:space="preserve">ii proprii, </w:t>
            </w:r>
            <w:r w:rsidRPr="00B13B9A">
              <w:rPr>
                <w:rFonts w:asciiTheme="majorHAnsi" w:eastAsia="Times New Roman" w:hAnsiTheme="majorHAnsi" w:cstheme="majorHAnsi"/>
                <w:bCs/>
                <w:color w:val="000000"/>
                <w:sz w:val="18"/>
                <w:szCs w:val="20"/>
                <w:lang w:val="ro-MD"/>
              </w:rPr>
              <w:t>inclusiv:</w:t>
            </w:r>
          </w:p>
        </w:tc>
        <w:tc>
          <w:tcPr>
            <w:tcW w:w="921" w:type="dxa"/>
            <w:tcBorders>
              <w:top w:val="nil"/>
              <w:left w:val="nil"/>
              <w:bottom w:val="single" w:sz="4" w:space="0" w:color="auto"/>
              <w:right w:val="single" w:sz="4" w:space="0" w:color="auto"/>
            </w:tcBorders>
            <w:shd w:val="clear" w:color="auto" w:fill="auto"/>
            <w:noWrap/>
            <w:vAlign w:val="bottom"/>
            <w:hideMark/>
          </w:tcPr>
          <w:p w14:paraId="501C8A87"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19</w:t>
            </w:r>
          </w:p>
        </w:tc>
        <w:tc>
          <w:tcPr>
            <w:tcW w:w="912" w:type="dxa"/>
            <w:tcBorders>
              <w:top w:val="nil"/>
              <w:left w:val="nil"/>
              <w:bottom w:val="single" w:sz="4" w:space="0" w:color="auto"/>
              <w:right w:val="single" w:sz="4" w:space="0" w:color="auto"/>
            </w:tcBorders>
            <w:shd w:val="clear" w:color="auto" w:fill="auto"/>
            <w:noWrap/>
            <w:vAlign w:val="bottom"/>
            <w:hideMark/>
          </w:tcPr>
          <w:p w14:paraId="71FB36CE"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106</w:t>
            </w:r>
          </w:p>
        </w:tc>
        <w:tc>
          <w:tcPr>
            <w:tcW w:w="943" w:type="dxa"/>
            <w:tcBorders>
              <w:top w:val="nil"/>
              <w:left w:val="nil"/>
              <w:bottom w:val="single" w:sz="4" w:space="0" w:color="auto"/>
              <w:right w:val="single" w:sz="4" w:space="0" w:color="auto"/>
            </w:tcBorders>
            <w:shd w:val="clear" w:color="auto" w:fill="auto"/>
            <w:noWrap/>
            <w:vAlign w:val="bottom"/>
            <w:hideMark/>
          </w:tcPr>
          <w:p w14:paraId="4D726DE7"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11 844.1</w:t>
            </w:r>
          </w:p>
        </w:tc>
        <w:tc>
          <w:tcPr>
            <w:tcW w:w="921" w:type="dxa"/>
            <w:tcBorders>
              <w:top w:val="nil"/>
              <w:left w:val="nil"/>
              <w:bottom w:val="single" w:sz="4" w:space="0" w:color="auto"/>
              <w:right w:val="single" w:sz="4" w:space="0" w:color="auto"/>
            </w:tcBorders>
            <w:shd w:val="clear" w:color="auto" w:fill="auto"/>
            <w:noWrap/>
            <w:vAlign w:val="bottom"/>
            <w:hideMark/>
          </w:tcPr>
          <w:p w14:paraId="39EF1481"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19</w:t>
            </w:r>
          </w:p>
        </w:tc>
        <w:tc>
          <w:tcPr>
            <w:tcW w:w="912" w:type="dxa"/>
            <w:tcBorders>
              <w:top w:val="nil"/>
              <w:left w:val="nil"/>
              <w:bottom w:val="single" w:sz="4" w:space="0" w:color="auto"/>
              <w:right w:val="single" w:sz="4" w:space="0" w:color="auto"/>
            </w:tcBorders>
            <w:shd w:val="clear" w:color="auto" w:fill="auto"/>
            <w:noWrap/>
            <w:vAlign w:val="bottom"/>
            <w:hideMark/>
          </w:tcPr>
          <w:p w14:paraId="23F26DAF"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111</w:t>
            </w:r>
          </w:p>
        </w:tc>
        <w:tc>
          <w:tcPr>
            <w:tcW w:w="1075" w:type="dxa"/>
            <w:tcBorders>
              <w:top w:val="nil"/>
              <w:left w:val="nil"/>
              <w:bottom w:val="single" w:sz="4" w:space="0" w:color="auto"/>
              <w:right w:val="single" w:sz="4" w:space="0" w:color="auto"/>
            </w:tcBorders>
            <w:shd w:val="clear" w:color="auto" w:fill="auto"/>
            <w:noWrap/>
            <w:vAlign w:val="bottom"/>
            <w:hideMark/>
          </w:tcPr>
          <w:p w14:paraId="26669DBB"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13 838.4</w:t>
            </w:r>
          </w:p>
        </w:tc>
        <w:tc>
          <w:tcPr>
            <w:tcW w:w="1014" w:type="dxa"/>
            <w:tcBorders>
              <w:top w:val="nil"/>
              <w:left w:val="nil"/>
              <w:bottom w:val="single" w:sz="4" w:space="0" w:color="auto"/>
              <w:right w:val="single" w:sz="4" w:space="0" w:color="auto"/>
            </w:tcBorders>
            <w:shd w:val="clear" w:color="auto" w:fill="auto"/>
            <w:noWrap/>
            <w:vAlign w:val="bottom"/>
            <w:hideMark/>
          </w:tcPr>
          <w:p w14:paraId="49BDC987"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23</w:t>
            </w:r>
          </w:p>
        </w:tc>
        <w:tc>
          <w:tcPr>
            <w:tcW w:w="961" w:type="dxa"/>
            <w:tcBorders>
              <w:top w:val="nil"/>
              <w:left w:val="nil"/>
              <w:bottom w:val="single" w:sz="4" w:space="0" w:color="auto"/>
              <w:right w:val="single" w:sz="4" w:space="0" w:color="auto"/>
            </w:tcBorders>
            <w:shd w:val="clear" w:color="auto" w:fill="auto"/>
            <w:noWrap/>
            <w:vAlign w:val="bottom"/>
            <w:hideMark/>
          </w:tcPr>
          <w:p w14:paraId="10E91B89"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98</w:t>
            </w:r>
          </w:p>
        </w:tc>
        <w:tc>
          <w:tcPr>
            <w:tcW w:w="947" w:type="dxa"/>
            <w:tcBorders>
              <w:top w:val="nil"/>
              <w:left w:val="nil"/>
              <w:bottom w:val="single" w:sz="4" w:space="0" w:color="auto"/>
              <w:right w:val="single" w:sz="4" w:space="0" w:color="auto"/>
            </w:tcBorders>
            <w:shd w:val="clear" w:color="auto" w:fill="auto"/>
            <w:noWrap/>
            <w:vAlign w:val="bottom"/>
            <w:hideMark/>
          </w:tcPr>
          <w:p w14:paraId="59D201ED"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15 196.9</w:t>
            </w:r>
          </w:p>
        </w:tc>
      </w:tr>
      <w:tr w:rsidR="00FB1833" w:rsidRPr="00B13B9A" w14:paraId="4919335D" w14:textId="77777777" w:rsidTr="008156E3">
        <w:trPr>
          <w:trHeight w:val="2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7CC83179" w14:textId="72604B2C" w:rsidR="00FB1833" w:rsidRPr="00B13B9A" w:rsidRDefault="00FB1833" w:rsidP="008156E3">
            <w:pPr>
              <w:spacing w:after="0" w:line="240" w:lineRule="auto"/>
              <w:rPr>
                <w:rFonts w:asciiTheme="majorHAnsi" w:eastAsia="Times New Roman" w:hAnsiTheme="majorHAnsi" w:cstheme="majorHAnsi"/>
                <w:bCs/>
                <w:color w:val="000000"/>
                <w:sz w:val="20"/>
                <w:szCs w:val="20"/>
                <w:lang w:val="ro-MD"/>
              </w:rPr>
            </w:pPr>
            <w:r w:rsidRPr="00B13B9A">
              <w:rPr>
                <w:rFonts w:asciiTheme="majorHAnsi" w:eastAsia="Times New Roman" w:hAnsiTheme="majorHAnsi" w:cstheme="majorHAnsi"/>
                <w:bCs/>
                <w:color w:val="000000"/>
                <w:sz w:val="20"/>
                <w:szCs w:val="20"/>
                <w:lang w:val="ro-MD"/>
              </w:rPr>
              <w:t>Licita</w:t>
            </w:r>
            <w:r w:rsidR="00B13B9A" w:rsidRPr="00B13B9A">
              <w:rPr>
                <w:rFonts w:asciiTheme="majorHAnsi" w:eastAsia="Times New Roman" w:hAnsiTheme="majorHAnsi" w:cstheme="majorHAnsi"/>
                <w:bCs/>
                <w:color w:val="000000"/>
                <w:sz w:val="20"/>
                <w:szCs w:val="20"/>
                <w:lang w:val="ro-MD"/>
              </w:rPr>
              <w:t>ț</w:t>
            </w:r>
            <w:r w:rsidRPr="00B13B9A">
              <w:rPr>
                <w:rFonts w:asciiTheme="majorHAnsi" w:eastAsia="Times New Roman" w:hAnsiTheme="majorHAnsi" w:cstheme="majorHAnsi"/>
                <w:bCs/>
                <w:color w:val="000000"/>
                <w:sz w:val="20"/>
                <w:szCs w:val="20"/>
                <w:lang w:val="ro-MD"/>
              </w:rPr>
              <w:t>ii deschise</w:t>
            </w:r>
          </w:p>
        </w:tc>
        <w:tc>
          <w:tcPr>
            <w:tcW w:w="921" w:type="dxa"/>
            <w:tcBorders>
              <w:top w:val="nil"/>
              <w:left w:val="nil"/>
              <w:bottom w:val="single" w:sz="4" w:space="0" w:color="auto"/>
              <w:right w:val="single" w:sz="4" w:space="0" w:color="auto"/>
            </w:tcBorders>
            <w:shd w:val="clear" w:color="auto" w:fill="auto"/>
            <w:noWrap/>
            <w:vAlign w:val="bottom"/>
            <w:hideMark/>
          </w:tcPr>
          <w:p w14:paraId="271EE053"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w:t>
            </w:r>
          </w:p>
        </w:tc>
        <w:tc>
          <w:tcPr>
            <w:tcW w:w="912" w:type="dxa"/>
            <w:tcBorders>
              <w:top w:val="nil"/>
              <w:left w:val="nil"/>
              <w:bottom w:val="single" w:sz="4" w:space="0" w:color="auto"/>
              <w:right w:val="single" w:sz="4" w:space="0" w:color="auto"/>
            </w:tcBorders>
            <w:shd w:val="clear" w:color="auto" w:fill="auto"/>
            <w:noWrap/>
            <w:vAlign w:val="bottom"/>
            <w:hideMark/>
          </w:tcPr>
          <w:p w14:paraId="6690A33F"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19</w:t>
            </w:r>
          </w:p>
        </w:tc>
        <w:tc>
          <w:tcPr>
            <w:tcW w:w="943" w:type="dxa"/>
            <w:tcBorders>
              <w:top w:val="nil"/>
              <w:left w:val="nil"/>
              <w:bottom w:val="single" w:sz="4" w:space="0" w:color="auto"/>
              <w:right w:val="single" w:sz="4" w:space="0" w:color="auto"/>
            </w:tcBorders>
            <w:shd w:val="clear" w:color="auto" w:fill="auto"/>
            <w:noWrap/>
            <w:vAlign w:val="bottom"/>
            <w:hideMark/>
          </w:tcPr>
          <w:p w14:paraId="55D39295"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4 954.9</w:t>
            </w:r>
          </w:p>
        </w:tc>
        <w:tc>
          <w:tcPr>
            <w:tcW w:w="921" w:type="dxa"/>
            <w:tcBorders>
              <w:top w:val="nil"/>
              <w:left w:val="nil"/>
              <w:bottom w:val="single" w:sz="4" w:space="0" w:color="auto"/>
              <w:right w:val="single" w:sz="4" w:space="0" w:color="auto"/>
            </w:tcBorders>
            <w:shd w:val="clear" w:color="auto" w:fill="auto"/>
            <w:noWrap/>
            <w:vAlign w:val="bottom"/>
            <w:hideMark/>
          </w:tcPr>
          <w:p w14:paraId="30AB5125"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w:t>
            </w:r>
          </w:p>
        </w:tc>
        <w:tc>
          <w:tcPr>
            <w:tcW w:w="912" w:type="dxa"/>
            <w:tcBorders>
              <w:top w:val="nil"/>
              <w:left w:val="nil"/>
              <w:bottom w:val="single" w:sz="4" w:space="0" w:color="auto"/>
              <w:right w:val="single" w:sz="4" w:space="0" w:color="auto"/>
            </w:tcBorders>
            <w:shd w:val="clear" w:color="auto" w:fill="auto"/>
            <w:noWrap/>
            <w:vAlign w:val="bottom"/>
            <w:hideMark/>
          </w:tcPr>
          <w:p w14:paraId="3754CB50"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11</w:t>
            </w:r>
          </w:p>
        </w:tc>
        <w:tc>
          <w:tcPr>
            <w:tcW w:w="1075" w:type="dxa"/>
            <w:tcBorders>
              <w:top w:val="nil"/>
              <w:left w:val="nil"/>
              <w:bottom w:val="single" w:sz="4" w:space="0" w:color="auto"/>
              <w:right w:val="single" w:sz="4" w:space="0" w:color="auto"/>
            </w:tcBorders>
            <w:shd w:val="clear" w:color="auto" w:fill="auto"/>
            <w:noWrap/>
            <w:vAlign w:val="bottom"/>
            <w:hideMark/>
          </w:tcPr>
          <w:p w14:paraId="4B0891DB"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6 633.1</w:t>
            </w:r>
          </w:p>
        </w:tc>
        <w:tc>
          <w:tcPr>
            <w:tcW w:w="1014" w:type="dxa"/>
            <w:tcBorders>
              <w:top w:val="nil"/>
              <w:left w:val="nil"/>
              <w:bottom w:val="single" w:sz="4" w:space="0" w:color="auto"/>
              <w:right w:val="single" w:sz="4" w:space="0" w:color="auto"/>
            </w:tcBorders>
            <w:shd w:val="clear" w:color="auto" w:fill="auto"/>
            <w:noWrap/>
            <w:vAlign w:val="bottom"/>
            <w:hideMark/>
          </w:tcPr>
          <w:p w14:paraId="22D05793"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4</w:t>
            </w:r>
          </w:p>
        </w:tc>
        <w:tc>
          <w:tcPr>
            <w:tcW w:w="961" w:type="dxa"/>
            <w:tcBorders>
              <w:top w:val="nil"/>
              <w:left w:val="nil"/>
              <w:bottom w:val="single" w:sz="4" w:space="0" w:color="auto"/>
              <w:right w:val="single" w:sz="4" w:space="0" w:color="auto"/>
            </w:tcBorders>
            <w:shd w:val="clear" w:color="auto" w:fill="auto"/>
            <w:noWrap/>
            <w:vAlign w:val="bottom"/>
            <w:hideMark/>
          </w:tcPr>
          <w:p w14:paraId="2DBC7427"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11</w:t>
            </w:r>
          </w:p>
        </w:tc>
        <w:tc>
          <w:tcPr>
            <w:tcW w:w="947" w:type="dxa"/>
            <w:tcBorders>
              <w:top w:val="nil"/>
              <w:left w:val="nil"/>
              <w:bottom w:val="single" w:sz="4" w:space="0" w:color="auto"/>
              <w:right w:val="single" w:sz="4" w:space="0" w:color="auto"/>
            </w:tcBorders>
            <w:shd w:val="clear" w:color="auto" w:fill="auto"/>
            <w:noWrap/>
            <w:vAlign w:val="bottom"/>
            <w:hideMark/>
          </w:tcPr>
          <w:p w14:paraId="31C0B62A"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5 452.6</w:t>
            </w:r>
          </w:p>
        </w:tc>
      </w:tr>
      <w:tr w:rsidR="00FB1833" w:rsidRPr="00B13B9A" w14:paraId="201BF29F" w14:textId="77777777" w:rsidTr="008156E3">
        <w:trPr>
          <w:trHeight w:val="2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6D442E9" w14:textId="77777777" w:rsidR="00FB1833" w:rsidRPr="00B13B9A" w:rsidRDefault="00FB1833" w:rsidP="008156E3">
            <w:pPr>
              <w:spacing w:after="0" w:line="240" w:lineRule="auto"/>
              <w:rPr>
                <w:rFonts w:asciiTheme="majorHAnsi" w:eastAsia="Times New Roman" w:hAnsiTheme="majorHAnsi" w:cstheme="majorHAnsi"/>
                <w:bCs/>
                <w:color w:val="000000"/>
                <w:sz w:val="20"/>
                <w:szCs w:val="20"/>
                <w:lang w:val="ro-MD"/>
              </w:rPr>
            </w:pPr>
            <w:r w:rsidRPr="00B13B9A">
              <w:rPr>
                <w:rFonts w:asciiTheme="majorHAnsi" w:eastAsia="Times New Roman" w:hAnsiTheme="majorHAnsi" w:cstheme="majorHAnsi"/>
                <w:bCs/>
                <w:color w:val="000000"/>
                <w:sz w:val="20"/>
                <w:szCs w:val="20"/>
                <w:lang w:val="ro-MD"/>
              </w:rPr>
              <w:t>COP</w:t>
            </w:r>
          </w:p>
        </w:tc>
        <w:tc>
          <w:tcPr>
            <w:tcW w:w="921" w:type="dxa"/>
            <w:tcBorders>
              <w:top w:val="nil"/>
              <w:left w:val="nil"/>
              <w:bottom w:val="single" w:sz="4" w:space="0" w:color="auto"/>
              <w:right w:val="single" w:sz="4" w:space="0" w:color="auto"/>
            </w:tcBorders>
            <w:shd w:val="clear" w:color="auto" w:fill="auto"/>
            <w:noWrap/>
            <w:vAlign w:val="bottom"/>
            <w:hideMark/>
          </w:tcPr>
          <w:p w14:paraId="7817D376"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5</w:t>
            </w:r>
          </w:p>
        </w:tc>
        <w:tc>
          <w:tcPr>
            <w:tcW w:w="912" w:type="dxa"/>
            <w:tcBorders>
              <w:top w:val="nil"/>
              <w:left w:val="nil"/>
              <w:bottom w:val="single" w:sz="4" w:space="0" w:color="auto"/>
              <w:right w:val="single" w:sz="4" w:space="0" w:color="auto"/>
            </w:tcBorders>
            <w:shd w:val="clear" w:color="auto" w:fill="auto"/>
            <w:noWrap/>
            <w:vAlign w:val="bottom"/>
            <w:hideMark/>
          </w:tcPr>
          <w:p w14:paraId="45184882"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22</w:t>
            </w:r>
          </w:p>
        </w:tc>
        <w:tc>
          <w:tcPr>
            <w:tcW w:w="943" w:type="dxa"/>
            <w:tcBorders>
              <w:top w:val="nil"/>
              <w:left w:val="nil"/>
              <w:bottom w:val="single" w:sz="4" w:space="0" w:color="auto"/>
              <w:right w:val="single" w:sz="4" w:space="0" w:color="auto"/>
            </w:tcBorders>
            <w:shd w:val="clear" w:color="auto" w:fill="auto"/>
            <w:noWrap/>
            <w:vAlign w:val="bottom"/>
            <w:hideMark/>
          </w:tcPr>
          <w:p w14:paraId="4FA279C5"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1 776.3</w:t>
            </w:r>
          </w:p>
        </w:tc>
        <w:tc>
          <w:tcPr>
            <w:tcW w:w="921" w:type="dxa"/>
            <w:tcBorders>
              <w:top w:val="nil"/>
              <w:left w:val="nil"/>
              <w:bottom w:val="single" w:sz="4" w:space="0" w:color="auto"/>
              <w:right w:val="single" w:sz="4" w:space="0" w:color="auto"/>
            </w:tcBorders>
            <w:shd w:val="clear" w:color="auto" w:fill="auto"/>
            <w:noWrap/>
            <w:vAlign w:val="bottom"/>
            <w:hideMark/>
          </w:tcPr>
          <w:p w14:paraId="27264C8A"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9</w:t>
            </w:r>
          </w:p>
        </w:tc>
        <w:tc>
          <w:tcPr>
            <w:tcW w:w="912" w:type="dxa"/>
            <w:tcBorders>
              <w:top w:val="nil"/>
              <w:left w:val="nil"/>
              <w:bottom w:val="single" w:sz="4" w:space="0" w:color="auto"/>
              <w:right w:val="single" w:sz="4" w:space="0" w:color="auto"/>
            </w:tcBorders>
            <w:shd w:val="clear" w:color="auto" w:fill="auto"/>
            <w:noWrap/>
            <w:vAlign w:val="bottom"/>
            <w:hideMark/>
          </w:tcPr>
          <w:p w14:paraId="03531909"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31</w:t>
            </w:r>
          </w:p>
        </w:tc>
        <w:tc>
          <w:tcPr>
            <w:tcW w:w="1075" w:type="dxa"/>
            <w:tcBorders>
              <w:top w:val="nil"/>
              <w:left w:val="nil"/>
              <w:bottom w:val="single" w:sz="4" w:space="0" w:color="auto"/>
              <w:right w:val="single" w:sz="4" w:space="0" w:color="auto"/>
            </w:tcBorders>
            <w:shd w:val="clear" w:color="auto" w:fill="auto"/>
            <w:noWrap/>
            <w:vAlign w:val="bottom"/>
            <w:hideMark/>
          </w:tcPr>
          <w:p w14:paraId="25F42C03"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3 919.5</w:t>
            </w:r>
          </w:p>
        </w:tc>
        <w:tc>
          <w:tcPr>
            <w:tcW w:w="1014" w:type="dxa"/>
            <w:tcBorders>
              <w:top w:val="nil"/>
              <w:left w:val="nil"/>
              <w:bottom w:val="single" w:sz="4" w:space="0" w:color="auto"/>
              <w:right w:val="single" w:sz="4" w:space="0" w:color="auto"/>
            </w:tcBorders>
            <w:shd w:val="clear" w:color="auto" w:fill="auto"/>
            <w:noWrap/>
            <w:vAlign w:val="bottom"/>
            <w:hideMark/>
          </w:tcPr>
          <w:p w14:paraId="23493C58"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9</w:t>
            </w:r>
          </w:p>
        </w:tc>
        <w:tc>
          <w:tcPr>
            <w:tcW w:w="961" w:type="dxa"/>
            <w:tcBorders>
              <w:top w:val="nil"/>
              <w:left w:val="nil"/>
              <w:bottom w:val="single" w:sz="4" w:space="0" w:color="auto"/>
              <w:right w:val="single" w:sz="4" w:space="0" w:color="auto"/>
            </w:tcBorders>
            <w:shd w:val="clear" w:color="auto" w:fill="auto"/>
            <w:noWrap/>
            <w:vAlign w:val="bottom"/>
            <w:hideMark/>
          </w:tcPr>
          <w:p w14:paraId="4B9CD0DD"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21</w:t>
            </w:r>
          </w:p>
        </w:tc>
        <w:tc>
          <w:tcPr>
            <w:tcW w:w="947" w:type="dxa"/>
            <w:tcBorders>
              <w:top w:val="nil"/>
              <w:left w:val="nil"/>
              <w:bottom w:val="single" w:sz="4" w:space="0" w:color="auto"/>
              <w:right w:val="single" w:sz="4" w:space="0" w:color="auto"/>
            </w:tcBorders>
            <w:shd w:val="clear" w:color="auto" w:fill="auto"/>
            <w:noWrap/>
            <w:vAlign w:val="bottom"/>
            <w:hideMark/>
          </w:tcPr>
          <w:p w14:paraId="5A058068"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5 354.9</w:t>
            </w:r>
          </w:p>
        </w:tc>
      </w:tr>
      <w:tr w:rsidR="00FB1833" w:rsidRPr="00B13B9A" w14:paraId="0C293D1A" w14:textId="77777777" w:rsidTr="008156E3">
        <w:trPr>
          <w:trHeight w:val="2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B377342" w14:textId="34DB9141" w:rsidR="00FB1833" w:rsidRPr="00B13B9A" w:rsidRDefault="00FB1833" w:rsidP="008156E3">
            <w:pPr>
              <w:spacing w:after="0" w:line="240" w:lineRule="auto"/>
              <w:rPr>
                <w:rFonts w:asciiTheme="majorHAnsi" w:eastAsia="Times New Roman" w:hAnsiTheme="majorHAnsi" w:cstheme="majorHAnsi"/>
                <w:bCs/>
                <w:color w:val="000000"/>
                <w:sz w:val="20"/>
                <w:szCs w:val="20"/>
                <w:lang w:val="ro-MD"/>
              </w:rPr>
            </w:pPr>
            <w:r w:rsidRPr="00B13B9A">
              <w:rPr>
                <w:rFonts w:asciiTheme="majorHAnsi" w:eastAsia="Times New Roman" w:hAnsiTheme="majorHAnsi" w:cstheme="majorHAnsi"/>
                <w:bCs/>
                <w:color w:val="000000"/>
                <w:sz w:val="20"/>
                <w:szCs w:val="20"/>
                <w:lang w:val="ro-MD"/>
              </w:rPr>
              <w:t>Licita</w:t>
            </w:r>
            <w:r w:rsidR="00B13B9A" w:rsidRPr="00B13B9A">
              <w:rPr>
                <w:rFonts w:asciiTheme="majorHAnsi" w:eastAsia="Times New Roman" w:hAnsiTheme="majorHAnsi" w:cstheme="majorHAnsi"/>
                <w:bCs/>
                <w:color w:val="000000"/>
                <w:sz w:val="20"/>
                <w:szCs w:val="20"/>
                <w:lang w:val="ro-MD"/>
              </w:rPr>
              <w:t>ț</w:t>
            </w:r>
            <w:r w:rsidRPr="00B13B9A">
              <w:rPr>
                <w:rFonts w:asciiTheme="majorHAnsi" w:eastAsia="Times New Roman" w:hAnsiTheme="majorHAnsi" w:cstheme="majorHAnsi"/>
                <w:bCs/>
                <w:color w:val="000000"/>
                <w:sz w:val="20"/>
                <w:szCs w:val="20"/>
                <w:lang w:val="ro-MD"/>
              </w:rPr>
              <w:t>ie electronică</w:t>
            </w:r>
          </w:p>
        </w:tc>
        <w:tc>
          <w:tcPr>
            <w:tcW w:w="921" w:type="dxa"/>
            <w:tcBorders>
              <w:top w:val="nil"/>
              <w:left w:val="nil"/>
              <w:bottom w:val="single" w:sz="4" w:space="0" w:color="auto"/>
              <w:right w:val="single" w:sz="4" w:space="0" w:color="auto"/>
            </w:tcBorders>
            <w:shd w:val="clear" w:color="auto" w:fill="auto"/>
            <w:noWrap/>
            <w:vAlign w:val="bottom"/>
            <w:hideMark/>
          </w:tcPr>
          <w:p w14:paraId="494D9F57"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12</w:t>
            </w:r>
          </w:p>
        </w:tc>
        <w:tc>
          <w:tcPr>
            <w:tcW w:w="912" w:type="dxa"/>
            <w:tcBorders>
              <w:top w:val="nil"/>
              <w:left w:val="nil"/>
              <w:bottom w:val="single" w:sz="4" w:space="0" w:color="auto"/>
              <w:right w:val="single" w:sz="4" w:space="0" w:color="auto"/>
            </w:tcBorders>
            <w:shd w:val="clear" w:color="auto" w:fill="auto"/>
            <w:noWrap/>
            <w:vAlign w:val="bottom"/>
            <w:hideMark/>
          </w:tcPr>
          <w:p w14:paraId="41E6A9E4"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14</w:t>
            </w:r>
          </w:p>
        </w:tc>
        <w:tc>
          <w:tcPr>
            <w:tcW w:w="943" w:type="dxa"/>
            <w:tcBorders>
              <w:top w:val="nil"/>
              <w:left w:val="nil"/>
              <w:bottom w:val="single" w:sz="4" w:space="0" w:color="auto"/>
              <w:right w:val="single" w:sz="4" w:space="0" w:color="auto"/>
            </w:tcBorders>
            <w:shd w:val="clear" w:color="auto" w:fill="auto"/>
            <w:noWrap/>
            <w:vAlign w:val="bottom"/>
            <w:hideMark/>
          </w:tcPr>
          <w:p w14:paraId="49106F23"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1 326.2</w:t>
            </w:r>
          </w:p>
        </w:tc>
        <w:tc>
          <w:tcPr>
            <w:tcW w:w="921" w:type="dxa"/>
            <w:tcBorders>
              <w:top w:val="nil"/>
              <w:left w:val="nil"/>
              <w:bottom w:val="single" w:sz="4" w:space="0" w:color="auto"/>
              <w:right w:val="single" w:sz="4" w:space="0" w:color="auto"/>
            </w:tcBorders>
            <w:shd w:val="clear" w:color="auto" w:fill="auto"/>
            <w:noWrap/>
            <w:vAlign w:val="bottom"/>
            <w:hideMark/>
          </w:tcPr>
          <w:p w14:paraId="16846D5B"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7</w:t>
            </w:r>
          </w:p>
        </w:tc>
        <w:tc>
          <w:tcPr>
            <w:tcW w:w="912" w:type="dxa"/>
            <w:tcBorders>
              <w:top w:val="nil"/>
              <w:left w:val="nil"/>
              <w:bottom w:val="single" w:sz="4" w:space="0" w:color="auto"/>
              <w:right w:val="single" w:sz="4" w:space="0" w:color="auto"/>
            </w:tcBorders>
            <w:shd w:val="clear" w:color="auto" w:fill="auto"/>
            <w:noWrap/>
            <w:vAlign w:val="bottom"/>
            <w:hideMark/>
          </w:tcPr>
          <w:p w14:paraId="7163F527"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14</w:t>
            </w:r>
          </w:p>
        </w:tc>
        <w:tc>
          <w:tcPr>
            <w:tcW w:w="1075" w:type="dxa"/>
            <w:tcBorders>
              <w:top w:val="nil"/>
              <w:left w:val="nil"/>
              <w:bottom w:val="single" w:sz="4" w:space="0" w:color="auto"/>
              <w:right w:val="single" w:sz="4" w:space="0" w:color="auto"/>
            </w:tcBorders>
            <w:shd w:val="clear" w:color="auto" w:fill="auto"/>
            <w:noWrap/>
            <w:vAlign w:val="bottom"/>
            <w:hideMark/>
          </w:tcPr>
          <w:p w14:paraId="22C0C2BE"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804.9</w:t>
            </w:r>
          </w:p>
        </w:tc>
        <w:tc>
          <w:tcPr>
            <w:tcW w:w="1014" w:type="dxa"/>
            <w:tcBorders>
              <w:top w:val="nil"/>
              <w:left w:val="nil"/>
              <w:bottom w:val="single" w:sz="4" w:space="0" w:color="auto"/>
              <w:right w:val="single" w:sz="4" w:space="0" w:color="auto"/>
            </w:tcBorders>
            <w:shd w:val="clear" w:color="auto" w:fill="auto"/>
            <w:noWrap/>
            <w:vAlign w:val="bottom"/>
            <w:hideMark/>
          </w:tcPr>
          <w:p w14:paraId="57FBCA50"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10</w:t>
            </w:r>
          </w:p>
        </w:tc>
        <w:tc>
          <w:tcPr>
            <w:tcW w:w="961" w:type="dxa"/>
            <w:tcBorders>
              <w:top w:val="nil"/>
              <w:left w:val="nil"/>
              <w:bottom w:val="single" w:sz="4" w:space="0" w:color="auto"/>
              <w:right w:val="single" w:sz="4" w:space="0" w:color="auto"/>
            </w:tcBorders>
            <w:shd w:val="clear" w:color="auto" w:fill="auto"/>
            <w:noWrap/>
            <w:vAlign w:val="bottom"/>
            <w:hideMark/>
          </w:tcPr>
          <w:p w14:paraId="718D505A"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22</w:t>
            </w:r>
          </w:p>
        </w:tc>
        <w:tc>
          <w:tcPr>
            <w:tcW w:w="947" w:type="dxa"/>
            <w:tcBorders>
              <w:top w:val="nil"/>
              <w:left w:val="nil"/>
              <w:bottom w:val="single" w:sz="4" w:space="0" w:color="auto"/>
              <w:right w:val="single" w:sz="4" w:space="0" w:color="auto"/>
            </w:tcBorders>
            <w:shd w:val="clear" w:color="auto" w:fill="auto"/>
            <w:noWrap/>
            <w:vAlign w:val="bottom"/>
            <w:hideMark/>
          </w:tcPr>
          <w:p w14:paraId="55507F1C"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788.8</w:t>
            </w:r>
          </w:p>
        </w:tc>
      </w:tr>
      <w:tr w:rsidR="00FB1833" w:rsidRPr="00B13B9A" w14:paraId="51CE1F2C" w14:textId="77777777" w:rsidTr="008156E3">
        <w:trPr>
          <w:trHeight w:val="2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2519BF73" w14:textId="77777777" w:rsidR="00FB1833" w:rsidRPr="00B13B9A" w:rsidRDefault="00FB1833" w:rsidP="008156E3">
            <w:pPr>
              <w:spacing w:after="0" w:line="240" w:lineRule="auto"/>
              <w:rPr>
                <w:rFonts w:asciiTheme="majorHAnsi" w:eastAsia="Times New Roman" w:hAnsiTheme="majorHAnsi" w:cstheme="majorHAnsi"/>
                <w:bCs/>
                <w:color w:val="000000"/>
                <w:sz w:val="20"/>
                <w:szCs w:val="20"/>
                <w:lang w:val="ro-MD"/>
              </w:rPr>
            </w:pPr>
            <w:r w:rsidRPr="00B13B9A">
              <w:rPr>
                <w:rFonts w:asciiTheme="majorHAnsi" w:eastAsia="Times New Roman" w:hAnsiTheme="majorHAnsi" w:cstheme="majorHAnsi"/>
                <w:bCs/>
                <w:color w:val="000000"/>
                <w:sz w:val="20"/>
                <w:szCs w:val="20"/>
                <w:lang w:val="ro-MD"/>
              </w:rPr>
              <w:t>Valoare mică (contractare directă)</w:t>
            </w:r>
          </w:p>
        </w:tc>
        <w:tc>
          <w:tcPr>
            <w:tcW w:w="921" w:type="dxa"/>
            <w:tcBorders>
              <w:top w:val="nil"/>
              <w:left w:val="nil"/>
              <w:bottom w:val="single" w:sz="4" w:space="0" w:color="auto"/>
              <w:right w:val="single" w:sz="4" w:space="0" w:color="auto"/>
            </w:tcBorders>
            <w:shd w:val="clear" w:color="auto" w:fill="auto"/>
            <w:noWrap/>
            <w:vAlign w:val="bottom"/>
            <w:hideMark/>
          </w:tcPr>
          <w:p w14:paraId="67D270AC"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12" w:type="dxa"/>
            <w:tcBorders>
              <w:top w:val="nil"/>
              <w:left w:val="nil"/>
              <w:bottom w:val="single" w:sz="4" w:space="0" w:color="auto"/>
              <w:right w:val="single" w:sz="4" w:space="0" w:color="auto"/>
            </w:tcBorders>
            <w:shd w:val="clear" w:color="auto" w:fill="auto"/>
            <w:noWrap/>
            <w:vAlign w:val="bottom"/>
            <w:hideMark/>
          </w:tcPr>
          <w:p w14:paraId="0F3964C8"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35</w:t>
            </w:r>
          </w:p>
        </w:tc>
        <w:tc>
          <w:tcPr>
            <w:tcW w:w="943" w:type="dxa"/>
            <w:tcBorders>
              <w:top w:val="nil"/>
              <w:left w:val="nil"/>
              <w:bottom w:val="single" w:sz="4" w:space="0" w:color="auto"/>
              <w:right w:val="single" w:sz="4" w:space="0" w:color="auto"/>
            </w:tcBorders>
            <w:shd w:val="clear" w:color="auto" w:fill="auto"/>
            <w:noWrap/>
            <w:vAlign w:val="bottom"/>
            <w:hideMark/>
          </w:tcPr>
          <w:p w14:paraId="27DC0E85"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3 738.3</w:t>
            </w:r>
          </w:p>
        </w:tc>
        <w:tc>
          <w:tcPr>
            <w:tcW w:w="921" w:type="dxa"/>
            <w:tcBorders>
              <w:top w:val="nil"/>
              <w:left w:val="nil"/>
              <w:bottom w:val="single" w:sz="4" w:space="0" w:color="auto"/>
              <w:right w:val="single" w:sz="4" w:space="0" w:color="auto"/>
            </w:tcBorders>
            <w:shd w:val="clear" w:color="auto" w:fill="auto"/>
            <w:noWrap/>
            <w:vAlign w:val="bottom"/>
            <w:hideMark/>
          </w:tcPr>
          <w:p w14:paraId="4025D131"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12" w:type="dxa"/>
            <w:tcBorders>
              <w:top w:val="nil"/>
              <w:left w:val="nil"/>
              <w:bottom w:val="single" w:sz="4" w:space="0" w:color="auto"/>
              <w:right w:val="single" w:sz="4" w:space="0" w:color="auto"/>
            </w:tcBorders>
            <w:shd w:val="clear" w:color="auto" w:fill="auto"/>
            <w:noWrap/>
            <w:vAlign w:val="bottom"/>
            <w:hideMark/>
          </w:tcPr>
          <w:p w14:paraId="05D72C95"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47</w:t>
            </w:r>
          </w:p>
        </w:tc>
        <w:tc>
          <w:tcPr>
            <w:tcW w:w="1075" w:type="dxa"/>
            <w:tcBorders>
              <w:top w:val="nil"/>
              <w:left w:val="nil"/>
              <w:bottom w:val="single" w:sz="4" w:space="0" w:color="auto"/>
              <w:right w:val="single" w:sz="4" w:space="0" w:color="auto"/>
            </w:tcBorders>
            <w:shd w:val="clear" w:color="auto" w:fill="auto"/>
            <w:noWrap/>
            <w:vAlign w:val="bottom"/>
            <w:hideMark/>
          </w:tcPr>
          <w:p w14:paraId="2AD5F332"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2 436.3</w:t>
            </w:r>
          </w:p>
        </w:tc>
        <w:tc>
          <w:tcPr>
            <w:tcW w:w="1014" w:type="dxa"/>
            <w:tcBorders>
              <w:top w:val="nil"/>
              <w:left w:val="nil"/>
              <w:bottom w:val="single" w:sz="4" w:space="0" w:color="auto"/>
              <w:right w:val="single" w:sz="4" w:space="0" w:color="auto"/>
            </w:tcBorders>
            <w:shd w:val="clear" w:color="auto" w:fill="auto"/>
            <w:noWrap/>
            <w:vAlign w:val="bottom"/>
            <w:hideMark/>
          </w:tcPr>
          <w:p w14:paraId="6CDF9F4D"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61" w:type="dxa"/>
            <w:tcBorders>
              <w:top w:val="nil"/>
              <w:left w:val="nil"/>
              <w:bottom w:val="single" w:sz="4" w:space="0" w:color="auto"/>
              <w:right w:val="single" w:sz="4" w:space="0" w:color="auto"/>
            </w:tcBorders>
            <w:shd w:val="clear" w:color="auto" w:fill="auto"/>
            <w:noWrap/>
            <w:vAlign w:val="bottom"/>
            <w:hideMark/>
          </w:tcPr>
          <w:p w14:paraId="59EF3A84"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32</w:t>
            </w:r>
          </w:p>
        </w:tc>
        <w:tc>
          <w:tcPr>
            <w:tcW w:w="947" w:type="dxa"/>
            <w:tcBorders>
              <w:top w:val="nil"/>
              <w:left w:val="nil"/>
              <w:bottom w:val="single" w:sz="4" w:space="0" w:color="auto"/>
              <w:right w:val="single" w:sz="4" w:space="0" w:color="auto"/>
            </w:tcBorders>
            <w:shd w:val="clear" w:color="auto" w:fill="auto"/>
            <w:noWrap/>
            <w:vAlign w:val="bottom"/>
            <w:hideMark/>
          </w:tcPr>
          <w:p w14:paraId="49A4C95F"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3 557.5</w:t>
            </w:r>
          </w:p>
        </w:tc>
      </w:tr>
      <w:tr w:rsidR="00FB1833" w:rsidRPr="00B13B9A" w14:paraId="1D4EC88B" w14:textId="77777777" w:rsidTr="008156E3">
        <w:trPr>
          <w:trHeight w:val="20"/>
        </w:trPr>
        <w:tc>
          <w:tcPr>
            <w:tcW w:w="1843" w:type="dxa"/>
            <w:tcBorders>
              <w:top w:val="nil"/>
              <w:left w:val="single" w:sz="4" w:space="0" w:color="auto"/>
              <w:bottom w:val="single" w:sz="4" w:space="0" w:color="auto"/>
              <w:right w:val="single" w:sz="4" w:space="0" w:color="auto"/>
            </w:tcBorders>
            <w:shd w:val="clear" w:color="auto" w:fill="auto"/>
            <w:noWrap/>
            <w:vAlign w:val="bottom"/>
          </w:tcPr>
          <w:p w14:paraId="6B8EB6C5" w14:textId="12E78D94" w:rsidR="00FB1833" w:rsidRPr="00B13B9A" w:rsidRDefault="00FB1833" w:rsidP="00FB2E99">
            <w:pPr>
              <w:spacing w:after="0" w:line="240" w:lineRule="auto"/>
              <w:rPr>
                <w:rFonts w:asciiTheme="majorHAnsi" w:eastAsia="Times New Roman" w:hAnsiTheme="majorHAnsi" w:cstheme="majorHAnsi"/>
                <w:bCs/>
                <w:color w:val="000000"/>
                <w:sz w:val="20"/>
                <w:szCs w:val="20"/>
                <w:lang w:val="ro-MD"/>
              </w:rPr>
            </w:pPr>
            <w:r w:rsidRPr="00B13B9A">
              <w:rPr>
                <w:rFonts w:asciiTheme="majorHAnsi" w:eastAsia="Times New Roman" w:hAnsiTheme="majorHAnsi" w:cstheme="majorHAnsi"/>
                <w:bCs/>
                <w:color w:val="000000"/>
                <w:sz w:val="20"/>
                <w:szCs w:val="20"/>
                <w:lang w:val="ro-MD"/>
              </w:rPr>
              <w:t>Achizi</w:t>
            </w:r>
            <w:r w:rsidR="00B13B9A" w:rsidRPr="00B13B9A">
              <w:rPr>
                <w:rFonts w:asciiTheme="majorHAnsi" w:eastAsia="Times New Roman" w:hAnsiTheme="majorHAnsi" w:cstheme="majorHAnsi"/>
                <w:bCs/>
                <w:color w:val="000000"/>
                <w:sz w:val="20"/>
                <w:szCs w:val="20"/>
                <w:lang w:val="ro-MD"/>
              </w:rPr>
              <w:t>ț</w:t>
            </w:r>
            <w:r w:rsidRPr="00B13B9A">
              <w:rPr>
                <w:rFonts w:asciiTheme="majorHAnsi" w:eastAsia="Times New Roman" w:hAnsiTheme="majorHAnsi" w:cstheme="majorHAnsi"/>
                <w:bCs/>
                <w:color w:val="000000"/>
                <w:sz w:val="20"/>
                <w:szCs w:val="20"/>
                <w:lang w:val="ro-MD"/>
              </w:rPr>
              <w:t>ie de p</w:t>
            </w:r>
            <w:r w:rsidR="00FB2E99" w:rsidRPr="00B13B9A">
              <w:rPr>
                <w:rFonts w:asciiTheme="majorHAnsi" w:eastAsia="Times New Roman" w:hAnsiTheme="majorHAnsi" w:cstheme="majorHAnsi"/>
                <w:bCs/>
                <w:color w:val="000000"/>
                <w:sz w:val="20"/>
                <w:szCs w:val="20"/>
                <w:lang w:val="ro-MD"/>
              </w:rPr>
              <w:t>â</w:t>
            </w:r>
            <w:r w:rsidRPr="00B13B9A">
              <w:rPr>
                <w:rFonts w:asciiTheme="majorHAnsi" w:eastAsia="Times New Roman" w:hAnsiTheme="majorHAnsi" w:cstheme="majorHAnsi"/>
                <w:bCs/>
                <w:color w:val="000000"/>
                <w:sz w:val="20"/>
                <w:szCs w:val="20"/>
                <w:lang w:val="ro-MD"/>
              </w:rPr>
              <w:t>nă la 10,0 mi</w:t>
            </w:r>
            <w:r w:rsidR="00FB2E99" w:rsidRPr="00B13B9A">
              <w:rPr>
                <w:rFonts w:asciiTheme="majorHAnsi" w:eastAsia="Times New Roman" w:hAnsiTheme="majorHAnsi" w:cstheme="majorHAnsi"/>
                <w:bCs/>
                <w:color w:val="000000"/>
                <w:sz w:val="20"/>
                <w:szCs w:val="20"/>
                <w:lang w:val="ro-MD"/>
              </w:rPr>
              <w:t>i</w:t>
            </w:r>
            <w:r w:rsidRPr="00B13B9A">
              <w:rPr>
                <w:rFonts w:asciiTheme="majorHAnsi" w:eastAsia="Times New Roman" w:hAnsiTheme="majorHAnsi" w:cstheme="majorHAnsi"/>
                <w:bCs/>
                <w:color w:val="000000"/>
                <w:sz w:val="20"/>
                <w:szCs w:val="20"/>
                <w:lang w:val="ro-MD"/>
              </w:rPr>
              <w:t xml:space="preserve"> lei</w:t>
            </w:r>
          </w:p>
        </w:tc>
        <w:tc>
          <w:tcPr>
            <w:tcW w:w="921" w:type="dxa"/>
            <w:tcBorders>
              <w:top w:val="nil"/>
              <w:left w:val="nil"/>
              <w:bottom w:val="single" w:sz="4" w:space="0" w:color="auto"/>
              <w:right w:val="single" w:sz="4" w:space="0" w:color="auto"/>
            </w:tcBorders>
            <w:shd w:val="clear" w:color="auto" w:fill="auto"/>
            <w:noWrap/>
            <w:vAlign w:val="bottom"/>
          </w:tcPr>
          <w:p w14:paraId="5D0690F6"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12" w:type="dxa"/>
            <w:tcBorders>
              <w:top w:val="nil"/>
              <w:left w:val="nil"/>
              <w:bottom w:val="single" w:sz="4" w:space="0" w:color="auto"/>
              <w:right w:val="single" w:sz="4" w:space="0" w:color="auto"/>
            </w:tcBorders>
            <w:shd w:val="clear" w:color="auto" w:fill="auto"/>
            <w:noWrap/>
            <w:vAlign w:val="bottom"/>
          </w:tcPr>
          <w:p w14:paraId="5FF40EB3"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16</w:t>
            </w:r>
          </w:p>
        </w:tc>
        <w:tc>
          <w:tcPr>
            <w:tcW w:w="943" w:type="dxa"/>
            <w:tcBorders>
              <w:top w:val="nil"/>
              <w:left w:val="nil"/>
              <w:bottom w:val="single" w:sz="4" w:space="0" w:color="auto"/>
              <w:right w:val="single" w:sz="4" w:space="0" w:color="auto"/>
            </w:tcBorders>
            <w:shd w:val="clear" w:color="auto" w:fill="auto"/>
            <w:noWrap/>
            <w:vAlign w:val="bottom"/>
          </w:tcPr>
          <w:p w14:paraId="30E4C0FF"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48.4</w:t>
            </w:r>
          </w:p>
        </w:tc>
        <w:tc>
          <w:tcPr>
            <w:tcW w:w="921" w:type="dxa"/>
            <w:tcBorders>
              <w:top w:val="nil"/>
              <w:left w:val="nil"/>
              <w:bottom w:val="single" w:sz="4" w:space="0" w:color="auto"/>
              <w:right w:val="single" w:sz="4" w:space="0" w:color="auto"/>
            </w:tcBorders>
            <w:shd w:val="clear" w:color="auto" w:fill="auto"/>
            <w:noWrap/>
            <w:vAlign w:val="bottom"/>
          </w:tcPr>
          <w:p w14:paraId="52CCB38D"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12" w:type="dxa"/>
            <w:tcBorders>
              <w:top w:val="nil"/>
              <w:left w:val="nil"/>
              <w:bottom w:val="single" w:sz="4" w:space="0" w:color="auto"/>
              <w:right w:val="single" w:sz="4" w:space="0" w:color="auto"/>
            </w:tcBorders>
            <w:shd w:val="clear" w:color="auto" w:fill="auto"/>
            <w:noWrap/>
            <w:vAlign w:val="bottom"/>
          </w:tcPr>
          <w:p w14:paraId="12111BEA"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8</w:t>
            </w:r>
          </w:p>
        </w:tc>
        <w:tc>
          <w:tcPr>
            <w:tcW w:w="1075" w:type="dxa"/>
            <w:tcBorders>
              <w:top w:val="nil"/>
              <w:left w:val="nil"/>
              <w:bottom w:val="single" w:sz="4" w:space="0" w:color="auto"/>
              <w:right w:val="single" w:sz="4" w:space="0" w:color="auto"/>
            </w:tcBorders>
            <w:shd w:val="clear" w:color="auto" w:fill="auto"/>
            <w:noWrap/>
            <w:vAlign w:val="bottom"/>
          </w:tcPr>
          <w:p w14:paraId="3568A4DE"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44.6</w:t>
            </w:r>
          </w:p>
        </w:tc>
        <w:tc>
          <w:tcPr>
            <w:tcW w:w="1014" w:type="dxa"/>
            <w:tcBorders>
              <w:top w:val="nil"/>
              <w:left w:val="nil"/>
              <w:bottom w:val="single" w:sz="4" w:space="0" w:color="auto"/>
              <w:right w:val="single" w:sz="4" w:space="0" w:color="auto"/>
            </w:tcBorders>
            <w:shd w:val="clear" w:color="auto" w:fill="auto"/>
            <w:noWrap/>
            <w:vAlign w:val="bottom"/>
          </w:tcPr>
          <w:p w14:paraId="0A89AFB8"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61" w:type="dxa"/>
            <w:tcBorders>
              <w:top w:val="nil"/>
              <w:left w:val="nil"/>
              <w:bottom w:val="single" w:sz="4" w:space="0" w:color="auto"/>
              <w:right w:val="single" w:sz="4" w:space="0" w:color="auto"/>
            </w:tcBorders>
            <w:shd w:val="clear" w:color="auto" w:fill="auto"/>
            <w:noWrap/>
            <w:vAlign w:val="bottom"/>
          </w:tcPr>
          <w:p w14:paraId="5F26DBDE"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12</w:t>
            </w:r>
          </w:p>
        </w:tc>
        <w:tc>
          <w:tcPr>
            <w:tcW w:w="947" w:type="dxa"/>
            <w:tcBorders>
              <w:top w:val="nil"/>
              <w:left w:val="nil"/>
              <w:bottom w:val="single" w:sz="4" w:space="0" w:color="auto"/>
              <w:right w:val="single" w:sz="4" w:space="0" w:color="auto"/>
            </w:tcBorders>
            <w:shd w:val="clear" w:color="auto" w:fill="auto"/>
            <w:noWrap/>
            <w:vAlign w:val="bottom"/>
          </w:tcPr>
          <w:p w14:paraId="70CDAC10"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43.1</w:t>
            </w:r>
          </w:p>
        </w:tc>
      </w:tr>
      <w:tr w:rsidR="00FB1833" w:rsidRPr="00B13B9A" w14:paraId="68FA8E87" w14:textId="77777777" w:rsidTr="008156E3">
        <w:trPr>
          <w:trHeight w:val="2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270312B" w14:textId="2419B6A9" w:rsidR="00FB1833" w:rsidRPr="00B13B9A" w:rsidRDefault="00FB1833" w:rsidP="008156E3">
            <w:pPr>
              <w:spacing w:after="0" w:line="240" w:lineRule="auto"/>
              <w:rPr>
                <w:rFonts w:asciiTheme="majorHAnsi" w:eastAsia="Times New Roman" w:hAnsiTheme="majorHAnsi" w:cstheme="majorHAnsi"/>
                <w:bCs/>
                <w:color w:val="000000"/>
                <w:sz w:val="20"/>
                <w:szCs w:val="20"/>
                <w:lang w:val="ro-MD"/>
              </w:rPr>
            </w:pPr>
            <w:r w:rsidRPr="00B13B9A">
              <w:rPr>
                <w:rFonts w:asciiTheme="majorHAnsi" w:eastAsia="Times New Roman" w:hAnsiTheme="majorHAnsi" w:cstheme="majorHAnsi"/>
                <w:bCs/>
                <w:color w:val="000000"/>
                <w:sz w:val="20"/>
                <w:szCs w:val="20"/>
                <w:lang w:val="ro-MD"/>
              </w:rPr>
              <w:t>Achizi</w:t>
            </w:r>
            <w:r w:rsidR="00B13B9A" w:rsidRPr="00B13B9A">
              <w:rPr>
                <w:rFonts w:asciiTheme="majorHAnsi" w:eastAsia="Times New Roman" w:hAnsiTheme="majorHAnsi" w:cstheme="majorHAnsi"/>
                <w:bCs/>
                <w:color w:val="000000"/>
                <w:sz w:val="20"/>
                <w:szCs w:val="20"/>
                <w:lang w:val="ro-MD"/>
              </w:rPr>
              <w:t>ț</w:t>
            </w:r>
            <w:r w:rsidRPr="00B13B9A">
              <w:rPr>
                <w:rFonts w:asciiTheme="majorHAnsi" w:eastAsia="Times New Roman" w:hAnsiTheme="majorHAnsi" w:cstheme="majorHAnsi"/>
                <w:bCs/>
                <w:color w:val="000000"/>
                <w:sz w:val="20"/>
                <w:szCs w:val="20"/>
                <w:lang w:val="ro-MD"/>
              </w:rPr>
              <w:t xml:space="preserve">ii CAPCS, </w:t>
            </w:r>
            <w:r w:rsidRPr="00B13B9A">
              <w:rPr>
                <w:rFonts w:asciiTheme="majorHAnsi" w:eastAsia="Times New Roman" w:hAnsiTheme="majorHAnsi" w:cstheme="majorHAnsi"/>
                <w:bCs/>
                <w:color w:val="000000"/>
                <w:sz w:val="18"/>
                <w:szCs w:val="20"/>
                <w:lang w:val="ro-MD"/>
              </w:rPr>
              <w:t>inclusiv:</w:t>
            </w:r>
          </w:p>
        </w:tc>
        <w:tc>
          <w:tcPr>
            <w:tcW w:w="921" w:type="dxa"/>
            <w:tcBorders>
              <w:top w:val="nil"/>
              <w:left w:val="nil"/>
              <w:bottom w:val="single" w:sz="4" w:space="0" w:color="auto"/>
              <w:right w:val="single" w:sz="4" w:space="0" w:color="auto"/>
            </w:tcBorders>
            <w:shd w:val="clear" w:color="auto" w:fill="auto"/>
            <w:noWrap/>
            <w:vAlign w:val="bottom"/>
            <w:hideMark/>
          </w:tcPr>
          <w:p w14:paraId="551B330F"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17</w:t>
            </w:r>
          </w:p>
        </w:tc>
        <w:tc>
          <w:tcPr>
            <w:tcW w:w="912" w:type="dxa"/>
            <w:tcBorders>
              <w:top w:val="nil"/>
              <w:left w:val="nil"/>
              <w:bottom w:val="single" w:sz="4" w:space="0" w:color="auto"/>
              <w:right w:val="single" w:sz="4" w:space="0" w:color="auto"/>
            </w:tcBorders>
            <w:shd w:val="clear" w:color="auto" w:fill="auto"/>
            <w:noWrap/>
            <w:vAlign w:val="bottom"/>
            <w:hideMark/>
          </w:tcPr>
          <w:p w14:paraId="0F82AAC8"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43" w:type="dxa"/>
            <w:tcBorders>
              <w:top w:val="nil"/>
              <w:left w:val="nil"/>
              <w:bottom w:val="single" w:sz="4" w:space="0" w:color="auto"/>
              <w:right w:val="single" w:sz="4" w:space="0" w:color="auto"/>
            </w:tcBorders>
            <w:shd w:val="clear" w:color="auto" w:fill="auto"/>
            <w:noWrap/>
            <w:vAlign w:val="bottom"/>
            <w:hideMark/>
          </w:tcPr>
          <w:p w14:paraId="22DE7673"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4 158.6</w:t>
            </w:r>
          </w:p>
        </w:tc>
        <w:tc>
          <w:tcPr>
            <w:tcW w:w="921" w:type="dxa"/>
            <w:tcBorders>
              <w:top w:val="nil"/>
              <w:left w:val="nil"/>
              <w:bottom w:val="single" w:sz="4" w:space="0" w:color="auto"/>
              <w:right w:val="single" w:sz="4" w:space="0" w:color="auto"/>
            </w:tcBorders>
            <w:shd w:val="clear" w:color="auto" w:fill="auto"/>
            <w:noWrap/>
            <w:vAlign w:val="bottom"/>
            <w:hideMark/>
          </w:tcPr>
          <w:p w14:paraId="4B72F1AB"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21</w:t>
            </w:r>
          </w:p>
        </w:tc>
        <w:tc>
          <w:tcPr>
            <w:tcW w:w="912" w:type="dxa"/>
            <w:tcBorders>
              <w:top w:val="nil"/>
              <w:left w:val="nil"/>
              <w:bottom w:val="single" w:sz="4" w:space="0" w:color="auto"/>
              <w:right w:val="single" w:sz="4" w:space="0" w:color="auto"/>
            </w:tcBorders>
            <w:shd w:val="clear" w:color="auto" w:fill="auto"/>
            <w:noWrap/>
            <w:vAlign w:val="bottom"/>
            <w:hideMark/>
          </w:tcPr>
          <w:p w14:paraId="13AE0970"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1075" w:type="dxa"/>
            <w:tcBorders>
              <w:top w:val="nil"/>
              <w:left w:val="nil"/>
              <w:bottom w:val="single" w:sz="4" w:space="0" w:color="auto"/>
              <w:right w:val="single" w:sz="4" w:space="0" w:color="auto"/>
            </w:tcBorders>
            <w:shd w:val="clear" w:color="auto" w:fill="auto"/>
            <w:noWrap/>
            <w:vAlign w:val="bottom"/>
            <w:hideMark/>
          </w:tcPr>
          <w:p w14:paraId="16ACB8C6"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2 659.5</w:t>
            </w:r>
          </w:p>
        </w:tc>
        <w:tc>
          <w:tcPr>
            <w:tcW w:w="1014" w:type="dxa"/>
            <w:tcBorders>
              <w:top w:val="nil"/>
              <w:left w:val="nil"/>
              <w:bottom w:val="single" w:sz="4" w:space="0" w:color="auto"/>
              <w:right w:val="single" w:sz="4" w:space="0" w:color="auto"/>
            </w:tcBorders>
            <w:shd w:val="clear" w:color="auto" w:fill="auto"/>
            <w:noWrap/>
            <w:vAlign w:val="bottom"/>
            <w:hideMark/>
          </w:tcPr>
          <w:p w14:paraId="7B394869"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18</w:t>
            </w:r>
          </w:p>
        </w:tc>
        <w:tc>
          <w:tcPr>
            <w:tcW w:w="961" w:type="dxa"/>
            <w:tcBorders>
              <w:top w:val="nil"/>
              <w:left w:val="nil"/>
              <w:bottom w:val="single" w:sz="4" w:space="0" w:color="auto"/>
              <w:right w:val="single" w:sz="4" w:space="0" w:color="auto"/>
            </w:tcBorders>
            <w:shd w:val="clear" w:color="auto" w:fill="auto"/>
            <w:noWrap/>
            <w:vAlign w:val="bottom"/>
            <w:hideMark/>
          </w:tcPr>
          <w:p w14:paraId="5F9BE518"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47" w:type="dxa"/>
            <w:tcBorders>
              <w:top w:val="nil"/>
              <w:left w:val="nil"/>
              <w:bottom w:val="single" w:sz="4" w:space="0" w:color="auto"/>
              <w:right w:val="single" w:sz="4" w:space="0" w:color="auto"/>
            </w:tcBorders>
            <w:shd w:val="clear" w:color="auto" w:fill="auto"/>
            <w:noWrap/>
            <w:vAlign w:val="bottom"/>
            <w:hideMark/>
          </w:tcPr>
          <w:p w14:paraId="7AB0BAC8"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1 188.6</w:t>
            </w:r>
          </w:p>
        </w:tc>
      </w:tr>
      <w:tr w:rsidR="00FB1833" w:rsidRPr="00B13B9A" w14:paraId="4A8AF778" w14:textId="77777777" w:rsidTr="008156E3">
        <w:trPr>
          <w:trHeight w:val="2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F3AC541" w14:textId="3CF433B7" w:rsidR="00FB1833" w:rsidRPr="00B13B9A" w:rsidRDefault="00FB1833" w:rsidP="008156E3">
            <w:pPr>
              <w:spacing w:after="0" w:line="240" w:lineRule="auto"/>
              <w:rPr>
                <w:rFonts w:asciiTheme="majorHAnsi" w:eastAsia="Times New Roman" w:hAnsiTheme="majorHAnsi" w:cstheme="majorHAnsi"/>
                <w:bCs/>
                <w:color w:val="000000"/>
                <w:sz w:val="20"/>
                <w:szCs w:val="20"/>
                <w:lang w:val="ro-MD"/>
              </w:rPr>
            </w:pPr>
            <w:r w:rsidRPr="00B13B9A">
              <w:rPr>
                <w:rFonts w:asciiTheme="majorHAnsi" w:eastAsia="Times New Roman" w:hAnsiTheme="majorHAnsi" w:cstheme="majorHAnsi"/>
                <w:bCs/>
                <w:color w:val="000000"/>
                <w:sz w:val="20"/>
                <w:szCs w:val="20"/>
                <w:lang w:val="ro-MD"/>
              </w:rPr>
              <w:t>Licita</w:t>
            </w:r>
            <w:r w:rsidR="00B13B9A" w:rsidRPr="00B13B9A">
              <w:rPr>
                <w:rFonts w:asciiTheme="majorHAnsi" w:eastAsia="Times New Roman" w:hAnsiTheme="majorHAnsi" w:cstheme="majorHAnsi"/>
                <w:bCs/>
                <w:color w:val="000000"/>
                <w:sz w:val="20"/>
                <w:szCs w:val="20"/>
                <w:lang w:val="ro-MD"/>
              </w:rPr>
              <w:t>ț</w:t>
            </w:r>
            <w:r w:rsidRPr="00B13B9A">
              <w:rPr>
                <w:rFonts w:asciiTheme="majorHAnsi" w:eastAsia="Times New Roman" w:hAnsiTheme="majorHAnsi" w:cstheme="majorHAnsi"/>
                <w:bCs/>
                <w:color w:val="000000"/>
                <w:sz w:val="20"/>
                <w:szCs w:val="20"/>
                <w:lang w:val="ro-MD"/>
              </w:rPr>
              <w:t>ii deschise</w:t>
            </w:r>
          </w:p>
        </w:tc>
        <w:tc>
          <w:tcPr>
            <w:tcW w:w="921" w:type="dxa"/>
            <w:tcBorders>
              <w:top w:val="nil"/>
              <w:left w:val="nil"/>
              <w:bottom w:val="single" w:sz="4" w:space="0" w:color="auto"/>
              <w:right w:val="single" w:sz="4" w:space="0" w:color="auto"/>
            </w:tcBorders>
            <w:shd w:val="clear" w:color="auto" w:fill="auto"/>
            <w:noWrap/>
            <w:vAlign w:val="bottom"/>
            <w:hideMark/>
          </w:tcPr>
          <w:p w14:paraId="3CAE4440"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17</w:t>
            </w:r>
          </w:p>
        </w:tc>
        <w:tc>
          <w:tcPr>
            <w:tcW w:w="912" w:type="dxa"/>
            <w:tcBorders>
              <w:top w:val="nil"/>
              <w:left w:val="nil"/>
              <w:bottom w:val="single" w:sz="4" w:space="0" w:color="auto"/>
              <w:right w:val="single" w:sz="4" w:space="0" w:color="auto"/>
            </w:tcBorders>
            <w:shd w:val="clear" w:color="auto" w:fill="auto"/>
            <w:noWrap/>
            <w:vAlign w:val="bottom"/>
            <w:hideMark/>
          </w:tcPr>
          <w:p w14:paraId="047D2BFD"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43" w:type="dxa"/>
            <w:tcBorders>
              <w:top w:val="nil"/>
              <w:left w:val="nil"/>
              <w:bottom w:val="single" w:sz="4" w:space="0" w:color="auto"/>
              <w:right w:val="single" w:sz="4" w:space="0" w:color="auto"/>
            </w:tcBorders>
            <w:shd w:val="clear" w:color="auto" w:fill="auto"/>
            <w:noWrap/>
            <w:vAlign w:val="bottom"/>
            <w:hideMark/>
          </w:tcPr>
          <w:p w14:paraId="510D2921"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4 158.6</w:t>
            </w:r>
          </w:p>
        </w:tc>
        <w:tc>
          <w:tcPr>
            <w:tcW w:w="921" w:type="dxa"/>
            <w:tcBorders>
              <w:top w:val="nil"/>
              <w:left w:val="nil"/>
              <w:bottom w:val="single" w:sz="4" w:space="0" w:color="auto"/>
              <w:right w:val="single" w:sz="4" w:space="0" w:color="auto"/>
            </w:tcBorders>
            <w:shd w:val="clear" w:color="auto" w:fill="auto"/>
            <w:noWrap/>
            <w:vAlign w:val="bottom"/>
            <w:hideMark/>
          </w:tcPr>
          <w:p w14:paraId="00EFB4E1"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14</w:t>
            </w:r>
          </w:p>
        </w:tc>
        <w:tc>
          <w:tcPr>
            <w:tcW w:w="912" w:type="dxa"/>
            <w:tcBorders>
              <w:top w:val="nil"/>
              <w:left w:val="nil"/>
              <w:bottom w:val="single" w:sz="4" w:space="0" w:color="auto"/>
              <w:right w:val="single" w:sz="4" w:space="0" w:color="auto"/>
            </w:tcBorders>
            <w:shd w:val="clear" w:color="auto" w:fill="auto"/>
            <w:noWrap/>
            <w:vAlign w:val="bottom"/>
            <w:hideMark/>
          </w:tcPr>
          <w:p w14:paraId="06FABFB5"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1075" w:type="dxa"/>
            <w:tcBorders>
              <w:top w:val="nil"/>
              <w:left w:val="nil"/>
              <w:bottom w:val="single" w:sz="4" w:space="0" w:color="auto"/>
              <w:right w:val="single" w:sz="4" w:space="0" w:color="auto"/>
            </w:tcBorders>
            <w:shd w:val="clear" w:color="auto" w:fill="auto"/>
            <w:noWrap/>
            <w:vAlign w:val="bottom"/>
            <w:hideMark/>
          </w:tcPr>
          <w:p w14:paraId="5C993D6C"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2 618.1</w:t>
            </w:r>
          </w:p>
        </w:tc>
        <w:tc>
          <w:tcPr>
            <w:tcW w:w="1014" w:type="dxa"/>
            <w:tcBorders>
              <w:top w:val="nil"/>
              <w:left w:val="nil"/>
              <w:bottom w:val="single" w:sz="4" w:space="0" w:color="auto"/>
              <w:right w:val="single" w:sz="4" w:space="0" w:color="auto"/>
            </w:tcBorders>
            <w:shd w:val="clear" w:color="auto" w:fill="auto"/>
            <w:noWrap/>
            <w:vAlign w:val="bottom"/>
            <w:hideMark/>
          </w:tcPr>
          <w:p w14:paraId="7DD64630"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18</w:t>
            </w:r>
          </w:p>
        </w:tc>
        <w:tc>
          <w:tcPr>
            <w:tcW w:w="961" w:type="dxa"/>
            <w:tcBorders>
              <w:top w:val="nil"/>
              <w:left w:val="nil"/>
              <w:bottom w:val="single" w:sz="4" w:space="0" w:color="auto"/>
              <w:right w:val="single" w:sz="4" w:space="0" w:color="auto"/>
            </w:tcBorders>
            <w:shd w:val="clear" w:color="auto" w:fill="auto"/>
            <w:noWrap/>
            <w:vAlign w:val="bottom"/>
            <w:hideMark/>
          </w:tcPr>
          <w:p w14:paraId="204FA1D1"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47" w:type="dxa"/>
            <w:tcBorders>
              <w:top w:val="nil"/>
              <w:left w:val="nil"/>
              <w:bottom w:val="single" w:sz="4" w:space="0" w:color="auto"/>
              <w:right w:val="single" w:sz="4" w:space="0" w:color="auto"/>
            </w:tcBorders>
            <w:shd w:val="clear" w:color="auto" w:fill="auto"/>
            <w:noWrap/>
            <w:vAlign w:val="bottom"/>
            <w:hideMark/>
          </w:tcPr>
          <w:p w14:paraId="29FF8480"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1 188.6</w:t>
            </w:r>
          </w:p>
        </w:tc>
      </w:tr>
      <w:tr w:rsidR="00FB1833" w:rsidRPr="00B13B9A" w14:paraId="3BD2183A" w14:textId="77777777" w:rsidTr="008156E3">
        <w:trPr>
          <w:trHeight w:val="2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50448FAF" w14:textId="77777777" w:rsidR="00FB1833" w:rsidRPr="00B13B9A" w:rsidRDefault="00FB1833" w:rsidP="008156E3">
            <w:pPr>
              <w:spacing w:after="0" w:line="240" w:lineRule="auto"/>
              <w:rPr>
                <w:rFonts w:asciiTheme="majorHAnsi" w:eastAsia="Times New Roman" w:hAnsiTheme="majorHAnsi" w:cstheme="majorHAnsi"/>
                <w:bCs/>
                <w:color w:val="000000"/>
                <w:sz w:val="20"/>
                <w:szCs w:val="20"/>
                <w:lang w:val="ro-MD"/>
              </w:rPr>
            </w:pPr>
            <w:r w:rsidRPr="00B13B9A">
              <w:rPr>
                <w:rFonts w:asciiTheme="majorHAnsi" w:eastAsia="Times New Roman" w:hAnsiTheme="majorHAnsi" w:cstheme="majorHAnsi"/>
                <w:bCs/>
                <w:color w:val="000000"/>
                <w:sz w:val="20"/>
                <w:szCs w:val="20"/>
                <w:lang w:val="ro-MD"/>
              </w:rPr>
              <w:t>COP</w:t>
            </w:r>
          </w:p>
        </w:tc>
        <w:tc>
          <w:tcPr>
            <w:tcW w:w="921" w:type="dxa"/>
            <w:tcBorders>
              <w:top w:val="nil"/>
              <w:left w:val="nil"/>
              <w:bottom w:val="single" w:sz="4" w:space="0" w:color="auto"/>
              <w:right w:val="single" w:sz="4" w:space="0" w:color="auto"/>
            </w:tcBorders>
            <w:shd w:val="clear" w:color="auto" w:fill="auto"/>
            <w:noWrap/>
            <w:vAlign w:val="bottom"/>
            <w:hideMark/>
          </w:tcPr>
          <w:p w14:paraId="71490549"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12" w:type="dxa"/>
            <w:tcBorders>
              <w:top w:val="nil"/>
              <w:left w:val="nil"/>
              <w:bottom w:val="single" w:sz="4" w:space="0" w:color="auto"/>
              <w:right w:val="single" w:sz="4" w:space="0" w:color="auto"/>
            </w:tcBorders>
            <w:shd w:val="clear" w:color="auto" w:fill="auto"/>
            <w:noWrap/>
            <w:vAlign w:val="bottom"/>
            <w:hideMark/>
          </w:tcPr>
          <w:p w14:paraId="195CC41F"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43" w:type="dxa"/>
            <w:tcBorders>
              <w:top w:val="nil"/>
              <w:left w:val="nil"/>
              <w:bottom w:val="single" w:sz="4" w:space="0" w:color="auto"/>
              <w:right w:val="single" w:sz="4" w:space="0" w:color="auto"/>
            </w:tcBorders>
            <w:shd w:val="clear" w:color="auto" w:fill="auto"/>
            <w:noWrap/>
            <w:vAlign w:val="bottom"/>
            <w:hideMark/>
          </w:tcPr>
          <w:p w14:paraId="16DCA3D1"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21" w:type="dxa"/>
            <w:tcBorders>
              <w:top w:val="nil"/>
              <w:left w:val="nil"/>
              <w:bottom w:val="single" w:sz="4" w:space="0" w:color="auto"/>
              <w:right w:val="single" w:sz="4" w:space="0" w:color="auto"/>
            </w:tcBorders>
            <w:shd w:val="clear" w:color="auto" w:fill="auto"/>
            <w:noWrap/>
            <w:vAlign w:val="bottom"/>
            <w:hideMark/>
          </w:tcPr>
          <w:p w14:paraId="29855880"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w:t>
            </w:r>
          </w:p>
        </w:tc>
        <w:tc>
          <w:tcPr>
            <w:tcW w:w="912" w:type="dxa"/>
            <w:tcBorders>
              <w:top w:val="nil"/>
              <w:left w:val="nil"/>
              <w:bottom w:val="single" w:sz="4" w:space="0" w:color="auto"/>
              <w:right w:val="single" w:sz="4" w:space="0" w:color="auto"/>
            </w:tcBorders>
            <w:shd w:val="clear" w:color="auto" w:fill="auto"/>
            <w:noWrap/>
            <w:vAlign w:val="bottom"/>
            <w:hideMark/>
          </w:tcPr>
          <w:p w14:paraId="7BA0FC97"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1075" w:type="dxa"/>
            <w:tcBorders>
              <w:top w:val="nil"/>
              <w:left w:val="nil"/>
              <w:bottom w:val="single" w:sz="4" w:space="0" w:color="auto"/>
              <w:right w:val="single" w:sz="4" w:space="0" w:color="auto"/>
            </w:tcBorders>
            <w:shd w:val="clear" w:color="auto" w:fill="auto"/>
            <w:noWrap/>
            <w:vAlign w:val="bottom"/>
            <w:hideMark/>
          </w:tcPr>
          <w:p w14:paraId="6A0721BE"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1.5</w:t>
            </w:r>
          </w:p>
        </w:tc>
        <w:tc>
          <w:tcPr>
            <w:tcW w:w="1014" w:type="dxa"/>
            <w:tcBorders>
              <w:top w:val="nil"/>
              <w:left w:val="nil"/>
              <w:bottom w:val="single" w:sz="4" w:space="0" w:color="auto"/>
              <w:right w:val="single" w:sz="4" w:space="0" w:color="auto"/>
            </w:tcBorders>
            <w:shd w:val="clear" w:color="auto" w:fill="auto"/>
            <w:noWrap/>
            <w:vAlign w:val="bottom"/>
            <w:hideMark/>
          </w:tcPr>
          <w:p w14:paraId="2EA65DA7"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61" w:type="dxa"/>
            <w:tcBorders>
              <w:top w:val="nil"/>
              <w:left w:val="nil"/>
              <w:bottom w:val="single" w:sz="4" w:space="0" w:color="auto"/>
              <w:right w:val="single" w:sz="4" w:space="0" w:color="auto"/>
            </w:tcBorders>
            <w:shd w:val="clear" w:color="auto" w:fill="auto"/>
            <w:noWrap/>
            <w:vAlign w:val="bottom"/>
            <w:hideMark/>
          </w:tcPr>
          <w:p w14:paraId="3F638B29"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47" w:type="dxa"/>
            <w:tcBorders>
              <w:top w:val="nil"/>
              <w:left w:val="nil"/>
              <w:bottom w:val="single" w:sz="4" w:space="0" w:color="auto"/>
              <w:right w:val="single" w:sz="4" w:space="0" w:color="auto"/>
            </w:tcBorders>
            <w:shd w:val="clear" w:color="auto" w:fill="auto"/>
            <w:noWrap/>
            <w:vAlign w:val="bottom"/>
            <w:hideMark/>
          </w:tcPr>
          <w:p w14:paraId="68DE8646"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r>
      <w:tr w:rsidR="00FB1833" w:rsidRPr="00B13B9A" w14:paraId="09D80299" w14:textId="77777777" w:rsidTr="008156E3">
        <w:trPr>
          <w:trHeight w:val="2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05F83906" w14:textId="77777777" w:rsidR="00FB1833" w:rsidRPr="00B13B9A" w:rsidRDefault="00FB1833" w:rsidP="008156E3">
            <w:pPr>
              <w:spacing w:after="0" w:line="240" w:lineRule="auto"/>
              <w:rPr>
                <w:rFonts w:asciiTheme="majorHAnsi" w:eastAsia="Times New Roman" w:hAnsiTheme="majorHAnsi" w:cstheme="majorHAnsi"/>
                <w:bCs/>
                <w:color w:val="000000"/>
                <w:sz w:val="20"/>
                <w:szCs w:val="20"/>
                <w:lang w:val="ro-MD"/>
              </w:rPr>
            </w:pPr>
            <w:r w:rsidRPr="00B13B9A">
              <w:rPr>
                <w:rFonts w:asciiTheme="majorHAnsi" w:eastAsia="Times New Roman" w:hAnsiTheme="majorHAnsi" w:cstheme="majorHAnsi"/>
                <w:bCs/>
                <w:color w:val="000000"/>
                <w:sz w:val="20"/>
                <w:szCs w:val="20"/>
                <w:lang w:val="ro-MD"/>
              </w:rPr>
              <w:t>Dialog competitiv</w:t>
            </w:r>
          </w:p>
        </w:tc>
        <w:tc>
          <w:tcPr>
            <w:tcW w:w="921" w:type="dxa"/>
            <w:tcBorders>
              <w:top w:val="nil"/>
              <w:left w:val="nil"/>
              <w:bottom w:val="single" w:sz="4" w:space="0" w:color="auto"/>
              <w:right w:val="single" w:sz="4" w:space="0" w:color="auto"/>
            </w:tcBorders>
            <w:shd w:val="clear" w:color="auto" w:fill="auto"/>
            <w:noWrap/>
            <w:vAlign w:val="bottom"/>
            <w:hideMark/>
          </w:tcPr>
          <w:p w14:paraId="1EB04764"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12" w:type="dxa"/>
            <w:tcBorders>
              <w:top w:val="nil"/>
              <w:left w:val="nil"/>
              <w:bottom w:val="single" w:sz="4" w:space="0" w:color="auto"/>
              <w:right w:val="single" w:sz="4" w:space="0" w:color="auto"/>
            </w:tcBorders>
            <w:shd w:val="clear" w:color="auto" w:fill="auto"/>
            <w:noWrap/>
            <w:vAlign w:val="bottom"/>
            <w:hideMark/>
          </w:tcPr>
          <w:p w14:paraId="6BAF813F"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43" w:type="dxa"/>
            <w:tcBorders>
              <w:top w:val="nil"/>
              <w:left w:val="nil"/>
              <w:bottom w:val="single" w:sz="4" w:space="0" w:color="auto"/>
              <w:right w:val="single" w:sz="4" w:space="0" w:color="auto"/>
            </w:tcBorders>
            <w:shd w:val="clear" w:color="auto" w:fill="auto"/>
            <w:noWrap/>
            <w:vAlign w:val="bottom"/>
            <w:hideMark/>
          </w:tcPr>
          <w:p w14:paraId="46FE3763"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21" w:type="dxa"/>
            <w:tcBorders>
              <w:top w:val="nil"/>
              <w:left w:val="nil"/>
              <w:bottom w:val="single" w:sz="4" w:space="0" w:color="auto"/>
              <w:right w:val="single" w:sz="4" w:space="0" w:color="auto"/>
            </w:tcBorders>
            <w:shd w:val="clear" w:color="auto" w:fill="auto"/>
            <w:noWrap/>
            <w:vAlign w:val="bottom"/>
            <w:hideMark/>
          </w:tcPr>
          <w:p w14:paraId="219FA137"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6</w:t>
            </w:r>
          </w:p>
        </w:tc>
        <w:tc>
          <w:tcPr>
            <w:tcW w:w="912" w:type="dxa"/>
            <w:tcBorders>
              <w:top w:val="nil"/>
              <w:left w:val="nil"/>
              <w:bottom w:val="single" w:sz="4" w:space="0" w:color="auto"/>
              <w:right w:val="single" w:sz="4" w:space="0" w:color="auto"/>
            </w:tcBorders>
            <w:shd w:val="clear" w:color="auto" w:fill="auto"/>
            <w:noWrap/>
            <w:vAlign w:val="bottom"/>
            <w:hideMark/>
          </w:tcPr>
          <w:p w14:paraId="03F88311"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1075" w:type="dxa"/>
            <w:tcBorders>
              <w:top w:val="nil"/>
              <w:left w:val="nil"/>
              <w:bottom w:val="single" w:sz="4" w:space="0" w:color="auto"/>
              <w:right w:val="single" w:sz="4" w:space="0" w:color="auto"/>
            </w:tcBorders>
            <w:shd w:val="clear" w:color="auto" w:fill="auto"/>
            <w:noWrap/>
            <w:vAlign w:val="bottom"/>
            <w:hideMark/>
          </w:tcPr>
          <w:p w14:paraId="6FC8CC9C"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39.9</w:t>
            </w:r>
          </w:p>
        </w:tc>
        <w:tc>
          <w:tcPr>
            <w:tcW w:w="1014" w:type="dxa"/>
            <w:tcBorders>
              <w:top w:val="nil"/>
              <w:left w:val="nil"/>
              <w:bottom w:val="single" w:sz="4" w:space="0" w:color="auto"/>
              <w:right w:val="single" w:sz="4" w:space="0" w:color="auto"/>
            </w:tcBorders>
            <w:shd w:val="clear" w:color="auto" w:fill="auto"/>
            <w:noWrap/>
            <w:vAlign w:val="bottom"/>
            <w:hideMark/>
          </w:tcPr>
          <w:p w14:paraId="055E67AC"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61" w:type="dxa"/>
            <w:tcBorders>
              <w:top w:val="nil"/>
              <w:left w:val="nil"/>
              <w:bottom w:val="single" w:sz="4" w:space="0" w:color="auto"/>
              <w:right w:val="single" w:sz="4" w:space="0" w:color="auto"/>
            </w:tcBorders>
            <w:shd w:val="clear" w:color="auto" w:fill="auto"/>
            <w:noWrap/>
            <w:vAlign w:val="bottom"/>
            <w:hideMark/>
          </w:tcPr>
          <w:p w14:paraId="11BBF3A6"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47" w:type="dxa"/>
            <w:tcBorders>
              <w:top w:val="nil"/>
              <w:left w:val="nil"/>
              <w:bottom w:val="single" w:sz="4" w:space="0" w:color="auto"/>
              <w:right w:val="single" w:sz="4" w:space="0" w:color="auto"/>
            </w:tcBorders>
            <w:shd w:val="clear" w:color="auto" w:fill="auto"/>
            <w:noWrap/>
            <w:vAlign w:val="bottom"/>
            <w:hideMark/>
          </w:tcPr>
          <w:p w14:paraId="727EE9B0"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r>
      <w:tr w:rsidR="00FB1833" w:rsidRPr="00B13B9A" w14:paraId="7BA0B6C4" w14:textId="77777777" w:rsidTr="008156E3">
        <w:trPr>
          <w:trHeight w:val="2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EE84C39" w14:textId="25145961" w:rsidR="00FB1833" w:rsidRPr="00B13B9A" w:rsidRDefault="00FB1833" w:rsidP="008156E3">
            <w:pPr>
              <w:spacing w:after="0" w:line="240" w:lineRule="auto"/>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Total achizi</w:t>
            </w:r>
            <w:r w:rsidR="00B13B9A" w:rsidRPr="00B13B9A">
              <w:rPr>
                <w:rFonts w:asciiTheme="majorHAnsi" w:eastAsia="Times New Roman" w:hAnsiTheme="majorHAnsi" w:cstheme="majorHAnsi"/>
                <w:b/>
                <w:bCs/>
                <w:color w:val="000000"/>
                <w:sz w:val="20"/>
                <w:szCs w:val="20"/>
                <w:lang w:val="ro-MD"/>
              </w:rPr>
              <w:t>ț</w:t>
            </w:r>
            <w:r w:rsidRPr="00B13B9A">
              <w:rPr>
                <w:rFonts w:asciiTheme="majorHAnsi" w:eastAsia="Times New Roman" w:hAnsiTheme="majorHAnsi" w:cstheme="majorHAnsi"/>
                <w:b/>
                <w:bCs/>
                <w:color w:val="000000"/>
                <w:sz w:val="20"/>
                <w:szCs w:val="20"/>
                <w:lang w:val="ro-MD"/>
              </w:rPr>
              <w:t>ii</w:t>
            </w:r>
          </w:p>
        </w:tc>
        <w:tc>
          <w:tcPr>
            <w:tcW w:w="921" w:type="dxa"/>
            <w:tcBorders>
              <w:top w:val="nil"/>
              <w:left w:val="nil"/>
              <w:bottom w:val="single" w:sz="4" w:space="0" w:color="auto"/>
              <w:right w:val="single" w:sz="4" w:space="0" w:color="auto"/>
            </w:tcBorders>
            <w:shd w:val="clear" w:color="auto" w:fill="auto"/>
            <w:noWrap/>
            <w:vAlign w:val="bottom"/>
            <w:hideMark/>
          </w:tcPr>
          <w:p w14:paraId="70C0F9BA"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36</w:t>
            </w:r>
          </w:p>
        </w:tc>
        <w:tc>
          <w:tcPr>
            <w:tcW w:w="912" w:type="dxa"/>
            <w:tcBorders>
              <w:top w:val="nil"/>
              <w:left w:val="nil"/>
              <w:bottom w:val="single" w:sz="4" w:space="0" w:color="auto"/>
              <w:right w:val="single" w:sz="4" w:space="0" w:color="auto"/>
            </w:tcBorders>
            <w:shd w:val="clear" w:color="auto" w:fill="auto"/>
            <w:noWrap/>
            <w:vAlign w:val="bottom"/>
            <w:hideMark/>
          </w:tcPr>
          <w:p w14:paraId="3639384D"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106</w:t>
            </w:r>
          </w:p>
        </w:tc>
        <w:tc>
          <w:tcPr>
            <w:tcW w:w="943" w:type="dxa"/>
            <w:tcBorders>
              <w:top w:val="nil"/>
              <w:left w:val="nil"/>
              <w:bottom w:val="single" w:sz="4" w:space="0" w:color="auto"/>
              <w:right w:val="single" w:sz="4" w:space="0" w:color="auto"/>
            </w:tcBorders>
            <w:shd w:val="clear" w:color="auto" w:fill="auto"/>
            <w:noWrap/>
            <w:vAlign w:val="bottom"/>
            <w:hideMark/>
          </w:tcPr>
          <w:p w14:paraId="4C31B2D2"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16 002.7</w:t>
            </w:r>
          </w:p>
        </w:tc>
        <w:tc>
          <w:tcPr>
            <w:tcW w:w="921" w:type="dxa"/>
            <w:tcBorders>
              <w:top w:val="nil"/>
              <w:left w:val="nil"/>
              <w:bottom w:val="single" w:sz="4" w:space="0" w:color="auto"/>
              <w:right w:val="single" w:sz="4" w:space="0" w:color="auto"/>
            </w:tcBorders>
            <w:shd w:val="clear" w:color="auto" w:fill="auto"/>
            <w:noWrap/>
            <w:vAlign w:val="bottom"/>
            <w:hideMark/>
          </w:tcPr>
          <w:p w14:paraId="29A5FBC1"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40</w:t>
            </w:r>
          </w:p>
        </w:tc>
        <w:tc>
          <w:tcPr>
            <w:tcW w:w="912" w:type="dxa"/>
            <w:tcBorders>
              <w:top w:val="nil"/>
              <w:left w:val="nil"/>
              <w:bottom w:val="single" w:sz="4" w:space="0" w:color="auto"/>
              <w:right w:val="single" w:sz="4" w:space="0" w:color="auto"/>
            </w:tcBorders>
            <w:shd w:val="clear" w:color="auto" w:fill="auto"/>
            <w:noWrap/>
            <w:vAlign w:val="bottom"/>
            <w:hideMark/>
          </w:tcPr>
          <w:p w14:paraId="5FB7F04E"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111</w:t>
            </w:r>
          </w:p>
        </w:tc>
        <w:tc>
          <w:tcPr>
            <w:tcW w:w="1075" w:type="dxa"/>
            <w:tcBorders>
              <w:top w:val="nil"/>
              <w:left w:val="nil"/>
              <w:bottom w:val="single" w:sz="4" w:space="0" w:color="auto"/>
              <w:right w:val="single" w:sz="4" w:space="0" w:color="auto"/>
            </w:tcBorders>
            <w:shd w:val="clear" w:color="auto" w:fill="auto"/>
            <w:noWrap/>
            <w:vAlign w:val="bottom"/>
            <w:hideMark/>
          </w:tcPr>
          <w:p w14:paraId="2E8ACE55"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16 498.1</w:t>
            </w:r>
          </w:p>
        </w:tc>
        <w:tc>
          <w:tcPr>
            <w:tcW w:w="1014" w:type="dxa"/>
            <w:tcBorders>
              <w:top w:val="nil"/>
              <w:left w:val="nil"/>
              <w:bottom w:val="single" w:sz="4" w:space="0" w:color="auto"/>
              <w:right w:val="single" w:sz="4" w:space="0" w:color="auto"/>
            </w:tcBorders>
            <w:shd w:val="clear" w:color="auto" w:fill="auto"/>
            <w:noWrap/>
            <w:vAlign w:val="bottom"/>
            <w:hideMark/>
          </w:tcPr>
          <w:p w14:paraId="1E1A5F3C"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41</w:t>
            </w:r>
          </w:p>
        </w:tc>
        <w:tc>
          <w:tcPr>
            <w:tcW w:w="961" w:type="dxa"/>
            <w:tcBorders>
              <w:top w:val="nil"/>
              <w:left w:val="nil"/>
              <w:bottom w:val="single" w:sz="4" w:space="0" w:color="auto"/>
              <w:right w:val="single" w:sz="4" w:space="0" w:color="auto"/>
            </w:tcBorders>
            <w:shd w:val="clear" w:color="auto" w:fill="auto"/>
            <w:noWrap/>
            <w:vAlign w:val="bottom"/>
            <w:hideMark/>
          </w:tcPr>
          <w:p w14:paraId="74C437CB"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98</w:t>
            </w:r>
          </w:p>
        </w:tc>
        <w:tc>
          <w:tcPr>
            <w:tcW w:w="947" w:type="dxa"/>
            <w:tcBorders>
              <w:top w:val="nil"/>
              <w:left w:val="nil"/>
              <w:bottom w:val="single" w:sz="4" w:space="0" w:color="auto"/>
              <w:right w:val="single" w:sz="4" w:space="0" w:color="auto"/>
            </w:tcBorders>
            <w:shd w:val="clear" w:color="auto" w:fill="auto"/>
            <w:noWrap/>
            <w:vAlign w:val="bottom"/>
            <w:hideMark/>
          </w:tcPr>
          <w:p w14:paraId="269D4D06"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16 385.5</w:t>
            </w:r>
          </w:p>
        </w:tc>
      </w:tr>
    </w:tbl>
    <w:p w14:paraId="5F908A5E" w14:textId="090B6680" w:rsidR="00FB1833" w:rsidRPr="00B13B9A" w:rsidRDefault="00FB1833" w:rsidP="00FB1833">
      <w:pPr>
        <w:pStyle w:val="cn"/>
        <w:spacing w:line="276" w:lineRule="auto"/>
        <w:ind w:right="71"/>
        <w:jc w:val="both"/>
        <w:rPr>
          <w:rFonts w:asciiTheme="majorHAnsi" w:eastAsiaTheme="minorHAnsi" w:hAnsiTheme="majorHAnsi" w:cstheme="majorHAnsi"/>
          <w:i/>
          <w:sz w:val="20"/>
          <w:szCs w:val="20"/>
          <w:lang w:val="ro-MD" w:eastAsia="en-US"/>
        </w:rPr>
      </w:pPr>
      <w:r w:rsidRPr="00B13B9A">
        <w:rPr>
          <w:rFonts w:asciiTheme="majorHAnsi" w:eastAsiaTheme="minorHAnsi" w:hAnsiTheme="majorHAnsi" w:cstheme="majorHAnsi"/>
          <w:b/>
          <w:i/>
          <w:sz w:val="20"/>
          <w:szCs w:val="20"/>
          <w:lang w:val="ro-MD" w:eastAsia="en-US"/>
        </w:rPr>
        <w:t>Sursa:</w:t>
      </w:r>
      <w:r w:rsidRPr="00B13B9A">
        <w:rPr>
          <w:rFonts w:asciiTheme="majorHAnsi" w:eastAsiaTheme="minorHAnsi" w:hAnsiTheme="majorHAnsi" w:cstheme="majorHAnsi"/>
          <w:i/>
          <w:sz w:val="20"/>
          <w:szCs w:val="20"/>
          <w:lang w:val="ro-MD" w:eastAsia="en-US"/>
        </w:rPr>
        <w:t xml:space="preserve"> Informa</w:t>
      </w:r>
      <w:r w:rsidR="00B13B9A" w:rsidRPr="00B13B9A">
        <w:rPr>
          <w:rFonts w:asciiTheme="majorHAnsi" w:eastAsiaTheme="minorHAnsi" w:hAnsiTheme="majorHAnsi" w:cstheme="majorHAnsi"/>
          <w:i/>
          <w:sz w:val="20"/>
          <w:szCs w:val="20"/>
          <w:lang w:val="ro-MD" w:eastAsia="en-US"/>
        </w:rPr>
        <w:t>ț</w:t>
      </w:r>
      <w:r w:rsidRPr="00B13B9A">
        <w:rPr>
          <w:rFonts w:asciiTheme="majorHAnsi" w:eastAsiaTheme="minorHAnsi" w:hAnsiTheme="majorHAnsi" w:cstheme="majorHAnsi"/>
          <w:i/>
          <w:sz w:val="20"/>
          <w:szCs w:val="20"/>
          <w:lang w:val="ro-MD" w:eastAsia="en-US"/>
        </w:rPr>
        <w:t>ii prezentate de entitate</w:t>
      </w:r>
      <w:r w:rsidR="00FB2E99" w:rsidRPr="00B13B9A">
        <w:rPr>
          <w:rFonts w:asciiTheme="majorHAnsi" w:eastAsiaTheme="minorHAnsi" w:hAnsiTheme="majorHAnsi" w:cstheme="majorHAnsi"/>
          <w:i/>
          <w:sz w:val="20"/>
          <w:szCs w:val="20"/>
          <w:lang w:val="ro-MD" w:eastAsia="en-US"/>
        </w:rPr>
        <w:t>.</w:t>
      </w:r>
    </w:p>
    <w:p w14:paraId="47191A14" w14:textId="77777777" w:rsidR="00D3471D" w:rsidRPr="00B13B9A" w:rsidRDefault="00D3471D" w:rsidP="000A5AB9">
      <w:pPr>
        <w:spacing w:after="0" w:line="240" w:lineRule="auto"/>
        <w:jc w:val="right"/>
        <w:rPr>
          <w:rFonts w:asciiTheme="majorHAnsi" w:hAnsiTheme="majorHAnsi" w:cstheme="majorHAnsi"/>
          <w:b/>
          <w:iCs/>
          <w:sz w:val="24"/>
          <w:szCs w:val="24"/>
          <w:lang w:val="ro-MD"/>
        </w:rPr>
      </w:pPr>
    </w:p>
    <w:p w14:paraId="290A5A9E" w14:textId="77777777" w:rsidR="000A5AB9" w:rsidRPr="00B13B9A" w:rsidRDefault="000A5AB9" w:rsidP="00D3471D">
      <w:pPr>
        <w:pStyle w:val="3"/>
        <w:jc w:val="right"/>
        <w:rPr>
          <w:rFonts w:cstheme="majorHAnsi"/>
          <w:b/>
          <w:iCs/>
          <w:color w:val="auto"/>
        </w:rPr>
      </w:pPr>
      <w:bookmarkStart w:id="69" w:name="_Toc158317270"/>
      <w:r w:rsidRPr="00B13B9A">
        <w:rPr>
          <w:rFonts w:cstheme="majorHAnsi"/>
          <w:b/>
          <w:iCs/>
          <w:color w:val="auto"/>
        </w:rPr>
        <w:t>Anexa nr. 1</w:t>
      </w:r>
      <w:r w:rsidR="001457CE" w:rsidRPr="00B13B9A">
        <w:rPr>
          <w:rFonts w:cstheme="majorHAnsi"/>
          <w:b/>
          <w:iCs/>
          <w:color w:val="auto"/>
        </w:rPr>
        <w:t>6</w:t>
      </w:r>
      <w:bookmarkEnd w:id="69"/>
    </w:p>
    <w:p w14:paraId="63711370" w14:textId="218102A8" w:rsidR="00AA1967" w:rsidRPr="00B13B9A" w:rsidRDefault="00AA1967" w:rsidP="008156E3">
      <w:pPr>
        <w:tabs>
          <w:tab w:val="left" w:pos="851"/>
        </w:tabs>
        <w:spacing w:after="0" w:line="240" w:lineRule="auto"/>
        <w:jc w:val="center"/>
        <w:rPr>
          <w:rFonts w:asciiTheme="majorHAnsi" w:hAnsiTheme="majorHAnsi" w:cstheme="majorHAnsi"/>
          <w:b/>
          <w:bCs/>
          <w:iCs/>
          <w:sz w:val="24"/>
          <w:szCs w:val="24"/>
          <w:lang w:val="ro-MD"/>
        </w:rPr>
      </w:pPr>
      <w:r w:rsidRPr="00B13B9A">
        <w:rPr>
          <w:rFonts w:asciiTheme="majorHAnsi" w:hAnsiTheme="majorHAnsi" w:cstheme="majorHAnsi"/>
          <w:b/>
          <w:sz w:val="24"/>
          <w:szCs w:val="24"/>
          <w:lang w:val="ro-MD"/>
        </w:rPr>
        <w:t>Informa</w:t>
      </w:r>
      <w:r w:rsidR="00B13B9A" w:rsidRPr="00B13B9A">
        <w:rPr>
          <w:rFonts w:asciiTheme="majorHAnsi" w:hAnsiTheme="majorHAnsi" w:cstheme="majorHAnsi"/>
          <w:b/>
          <w:sz w:val="24"/>
          <w:szCs w:val="24"/>
          <w:lang w:val="ro-MD"/>
        </w:rPr>
        <w:t>ț</w:t>
      </w:r>
      <w:r w:rsidRPr="00B13B9A">
        <w:rPr>
          <w:rFonts w:asciiTheme="majorHAnsi" w:hAnsiTheme="majorHAnsi" w:cstheme="majorHAnsi"/>
          <w:b/>
          <w:sz w:val="24"/>
          <w:szCs w:val="24"/>
          <w:lang w:val="ro-MD"/>
        </w:rPr>
        <w:t>i</w:t>
      </w:r>
      <w:r w:rsidR="00FB2E99" w:rsidRPr="00B13B9A">
        <w:rPr>
          <w:rFonts w:asciiTheme="majorHAnsi" w:hAnsiTheme="majorHAnsi" w:cstheme="majorHAnsi"/>
          <w:b/>
          <w:sz w:val="24"/>
          <w:szCs w:val="24"/>
          <w:lang w:val="ro-MD"/>
        </w:rPr>
        <w:t>i privind</w:t>
      </w:r>
      <w:r w:rsidRPr="00B13B9A">
        <w:rPr>
          <w:rFonts w:asciiTheme="majorHAnsi" w:hAnsiTheme="majorHAnsi" w:cstheme="majorHAnsi"/>
          <w:b/>
          <w:sz w:val="24"/>
          <w:szCs w:val="24"/>
          <w:lang w:val="ro-MD"/>
        </w:rPr>
        <w:t xml:space="preserve"> achizi</w:t>
      </w:r>
      <w:r w:rsidR="00B13B9A" w:rsidRPr="00B13B9A">
        <w:rPr>
          <w:rFonts w:asciiTheme="majorHAnsi" w:hAnsiTheme="majorHAnsi" w:cstheme="majorHAnsi"/>
          <w:b/>
          <w:sz w:val="24"/>
          <w:szCs w:val="24"/>
          <w:lang w:val="ro-MD"/>
        </w:rPr>
        <w:t>ț</w:t>
      </w:r>
      <w:r w:rsidRPr="00B13B9A">
        <w:rPr>
          <w:rFonts w:asciiTheme="majorHAnsi" w:hAnsiTheme="majorHAnsi" w:cstheme="majorHAnsi"/>
          <w:b/>
          <w:sz w:val="24"/>
          <w:szCs w:val="24"/>
          <w:lang w:val="ro-MD"/>
        </w:rPr>
        <w:t>iil</w:t>
      </w:r>
      <w:r w:rsidR="00FB2E99" w:rsidRPr="00B13B9A">
        <w:rPr>
          <w:rFonts w:asciiTheme="majorHAnsi" w:hAnsiTheme="majorHAnsi" w:cstheme="majorHAnsi"/>
          <w:b/>
          <w:sz w:val="24"/>
          <w:szCs w:val="24"/>
          <w:lang w:val="ro-MD"/>
        </w:rPr>
        <w:t>e</w:t>
      </w:r>
      <w:r w:rsidRPr="00B13B9A">
        <w:rPr>
          <w:rFonts w:asciiTheme="majorHAnsi" w:hAnsiTheme="majorHAnsi" w:cstheme="majorHAnsi"/>
          <w:b/>
          <w:sz w:val="24"/>
          <w:szCs w:val="24"/>
          <w:lang w:val="ro-MD"/>
        </w:rPr>
        <w:t xml:space="preserve"> de servicii </w:t>
      </w:r>
      <w:r w:rsidR="00B13B9A" w:rsidRPr="00B13B9A">
        <w:rPr>
          <w:rFonts w:asciiTheme="majorHAnsi" w:hAnsiTheme="majorHAnsi" w:cstheme="majorHAnsi"/>
          <w:b/>
          <w:sz w:val="24"/>
          <w:szCs w:val="24"/>
          <w:lang w:val="ro-MD"/>
        </w:rPr>
        <w:t>ș</w:t>
      </w:r>
      <w:r w:rsidRPr="00B13B9A">
        <w:rPr>
          <w:rFonts w:asciiTheme="majorHAnsi" w:hAnsiTheme="majorHAnsi" w:cstheme="majorHAnsi"/>
          <w:b/>
          <w:sz w:val="24"/>
          <w:szCs w:val="24"/>
          <w:lang w:val="ro-MD"/>
        </w:rPr>
        <w:t>i lucrări neincluse în planul anual de achizi</w:t>
      </w:r>
      <w:r w:rsidR="00B13B9A" w:rsidRPr="00B13B9A">
        <w:rPr>
          <w:rFonts w:asciiTheme="majorHAnsi" w:hAnsiTheme="majorHAnsi" w:cstheme="majorHAnsi"/>
          <w:b/>
          <w:sz w:val="24"/>
          <w:szCs w:val="24"/>
          <w:lang w:val="ro-MD"/>
        </w:rPr>
        <w:t>ț</w:t>
      </w:r>
      <w:r w:rsidRPr="00B13B9A">
        <w:rPr>
          <w:rFonts w:asciiTheme="majorHAnsi" w:hAnsiTheme="majorHAnsi" w:cstheme="majorHAnsi"/>
          <w:b/>
          <w:sz w:val="24"/>
          <w:szCs w:val="24"/>
          <w:lang w:val="ro-MD"/>
        </w:rPr>
        <w:t>ii</w:t>
      </w:r>
      <w:r w:rsidR="00FB2E99" w:rsidRPr="00B13B9A">
        <w:rPr>
          <w:rFonts w:asciiTheme="majorHAnsi" w:hAnsiTheme="majorHAnsi" w:cstheme="majorHAnsi"/>
          <w:b/>
          <w:sz w:val="24"/>
          <w:szCs w:val="24"/>
          <w:lang w:val="ro-MD"/>
        </w:rPr>
        <w:t xml:space="preserve"> publice</w:t>
      </w:r>
      <w:r w:rsidRPr="00B13B9A">
        <w:rPr>
          <w:rFonts w:asciiTheme="majorHAnsi" w:hAnsiTheme="majorHAnsi" w:cstheme="majorHAnsi"/>
          <w:b/>
          <w:sz w:val="24"/>
          <w:szCs w:val="24"/>
          <w:lang w:val="ro-MD"/>
        </w:rPr>
        <w:t xml:space="preserve"> pentru anul 2021</w:t>
      </w:r>
    </w:p>
    <w:tbl>
      <w:tblPr>
        <w:tblStyle w:val="a3"/>
        <w:tblW w:w="10079" w:type="dxa"/>
        <w:tblLook w:val="04A0" w:firstRow="1" w:lastRow="0" w:firstColumn="1" w:lastColumn="0" w:noHBand="0" w:noVBand="1"/>
      </w:tblPr>
      <w:tblGrid>
        <w:gridCol w:w="497"/>
        <w:gridCol w:w="1838"/>
        <w:gridCol w:w="4039"/>
        <w:gridCol w:w="1259"/>
        <w:gridCol w:w="1259"/>
        <w:gridCol w:w="1187"/>
      </w:tblGrid>
      <w:tr w:rsidR="00AA1967" w:rsidRPr="00B13B9A" w14:paraId="64E05F6B" w14:textId="77777777" w:rsidTr="008156E3">
        <w:trPr>
          <w:trHeight w:val="510"/>
        </w:trPr>
        <w:tc>
          <w:tcPr>
            <w:tcW w:w="497" w:type="dxa"/>
            <w:vAlign w:val="center"/>
          </w:tcPr>
          <w:p w14:paraId="0403A51B" w14:textId="36E3C111" w:rsidR="00AA1967" w:rsidRPr="00B13B9A" w:rsidRDefault="00AA1967" w:rsidP="00FB2E99">
            <w:pPr>
              <w:tabs>
                <w:tab w:val="left" w:pos="851"/>
              </w:tabs>
              <w:jc w:val="center"/>
              <w:rPr>
                <w:rFonts w:asciiTheme="majorHAnsi" w:hAnsiTheme="majorHAnsi" w:cstheme="majorHAnsi"/>
                <w:b/>
                <w:bCs/>
                <w:sz w:val="20"/>
                <w:szCs w:val="20"/>
                <w:lang w:val="ro-MD"/>
              </w:rPr>
            </w:pPr>
            <w:r w:rsidRPr="00B13B9A">
              <w:rPr>
                <w:rFonts w:asciiTheme="majorHAnsi" w:hAnsiTheme="majorHAnsi" w:cstheme="majorHAnsi"/>
                <w:b/>
                <w:bCs/>
                <w:sz w:val="20"/>
                <w:szCs w:val="20"/>
                <w:lang w:val="ro-MD"/>
              </w:rPr>
              <w:t xml:space="preserve">Nr. </w:t>
            </w:r>
            <w:r w:rsidR="00FB2E99" w:rsidRPr="00B13B9A">
              <w:rPr>
                <w:rFonts w:asciiTheme="majorHAnsi" w:hAnsiTheme="majorHAnsi" w:cstheme="majorHAnsi"/>
                <w:b/>
                <w:bCs/>
                <w:sz w:val="20"/>
                <w:szCs w:val="20"/>
                <w:lang w:val="ro-MD"/>
              </w:rPr>
              <w:t>crt.</w:t>
            </w:r>
          </w:p>
        </w:tc>
        <w:tc>
          <w:tcPr>
            <w:tcW w:w="1838" w:type="dxa"/>
            <w:vAlign w:val="center"/>
          </w:tcPr>
          <w:p w14:paraId="1AE1A220" w14:textId="23866351" w:rsidR="00AA1967" w:rsidRPr="00B13B9A" w:rsidRDefault="00AA1967" w:rsidP="008156E3">
            <w:pPr>
              <w:tabs>
                <w:tab w:val="left" w:pos="851"/>
              </w:tabs>
              <w:jc w:val="center"/>
              <w:rPr>
                <w:rFonts w:asciiTheme="majorHAnsi" w:hAnsiTheme="majorHAnsi" w:cstheme="majorHAnsi"/>
                <w:b/>
                <w:bCs/>
                <w:sz w:val="20"/>
                <w:szCs w:val="20"/>
                <w:lang w:val="ro-MD"/>
              </w:rPr>
            </w:pPr>
            <w:r w:rsidRPr="00B13B9A">
              <w:rPr>
                <w:rFonts w:asciiTheme="majorHAnsi" w:hAnsiTheme="majorHAnsi" w:cstheme="majorHAnsi"/>
                <w:b/>
                <w:bCs/>
                <w:sz w:val="20"/>
                <w:szCs w:val="20"/>
                <w:lang w:val="ro-MD"/>
              </w:rPr>
              <w:t>Nr</w:t>
            </w:r>
            <w:r w:rsidR="00FB2E99" w:rsidRPr="00B13B9A">
              <w:rPr>
                <w:rFonts w:asciiTheme="majorHAnsi" w:hAnsiTheme="majorHAnsi" w:cstheme="majorHAnsi"/>
                <w:b/>
                <w:bCs/>
                <w:sz w:val="20"/>
                <w:szCs w:val="20"/>
                <w:lang w:val="ro-MD"/>
              </w:rPr>
              <w:t>.</w:t>
            </w:r>
            <w:r w:rsidRPr="00B13B9A">
              <w:rPr>
                <w:rFonts w:asciiTheme="majorHAnsi" w:hAnsiTheme="majorHAnsi" w:cstheme="majorHAnsi"/>
                <w:b/>
                <w:bCs/>
                <w:sz w:val="20"/>
                <w:szCs w:val="20"/>
                <w:lang w:val="ro-MD"/>
              </w:rPr>
              <w:t>/data contract</w:t>
            </w:r>
          </w:p>
        </w:tc>
        <w:tc>
          <w:tcPr>
            <w:tcW w:w="4039" w:type="dxa"/>
            <w:vAlign w:val="center"/>
          </w:tcPr>
          <w:p w14:paraId="5D156AA2" w14:textId="21C4C074" w:rsidR="00AA1967" w:rsidRPr="00B13B9A" w:rsidRDefault="00AA1967" w:rsidP="008156E3">
            <w:pPr>
              <w:tabs>
                <w:tab w:val="left" w:pos="851"/>
              </w:tabs>
              <w:jc w:val="center"/>
              <w:rPr>
                <w:rFonts w:asciiTheme="majorHAnsi" w:hAnsiTheme="majorHAnsi" w:cstheme="majorHAnsi"/>
                <w:b/>
                <w:bCs/>
                <w:sz w:val="20"/>
                <w:szCs w:val="20"/>
                <w:lang w:val="ro-MD"/>
              </w:rPr>
            </w:pPr>
            <w:r w:rsidRPr="00B13B9A">
              <w:rPr>
                <w:rFonts w:asciiTheme="majorHAnsi" w:hAnsiTheme="majorHAnsi" w:cstheme="majorHAnsi"/>
                <w:b/>
                <w:bCs/>
                <w:sz w:val="20"/>
                <w:szCs w:val="20"/>
                <w:lang w:val="ro-MD"/>
              </w:rPr>
              <w:t>Obiectul achizi</w:t>
            </w:r>
            <w:r w:rsidR="00B13B9A" w:rsidRPr="00B13B9A">
              <w:rPr>
                <w:rFonts w:asciiTheme="majorHAnsi" w:hAnsiTheme="majorHAnsi" w:cstheme="majorHAnsi"/>
                <w:b/>
                <w:bCs/>
                <w:sz w:val="20"/>
                <w:szCs w:val="20"/>
                <w:lang w:val="ro-MD"/>
              </w:rPr>
              <w:t>ț</w:t>
            </w:r>
            <w:r w:rsidRPr="00B13B9A">
              <w:rPr>
                <w:rFonts w:asciiTheme="majorHAnsi" w:hAnsiTheme="majorHAnsi" w:cstheme="majorHAnsi"/>
                <w:b/>
                <w:bCs/>
                <w:sz w:val="20"/>
                <w:szCs w:val="20"/>
                <w:lang w:val="ro-MD"/>
              </w:rPr>
              <w:t>iei</w:t>
            </w:r>
          </w:p>
        </w:tc>
        <w:tc>
          <w:tcPr>
            <w:tcW w:w="1259" w:type="dxa"/>
            <w:vAlign w:val="center"/>
          </w:tcPr>
          <w:p w14:paraId="19A8ADDC" w14:textId="77777777" w:rsidR="00AA1967" w:rsidRPr="00B13B9A" w:rsidRDefault="00AA1967" w:rsidP="008156E3">
            <w:pPr>
              <w:tabs>
                <w:tab w:val="left" w:pos="851"/>
              </w:tabs>
              <w:jc w:val="center"/>
              <w:rPr>
                <w:rFonts w:asciiTheme="majorHAnsi" w:hAnsiTheme="majorHAnsi" w:cstheme="majorHAnsi"/>
                <w:b/>
                <w:bCs/>
                <w:sz w:val="20"/>
                <w:szCs w:val="20"/>
                <w:lang w:val="ro-MD"/>
              </w:rPr>
            </w:pPr>
            <w:r w:rsidRPr="00B13B9A">
              <w:rPr>
                <w:rFonts w:asciiTheme="majorHAnsi" w:hAnsiTheme="majorHAnsi" w:cstheme="majorHAnsi"/>
                <w:b/>
                <w:bCs/>
                <w:sz w:val="20"/>
                <w:szCs w:val="20"/>
                <w:lang w:val="ro-MD"/>
              </w:rPr>
              <w:t>Operatorul economic</w:t>
            </w:r>
          </w:p>
        </w:tc>
        <w:tc>
          <w:tcPr>
            <w:tcW w:w="1259" w:type="dxa"/>
            <w:vAlign w:val="center"/>
          </w:tcPr>
          <w:p w14:paraId="77227EB3" w14:textId="77777777" w:rsidR="00AA1967" w:rsidRPr="00B13B9A" w:rsidRDefault="00AA1967" w:rsidP="008156E3">
            <w:pPr>
              <w:tabs>
                <w:tab w:val="left" w:pos="851"/>
              </w:tabs>
              <w:jc w:val="center"/>
              <w:rPr>
                <w:rFonts w:asciiTheme="majorHAnsi" w:hAnsiTheme="majorHAnsi" w:cstheme="majorHAnsi"/>
                <w:b/>
                <w:bCs/>
                <w:sz w:val="20"/>
                <w:szCs w:val="20"/>
                <w:lang w:val="ro-MD"/>
              </w:rPr>
            </w:pPr>
            <w:r w:rsidRPr="00B13B9A">
              <w:rPr>
                <w:rFonts w:asciiTheme="majorHAnsi" w:hAnsiTheme="majorHAnsi" w:cstheme="majorHAnsi"/>
                <w:b/>
                <w:bCs/>
                <w:sz w:val="20"/>
                <w:szCs w:val="20"/>
                <w:lang w:val="ro-MD"/>
              </w:rPr>
              <w:t>CPV</w:t>
            </w:r>
          </w:p>
        </w:tc>
        <w:tc>
          <w:tcPr>
            <w:tcW w:w="1187" w:type="dxa"/>
            <w:vAlign w:val="center"/>
          </w:tcPr>
          <w:p w14:paraId="0163988F" w14:textId="77777777" w:rsidR="00AA1967" w:rsidRPr="00B13B9A" w:rsidRDefault="00AA1967" w:rsidP="008156E3">
            <w:pPr>
              <w:tabs>
                <w:tab w:val="left" w:pos="851"/>
              </w:tabs>
              <w:jc w:val="center"/>
              <w:rPr>
                <w:rFonts w:asciiTheme="majorHAnsi" w:hAnsiTheme="majorHAnsi" w:cstheme="majorHAnsi"/>
                <w:b/>
                <w:bCs/>
                <w:sz w:val="20"/>
                <w:szCs w:val="20"/>
                <w:lang w:val="ro-MD"/>
              </w:rPr>
            </w:pPr>
            <w:r w:rsidRPr="00B13B9A">
              <w:rPr>
                <w:rFonts w:asciiTheme="majorHAnsi" w:hAnsiTheme="majorHAnsi" w:cstheme="majorHAnsi"/>
                <w:b/>
                <w:bCs/>
                <w:sz w:val="20"/>
                <w:szCs w:val="20"/>
                <w:lang w:val="ro-MD"/>
              </w:rPr>
              <w:t>Suma contractului (mii lei)</w:t>
            </w:r>
          </w:p>
        </w:tc>
      </w:tr>
      <w:tr w:rsidR="00AA1967" w:rsidRPr="00B13B9A" w14:paraId="3306E6FA" w14:textId="77777777" w:rsidTr="008156E3">
        <w:trPr>
          <w:trHeight w:val="510"/>
        </w:trPr>
        <w:tc>
          <w:tcPr>
            <w:tcW w:w="497" w:type="dxa"/>
            <w:vAlign w:val="center"/>
          </w:tcPr>
          <w:p w14:paraId="0EB971EE"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1</w:t>
            </w:r>
          </w:p>
        </w:tc>
        <w:tc>
          <w:tcPr>
            <w:tcW w:w="1838" w:type="dxa"/>
            <w:vAlign w:val="center"/>
          </w:tcPr>
          <w:p w14:paraId="7B545F2B"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Nr. 15/ 22.07.2021</w:t>
            </w:r>
          </w:p>
        </w:tc>
        <w:tc>
          <w:tcPr>
            <w:tcW w:w="4039" w:type="dxa"/>
          </w:tcPr>
          <w:p w14:paraId="6ED3FF29" w14:textId="7308CD72" w:rsidR="00AA1967" w:rsidRPr="00B13B9A" w:rsidRDefault="00AA1967" w:rsidP="008156E3">
            <w:pPr>
              <w:tabs>
                <w:tab w:val="left" w:pos="851"/>
              </w:tabs>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Servicii de executare a măsurărilor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instala</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iilor electrice aflate în gestiunea IFP</w:t>
            </w:r>
          </w:p>
        </w:tc>
        <w:tc>
          <w:tcPr>
            <w:tcW w:w="1259" w:type="dxa"/>
            <w:vAlign w:val="center"/>
          </w:tcPr>
          <w:p w14:paraId="55F0C28D"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Ajustare-Tehnică SRL</w:t>
            </w:r>
          </w:p>
        </w:tc>
        <w:tc>
          <w:tcPr>
            <w:tcW w:w="1259" w:type="dxa"/>
            <w:vAlign w:val="center"/>
          </w:tcPr>
          <w:p w14:paraId="10648267"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50800000-3</w:t>
            </w:r>
          </w:p>
        </w:tc>
        <w:tc>
          <w:tcPr>
            <w:tcW w:w="1187" w:type="dxa"/>
            <w:vAlign w:val="center"/>
          </w:tcPr>
          <w:p w14:paraId="7AEB6176"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83,4</w:t>
            </w:r>
          </w:p>
        </w:tc>
      </w:tr>
      <w:tr w:rsidR="00AA1967" w:rsidRPr="00B13B9A" w14:paraId="2245EA45" w14:textId="77777777" w:rsidTr="008156E3">
        <w:trPr>
          <w:trHeight w:val="510"/>
        </w:trPr>
        <w:tc>
          <w:tcPr>
            <w:tcW w:w="497" w:type="dxa"/>
            <w:vAlign w:val="center"/>
          </w:tcPr>
          <w:p w14:paraId="2AD7C915"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2</w:t>
            </w:r>
          </w:p>
        </w:tc>
        <w:tc>
          <w:tcPr>
            <w:tcW w:w="1838" w:type="dxa"/>
            <w:vAlign w:val="center"/>
          </w:tcPr>
          <w:p w14:paraId="3349F050"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Nr. 16/ 20.08.2021</w:t>
            </w:r>
          </w:p>
        </w:tc>
        <w:tc>
          <w:tcPr>
            <w:tcW w:w="4039" w:type="dxa"/>
          </w:tcPr>
          <w:p w14:paraId="3695040E" w14:textId="77777777" w:rsidR="00AA1967" w:rsidRPr="00B13B9A" w:rsidRDefault="00AA1967" w:rsidP="008156E3">
            <w:pPr>
              <w:tabs>
                <w:tab w:val="left" w:pos="851"/>
              </w:tabs>
              <w:rPr>
                <w:rFonts w:asciiTheme="majorHAnsi" w:hAnsiTheme="majorHAnsi" w:cstheme="majorHAnsi"/>
                <w:sz w:val="20"/>
                <w:szCs w:val="20"/>
                <w:lang w:val="ro-MD"/>
              </w:rPr>
            </w:pPr>
            <w:r w:rsidRPr="00B13B9A">
              <w:rPr>
                <w:rFonts w:asciiTheme="majorHAnsi" w:hAnsiTheme="majorHAnsi" w:cstheme="majorHAnsi"/>
                <w:sz w:val="20"/>
                <w:szCs w:val="20"/>
                <w:lang w:val="ro-MD"/>
              </w:rPr>
              <w:t>Servicii de spălare hidropneumatică a sistemului de încălzire</w:t>
            </w:r>
          </w:p>
        </w:tc>
        <w:tc>
          <w:tcPr>
            <w:tcW w:w="1259" w:type="dxa"/>
            <w:vAlign w:val="center"/>
          </w:tcPr>
          <w:p w14:paraId="0DC96282"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Inovatec SRL</w:t>
            </w:r>
          </w:p>
        </w:tc>
        <w:tc>
          <w:tcPr>
            <w:tcW w:w="1259" w:type="dxa"/>
            <w:vAlign w:val="center"/>
          </w:tcPr>
          <w:p w14:paraId="01D4CB67"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50800000-3</w:t>
            </w:r>
          </w:p>
        </w:tc>
        <w:tc>
          <w:tcPr>
            <w:tcW w:w="1187" w:type="dxa"/>
            <w:vAlign w:val="center"/>
          </w:tcPr>
          <w:p w14:paraId="5B8BEE68"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30,5</w:t>
            </w:r>
          </w:p>
        </w:tc>
      </w:tr>
      <w:tr w:rsidR="00AA1967" w:rsidRPr="00B13B9A" w14:paraId="5A44640A" w14:textId="77777777" w:rsidTr="008156E3">
        <w:trPr>
          <w:trHeight w:val="510"/>
        </w:trPr>
        <w:tc>
          <w:tcPr>
            <w:tcW w:w="497" w:type="dxa"/>
            <w:vAlign w:val="center"/>
          </w:tcPr>
          <w:p w14:paraId="6F39256A"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3</w:t>
            </w:r>
          </w:p>
        </w:tc>
        <w:tc>
          <w:tcPr>
            <w:tcW w:w="1838" w:type="dxa"/>
            <w:vAlign w:val="center"/>
          </w:tcPr>
          <w:p w14:paraId="7E5D573A"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Nr. 37/ 19.11.2021</w:t>
            </w:r>
          </w:p>
        </w:tc>
        <w:tc>
          <w:tcPr>
            <w:tcW w:w="4039" w:type="dxa"/>
          </w:tcPr>
          <w:p w14:paraId="5DE858DC" w14:textId="2DAEF4F6" w:rsidR="00AA1967" w:rsidRPr="00B13B9A" w:rsidRDefault="00AA1967" w:rsidP="008156E3">
            <w:pPr>
              <w:tabs>
                <w:tab w:val="left" w:pos="851"/>
              </w:tabs>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Lucrări de instalare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dare în exploatare a sistemului de alarmă antiincendiu pentru sec</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ia ATI</w:t>
            </w:r>
          </w:p>
        </w:tc>
        <w:tc>
          <w:tcPr>
            <w:tcW w:w="1259" w:type="dxa"/>
            <w:vAlign w:val="center"/>
          </w:tcPr>
          <w:p w14:paraId="35A5D573"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Victiana SRL</w:t>
            </w:r>
          </w:p>
        </w:tc>
        <w:tc>
          <w:tcPr>
            <w:tcW w:w="1259" w:type="dxa"/>
            <w:vAlign w:val="center"/>
          </w:tcPr>
          <w:p w14:paraId="35FA7B56"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50800000-3</w:t>
            </w:r>
          </w:p>
        </w:tc>
        <w:tc>
          <w:tcPr>
            <w:tcW w:w="1187" w:type="dxa"/>
            <w:vAlign w:val="center"/>
          </w:tcPr>
          <w:p w14:paraId="655A74EC"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47,6</w:t>
            </w:r>
          </w:p>
        </w:tc>
      </w:tr>
      <w:tr w:rsidR="00AA1967" w:rsidRPr="00B13B9A" w14:paraId="503961C6" w14:textId="77777777" w:rsidTr="008156E3">
        <w:trPr>
          <w:trHeight w:val="510"/>
        </w:trPr>
        <w:tc>
          <w:tcPr>
            <w:tcW w:w="497" w:type="dxa"/>
            <w:vAlign w:val="center"/>
          </w:tcPr>
          <w:p w14:paraId="0CBEB977"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4</w:t>
            </w:r>
          </w:p>
        </w:tc>
        <w:tc>
          <w:tcPr>
            <w:tcW w:w="1838" w:type="dxa"/>
            <w:vAlign w:val="center"/>
          </w:tcPr>
          <w:p w14:paraId="0BDDB7F1"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Nr. 38/  02.12.2021</w:t>
            </w:r>
          </w:p>
        </w:tc>
        <w:tc>
          <w:tcPr>
            <w:tcW w:w="4039" w:type="dxa"/>
          </w:tcPr>
          <w:p w14:paraId="53E64462" w14:textId="374291D0" w:rsidR="00AA1967" w:rsidRPr="00B13B9A" w:rsidRDefault="00AA1967" w:rsidP="008156E3">
            <w:pPr>
              <w:tabs>
                <w:tab w:val="left" w:pos="851"/>
              </w:tabs>
              <w:rPr>
                <w:rFonts w:asciiTheme="majorHAnsi" w:hAnsiTheme="majorHAnsi" w:cstheme="majorHAnsi"/>
                <w:sz w:val="20"/>
                <w:szCs w:val="20"/>
                <w:lang w:val="ro-MD"/>
              </w:rPr>
            </w:pPr>
            <w:r w:rsidRPr="00B13B9A">
              <w:rPr>
                <w:rFonts w:asciiTheme="majorHAnsi" w:hAnsiTheme="majorHAnsi" w:cstheme="majorHAnsi"/>
                <w:sz w:val="20"/>
                <w:szCs w:val="20"/>
                <w:lang w:val="ro-MD"/>
              </w:rPr>
              <w:t>Servicii privind elaborarea documenta</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iei de proiect privind repara</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ia capitală a încăperilor sanitare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 xml:space="preserve">i holurilor etajelor 1,2,3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4 blocul B-02</w:t>
            </w:r>
          </w:p>
        </w:tc>
        <w:tc>
          <w:tcPr>
            <w:tcW w:w="1259" w:type="dxa"/>
            <w:vAlign w:val="center"/>
          </w:tcPr>
          <w:p w14:paraId="43DA4768" w14:textId="44694E59"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SC</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PC</w:t>
            </w:r>
          </w:p>
        </w:tc>
        <w:tc>
          <w:tcPr>
            <w:tcW w:w="1259" w:type="dxa"/>
            <w:vAlign w:val="center"/>
          </w:tcPr>
          <w:p w14:paraId="27F23886"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50800000-3</w:t>
            </w:r>
          </w:p>
        </w:tc>
        <w:tc>
          <w:tcPr>
            <w:tcW w:w="1187" w:type="dxa"/>
            <w:vAlign w:val="center"/>
          </w:tcPr>
          <w:p w14:paraId="126F3B0F"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86,4</w:t>
            </w:r>
          </w:p>
        </w:tc>
      </w:tr>
      <w:tr w:rsidR="00AA1967" w:rsidRPr="00B13B9A" w14:paraId="1471ED73" w14:textId="77777777" w:rsidTr="008156E3">
        <w:trPr>
          <w:trHeight w:val="510"/>
        </w:trPr>
        <w:tc>
          <w:tcPr>
            <w:tcW w:w="7633" w:type="dxa"/>
            <w:gridSpan w:val="4"/>
          </w:tcPr>
          <w:p w14:paraId="4468D307" w14:textId="77777777" w:rsidR="00AA1967" w:rsidRPr="00B13B9A" w:rsidRDefault="00AA1967" w:rsidP="008156E3">
            <w:pPr>
              <w:tabs>
                <w:tab w:val="left" w:pos="851"/>
              </w:tabs>
              <w:jc w:val="center"/>
              <w:rPr>
                <w:rFonts w:asciiTheme="majorHAnsi" w:hAnsiTheme="majorHAnsi" w:cstheme="majorHAnsi"/>
                <w:sz w:val="20"/>
                <w:szCs w:val="20"/>
                <w:lang w:val="ro-MD"/>
              </w:rPr>
            </w:pPr>
          </w:p>
        </w:tc>
        <w:tc>
          <w:tcPr>
            <w:tcW w:w="1259" w:type="dxa"/>
            <w:vAlign w:val="center"/>
          </w:tcPr>
          <w:p w14:paraId="0474952E" w14:textId="77777777" w:rsidR="00AA1967" w:rsidRPr="00B13B9A" w:rsidRDefault="00AA1967" w:rsidP="008156E3">
            <w:pPr>
              <w:tabs>
                <w:tab w:val="left" w:pos="851"/>
              </w:tabs>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Total</w:t>
            </w:r>
          </w:p>
        </w:tc>
        <w:tc>
          <w:tcPr>
            <w:tcW w:w="1187" w:type="dxa"/>
            <w:vAlign w:val="center"/>
          </w:tcPr>
          <w:p w14:paraId="078BACD4" w14:textId="77777777" w:rsidR="00AA1967" w:rsidRPr="00B13B9A" w:rsidRDefault="00AA1967" w:rsidP="008156E3">
            <w:pPr>
              <w:tabs>
                <w:tab w:val="left" w:pos="851"/>
              </w:tabs>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247,9</w:t>
            </w:r>
          </w:p>
        </w:tc>
      </w:tr>
    </w:tbl>
    <w:p w14:paraId="71AF2399" w14:textId="3A260B38" w:rsidR="00AA1967" w:rsidRPr="00B13B9A" w:rsidRDefault="00AA1967" w:rsidP="00AA1967">
      <w:pPr>
        <w:tabs>
          <w:tab w:val="left" w:pos="851"/>
        </w:tabs>
        <w:spacing w:after="0" w:line="276" w:lineRule="auto"/>
        <w:rPr>
          <w:rFonts w:asciiTheme="majorHAnsi" w:hAnsiTheme="majorHAnsi" w:cstheme="majorHAnsi"/>
          <w:i/>
          <w:sz w:val="20"/>
          <w:szCs w:val="20"/>
          <w:lang w:val="ro-MD"/>
        </w:rPr>
      </w:pPr>
      <w:r w:rsidRPr="00B13B9A">
        <w:rPr>
          <w:rFonts w:asciiTheme="majorHAnsi" w:hAnsiTheme="majorHAnsi" w:cstheme="majorHAnsi"/>
          <w:b/>
          <w:i/>
          <w:sz w:val="20"/>
          <w:szCs w:val="20"/>
          <w:lang w:val="ro-MD"/>
        </w:rPr>
        <w:t>Sursa</w:t>
      </w:r>
      <w:r w:rsidRPr="00B13B9A">
        <w:rPr>
          <w:rFonts w:asciiTheme="majorHAnsi" w:hAnsiTheme="majorHAnsi" w:cstheme="majorHAnsi"/>
          <w:i/>
          <w:sz w:val="20"/>
          <w:szCs w:val="20"/>
          <w:lang w:val="ro-MD"/>
        </w:rPr>
        <w:t xml:space="preserve">: </w:t>
      </w:r>
      <w:r w:rsidR="002A3B29" w:rsidRPr="00B13B9A">
        <w:rPr>
          <w:rFonts w:asciiTheme="majorHAnsi" w:hAnsiTheme="majorHAnsi" w:cstheme="majorHAnsi"/>
          <w:i/>
          <w:sz w:val="20"/>
          <w:szCs w:val="20"/>
          <w:lang w:val="ro-MD"/>
        </w:rPr>
        <w:t xml:space="preserve">Elaborat </w:t>
      </w:r>
      <w:r w:rsidRPr="00B13B9A">
        <w:rPr>
          <w:rFonts w:asciiTheme="majorHAnsi" w:hAnsiTheme="majorHAnsi" w:cstheme="majorHAnsi"/>
          <w:i/>
          <w:sz w:val="20"/>
          <w:szCs w:val="20"/>
          <w:lang w:val="ro-MD"/>
        </w:rPr>
        <w:t>de audit în baza informa</w:t>
      </w:r>
      <w:r w:rsidR="00B13B9A" w:rsidRPr="00B13B9A">
        <w:rPr>
          <w:rFonts w:asciiTheme="majorHAnsi" w:hAnsiTheme="majorHAnsi" w:cstheme="majorHAnsi"/>
          <w:i/>
          <w:sz w:val="20"/>
          <w:szCs w:val="20"/>
          <w:lang w:val="ro-MD"/>
        </w:rPr>
        <w:t>ț</w:t>
      </w:r>
      <w:r w:rsidRPr="00B13B9A">
        <w:rPr>
          <w:rFonts w:asciiTheme="majorHAnsi" w:hAnsiTheme="majorHAnsi" w:cstheme="majorHAnsi"/>
          <w:i/>
          <w:sz w:val="20"/>
          <w:szCs w:val="20"/>
          <w:lang w:val="ro-MD"/>
        </w:rPr>
        <w:t>iilor prezentate de entitate</w:t>
      </w:r>
      <w:r w:rsidR="007C3FE1" w:rsidRPr="00B13B9A">
        <w:rPr>
          <w:rFonts w:asciiTheme="majorHAnsi" w:hAnsiTheme="majorHAnsi" w:cstheme="majorHAnsi"/>
          <w:i/>
          <w:sz w:val="20"/>
          <w:szCs w:val="20"/>
          <w:lang w:val="ro-MD"/>
        </w:rPr>
        <w:t>.</w:t>
      </w:r>
    </w:p>
    <w:p w14:paraId="66F5A814" w14:textId="77777777" w:rsidR="00AA1967" w:rsidRPr="00B13B9A" w:rsidRDefault="00AA1967" w:rsidP="001F0EA2">
      <w:pPr>
        <w:spacing w:after="0" w:line="240" w:lineRule="auto"/>
        <w:rPr>
          <w:rFonts w:asciiTheme="majorHAnsi" w:eastAsia="Times New Roman" w:hAnsiTheme="majorHAnsi" w:cstheme="majorHAnsi"/>
          <w:b/>
          <w:bCs/>
          <w:color w:val="000000"/>
          <w:sz w:val="20"/>
          <w:szCs w:val="20"/>
          <w:lang w:val="ro-MD"/>
        </w:rPr>
      </w:pPr>
    </w:p>
    <w:p w14:paraId="793DFF13" w14:textId="77777777" w:rsidR="00FA7B71" w:rsidRPr="00B13B9A" w:rsidRDefault="00FA7B71" w:rsidP="001F0EA2">
      <w:pPr>
        <w:spacing w:after="0" w:line="240" w:lineRule="auto"/>
        <w:rPr>
          <w:rFonts w:asciiTheme="majorHAnsi" w:eastAsia="Times New Roman" w:hAnsiTheme="majorHAnsi" w:cstheme="majorHAnsi"/>
          <w:b/>
          <w:bCs/>
          <w:color w:val="000000"/>
          <w:sz w:val="20"/>
          <w:szCs w:val="20"/>
          <w:lang w:val="ro-MD"/>
        </w:rPr>
      </w:pPr>
    </w:p>
    <w:p w14:paraId="5A6F66C0" w14:textId="77777777" w:rsidR="00FA7B71" w:rsidRPr="00B13B9A" w:rsidRDefault="00FA7B71" w:rsidP="001F0EA2">
      <w:pPr>
        <w:spacing w:after="0" w:line="240" w:lineRule="auto"/>
        <w:rPr>
          <w:rFonts w:asciiTheme="majorHAnsi" w:eastAsia="Times New Roman" w:hAnsiTheme="majorHAnsi" w:cstheme="majorHAnsi"/>
          <w:b/>
          <w:bCs/>
          <w:color w:val="000000"/>
          <w:sz w:val="20"/>
          <w:szCs w:val="20"/>
          <w:lang w:val="ro-MD"/>
        </w:rPr>
      </w:pPr>
    </w:p>
    <w:p w14:paraId="7EC5AE7C" w14:textId="77777777" w:rsidR="00FA7B71" w:rsidRPr="00B13B9A" w:rsidRDefault="00FA7B71" w:rsidP="001F0EA2">
      <w:pPr>
        <w:spacing w:after="0" w:line="240" w:lineRule="auto"/>
        <w:rPr>
          <w:rFonts w:asciiTheme="majorHAnsi" w:eastAsia="Times New Roman" w:hAnsiTheme="majorHAnsi" w:cstheme="majorHAnsi"/>
          <w:b/>
          <w:bCs/>
          <w:color w:val="000000"/>
          <w:sz w:val="20"/>
          <w:szCs w:val="20"/>
          <w:lang w:val="ro-MD"/>
        </w:rPr>
      </w:pPr>
    </w:p>
    <w:p w14:paraId="00C3C9FB" w14:textId="77777777" w:rsidR="0007264E" w:rsidRPr="00B13B9A" w:rsidRDefault="0007264E" w:rsidP="001F0EA2">
      <w:pPr>
        <w:spacing w:after="0" w:line="240" w:lineRule="auto"/>
        <w:rPr>
          <w:rFonts w:asciiTheme="majorHAnsi" w:eastAsia="Times New Roman" w:hAnsiTheme="majorHAnsi" w:cstheme="majorHAnsi"/>
          <w:b/>
          <w:bCs/>
          <w:color w:val="000000"/>
          <w:sz w:val="20"/>
          <w:szCs w:val="20"/>
          <w:lang w:val="ro-MD"/>
        </w:rPr>
      </w:pPr>
    </w:p>
    <w:p w14:paraId="72284A44" w14:textId="77777777" w:rsidR="0007264E" w:rsidRPr="00B13B9A" w:rsidRDefault="0007264E" w:rsidP="001F0EA2">
      <w:pPr>
        <w:spacing w:after="0" w:line="240" w:lineRule="auto"/>
        <w:rPr>
          <w:rFonts w:asciiTheme="majorHAnsi" w:eastAsia="Times New Roman" w:hAnsiTheme="majorHAnsi" w:cstheme="majorHAnsi"/>
          <w:b/>
          <w:bCs/>
          <w:color w:val="000000"/>
          <w:sz w:val="20"/>
          <w:szCs w:val="20"/>
          <w:lang w:val="ro-MD"/>
        </w:rPr>
      </w:pPr>
    </w:p>
    <w:p w14:paraId="0EB619BA" w14:textId="77777777" w:rsidR="0007264E" w:rsidRPr="00B13B9A" w:rsidRDefault="0007264E" w:rsidP="001F0EA2">
      <w:pPr>
        <w:spacing w:after="0" w:line="240" w:lineRule="auto"/>
        <w:rPr>
          <w:rFonts w:asciiTheme="majorHAnsi" w:eastAsia="Times New Roman" w:hAnsiTheme="majorHAnsi" w:cstheme="majorHAnsi"/>
          <w:b/>
          <w:bCs/>
          <w:color w:val="000000"/>
          <w:sz w:val="20"/>
          <w:szCs w:val="20"/>
          <w:lang w:val="ro-MD"/>
        </w:rPr>
      </w:pPr>
    </w:p>
    <w:p w14:paraId="7B05BFB8" w14:textId="77777777" w:rsidR="00D3471D" w:rsidRPr="00B13B9A" w:rsidRDefault="00D3471D" w:rsidP="00295418">
      <w:pPr>
        <w:spacing w:after="0" w:line="240" w:lineRule="auto"/>
        <w:rPr>
          <w:rFonts w:asciiTheme="majorHAnsi" w:hAnsiTheme="majorHAnsi" w:cstheme="majorHAnsi"/>
          <w:b/>
          <w:iCs/>
          <w:sz w:val="24"/>
          <w:szCs w:val="24"/>
          <w:lang w:val="ro-MD"/>
        </w:rPr>
        <w:sectPr w:rsidR="00D3471D" w:rsidRPr="00B13B9A" w:rsidSect="002101A1">
          <w:pgSz w:w="12240" w:h="15840"/>
          <w:pgMar w:top="851" w:right="758" w:bottom="1134" w:left="1701" w:header="708" w:footer="708" w:gutter="0"/>
          <w:cols w:space="708"/>
          <w:titlePg/>
          <w:docGrid w:linePitch="360"/>
        </w:sectPr>
      </w:pPr>
    </w:p>
    <w:p w14:paraId="2698FD2B" w14:textId="77777777" w:rsidR="003210C3" w:rsidRPr="00B13B9A" w:rsidRDefault="000A5AB9" w:rsidP="008156E3">
      <w:pPr>
        <w:pStyle w:val="3"/>
        <w:jc w:val="right"/>
        <w:rPr>
          <w:rFonts w:cstheme="majorHAnsi"/>
          <w:b/>
          <w:iCs/>
          <w:color w:val="auto"/>
        </w:rPr>
      </w:pPr>
      <w:bookmarkStart w:id="70" w:name="_Toc158317271"/>
      <w:r w:rsidRPr="00B13B9A">
        <w:rPr>
          <w:rFonts w:cstheme="majorHAnsi"/>
          <w:b/>
          <w:iCs/>
          <w:color w:val="auto"/>
        </w:rPr>
        <w:t xml:space="preserve">Anexa nr. </w:t>
      </w:r>
      <w:r w:rsidR="00251EC7" w:rsidRPr="00B13B9A">
        <w:rPr>
          <w:rFonts w:cstheme="majorHAnsi"/>
          <w:b/>
          <w:iCs/>
          <w:color w:val="auto"/>
        </w:rPr>
        <w:t>17</w:t>
      </w:r>
      <w:bookmarkEnd w:id="70"/>
    </w:p>
    <w:p w14:paraId="56350FE5" w14:textId="260ABD36" w:rsidR="00D3471D" w:rsidRPr="00B13B9A" w:rsidRDefault="00D3471D" w:rsidP="00D3471D">
      <w:pPr>
        <w:spacing w:after="0" w:line="240" w:lineRule="auto"/>
        <w:jc w:val="center"/>
        <w:rPr>
          <w:rFonts w:asciiTheme="majorHAnsi" w:hAnsiTheme="majorHAnsi" w:cstheme="majorHAnsi"/>
          <w:b/>
          <w:iCs/>
          <w:sz w:val="24"/>
          <w:szCs w:val="24"/>
          <w:lang w:val="ro-MD"/>
        </w:rPr>
      </w:pPr>
      <w:r w:rsidRPr="00B13B9A">
        <w:rPr>
          <w:rFonts w:asciiTheme="majorHAnsi" w:hAnsiTheme="majorHAnsi" w:cstheme="majorHAnsi"/>
          <w:b/>
          <w:iCs/>
          <w:sz w:val="24"/>
          <w:szCs w:val="24"/>
          <w:lang w:val="ro-MD"/>
        </w:rPr>
        <w:t>Lista bunurilor imobile de</w:t>
      </w:r>
      <w:r w:rsidR="00B13B9A" w:rsidRPr="00B13B9A">
        <w:rPr>
          <w:rFonts w:asciiTheme="majorHAnsi" w:hAnsiTheme="majorHAnsi" w:cstheme="majorHAnsi"/>
          <w:b/>
          <w:iCs/>
          <w:sz w:val="24"/>
          <w:szCs w:val="24"/>
          <w:lang w:val="ro-MD"/>
        </w:rPr>
        <w:t>ț</w:t>
      </w:r>
      <w:r w:rsidRPr="00B13B9A">
        <w:rPr>
          <w:rFonts w:asciiTheme="majorHAnsi" w:hAnsiTheme="majorHAnsi" w:cstheme="majorHAnsi"/>
          <w:b/>
          <w:iCs/>
          <w:sz w:val="24"/>
          <w:szCs w:val="24"/>
          <w:lang w:val="ro-MD"/>
        </w:rPr>
        <w:t xml:space="preserve">inute de </w:t>
      </w:r>
      <w:r w:rsidR="002A3B29" w:rsidRPr="00B13B9A">
        <w:rPr>
          <w:rFonts w:asciiTheme="majorHAnsi" w:hAnsiTheme="majorHAnsi" w:cstheme="majorHAnsi"/>
          <w:b/>
          <w:iCs/>
          <w:sz w:val="24"/>
          <w:szCs w:val="24"/>
          <w:lang w:val="ro-MD"/>
        </w:rPr>
        <w:t>C</w:t>
      </w:r>
      <w:r w:rsidRPr="00B13B9A">
        <w:rPr>
          <w:rFonts w:asciiTheme="majorHAnsi" w:hAnsiTheme="majorHAnsi" w:cstheme="majorHAnsi"/>
          <w:b/>
          <w:iCs/>
          <w:sz w:val="24"/>
          <w:szCs w:val="24"/>
          <w:lang w:val="ro-MD"/>
        </w:rPr>
        <w:t>linic</w:t>
      </w:r>
      <w:r w:rsidR="002A3B29" w:rsidRPr="00B13B9A">
        <w:rPr>
          <w:rFonts w:asciiTheme="majorHAnsi" w:hAnsiTheme="majorHAnsi" w:cstheme="majorHAnsi"/>
          <w:b/>
          <w:iCs/>
          <w:sz w:val="24"/>
          <w:szCs w:val="24"/>
          <w:lang w:val="ro-MD"/>
        </w:rPr>
        <w:t>a din s.</w:t>
      </w:r>
      <w:r w:rsidRPr="00B13B9A">
        <w:rPr>
          <w:rFonts w:asciiTheme="majorHAnsi" w:hAnsiTheme="majorHAnsi" w:cstheme="majorHAnsi"/>
          <w:b/>
          <w:iCs/>
          <w:sz w:val="24"/>
          <w:szCs w:val="24"/>
          <w:lang w:val="ro-MD"/>
        </w:rPr>
        <w:t xml:space="preserve"> Vorniceni</w:t>
      </w:r>
    </w:p>
    <w:tbl>
      <w:tblPr>
        <w:tblW w:w="14136" w:type="dxa"/>
        <w:tblInd w:w="-294" w:type="dxa"/>
        <w:tblLook w:val="04A0" w:firstRow="1" w:lastRow="0" w:firstColumn="1" w:lastColumn="0" w:noHBand="0" w:noVBand="1"/>
      </w:tblPr>
      <w:tblGrid>
        <w:gridCol w:w="547"/>
        <w:gridCol w:w="2998"/>
        <w:gridCol w:w="1480"/>
        <w:gridCol w:w="1242"/>
        <w:gridCol w:w="6491"/>
        <w:gridCol w:w="1378"/>
      </w:tblGrid>
      <w:tr w:rsidR="00D3471D" w:rsidRPr="00B13B9A" w14:paraId="629C429C" w14:textId="77777777" w:rsidTr="002B7B86">
        <w:trPr>
          <w:trHeight w:val="20"/>
        </w:trPr>
        <w:tc>
          <w:tcPr>
            <w:tcW w:w="547"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4CAFA3A6" w14:textId="5BB665D0" w:rsidR="00D3471D" w:rsidRPr="00B13B9A" w:rsidRDefault="00D3471D" w:rsidP="00332FF7">
            <w:pPr>
              <w:spacing w:after="0" w:line="240" w:lineRule="auto"/>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 xml:space="preserve">Nr. </w:t>
            </w:r>
            <w:r w:rsidR="002A3B29" w:rsidRPr="00B13B9A">
              <w:rPr>
                <w:rFonts w:asciiTheme="majorHAnsi" w:eastAsia="Times New Roman" w:hAnsiTheme="majorHAnsi" w:cstheme="majorHAnsi"/>
                <w:b/>
                <w:bCs/>
                <w:color w:val="000000"/>
                <w:sz w:val="20"/>
                <w:szCs w:val="20"/>
                <w:lang w:val="ro-MD"/>
              </w:rPr>
              <w:t>crt.</w:t>
            </w:r>
          </w:p>
        </w:tc>
        <w:tc>
          <w:tcPr>
            <w:tcW w:w="2998" w:type="dxa"/>
            <w:tcBorders>
              <w:top w:val="single" w:sz="8" w:space="0" w:color="auto"/>
              <w:left w:val="nil"/>
              <w:bottom w:val="single" w:sz="8" w:space="0" w:color="auto"/>
              <w:right w:val="single" w:sz="4" w:space="0" w:color="auto"/>
            </w:tcBorders>
            <w:shd w:val="clear" w:color="000000" w:fill="FFFFFF"/>
            <w:vAlign w:val="center"/>
            <w:hideMark/>
          </w:tcPr>
          <w:p w14:paraId="092600E2" w14:textId="77777777" w:rsidR="00D3471D" w:rsidRPr="00B13B9A" w:rsidRDefault="00D3471D" w:rsidP="00332FF7">
            <w:pPr>
              <w:spacing w:after="0" w:line="240" w:lineRule="auto"/>
              <w:rPr>
                <w:rFonts w:asciiTheme="majorHAnsi" w:eastAsia="Times New Roman" w:hAnsiTheme="majorHAnsi" w:cstheme="majorHAnsi"/>
                <w:b/>
                <w:bCs/>
                <w:i/>
                <w:iCs/>
                <w:color w:val="000000"/>
                <w:sz w:val="20"/>
                <w:szCs w:val="20"/>
                <w:lang w:val="ro-MD"/>
              </w:rPr>
            </w:pPr>
            <w:r w:rsidRPr="00B13B9A">
              <w:rPr>
                <w:rFonts w:asciiTheme="majorHAnsi" w:eastAsia="Times New Roman" w:hAnsiTheme="majorHAnsi" w:cstheme="majorHAnsi"/>
                <w:b/>
                <w:bCs/>
                <w:i/>
                <w:iCs/>
                <w:color w:val="000000"/>
                <w:sz w:val="20"/>
                <w:szCs w:val="20"/>
                <w:lang w:val="ro-MD"/>
              </w:rPr>
              <w:t>Denumirea bunului</w:t>
            </w:r>
          </w:p>
        </w:tc>
        <w:tc>
          <w:tcPr>
            <w:tcW w:w="1480" w:type="dxa"/>
            <w:tcBorders>
              <w:top w:val="single" w:sz="8" w:space="0" w:color="auto"/>
              <w:left w:val="nil"/>
              <w:bottom w:val="single" w:sz="8" w:space="0" w:color="auto"/>
              <w:right w:val="single" w:sz="4" w:space="0" w:color="auto"/>
            </w:tcBorders>
            <w:shd w:val="clear" w:color="000000" w:fill="FFFFFF"/>
            <w:vAlign w:val="center"/>
            <w:hideMark/>
          </w:tcPr>
          <w:p w14:paraId="11FC8EF5" w14:textId="77777777" w:rsidR="00D3471D" w:rsidRPr="00B13B9A" w:rsidRDefault="00D3471D" w:rsidP="00332FF7">
            <w:pPr>
              <w:spacing w:after="0" w:line="240" w:lineRule="auto"/>
              <w:jc w:val="right"/>
              <w:rPr>
                <w:rFonts w:asciiTheme="majorHAnsi" w:eastAsia="Times New Roman" w:hAnsiTheme="majorHAnsi" w:cstheme="majorHAnsi"/>
                <w:b/>
                <w:bCs/>
                <w:i/>
                <w:iCs/>
                <w:color w:val="000000"/>
                <w:sz w:val="20"/>
                <w:szCs w:val="20"/>
                <w:lang w:val="ro-MD"/>
              </w:rPr>
            </w:pPr>
            <w:r w:rsidRPr="00B13B9A">
              <w:rPr>
                <w:rFonts w:asciiTheme="majorHAnsi" w:eastAsia="Times New Roman" w:hAnsiTheme="majorHAnsi" w:cstheme="majorHAnsi"/>
                <w:b/>
                <w:bCs/>
                <w:i/>
                <w:iCs/>
                <w:color w:val="000000"/>
                <w:sz w:val="20"/>
                <w:szCs w:val="20"/>
                <w:lang w:val="ro-MD"/>
              </w:rPr>
              <w:t>Valoarea</w:t>
            </w:r>
          </w:p>
        </w:tc>
        <w:tc>
          <w:tcPr>
            <w:tcW w:w="1242" w:type="dxa"/>
            <w:tcBorders>
              <w:top w:val="single" w:sz="8" w:space="0" w:color="auto"/>
              <w:left w:val="nil"/>
              <w:bottom w:val="single" w:sz="8" w:space="0" w:color="auto"/>
              <w:right w:val="single" w:sz="4" w:space="0" w:color="auto"/>
            </w:tcBorders>
            <w:shd w:val="clear" w:color="000000" w:fill="FFFFFF"/>
            <w:vAlign w:val="center"/>
            <w:hideMark/>
          </w:tcPr>
          <w:p w14:paraId="210510F7" w14:textId="77777777" w:rsidR="00D3471D" w:rsidRPr="00B13B9A" w:rsidRDefault="00D3471D" w:rsidP="00332FF7">
            <w:pPr>
              <w:spacing w:after="0" w:line="240" w:lineRule="auto"/>
              <w:rPr>
                <w:rFonts w:asciiTheme="majorHAnsi" w:eastAsia="Times New Roman" w:hAnsiTheme="majorHAnsi" w:cstheme="majorHAnsi"/>
                <w:b/>
                <w:bCs/>
                <w:i/>
                <w:iCs/>
                <w:color w:val="000000"/>
                <w:sz w:val="20"/>
                <w:szCs w:val="20"/>
                <w:lang w:val="ro-MD"/>
              </w:rPr>
            </w:pPr>
            <w:r w:rsidRPr="00B13B9A">
              <w:rPr>
                <w:rFonts w:asciiTheme="majorHAnsi" w:eastAsia="Times New Roman" w:hAnsiTheme="majorHAnsi" w:cstheme="majorHAnsi"/>
                <w:b/>
                <w:bCs/>
                <w:i/>
                <w:iCs/>
                <w:color w:val="000000"/>
                <w:sz w:val="20"/>
                <w:szCs w:val="20"/>
                <w:lang w:val="ro-MD"/>
              </w:rPr>
              <w:t>Starea</w:t>
            </w:r>
          </w:p>
        </w:tc>
        <w:tc>
          <w:tcPr>
            <w:tcW w:w="6491" w:type="dxa"/>
            <w:tcBorders>
              <w:top w:val="single" w:sz="8" w:space="0" w:color="auto"/>
              <w:left w:val="nil"/>
              <w:bottom w:val="single" w:sz="8" w:space="0" w:color="auto"/>
              <w:right w:val="nil"/>
            </w:tcBorders>
            <w:shd w:val="clear" w:color="000000" w:fill="FFFFFF"/>
            <w:vAlign w:val="center"/>
            <w:hideMark/>
          </w:tcPr>
          <w:p w14:paraId="5A68A3E7" w14:textId="59583021" w:rsidR="00D3471D" w:rsidRPr="00B13B9A" w:rsidRDefault="00D3471D" w:rsidP="00332FF7">
            <w:pPr>
              <w:spacing w:after="0" w:line="240" w:lineRule="auto"/>
              <w:rPr>
                <w:rFonts w:asciiTheme="majorHAnsi" w:eastAsia="Times New Roman" w:hAnsiTheme="majorHAnsi" w:cstheme="majorHAnsi"/>
                <w:b/>
                <w:bCs/>
                <w:i/>
                <w:iCs/>
                <w:color w:val="000000"/>
                <w:sz w:val="20"/>
                <w:szCs w:val="20"/>
                <w:lang w:val="ro-MD"/>
              </w:rPr>
            </w:pPr>
            <w:r w:rsidRPr="00B13B9A">
              <w:rPr>
                <w:rFonts w:asciiTheme="majorHAnsi" w:eastAsia="Times New Roman" w:hAnsiTheme="majorHAnsi" w:cstheme="majorHAnsi"/>
                <w:b/>
                <w:bCs/>
                <w:i/>
                <w:iCs/>
                <w:color w:val="000000"/>
                <w:sz w:val="20"/>
                <w:szCs w:val="20"/>
                <w:lang w:val="ro-MD"/>
              </w:rPr>
              <w:t>Descrierea situa</w:t>
            </w:r>
            <w:r w:rsidR="00B13B9A" w:rsidRPr="00B13B9A">
              <w:rPr>
                <w:rFonts w:asciiTheme="majorHAnsi" w:eastAsia="Times New Roman" w:hAnsiTheme="majorHAnsi" w:cstheme="majorHAnsi"/>
                <w:b/>
                <w:bCs/>
                <w:i/>
                <w:iCs/>
                <w:color w:val="000000"/>
                <w:sz w:val="20"/>
                <w:szCs w:val="20"/>
                <w:lang w:val="ro-MD"/>
              </w:rPr>
              <w:t>ț</w:t>
            </w:r>
            <w:r w:rsidRPr="00B13B9A">
              <w:rPr>
                <w:rFonts w:asciiTheme="majorHAnsi" w:eastAsia="Times New Roman" w:hAnsiTheme="majorHAnsi" w:cstheme="majorHAnsi"/>
                <w:b/>
                <w:bCs/>
                <w:i/>
                <w:iCs/>
                <w:color w:val="000000"/>
                <w:sz w:val="20"/>
                <w:szCs w:val="20"/>
                <w:lang w:val="ro-MD"/>
              </w:rPr>
              <w:t>iei</w:t>
            </w:r>
          </w:p>
        </w:tc>
        <w:tc>
          <w:tcPr>
            <w:tcW w:w="137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B64BC64" w14:textId="77777777" w:rsidR="00D3471D" w:rsidRPr="00B13B9A" w:rsidRDefault="00D3471D" w:rsidP="00332FF7">
            <w:pPr>
              <w:tabs>
                <w:tab w:val="left" w:pos="912"/>
              </w:tabs>
              <w:spacing w:after="0" w:line="240" w:lineRule="auto"/>
              <w:jc w:val="right"/>
              <w:rPr>
                <w:rFonts w:asciiTheme="majorHAnsi" w:eastAsia="Times New Roman" w:hAnsiTheme="majorHAnsi" w:cstheme="majorHAnsi"/>
                <w:b/>
                <w:bCs/>
                <w:i/>
                <w:iCs/>
                <w:color w:val="000000"/>
                <w:sz w:val="20"/>
                <w:szCs w:val="20"/>
                <w:lang w:val="ro-MD"/>
              </w:rPr>
            </w:pPr>
            <w:r w:rsidRPr="00B13B9A">
              <w:rPr>
                <w:rFonts w:asciiTheme="majorHAnsi" w:eastAsia="Times New Roman" w:hAnsiTheme="majorHAnsi" w:cstheme="majorHAnsi"/>
                <w:b/>
                <w:bCs/>
                <w:i/>
                <w:iCs/>
                <w:color w:val="000000"/>
                <w:sz w:val="20"/>
                <w:szCs w:val="20"/>
                <w:lang w:val="ro-MD"/>
              </w:rPr>
              <w:t>Uzura la 30.06.2023</w:t>
            </w:r>
          </w:p>
        </w:tc>
      </w:tr>
      <w:tr w:rsidR="00D3471D" w:rsidRPr="00B13B9A" w14:paraId="0D4DBBA4"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1FB4454C"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w:t>
            </w:r>
          </w:p>
        </w:tc>
        <w:tc>
          <w:tcPr>
            <w:tcW w:w="2998" w:type="dxa"/>
            <w:tcBorders>
              <w:top w:val="nil"/>
              <w:left w:val="nil"/>
              <w:bottom w:val="single" w:sz="4" w:space="0" w:color="auto"/>
              <w:right w:val="single" w:sz="4" w:space="0" w:color="auto"/>
            </w:tcBorders>
            <w:shd w:val="clear" w:color="000000" w:fill="FFFFFF"/>
            <w:vAlign w:val="center"/>
            <w:hideMark/>
          </w:tcPr>
          <w:p w14:paraId="61D33A4A" w14:textId="007C1AD2"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Atelier de lăcătu</w:t>
            </w:r>
            <w:r w:rsidR="00B13B9A" w:rsidRPr="00B13B9A">
              <w:rPr>
                <w:rFonts w:asciiTheme="majorHAnsi" w:eastAsia="Times New Roman" w:hAnsiTheme="majorHAnsi" w:cstheme="majorHAnsi"/>
                <w:i/>
                <w:iCs/>
                <w:color w:val="000000"/>
                <w:sz w:val="20"/>
                <w:szCs w:val="20"/>
                <w:lang w:val="ro-MD"/>
              </w:rPr>
              <w:t>ș</w:t>
            </w:r>
            <w:r w:rsidR="002A3B29" w:rsidRPr="00B13B9A">
              <w:rPr>
                <w:rFonts w:asciiTheme="majorHAnsi" w:eastAsia="Times New Roman" w:hAnsiTheme="majorHAnsi" w:cstheme="majorHAnsi"/>
                <w:i/>
                <w:iCs/>
                <w:color w:val="000000"/>
                <w:sz w:val="20"/>
                <w:szCs w:val="20"/>
                <w:lang w:val="ro-MD"/>
              </w:rPr>
              <w:t>erie</w:t>
            </w:r>
            <w:r w:rsidRPr="00B13B9A">
              <w:rPr>
                <w:rFonts w:asciiTheme="majorHAnsi" w:eastAsia="Times New Roman" w:hAnsiTheme="majorHAnsi" w:cstheme="majorHAnsi"/>
                <w:i/>
                <w:iCs/>
                <w:color w:val="000000"/>
                <w:sz w:val="20"/>
                <w:szCs w:val="20"/>
                <w:lang w:val="ro-MD"/>
              </w:rPr>
              <w:t xml:space="preserve"> Vorniceni 8042208387.24</w:t>
            </w:r>
          </w:p>
        </w:tc>
        <w:tc>
          <w:tcPr>
            <w:tcW w:w="1480" w:type="dxa"/>
            <w:tcBorders>
              <w:top w:val="nil"/>
              <w:left w:val="nil"/>
              <w:bottom w:val="single" w:sz="4" w:space="0" w:color="auto"/>
              <w:right w:val="single" w:sz="4" w:space="0" w:color="auto"/>
            </w:tcBorders>
            <w:shd w:val="clear" w:color="000000" w:fill="FFFFFF"/>
            <w:vAlign w:val="center"/>
            <w:hideMark/>
          </w:tcPr>
          <w:p w14:paraId="7F70263C"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99.565,00</w:t>
            </w:r>
          </w:p>
        </w:tc>
        <w:tc>
          <w:tcPr>
            <w:tcW w:w="1242" w:type="dxa"/>
            <w:tcBorders>
              <w:top w:val="nil"/>
              <w:left w:val="nil"/>
              <w:bottom w:val="single" w:sz="4" w:space="0" w:color="auto"/>
              <w:right w:val="single" w:sz="4" w:space="0" w:color="auto"/>
            </w:tcBorders>
            <w:shd w:val="clear" w:color="000000" w:fill="FFFFFF"/>
            <w:vAlign w:val="center"/>
            <w:hideMark/>
          </w:tcPr>
          <w:p w14:paraId="0C77C795" w14:textId="25988F85"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Nefunc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6A30554D"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deplorabilă, învechit, spre demolare. Valoarea lucrărilor de demolare constituie 29.916,53 lei</w:t>
            </w:r>
          </w:p>
        </w:tc>
        <w:tc>
          <w:tcPr>
            <w:tcW w:w="1378" w:type="dxa"/>
            <w:tcBorders>
              <w:top w:val="nil"/>
              <w:left w:val="nil"/>
              <w:bottom w:val="single" w:sz="4" w:space="0" w:color="auto"/>
              <w:right w:val="single" w:sz="8" w:space="0" w:color="auto"/>
            </w:tcBorders>
            <w:shd w:val="clear" w:color="000000" w:fill="FFFFFF"/>
            <w:noWrap/>
            <w:vAlign w:val="center"/>
            <w:hideMark/>
          </w:tcPr>
          <w:p w14:paraId="5B455153"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80.734,31</w:t>
            </w:r>
          </w:p>
        </w:tc>
      </w:tr>
      <w:tr w:rsidR="00D3471D" w:rsidRPr="00B13B9A" w14:paraId="4E354AD8"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7A2437ED"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w:t>
            </w:r>
          </w:p>
        </w:tc>
        <w:tc>
          <w:tcPr>
            <w:tcW w:w="2998" w:type="dxa"/>
            <w:tcBorders>
              <w:top w:val="nil"/>
              <w:left w:val="nil"/>
              <w:bottom w:val="single" w:sz="4" w:space="0" w:color="auto"/>
              <w:right w:val="single" w:sz="4" w:space="0" w:color="auto"/>
            </w:tcBorders>
            <w:shd w:val="clear" w:color="000000" w:fill="FFFFFF"/>
            <w:vAlign w:val="center"/>
            <w:hideMark/>
          </w:tcPr>
          <w:p w14:paraId="5A826586"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Bloc alimentar  p/u colaboratori Vorniceni 8042208387.07</w:t>
            </w:r>
          </w:p>
        </w:tc>
        <w:tc>
          <w:tcPr>
            <w:tcW w:w="1480" w:type="dxa"/>
            <w:tcBorders>
              <w:top w:val="nil"/>
              <w:left w:val="nil"/>
              <w:bottom w:val="single" w:sz="4" w:space="0" w:color="auto"/>
              <w:right w:val="single" w:sz="4" w:space="0" w:color="auto"/>
            </w:tcBorders>
            <w:shd w:val="clear" w:color="000000" w:fill="FFFFFF"/>
            <w:vAlign w:val="center"/>
            <w:hideMark/>
          </w:tcPr>
          <w:p w14:paraId="577DAB35"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3.211.437,70</w:t>
            </w:r>
          </w:p>
        </w:tc>
        <w:tc>
          <w:tcPr>
            <w:tcW w:w="1242" w:type="dxa"/>
            <w:tcBorders>
              <w:top w:val="nil"/>
              <w:left w:val="nil"/>
              <w:bottom w:val="single" w:sz="4" w:space="0" w:color="auto"/>
              <w:right w:val="single" w:sz="4" w:space="0" w:color="auto"/>
            </w:tcBorders>
            <w:shd w:val="clear" w:color="000000" w:fill="FFFFFF"/>
            <w:vAlign w:val="center"/>
            <w:hideMark/>
          </w:tcPr>
          <w:p w14:paraId="0B1DEED1" w14:textId="26273755"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Nefunc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165F843F" w14:textId="08C3BD6A"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A fost reparat în 2008. Nu este utilizat in activitate. Stare satisfăcătoare. Lipsa drenajului creează um</w:t>
            </w:r>
            <w:r w:rsidR="002A3B29" w:rsidRPr="00B13B9A">
              <w:rPr>
                <w:rFonts w:asciiTheme="majorHAnsi" w:eastAsia="Times New Roman" w:hAnsiTheme="majorHAnsi" w:cstheme="majorHAnsi"/>
                <w:i/>
                <w:iCs/>
                <w:color w:val="000000"/>
                <w:sz w:val="20"/>
                <w:szCs w:val="20"/>
                <w:lang w:val="ro-MD"/>
              </w:rPr>
              <w:t>i</w:t>
            </w:r>
            <w:r w:rsidRPr="00B13B9A">
              <w:rPr>
                <w:rFonts w:asciiTheme="majorHAnsi" w:eastAsia="Times New Roman" w:hAnsiTheme="majorHAnsi" w:cstheme="majorHAnsi"/>
                <w:i/>
                <w:iCs/>
                <w:color w:val="000000"/>
                <w:sz w:val="20"/>
                <w:szCs w:val="20"/>
                <w:lang w:val="ro-MD"/>
              </w:rPr>
              <w:t xml:space="preserve">ditate mare, iar în interior tencuiala cade. </w:t>
            </w:r>
            <w:r w:rsidRPr="00B13B9A">
              <w:rPr>
                <w:rFonts w:asciiTheme="majorHAnsi" w:eastAsia="Times New Roman" w:hAnsiTheme="majorHAnsi" w:cstheme="majorHAnsi"/>
                <w:color w:val="000000"/>
                <w:sz w:val="20"/>
                <w:szCs w:val="20"/>
                <w:lang w:val="ro-MD"/>
              </w:rPr>
              <w:t> </w:t>
            </w:r>
          </w:p>
        </w:tc>
        <w:tc>
          <w:tcPr>
            <w:tcW w:w="1378" w:type="dxa"/>
            <w:tcBorders>
              <w:top w:val="nil"/>
              <w:left w:val="nil"/>
              <w:bottom w:val="single" w:sz="4" w:space="0" w:color="auto"/>
              <w:right w:val="single" w:sz="8" w:space="0" w:color="auto"/>
            </w:tcBorders>
            <w:shd w:val="clear" w:color="000000" w:fill="FFFFFF"/>
            <w:noWrap/>
            <w:vAlign w:val="center"/>
            <w:hideMark/>
          </w:tcPr>
          <w:p w14:paraId="696120D4"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563.607,42</w:t>
            </w:r>
          </w:p>
        </w:tc>
      </w:tr>
      <w:tr w:rsidR="00D3471D" w:rsidRPr="00B13B9A" w14:paraId="23A0D570"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6D851489"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w:t>
            </w:r>
          </w:p>
        </w:tc>
        <w:tc>
          <w:tcPr>
            <w:tcW w:w="2998" w:type="dxa"/>
            <w:tcBorders>
              <w:top w:val="nil"/>
              <w:left w:val="nil"/>
              <w:bottom w:val="single" w:sz="4" w:space="0" w:color="auto"/>
              <w:right w:val="single" w:sz="4" w:space="0" w:color="auto"/>
            </w:tcBorders>
            <w:shd w:val="clear" w:color="000000" w:fill="FFFFFF"/>
            <w:vAlign w:val="center"/>
            <w:hideMark/>
          </w:tcPr>
          <w:p w14:paraId="2571C455"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Bloc diagnostic 0100213274.02</w:t>
            </w:r>
          </w:p>
        </w:tc>
        <w:tc>
          <w:tcPr>
            <w:tcW w:w="1480" w:type="dxa"/>
            <w:tcBorders>
              <w:top w:val="nil"/>
              <w:left w:val="nil"/>
              <w:bottom w:val="single" w:sz="4" w:space="0" w:color="auto"/>
              <w:right w:val="single" w:sz="4" w:space="0" w:color="auto"/>
            </w:tcBorders>
            <w:shd w:val="clear" w:color="000000" w:fill="FFFFFF"/>
            <w:vAlign w:val="center"/>
            <w:hideMark/>
          </w:tcPr>
          <w:p w14:paraId="1885AE66"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796.992,00</w:t>
            </w:r>
          </w:p>
        </w:tc>
        <w:tc>
          <w:tcPr>
            <w:tcW w:w="1242" w:type="dxa"/>
            <w:tcBorders>
              <w:top w:val="nil"/>
              <w:left w:val="nil"/>
              <w:bottom w:val="single" w:sz="4" w:space="0" w:color="auto"/>
              <w:right w:val="single" w:sz="4" w:space="0" w:color="auto"/>
            </w:tcBorders>
            <w:shd w:val="clear" w:color="000000" w:fill="FFFFFF"/>
            <w:vAlign w:val="center"/>
            <w:hideMark/>
          </w:tcPr>
          <w:p w14:paraId="5B803766" w14:textId="2EDE2B62"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60DA34AC" w14:textId="58462F66"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 xml:space="preserve">Stare bună, se utilizează pentru prestarea serviciilor de diagnostic </w:t>
            </w:r>
          </w:p>
        </w:tc>
        <w:tc>
          <w:tcPr>
            <w:tcW w:w="1378" w:type="dxa"/>
            <w:tcBorders>
              <w:top w:val="nil"/>
              <w:left w:val="nil"/>
              <w:bottom w:val="single" w:sz="4" w:space="0" w:color="auto"/>
              <w:right w:val="single" w:sz="8" w:space="0" w:color="auto"/>
            </w:tcBorders>
            <w:shd w:val="clear" w:color="000000" w:fill="FFFFFF"/>
            <w:noWrap/>
            <w:vAlign w:val="center"/>
            <w:hideMark/>
          </w:tcPr>
          <w:p w14:paraId="2E23848D"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357.451,12</w:t>
            </w:r>
          </w:p>
        </w:tc>
      </w:tr>
      <w:tr w:rsidR="00D3471D" w:rsidRPr="00B13B9A" w14:paraId="4AE5DD97"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6C28F6B6"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4</w:t>
            </w:r>
          </w:p>
        </w:tc>
        <w:tc>
          <w:tcPr>
            <w:tcW w:w="2998" w:type="dxa"/>
            <w:tcBorders>
              <w:top w:val="nil"/>
              <w:left w:val="nil"/>
              <w:bottom w:val="single" w:sz="4" w:space="0" w:color="auto"/>
              <w:right w:val="single" w:sz="4" w:space="0" w:color="auto"/>
            </w:tcBorders>
            <w:shd w:val="clear" w:color="000000" w:fill="FFFFFF"/>
            <w:vAlign w:val="center"/>
            <w:hideMark/>
          </w:tcPr>
          <w:p w14:paraId="7A8D99D4"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Bloc gospodăresc 0100213541.02</w:t>
            </w:r>
          </w:p>
        </w:tc>
        <w:tc>
          <w:tcPr>
            <w:tcW w:w="1480" w:type="dxa"/>
            <w:tcBorders>
              <w:top w:val="nil"/>
              <w:left w:val="nil"/>
              <w:bottom w:val="single" w:sz="4" w:space="0" w:color="auto"/>
              <w:right w:val="single" w:sz="4" w:space="0" w:color="auto"/>
            </w:tcBorders>
            <w:shd w:val="clear" w:color="000000" w:fill="FFFFFF"/>
            <w:vAlign w:val="center"/>
            <w:hideMark/>
          </w:tcPr>
          <w:p w14:paraId="255341A5"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4.771.437,00</w:t>
            </w:r>
          </w:p>
        </w:tc>
        <w:tc>
          <w:tcPr>
            <w:tcW w:w="1242" w:type="dxa"/>
            <w:tcBorders>
              <w:top w:val="nil"/>
              <w:left w:val="nil"/>
              <w:bottom w:val="single" w:sz="4" w:space="0" w:color="auto"/>
              <w:right w:val="single" w:sz="4" w:space="0" w:color="auto"/>
            </w:tcBorders>
            <w:shd w:val="clear" w:color="000000" w:fill="FFFFFF"/>
            <w:vAlign w:val="center"/>
            <w:hideMark/>
          </w:tcPr>
          <w:p w14:paraId="060A1283" w14:textId="6E9B2BA3"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4B74EE93"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bună, este amplasată spălătoria</w:t>
            </w:r>
          </w:p>
        </w:tc>
        <w:tc>
          <w:tcPr>
            <w:tcW w:w="1378" w:type="dxa"/>
            <w:tcBorders>
              <w:top w:val="nil"/>
              <w:left w:val="nil"/>
              <w:bottom w:val="single" w:sz="4" w:space="0" w:color="auto"/>
              <w:right w:val="single" w:sz="8" w:space="0" w:color="auto"/>
            </w:tcBorders>
            <w:shd w:val="clear" w:color="000000" w:fill="FFFFFF"/>
            <w:noWrap/>
            <w:vAlign w:val="center"/>
            <w:hideMark/>
          </w:tcPr>
          <w:p w14:paraId="5FF16613"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3.139.989,60</w:t>
            </w:r>
          </w:p>
        </w:tc>
      </w:tr>
      <w:tr w:rsidR="00D3471D" w:rsidRPr="00B13B9A" w14:paraId="221B3D13"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6F72B8E7"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5</w:t>
            </w:r>
          </w:p>
        </w:tc>
        <w:tc>
          <w:tcPr>
            <w:tcW w:w="2998" w:type="dxa"/>
            <w:tcBorders>
              <w:top w:val="nil"/>
              <w:left w:val="nil"/>
              <w:bottom w:val="single" w:sz="4" w:space="0" w:color="auto"/>
              <w:right w:val="single" w:sz="4" w:space="0" w:color="auto"/>
            </w:tcBorders>
            <w:shd w:val="clear" w:color="000000" w:fill="FFFFFF"/>
            <w:vAlign w:val="center"/>
            <w:hideMark/>
          </w:tcPr>
          <w:p w14:paraId="1F2C67F6"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Blocul  curativ nr. 2 Vorniceni 8042208387.13</w:t>
            </w:r>
          </w:p>
        </w:tc>
        <w:tc>
          <w:tcPr>
            <w:tcW w:w="1480" w:type="dxa"/>
            <w:tcBorders>
              <w:top w:val="nil"/>
              <w:left w:val="nil"/>
              <w:bottom w:val="single" w:sz="4" w:space="0" w:color="auto"/>
              <w:right w:val="single" w:sz="4" w:space="0" w:color="auto"/>
            </w:tcBorders>
            <w:shd w:val="clear" w:color="000000" w:fill="FFFFFF"/>
            <w:vAlign w:val="center"/>
            <w:hideMark/>
          </w:tcPr>
          <w:p w14:paraId="059D0D88"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3.914.348,00</w:t>
            </w:r>
          </w:p>
        </w:tc>
        <w:tc>
          <w:tcPr>
            <w:tcW w:w="1242" w:type="dxa"/>
            <w:tcBorders>
              <w:top w:val="nil"/>
              <w:left w:val="nil"/>
              <w:bottom w:val="single" w:sz="4" w:space="0" w:color="auto"/>
              <w:right w:val="single" w:sz="4" w:space="0" w:color="auto"/>
            </w:tcBorders>
            <w:shd w:val="clear" w:color="000000" w:fill="FFFFFF"/>
            <w:vAlign w:val="center"/>
            <w:hideMark/>
          </w:tcPr>
          <w:p w14:paraId="751CC09E" w14:textId="016BB724"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Nefunc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6B165FA9" w14:textId="4AA53AC5"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Descrierea situa</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iei se prezintă mai jos de tabel.</w:t>
            </w:r>
          </w:p>
        </w:tc>
        <w:tc>
          <w:tcPr>
            <w:tcW w:w="1378" w:type="dxa"/>
            <w:tcBorders>
              <w:top w:val="nil"/>
              <w:left w:val="nil"/>
              <w:bottom w:val="single" w:sz="4" w:space="0" w:color="auto"/>
              <w:right w:val="single" w:sz="8" w:space="0" w:color="auto"/>
            </w:tcBorders>
            <w:shd w:val="clear" w:color="000000" w:fill="FFFFFF"/>
            <w:noWrap/>
            <w:vAlign w:val="center"/>
            <w:hideMark/>
          </w:tcPr>
          <w:p w14:paraId="5460D6BF"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3.914.348,00</w:t>
            </w:r>
          </w:p>
        </w:tc>
      </w:tr>
      <w:tr w:rsidR="00D3471D" w:rsidRPr="00B13B9A" w14:paraId="556FC376"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0A02B3A9"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6</w:t>
            </w:r>
          </w:p>
        </w:tc>
        <w:tc>
          <w:tcPr>
            <w:tcW w:w="2998" w:type="dxa"/>
            <w:tcBorders>
              <w:top w:val="nil"/>
              <w:left w:val="nil"/>
              <w:bottom w:val="single" w:sz="4" w:space="0" w:color="auto"/>
              <w:right w:val="single" w:sz="4" w:space="0" w:color="auto"/>
            </w:tcBorders>
            <w:shd w:val="clear" w:color="000000" w:fill="FFFFFF"/>
            <w:vAlign w:val="center"/>
            <w:hideMark/>
          </w:tcPr>
          <w:p w14:paraId="24B2FEE3"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Blocul administrativ Vorniceni 8042208387.01</w:t>
            </w:r>
          </w:p>
        </w:tc>
        <w:tc>
          <w:tcPr>
            <w:tcW w:w="1480" w:type="dxa"/>
            <w:tcBorders>
              <w:top w:val="nil"/>
              <w:left w:val="nil"/>
              <w:bottom w:val="single" w:sz="4" w:space="0" w:color="auto"/>
              <w:right w:val="single" w:sz="4" w:space="0" w:color="auto"/>
            </w:tcBorders>
            <w:shd w:val="clear" w:color="000000" w:fill="FFFFFF"/>
            <w:vAlign w:val="center"/>
            <w:hideMark/>
          </w:tcPr>
          <w:p w14:paraId="01E90F8E"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1.490.830,00</w:t>
            </w:r>
          </w:p>
        </w:tc>
        <w:tc>
          <w:tcPr>
            <w:tcW w:w="1242" w:type="dxa"/>
            <w:tcBorders>
              <w:top w:val="nil"/>
              <w:left w:val="nil"/>
              <w:bottom w:val="single" w:sz="4" w:space="0" w:color="auto"/>
              <w:right w:val="single" w:sz="4" w:space="0" w:color="auto"/>
            </w:tcBorders>
            <w:shd w:val="clear" w:color="000000" w:fill="FFFFFF"/>
            <w:vAlign w:val="center"/>
            <w:hideMark/>
          </w:tcPr>
          <w:p w14:paraId="650659D4" w14:textId="22EF0FEB"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3FB11068" w14:textId="3A1925D3"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bună, se utilizează în activitatea entită</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ii.</w:t>
            </w:r>
          </w:p>
        </w:tc>
        <w:tc>
          <w:tcPr>
            <w:tcW w:w="1378" w:type="dxa"/>
            <w:tcBorders>
              <w:top w:val="nil"/>
              <w:left w:val="nil"/>
              <w:bottom w:val="single" w:sz="4" w:space="0" w:color="auto"/>
              <w:right w:val="single" w:sz="8" w:space="0" w:color="auto"/>
            </w:tcBorders>
            <w:shd w:val="clear" w:color="000000" w:fill="FFFFFF"/>
            <w:noWrap/>
            <w:vAlign w:val="center"/>
            <w:hideMark/>
          </w:tcPr>
          <w:p w14:paraId="06CF2FF7"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1.129.875,85</w:t>
            </w:r>
          </w:p>
        </w:tc>
      </w:tr>
      <w:tr w:rsidR="00D3471D" w:rsidRPr="00B13B9A" w14:paraId="0F7F53C1"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3BAA7091"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7</w:t>
            </w:r>
          </w:p>
        </w:tc>
        <w:tc>
          <w:tcPr>
            <w:tcW w:w="2998" w:type="dxa"/>
            <w:tcBorders>
              <w:top w:val="nil"/>
              <w:left w:val="nil"/>
              <w:bottom w:val="single" w:sz="4" w:space="0" w:color="auto"/>
              <w:right w:val="single" w:sz="4" w:space="0" w:color="auto"/>
            </w:tcBorders>
            <w:shd w:val="clear" w:color="000000" w:fill="FFFFFF"/>
            <w:vAlign w:val="center"/>
            <w:hideMark/>
          </w:tcPr>
          <w:p w14:paraId="14AD3755"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Blocul alimentar Vorniceni 8042208387.08</w:t>
            </w:r>
          </w:p>
        </w:tc>
        <w:tc>
          <w:tcPr>
            <w:tcW w:w="1480" w:type="dxa"/>
            <w:tcBorders>
              <w:top w:val="nil"/>
              <w:left w:val="nil"/>
              <w:bottom w:val="single" w:sz="4" w:space="0" w:color="auto"/>
              <w:right w:val="single" w:sz="4" w:space="0" w:color="auto"/>
            </w:tcBorders>
            <w:shd w:val="clear" w:color="000000" w:fill="FFFFFF"/>
            <w:vAlign w:val="center"/>
            <w:hideMark/>
          </w:tcPr>
          <w:p w14:paraId="54306463"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17.048.607,04</w:t>
            </w:r>
          </w:p>
        </w:tc>
        <w:tc>
          <w:tcPr>
            <w:tcW w:w="1242" w:type="dxa"/>
            <w:tcBorders>
              <w:top w:val="nil"/>
              <w:left w:val="nil"/>
              <w:bottom w:val="single" w:sz="4" w:space="0" w:color="auto"/>
              <w:right w:val="single" w:sz="4" w:space="0" w:color="auto"/>
            </w:tcBorders>
            <w:shd w:val="clear" w:color="000000" w:fill="FFFFFF"/>
            <w:vAlign w:val="center"/>
            <w:hideMark/>
          </w:tcPr>
          <w:p w14:paraId="5F87FFC2" w14:textId="5D995345"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7F6B8E7D" w14:textId="4F307410"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Reparat în anul 2008. Stare 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ională. De</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 xml:space="preserve">ine încăpere pentru alimentarea a aproximativ 252 persoane. Amenajată cu vestiar </w:t>
            </w:r>
            <w:r w:rsidR="00B13B9A" w:rsidRPr="00B13B9A">
              <w:rPr>
                <w:rFonts w:asciiTheme="majorHAnsi" w:eastAsia="Times New Roman" w:hAnsiTheme="majorHAnsi" w:cstheme="majorHAnsi"/>
                <w:i/>
                <w:iCs/>
                <w:color w:val="000000"/>
                <w:sz w:val="20"/>
                <w:szCs w:val="20"/>
                <w:lang w:val="ro-MD"/>
              </w:rPr>
              <w:t>ș</w:t>
            </w:r>
            <w:r w:rsidRPr="00B13B9A">
              <w:rPr>
                <w:rFonts w:asciiTheme="majorHAnsi" w:eastAsia="Times New Roman" w:hAnsiTheme="majorHAnsi" w:cstheme="majorHAnsi"/>
                <w:i/>
                <w:iCs/>
                <w:color w:val="000000"/>
                <w:sz w:val="20"/>
                <w:szCs w:val="20"/>
                <w:lang w:val="ro-MD"/>
              </w:rPr>
              <w:t>i bloc sanitar. În activitate se utilizează bucătăria pentru prepararea bucatelor. Sala(ospătăria) nu este utilizată, pacien</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ii alimentându-se în saloane. Totodată, mai este o sală de conferin</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e pe care entitatea o utilizează pentru colaboratori.</w:t>
            </w:r>
          </w:p>
        </w:tc>
        <w:tc>
          <w:tcPr>
            <w:tcW w:w="1378" w:type="dxa"/>
            <w:tcBorders>
              <w:top w:val="nil"/>
              <w:left w:val="nil"/>
              <w:bottom w:val="single" w:sz="4" w:space="0" w:color="auto"/>
              <w:right w:val="single" w:sz="8" w:space="0" w:color="auto"/>
            </w:tcBorders>
            <w:shd w:val="clear" w:color="000000" w:fill="FFFFFF"/>
            <w:noWrap/>
            <w:vAlign w:val="center"/>
            <w:hideMark/>
          </w:tcPr>
          <w:p w14:paraId="5C464985"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14.635.674,05</w:t>
            </w:r>
          </w:p>
        </w:tc>
      </w:tr>
      <w:tr w:rsidR="00D3471D" w:rsidRPr="00B13B9A" w14:paraId="31944AEC"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22BCBDD3"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8</w:t>
            </w:r>
          </w:p>
        </w:tc>
        <w:tc>
          <w:tcPr>
            <w:tcW w:w="2998" w:type="dxa"/>
            <w:tcBorders>
              <w:top w:val="nil"/>
              <w:left w:val="nil"/>
              <w:bottom w:val="single" w:sz="4" w:space="0" w:color="auto"/>
              <w:right w:val="single" w:sz="4" w:space="0" w:color="auto"/>
            </w:tcBorders>
            <w:shd w:val="clear" w:color="000000" w:fill="FFFFFF"/>
            <w:vAlign w:val="center"/>
            <w:hideMark/>
          </w:tcPr>
          <w:p w14:paraId="3DCB0FA9"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Blocul curativ nr.1 Vorniceni 8042208387.29</w:t>
            </w:r>
          </w:p>
        </w:tc>
        <w:tc>
          <w:tcPr>
            <w:tcW w:w="1480" w:type="dxa"/>
            <w:tcBorders>
              <w:top w:val="nil"/>
              <w:left w:val="nil"/>
              <w:bottom w:val="single" w:sz="4" w:space="0" w:color="auto"/>
              <w:right w:val="single" w:sz="4" w:space="0" w:color="auto"/>
            </w:tcBorders>
            <w:shd w:val="clear" w:color="000000" w:fill="FFFFFF"/>
            <w:vAlign w:val="center"/>
            <w:hideMark/>
          </w:tcPr>
          <w:p w14:paraId="32248F3A"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35.074.443,53</w:t>
            </w:r>
          </w:p>
        </w:tc>
        <w:tc>
          <w:tcPr>
            <w:tcW w:w="1242" w:type="dxa"/>
            <w:tcBorders>
              <w:top w:val="nil"/>
              <w:left w:val="nil"/>
              <w:bottom w:val="single" w:sz="4" w:space="0" w:color="auto"/>
              <w:right w:val="single" w:sz="4" w:space="0" w:color="auto"/>
            </w:tcBorders>
            <w:shd w:val="clear" w:color="000000" w:fill="FFFFFF"/>
            <w:vAlign w:val="center"/>
            <w:hideMark/>
          </w:tcPr>
          <w:p w14:paraId="3F976CD3" w14:textId="30C75A34"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2F36C2CE" w14:textId="3B892591"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bună, se utilizează până în prezent pentru pacien</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 drog rezisten</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 Sunt executate repara</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ii, mobilierul este  bun.</w:t>
            </w:r>
          </w:p>
        </w:tc>
        <w:tc>
          <w:tcPr>
            <w:tcW w:w="1378" w:type="dxa"/>
            <w:tcBorders>
              <w:top w:val="nil"/>
              <w:left w:val="nil"/>
              <w:bottom w:val="single" w:sz="4" w:space="0" w:color="auto"/>
              <w:right w:val="single" w:sz="8" w:space="0" w:color="auto"/>
            </w:tcBorders>
            <w:shd w:val="clear" w:color="000000" w:fill="FFFFFF"/>
            <w:noWrap/>
            <w:vAlign w:val="center"/>
            <w:hideMark/>
          </w:tcPr>
          <w:p w14:paraId="62DC1EBE"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6.611.532,49</w:t>
            </w:r>
          </w:p>
        </w:tc>
      </w:tr>
      <w:tr w:rsidR="00D3471D" w:rsidRPr="00B13B9A" w14:paraId="25E6D501"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210B08CB"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9</w:t>
            </w:r>
          </w:p>
        </w:tc>
        <w:tc>
          <w:tcPr>
            <w:tcW w:w="2998" w:type="dxa"/>
            <w:tcBorders>
              <w:top w:val="nil"/>
              <w:left w:val="nil"/>
              <w:bottom w:val="single" w:sz="4" w:space="0" w:color="auto"/>
              <w:right w:val="single" w:sz="4" w:space="0" w:color="auto"/>
            </w:tcBorders>
            <w:shd w:val="clear" w:color="000000" w:fill="FFFFFF"/>
            <w:vAlign w:val="center"/>
            <w:hideMark/>
          </w:tcPr>
          <w:p w14:paraId="3F5D0B0B"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Blocul laborator diagnostic Vorniceni 8042208387.06</w:t>
            </w:r>
          </w:p>
        </w:tc>
        <w:tc>
          <w:tcPr>
            <w:tcW w:w="1480" w:type="dxa"/>
            <w:tcBorders>
              <w:top w:val="nil"/>
              <w:left w:val="nil"/>
              <w:bottom w:val="single" w:sz="4" w:space="0" w:color="auto"/>
              <w:right w:val="single" w:sz="4" w:space="0" w:color="auto"/>
            </w:tcBorders>
            <w:shd w:val="clear" w:color="000000" w:fill="FFFFFF"/>
            <w:vAlign w:val="center"/>
            <w:hideMark/>
          </w:tcPr>
          <w:p w14:paraId="6F7D80C8"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2.034.644,00</w:t>
            </w:r>
          </w:p>
        </w:tc>
        <w:tc>
          <w:tcPr>
            <w:tcW w:w="1242" w:type="dxa"/>
            <w:tcBorders>
              <w:top w:val="nil"/>
              <w:left w:val="nil"/>
              <w:bottom w:val="single" w:sz="4" w:space="0" w:color="auto"/>
              <w:right w:val="single" w:sz="4" w:space="0" w:color="auto"/>
            </w:tcBorders>
            <w:shd w:val="clear" w:color="000000" w:fill="FFFFFF"/>
            <w:vAlign w:val="center"/>
            <w:hideMark/>
          </w:tcPr>
          <w:p w14:paraId="3CC2660D" w14:textId="2FA50D49"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Nefunc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08D1E20F"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deplorabilă, învechit</w:t>
            </w:r>
          </w:p>
        </w:tc>
        <w:tc>
          <w:tcPr>
            <w:tcW w:w="1378" w:type="dxa"/>
            <w:tcBorders>
              <w:top w:val="nil"/>
              <w:left w:val="nil"/>
              <w:bottom w:val="single" w:sz="4" w:space="0" w:color="auto"/>
              <w:right w:val="single" w:sz="8" w:space="0" w:color="auto"/>
            </w:tcBorders>
            <w:shd w:val="clear" w:color="000000" w:fill="FFFFFF"/>
            <w:noWrap/>
            <w:vAlign w:val="center"/>
            <w:hideMark/>
          </w:tcPr>
          <w:p w14:paraId="76DA0B0C"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1.386.087,50</w:t>
            </w:r>
          </w:p>
        </w:tc>
      </w:tr>
      <w:tr w:rsidR="00D3471D" w:rsidRPr="00B13B9A" w14:paraId="6511C6A5"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238654C4"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10</w:t>
            </w:r>
          </w:p>
        </w:tc>
        <w:tc>
          <w:tcPr>
            <w:tcW w:w="2998" w:type="dxa"/>
            <w:tcBorders>
              <w:top w:val="nil"/>
              <w:left w:val="nil"/>
              <w:bottom w:val="single" w:sz="4" w:space="0" w:color="auto"/>
              <w:right w:val="single" w:sz="4" w:space="0" w:color="auto"/>
            </w:tcBorders>
            <w:shd w:val="clear" w:color="000000" w:fill="FFFFFF"/>
            <w:vAlign w:val="center"/>
            <w:hideMark/>
          </w:tcPr>
          <w:p w14:paraId="736EAF07"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Blocul morfopatologic Vorniceni 8042208387.22</w:t>
            </w:r>
          </w:p>
        </w:tc>
        <w:tc>
          <w:tcPr>
            <w:tcW w:w="1480" w:type="dxa"/>
            <w:tcBorders>
              <w:top w:val="nil"/>
              <w:left w:val="nil"/>
              <w:bottom w:val="single" w:sz="4" w:space="0" w:color="auto"/>
              <w:right w:val="single" w:sz="4" w:space="0" w:color="auto"/>
            </w:tcBorders>
            <w:shd w:val="clear" w:color="000000" w:fill="FFFFFF"/>
            <w:vAlign w:val="center"/>
            <w:hideMark/>
          </w:tcPr>
          <w:p w14:paraId="783D98D9"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5.187.166,05</w:t>
            </w:r>
          </w:p>
        </w:tc>
        <w:tc>
          <w:tcPr>
            <w:tcW w:w="1242" w:type="dxa"/>
            <w:tcBorders>
              <w:top w:val="nil"/>
              <w:left w:val="nil"/>
              <w:bottom w:val="single" w:sz="4" w:space="0" w:color="auto"/>
              <w:right w:val="single" w:sz="4" w:space="0" w:color="auto"/>
            </w:tcBorders>
            <w:shd w:val="clear" w:color="000000" w:fill="FFFFFF"/>
            <w:vAlign w:val="center"/>
            <w:hideMark/>
          </w:tcPr>
          <w:p w14:paraId="6E1DC007" w14:textId="6FA380D6"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065CCED9" w14:textId="038EF55C"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satisfăcătoare, unele încăperi sunt disponibile pentru utilizare, altele sunt în stare de repara</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ii nefinisate</w:t>
            </w:r>
          </w:p>
        </w:tc>
        <w:tc>
          <w:tcPr>
            <w:tcW w:w="1378" w:type="dxa"/>
            <w:tcBorders>
              <w:top w:val="nil"/>
              <w:left w:val="nil"/>
              <w:bottom w:val="single" w:sz="4" w:space="0" w:color="auto"/>
              <w:right w:val="single" w:sz="8" w:space="0" w:color="auto"/>
            </w:tcBorders>
            <w:shd w:val="clear" w:color="000000" w:fill="FFFFFF"/>
            <w:noWrap/>
            <w:vAlign w:val="center"/>
            <w:hideMark/>
          </w:tcPr>
          <w:p w14:paraId="31780983"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775.481,34</w:t>
            </w:r>
          </w:p>
        </w:tc>
      </w:tr>
      <w:tr w:rsidR="00D3471D" w:rsidRPr="00B13B9A" w14:paraId="4D4E4356"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75FEA2E5"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11</w:t>
            </w:r>
          </w:p>
        </w:tc>
        <w:tc>
          <w:tcPr>
            <w:tcW w:w="2998" w:type="dxa"/>
            <w:tcBorders>
              <w:top w:val="nil"/>
              <w:left w:val="nil"/>
              <w:bottom w:val="single" w:sz="4" w:space="0" w:color="auto"/>
              <w:right w:val="single" w:sz="4" w:space="0" w:color="auto"/>
            </w:tcBorders>
            <w:shd w:val="clear" w:color="000000" w:fill="FFFFFF"/>
            <w:vAlign w:val="center"/>
            <w:hideMark/>
          </w:tcPr>
          <w:p w14:paraId="44BC2E2B"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Casa de locuit 30 apartamente Vorniceni 8042208425.03</w:t>
            </w:r>
          </w:p>
        </w:tc>
        <w:tc>
          <w:tcPr>
            <w:tcW w:w="1480" w:type="dxa"/>
            <w:tcBorders>
              <w:top w:val="nil"/>
              <w:left w:val="nil"/>
              <w:bottom w:val="single" w:sz="4" w:space="0" w:color="auto"/>
              <w:right w:val="single" w:sz="4" w:space="0" w:color="auto"/>
            </w:tcBorders>
            <w:shd w:val="clear" w:color="000000" w:fill="FFFFFF"/>
            <w:vAlign w:val="center"/>
            <w:hideMark/>
          </w:tcPr>
          <w:p w14:paraId="0243EE95"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3.508.808,00</w:t>
            </w:r>
          </w:p>
        </w:tc>
        <w:tc>
          <w:tcPr>
            <w:tcW w:w="1242" w:type="dxa"/>
            <w:tcBorders>
              <w:top w:val="nil"/>
              <w:left w:val="nil"/>
              <w:bottom w:val="single" w:sz="4" w:space="0" w:color="auto"/>
              <w:right w:val="single" w:sz="4" w:space="0" w:color="auto"/>
            </w:tcBorders>
            <w:shd w:val="clear" w:color="000000" w:fill="FFFFFF"/>
            <w:vAlign w:val="center"/>
            <w:hideMark/>
          </w:tcPr>
          <w:p w14:paraId="03247E22" w14:textId="04F39F9C"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2A079414" w14:textId="7059000F" w:rsidR="00D3471D" w:rsidRPr="00B13B9A" w:rsidRDefault="00D3471D" w:rsidP="00332FF7">
            <w:pPr>
              <w:spacing w:after="0" w:line="240" w:lineRule="auto"/>
              <w:rPr>
                <w:rFonts w:asciiTheme="majorHAnsi" w:eastAsia="Times New Roman" w:hAnsiTheme="majorHAnsi" w:cstheme="majorHAnsi"/>
                <w:i/>
                <w:iCs/>
                <w:color w:val="000000"/>
                <w:sz w:val="20"/>
                <w:szCs w:val="20"/>
                <w:highlight w:val="red"/>
                <w:lang w:val="ro-MD"/>
              </w:rPr>
            </w:pPr>
            <w:r w:rsidRPr="00B13B9A">
              <w:rPr>
                <w:rFonts w:asciiTheme="majorHAnsi" w:eastAsia="Times New Roman" w:hAnsiTheme="majorHAnsi" w:cstheme="majorHAnsi"/>
                <w:i/>
                <w:iCs/>
                <w:color w:val="000000"/>
                <w:sz w:val="20"/>
                <w:szCs w:val="20"/>
                <w:lang w:val="ro-MD"/>
              </w:rPr>
              <w:t xml:space="preserve">Stare bună, apartamentele au fost repartizate colaboratorilor </w:t>
            </w:r>
            <w:r w:rsidR="00B13B9A" w:rsidRPr="00B13B9A">
              <w:rPr>
                <w:rFonts w:asciiTheme="majorHAnsi" w:eastAsia="Times New Roman" w:hAnsiTheme="majorHAnsi" w:cstheme="majorHAnsi"/>
                <w:i/>
                <w:iCs/>
                <w:color w:val="000000"/>
                <w:sz w:val="20"/>
                <w:szCs w:val="20"/>
                <w:lang w:val="ro-MD"/>
              </w:rPr>
              <w:t>ș</w:t>
            </w:r>
            <w:r w:rsidRPr="00B13B9A">
              <w:rPr>
                <w:rFonts w:asciiTheme="majorHAnsi" w:eastAsia="Times New Roman" w:hAnsiTheme="majorHAnsi" w:cstheme="majorHAnsi"/>
                <w:i/>
                <w:iCs/>
                <w:color w:val="000000"/>
                <w:sz w:val="20"/>
                <w:szCs w:val="20"/>
                <w:lang w:val="ro-MD"/>
              </w:rPr>
              <w:t xml:space="preserve">i au fost privatizate prin anii </w:t>
            </w:r>
            <w:r w:rsidRPr="00B13B9A">
              <w:rPr>
                <w:rFonts w:asciiTheme="majorHAnsi" w:eastAsia="Times New Roman" w:hAnsiTheme="majorHAnsi" w:cstheme="majorHAnsi"/>
                <w:i/>
                <w:iCs/>
                <w:color w:val="000000"/>
                <w:sz w:val="20"/>
                <w:szCs w:val="20"/>
                <w:vertAlign w:val="superscript"/>
                <w:lang w:val="ro-MD"/>
              </w:rPr>
              <w:t>,</w:t>
            </w:r>
            <w:r w:rsidRPr="00B13B9A">
              <w:rPr>
                <w:rFonts w:asciiTheme="majorHAnsi" w:eastAsia="Times New Roman" w:hAnsiTheme="majorHAnsi" w:cstheme="majorHAnsi"/>
                <w:i/>
                <w:iCs/>
                <w:color w:val="000000"/>
                <w:sz w:val="20"/>
                <w:szCs w:val="20"/>
                <w:lang w:val="ro-MD"/>
              </w:rPr>
              <w:t>92, până în prezent nu au fost înregistrate la cadastru</w:t>
            </w:r>
          </w:p>
        </w:tc>
        <w:tc>
          <w:tcPr>
            <w:tcW w:w="1378" w:type="dxa"/>
            <w:tcBorders>
              <w:top w:val="nil"/>
              <w:left w:val="nil"/>
              <w:bottom w:val="single" w:sz="4" w:space="0" w:color="auto"/>
              <w:right w:val="single" w:sz="8" w:space="0" w:color="auto"/>
            </w:tcBorders>
            <w:shd w:val="clear" w:color="000000" w:fill="FFFFFF"/>
            <w:noWrap/>
            <w:vAlign w:val="center"/>
            <w:hideMark/>
          </w:tcPr>
          <w:p w14:paraId="7FC896CD"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3.508.808,00</w:t>
            </w:r>
          </w:p>
        </w:tc>
      </w:tr>
      <w:tr w:rsidR="00D3471D" w:rsidRPr="00B13B9A" w14:paraId="6D161478"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4E7A26AA"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12</w:t>
            </w:r>
          </w:p>
        </w:tc>
        <w:tc>
          <w:tcPr>
            <w:tcW w:w="2998" w:type="dxa"/>
            <w:tcBorders>
              <w:top w:val="nil"/>
              <w:left w:val="nil"/>
              <w:bottom w:val="single" w:sz="4" w:space="0" w:color="auto"/>
              <w:right w:val="single" w:sz="4" w:space="0" w:color="auto"/>
            </w:tcBorders>
            <w:shd w:val="clear" w:color="000000" w:fill="FFFFFF"/>
            <w:vAlign w:val="center"/>
            <w:hideMark/>
          </w:tcPr>
          <w:p w14:paraId="3F2A1B3A"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Casa de locuit 4 apartamente Vorniceni 8042208360.01</w:t>
            </w:r>
          </w:p>
        </w:tc>
        <w:tc>
          <w:tcPr>
            <w:tcW w:w="1480" w:type="dxa"/>
            <w:tcBorders>
              <w:top w:val="nil"/>
              <w:left w:val="nil"/>
              <w:bottom w:val="single" w:sz="4" w:space="0" w:color="auto"/>
              <w:right w:val="single" w:sz="4" w:space="0" w:color="auto"/>
            </w:tcBorders>
            <w:shd w:val="clear" w:color="000000" w:fill="FFFFFF"/>
            <w:vAlign w:val="center"/>
            <w:hideMark/>
          </w:tcPr>
          <w:p w14:paraId="4D63673F"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136.191,00</w:t>
            </w:r>
          </w:p>
        </w:tc>
        <w:tc>
          <w:tcPr>
            <w:tcW w:w="1242" w:type="dxa"/>
            <w:tcBorders>
              <w:top w:val="nil"/>
              <w:left w:val="nil"/>
              <w:bottom w:val="single" w:sz="4" w:space="0" w:color="auto"/>
              <w:right w:val="single" w:sz="4" w:space="0" w:color="auto"/>
            </w:tcBorders>
            <w:shd w:val="clear" w:color="000000" w:fill="FFFFFF"/>
            <w:vAlign w:val="center"/>
            <w:hideMark/>
          </w:tcPr>
          <w:p w14:paraId="797CBA4B" w14:textId="300D7E4B"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4103CA5B" w14:textId="1C0D90E3" w:rsidR="00D3471D" w:rsidRPr="00B13B9A" w:rsidRDefault="00D3471D" w:rsidP="00332FF7">
            <w:pPr>
              <w:spacing w:after="0" w:line="240" w:lineRule="auto"/>
              <w:rPr>
                <w:rFonts w:asciiTheme="majorHAnsi" w:eastAsia="Times New Roman" w:hAnsiTheme="majorHAnsi" w:cstheme="majorHAnsi"/>
                <w:i/>
                <w:iCs/>
                <w:color w:val="000000"/>
                <w:sz w:val="20"/>
                <w:szCs w:val="20"/>
                <w:highlight w:val="red"/>
                <w:lang w:val="ro-MD"/>
              </w:rPr>
            </w:pPr>
            <w:r w:rsidRPr="00B13B9A">
              <w:rPr>
                <w:rFonts w:asciiTheme="majorHAnsi" w:eastAsia="Times New Roman" w:hAnsiTheme="majorHAnsi" w:cstheme="majorHAnsi"/>
                <w:i/>
                <w:iCs/>
                <w:color w:val="000000"/>
                <w:sz w:val="20"/>
                <w:szCs w:val="20"/>
                <w:lang w:val="ro-MD"/>
              </w:rPr>
              <w:t xml:space="preserve">Stare bună, apartamentele au fost repartizate colaboratorilor </w:t>
            </w:r>
            <w:r w:rsidR="00B13B9A" w:rsidRPr="00B13B9A">
              <w:rPr>
                <w:rFonts w:asciiTheme="majorHAnsi" w:eastAsia="Times New Roman" w:hAnsiTheme="majorHAnsi" w:cstheme="majorHAnsi"/>
                <w:i/>
                <w:iCs/>
                <w:color w:val="000000"/>
                <w:sz w:val="20"/>
                <w:szCs w:val="20"/>
                <w:lang w:val="ro-MD"/>
              </w:rPr>
              <w:t>ș</w:t>
            </w:r>
            <w:r w:rsidRPr="00B13B9A">
              <w:rPr>
                <w:rFonts w:asciiTheme="majorHAnsi" w:eastAsia="Times New Roman" w:hAnsiTheme="majorHAnsi" w:cstheme="majorHAnsi"/>
                <w:i/>
                <w:iCs/>
                <w:color w:val="000000"/>
                <w:sz w:val="20"/>
                <w:szCs w:val="20"/>
                <w:lang w:val="ro-MD"/>
              </w:rPr>
              <w:t>i 3 apartamente de 188,9 m.p. din 356 m.p. au fost privatizate, înregistrate la cadastru în anii 2010-2011. Totodată, dreptul asupra terenului de 0,1 ha nu a fost solicitat.</w:t>
            </w:r>
          </w:p>
        </w:tc>
        <w:tc>
          <w:tcPr>
            <w:tcW w:w="1378" w:type="dxa"/>
            <w:tcBorders>
              <w:top w:val="nil"/>
              <w:left w:val="nil"/>
              <w:bottom w:val="single" w:sz="4" w:space="0" w:color="auto"/>
              <w:right w:val="single" w:sz="8" w:space="0" w:color="auto"/>
            </w:tcBorders>
            <w:shd w:val="clear" w:color="000000" w:fill="FFFFFF"/>
            <w:noWrap/>
            <w:vAlign w:val="center"/>
            <w:hideMark/>
          </w:tcPr>
          <w:p w14:paraId="4976C951"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136.191,00</w:t>
            </w:r>
          </w:p>
        </w:tc>
      </w:tr>
      <w:tr w:rsidR="00D3471D" w:rsidRPr="00B13B9A" w14:paraId="1D893EA9"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031C3CF4"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13</w:t>
            </w:r>
          </w:p>
        </w:tc>
        <w:tc>
          <w:tcPr>
            <w:tcW w:w="2998" w:type="dxa"/>
            <w:tcBorders>
              <w:top w:val="nil"/>
              <w:left w:val="nil"/>
              <w:bottom w:val="single" w:sz="4" w:space="0" w:color="auto"/>
              <w:right w:val="single" w:sz="4" w:space="0" w:color="auto"/>
            </w:tcBorders>
            <w:shd w:val="clear" w:color="000000" w:fill="FFFFFF"/>
            <w:vAlign w:val="center"/>
            <w:hideMark/>
          </w:tcPr>
          <w:p w14:paraId="6D5B0BC5"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Casa de locuit 48 apartamente Vorniceni 8042208425.01</w:t>
            </w:r>
          </w:p>
        </w:tc>
        <w:tc>
          <w:tcPr>
            <w:tcW w:w="1480" w:type="dxa"/>
            <w:tcBorders>
              <w:top w:val="nil"/>
              <w:left w:val="nil"/>
              <w:bottom w:val="single" w:sz="4" w:space="0" w:color="auto"/>
              <w:right w:val="single" w:sz="4" w:space="0" w:color="auto"/>
            </w:tcBorders>
            <w:shd w:val="clear" w:color="000000" w:fill="FFFFFF"/>
            <w:vAlign w:val="center"/>
            <w:hideMark/>
          </w:tcPr>
          <w:p w14:paraId="58DF6813"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1.807.606,00</w:t>
            </w:r>
          </w:p>
        </w:tc>
        <w:tc>
          <w:tcPr>
            <w:tcW w:w="1242" w:type="dxa"/>
            <w:tcBorders>
              <w:top w:val="nil"/>
              <w:left w:val="nil"/>
              <w:bottom w:val="single" w:sz="4" w:space="0" w:color="auto"/>
              <w:right w:val="single" w:sz="4" w:space="0" w:color="auto"/>
            </w:tcBorders>
            <w:shd w:val="clear" w:color="000000" w:fill="FFFFFF"/>
            <w:vAlign w:val="center"/>
            <w:hideMark/>
          </w:tcPr>
          <w:p w14:paraId="0DA873DA" w14:textId="357A0D76"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12712899" w14:textId="644C5A17" w:rsidR="00D3471D" w:rsidRPr="00B13B9A" w:rsidRDefault="00D3471D" w:rsidP="00332FF7">
            <w:pPr>
              <w:spacing w:after="0" w:line="240" w:lineRule="auto"/>
              <w:rPr>
                <w:rFonts w:asciiTheme="majorHAnsi" w:eastAsia="Times New Roman" w:hAnsiTheme="majorHAnsi" w:cstheme="majorHAnsi"/>
                <w:i/>
                <w:iCs/>
                <w:color w:val="000000"/>
                <w:sz w:val="20"/>
                <w:szCs w:val="20"/>
                <w:highlight w:val="red"/>
                <w:lang w:val="ro-MD"/>
              </w:rPr>
            </w:pPr>
            <w:r w:rsidRPr="00B13B9A">
              <w:rPr>
                <w:rFonts w:asciiTheme="majorHAnsi" w:eastAsia="Times New Roman" w:hAnsiTheme="majorHAnsi" w:cstheme="majorHAnsi"/>
                <w:i/>
                <w:iCs/>
                <w:color w:val="000000"/>
                <w:sz w:val="20"/>
                <w:szCs w:val="20"/>
                <w:lang w:val="ro-MD"/>
              </w:rPr>
              <w:t xml:space="preserve">Stare bună, apartamentele au fost repartizate colaboratorilor </w:t>
            </w:r>
            <w:r w:rsidR="00B13B9A" w:rsidRPr="00B13B9A">
              <w:rPr>
                <w:rFonts w:asciiTheme="majorHAnsi" w:eastAsia="Times New Roman" w:hAnsiTheme="majorHAnsi" w:cstheme="majorHAnsi"/>
                <w:i/>
                <w:iCs/>
                <w:color w:val="000000"/>
                <w:sz w:val="20"/>
                <w:szCs w:val="20"/>
                <w:lang w:val="ro-MD"/>
              </w:rPr>
              <w:t>ș</w:t>
            </w:r>
            <w:r w:rsidRPr="00B13B9A">
              <w:rPr>
                <w:rFonts w:asciiTheme="majorHAnsi" w:eastAsia="Times New Roman" w:hAnsiTheme="majorHAnsi" w:cstheme="majorHAnsi"/>
                <w:i/>
                <w:iCs/>
                <w:color w:val="000000"/>
                <w:sz w:val="20"/>
                <w:szCs w:val="20"/>
                <w:lang w:val="ro-MD"/>
              </w:rPr>
              <w:t xml:space="preserve">i au fost privatizate prin anii </w:t>
            </w:r>
            <w:r w:rsidRPr="00B13B9A">
              <w:rPr>
                <w:rFonts w:asciiTheme="majorHAnsi" w:eastAsia="Times New Roman" w:hAnsiTheme="majorHAnsi" w:cstheme="majorHAnsi"/>
                <w:i/>
                <w:iCs/>
                <w:color w:val="000000"/>
                <w:sz w:val="20"/>
                <w:szCs w:val="20"/>
                <w:vertAlign w:val="superscript"/>
                <w:lang w:val="ro-MD"/>
              </w:rPr>
              <w:t>,</w:t>
            </w:r>
            <w:r w:rsidRPr="00B13B9A">
              <w:rPr>
                <w:rFonts w:asciiTheme="majorHAnsi" w:eastAsia="Times New Roman" w:hAnsiTheme="majorHAnsi" w:cstheme="majorHAnsi"/>
                <w:i/>
                <w:iCs/>
                <w:color w:val="000000"/>
                <w:sz w:val="20"/>
                <w:szCs w:val="20"/>
                <w:lang w:val="ro-MD"/>
              </w:rPr>
              <w:t>92, până în prezent doar 1 apartament este înregistrat la cadastru</w:t>
            </w:r>
          </w:p>
        </w:tc>
        <w:tc>
          <w:tcPr>
            <w:tcW w:w="1378" w:type="dxa"/>
            <w:tcBorders>
              <w:top w:val="nil"/>
              <w:left w:val="nil"/>
              <w:bottom w:val="single" w:sz="4" w:space="0" w:color="auto"/>
              <w:right w:val="single" w:sz="8" w:space="0" w:color="auto"/>
            </w:tcBorders>
            <w:shd w:val="clear" w:color="000000" w:fill="FFFFFF"/>
            <w:noWrap/>
            <w:vAlign w:val="center"/>
            <w:hideMark/>
          </w:tcPr>
          <w:p w14:paraId="1A2F241D"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1.807.606,00</w:t>
            </w:r>
          </w:p>
        </w:tc>
      </w:tr>
      <w:tr w:rsidR="00D3471D" w:rsidRPr="00B13B9A" w14:paraId="7F9C0033"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35358FDE"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14</w:t>
            </w:r>
          </w:p>
        </w:tc>
        <w:tc>
          <w:tcPr>
            <w:tcW w:w="2998" w:type="dxa"/>
            <w:tcBorders>
              <w:top w:val="nil"/>
              <w:left w:val="nil"/>
              <w:bottom w:val="single" w:sz="4" w:space="0" w:color="auto"/>
              <w:right w:val="single" w:sz="4" w:space="0" w:color="auto"/>
            </w:tcBorders>
            <w:shd w:val="clear" w:color="000000" w:fill="FFFFFF"/>
            <w:vAlign w:val="center"/>
            <w:hideMark/>
          </w:tcPr>
          <w:p w14:paraId="62DD1382"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Casa de locuit 55 apartamente Vorniceni 8042208425.02</w:t>
            </w:r>
          </w:p>
        </w:tc>
        <w:tc>
          <w:tcPr>
            <w:tcW w:w="1480" w:type="dxa"/>
            <w:tcBorders>
              <w:top w:val="nil"/>
              <w:left w:val="nil"/>
              <w:bottom w:val="single" w:sz="4" w:space="0" w:color="auto"/>
              <w:right w:val="single" w:sz="4" w:space="0" w:color="auto"/>
            </w:tcBorders>
            <w:shd w:val="clear" w:color="000000" w:fill="FFFFFF"/>
            <w:vAlign w:val="center"/>
            <w:hideMark/>
          </w:tcPr>
          <w:p w14:paraId="56425697"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2.210.169,00</w:t>
            </w:r>
          </w:p>
        </w:tc>
        <w:tc>
          <w:tcPr>
            <w:tcW w:w="1242" w:type="dxa"/>
            <w:tcBorders>
              <w:top w:val="nil"/>
              <w:left w:val="nil"/>
              <w:bottom w:val="single" w:sz="4" w:space="0" w:color="auto"/>
              <w:right w:val="single" w:sz="4" w:space="0" w:color="auto"/>
            </w:tcBorders>
            <w:shd w:val="clear" w:color="000000" w:fill="FFFFFF"/>
            <w:vAlign w:val="center"/>
            <w:hideMark/>
          </w:tcPr>
          <w:p w14:paraId="4A00BC11" w14:textId="4A18C033"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193BB085" w14:textId="24BCFB83" w:rsidR="00D3471D" w:rsidRPr="00B13B9A" w:rsidRDefault="00D3471D" w:rsidP="00332FF7">
            <w:pPr>
              <w:spacing w:after="0" w:line="240" w:lineRule="auto"/>
              <w:rPr>
                <w:rFonts w:asciiTheme="majorHAnsi" w:eastAsia="Times New Roman" w:hAnsiTheme="majorHAnsi" w:cstheme="majorHAnsi"/>
                <w:i/>
                <w:iCs/>
                <w:color w:val="000000"/>
                <w:sz w:val="20"/>
                <w:szCs w:val="20"/>
                <w:highlight w:val="red"/>
                <w:lang w:val="ro-MD"/>
              </w:rPr>
            </w:pPr>
            <w:r w:rsidRPr="00B13B9A">
              <w:rPr>
                <w:rFonts w:asciiTheme="majorHAnsi" w:eastAsia="Times New Roman" w:hAnsiTheme="majorHAnsi" w:cstheme="majorHAnsi"/>
                <w:i/>
                <w:iCs/>
                <w:color w:val="000000"/>
                <w:sz w:val="20"/>
                <w:szCs w:val="20"/>
                <w:lang w:val="ro-MD"/>
              </w:rPr>
              <w:t xml:space="preserve">Stare bună, apartamentele au fost repartizate colaboratorilor </w:t>
            </w:r>
            <w:r w:rsidR="00B13B9A" w:rsidRPr="00B13B9A">
              <w:rPr>
                <w:rFonts w:asciiTheme="majorHAnsi" w:eastAsia="Times New Roman" w:hAnsiTheme="majorHAnsi" w:cstheme="majorHAnsi"/>
                <w:i/>
                <w:iCs/>
                <w:color w:val="000000"/>
                <w:sz w:val="20"/>
                <w:szCs w:val="20"/>
                <w:lang w:val="ro-MD"/>
              </w:rPr>
              <w:t>ș</w:t>
            </w:r>
            <w:r w:rsidRPr="00B13B9A">
              <w:rPr>
                <w:rFonts w:asciiTheme="majorHAnsi" w:eastAsia="Times New Roman" w:hAnsiTheme="majorHAnsi" w:cstheme="majorHAnsi"/>
                <w:i/>
                <w:iCs/>
                <w:color w:val="000000"/>
                <w:sz w:val="20"/>
                <w:szCs w:val="20"/>
                <w:lang w:val="ro-MD"/>
              </w:rPr>
              <w:t xml:space="preserve">i au fost privatizate prin anii </w:t>
            </w:r>
            <w:r w:rsidRPr="00B13B9A">
              <w:rPr>
                <w:rFonts w:asciiTheme="majorHAnsi" w:eastAsia="Times New Roman" w:hAnsiTheme="majorHAnsi" w:cstheme="majorHAnsi"/>
                <w:i/>
                <w:iCs/>
                <w:color w:val="000000"/>
                <w:sz w:val="20"/>
                <w:szCs w:val="20"/>
                <w:vertAlign w:val="superscript"/>
                <w:lang w:val="ro-MD"/>
              </w:rPr>
              <w:t>,</w:t>
            </w:r>
            <w:r w:rsidRPr="00B13B9A">
              <w:rPr>
                <w:rFonts w:asciiTheme="majorHAnsi" w:eastAsia="Times New Roman" w:hAnsiTheme="majorHAnsi" w:cstheme="majorHAnsi"/>
                <w:i/>
                <w:iCs/>
                <w:color w:val="000000"/>
                <w:sz w:val="20"/>
                <w:szCs w:val="20"/>
                <w:lang w:val="ro-MD"/>
              </w:rPr>
              <w:t>92, până în prezent nu au fost înregistrate la cadastru</w:t>
            </w:r>
          </w:p>
        </w:tc>
        <w:tc>
          <w:tcPr>
            <w:tcW w:w="1378" w:type="dxa"/>
            <w:tcBorders>
              <w:top w:val="nil"/>
              <w:left w:val="nil"/>
              <w:bottom w:val="single" w:sz="4" w:space="0" w:color="auto"/>
              <w:right w:val="single" w:sz="8" w:space="0" w:color="auto"/>
            </w:tcBorders>
            <w:shd w:val="clear" w:color="000000" w:fill="FFFFFF"/>
            <w:noWrap/>
            <w:vAlign w:val="center"/>
            <w:hideMark/>
          </w:tcPr>
          <w:p w14:paraId="21EF97B7"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2.210.169,00</w:t>
            </w:r>
          </w:p>
        </w:tc>
      </w:tr>
      <w:tr w:rsidR="00D3471D" w:rsidRPr="00B13B9A" w14:paraId="203D1103"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1EC091A0"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15</w:t>
            </w:r>
          </w:p>
        </w:tc>
        <w:tc>
          <w:tcPr>
            <w:tcW w:w="2998" w:type="dxa"/>
            <w:tcBorders>
              <w:top w:val="nil"/>
              <w:left w:val="nil"/>
              <w:bottom w:val="single" w:sz="4" w:space="0" w:color="auto"/>
              <w:right w:val="single" w:sz="4" w:space="0" w:color="auto"/>
            </w:tcBorders>
            <w:shd w:val="clear" w:color="000000" w:fill="FFFFFF"/>
            <w:vAlign w:val="center"/>
            <w:hideMark/>
          </w:tcPr>
          <w:p w14:paraId="5C9F6C95"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Cazangeria Vorniceni c/c 8042208425.05</w:t>
            </w:r>
          </w:p>
        </w:tc>
        <w:tc>
          <w:tcPr>
            <w:tcW w:w="1480" w:type="dxa"/>
            <w:tcBorders>
              <w:top w:val="nil"/>
              <w:left w:val="nil"/>
              <w:bottom w:val="single" w:sz="4" w:space="0" w:color="auto"/>
              <w:right w:val="single" w:sz="4" w:space="0" w:color="auto"/>
            </w:tcBorders>
            <w:shd w:val="clear" w:color="000000" w:fill="FFFFFF"/>
            <w:vAlign w:val="center"/>
            <w:hideMark/>
          </w:tcPr>
          <w:p w14:paraId="6B157894"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73.724,00</w:t>
            </w:r>
          </w:p>
        </w:tc>
        <w:tc>
          <w:tcPr>
            <w:tcW w:w="1242" w:type="dxa"/>
            <w:tcBorders>
              <w:top w:val="nil"/>
              <w:left w:val="nil"/>
              <w:bottom w:val="single" w:sz="4" w:space="0" w:color="auto"/>
              <w:right w:val="single" w:sz="4" w:space="0" w:color="auto"/>
            </w:tcBorders>
            <w:shd w:val="clear" w:color="000000" w:fill="FFFFFF"/>
            <w:vAlign w:val="center"/>
            <w:hideMark/>
          </w:tcPr>
          <w:p w14:paraId="31BFA78C" w14:textId="306C6271"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Nefunc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208B8159" w14:textId="05777549"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deplorabilă, sunt doar pere</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 xml:space="preserve">ii </w:t>
            </w:r>
            <w:r w:rsidR="00B13B9A" w:rsidRPr="00B13B9A">
              <w:rPr>
                <w:rFonts w:asciiTheme="majorHAnsi" w:eastAsia="Times New Roman" w:hAnsiTheme="majorHAnsi" w:cstheme="majorHAnsi"/>
                <w:i/>
                <w:iCs/>
                <w:color w:val="000000"/>
                <w:sz w:val="20"/>
                <w:szCs w:val="20"/>
                <w:lang w:val="ro-MD"/>
              </w:rPr>
              <w:t>ș</w:t>
            </w:r>
            <w:r w:rsidRPr="00B13B9A">
              <w:rPr>
                <w:rFonts w:asciiTheme="majorHAnsi" w:eastAsia="Times New Roman" w:hAnsiTheme="majorHAnsi" w:cstheme="majorHAnsi"/>
                <w:i/>
                <w:iCs/>
                <w:color w:val="000000"/>
                <w:sz w:val="20"/>
                <w:szCs w:val="20"/>
                <w:lang w:val="ro-MD"/>
              </w:rPr>
              <w:t>i acoperi</w:t>
            </w:r>
            <w:r w:rsidR="00B13B9A" w:rsidRPr="00B13B9A">
              <w:rPr>
                <w:rFonts w:asciiTheme="majorHAnsi" w:eastAsia="Times New Roman" w:hAnsiTheme="majorHAnsi" w:cstheme="majorHAnsi"/>
                <w:i/>
                <w:iCs/>
                <w:color w:val="000000"/>
                <w:sz w:val="20"/>
                <w:szCs w:val="20"/>
                <w:lang w:val="ro-MD"/>
              </w:rPr>
              <w:t>ș</w:t>
            </w:r>
            <w:r w:rsidRPr="00B13B9A">
              <w:rPr>
                <w:rFonts w:asciiTheme="majorHAnsi" w:eastAsia="Times New Roman" w:hAnsiTheme="majorHAnsi" w:cstheme="majorHAnsi"/>
                <w:i/>
                <w:iCs/>
                <w:color w:val="000000"/>
                <w:sz w:val="20"/>
                <w:szCs w:val="20"/>
                <w:lang w:val="ro-MD"/>
              </w:rPr>
              <w:t>ul care formează carcasa.</w:t>
            </w:r>
          </w:p>
        </w:tc>
        <w:tc>
          <w:tcPr>
            <w:tcW w:w="1378" w:type="dxa"/>
            <w:tcBorders>
              <w:top w:val="nil"/>
              <w:left w:val="nil"/>
              <w:bottom w:val="single" w:sz="4" w:space="0" w:color="auto"/>
              <w:right w:val="single" w:sz="8" w:space="0" w:color="auto"/>
            </w:tcBorders>
            <w:shd w:val="clear" w:color="000000" w:fill="FFFFFF"/>
            <w:noWrap/>
            <w:vAlign w:val="center"/>
            <w:hideMark/>
          </w:tcPr>
          <w:p w14:paraId="22EE04DB"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50.316,63</w:t>
            </w:r>
          </w:p>
        </w:tc>
      </w:tr>
      <w:tr w:rsidR="00D3471D" w:rsidRPr="00B13B9A" w14:paraId="18E2898A"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61C2768E"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16</w:t>
            </w:r>
          </w:p>
        </w:tc>
        <w:tc>
          <w:tcPr>
            <w:tcW w:w="2998" w:type="dxa"/>
            <w:tcBorders>
              <w:top w:val="nil"/>
              <w:left w:val="nil"/>
              <w:bottom w:val="single" w:sz="4" w:space="0" w:color="auto"/>
              <w:right w:val="single" w:sz="4" w:space="0" w:color="auto"/>
            </w:tcBorders>
            <w:shd w:val="clear" w:color="000000" w:fill="FFFFFF"/>
            <w:vAlign w:val="center"/>
            <w:hideMark/>
          </w:tcPr>
          <w:p w14:paraId="7C4B16F3"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Cazangerie  Vorniceni 8042208387.11</w:t>
            </w:r>
          </w:p>
        </w:tc>
        <w:tc>
          <w:tcPr>
            <w:tcW w:w="1480" w:type="dxa"/>
            <w:tcBorders>
              <w:top w:val="nil"/>
              <w:left w:val="nil"/>
              <w:bottom w:val="single" w:sz="4" w:space="0" w:color="auto"/>
              <w:right w:val="single" w:sz="4" w:space="0" w:color="auto"/>
            </w:tcBorders>
            <w:shd w:val="clear" w:color="000000" w:fill="FFFFFF"/>
            <w:vAlign w:val="center"/>
            <w:hideMark/>
          </w:tcPr>
          <w:p w14:paraId="67BC61A9"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2.129.882,48</w:t>
            </w:r>
          </w:p>
        </w:tc>
        <w:tc>
          <w:tcPr>
            <w:tcW w:w="1242" w:type="dxa"/>
            <w:tcBorders>
              <w:top w:val="nil"/>
              <w:left w:val="nil"/>
              <w:bottom w:val="single" w:sz="4" w:space="0" w:color="auto"/>
              <w:right w:val="single" w:sz="4" w:space="0" w:color="auto"/>
            </w:tcBorders>
            <w:shd w:val="clear" w:color="000000" w:fill="FFFFFF"/>
            <w:vAlign w:val="center"/>
            <w:hideMark/>
          </w:tcPr>
          <w:p w14:paraId="40FB7420" w14:textId="3997B9CC"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09A2C067"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Cazangeria de lângă Blocul nr.2 în stare bună</w:t>
            </w:r>
          </w:p>
        </w:tc>
        <w:tc>
          <w:tcPr>
            <w:tcW w:w="1378" w:type="dxa"/>
            <w:tcBorders>
              <w:top w:val="nil"/>
              <w:left w:val="nil"/>
              <w:bottom w:val="single" w:sz="4" w:space="0" w:color="auto"/>
              <w:right w:val="single" w:sz="8" w:space="0" w:color="auto"/>
            </w:tcBorders>
            <w:shd w:val="clear" w:color="000000" w:fill="FFFFFF"/>
            <w:noWrap/>
            <w:vAlign w:val="center"/>
            <w:hideMark/>
          </w:tcPr>
          <w:p w14:paraId="43BBDB8D"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901.482,71</w:t>
            </w:r>
          </w:p>
        </w:tc>
      </w:tr>
      <w:tr w:rsidR="00D3471D" w:rsidRPr="00B13B9A" w14:paraId="5AFF0675"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45C33A64"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17</w:t>
            </w:r>
          </w:p>
        </w:tc>
        <w:tc>
          <w:tcPr>
            <w:tcW w:w="2998" w:type="dxa"/>
            <w:tcBorders>
              <w:top w:val="nil"/>
              <w:left w:val="nil"/>
              <w:bottom w:val="single" w:sz="4" w:space="0" w:color="auto"/>
              <w:right w:val="single" w:sz="4" w:space="0" w:color="auto"/>
            </w:tcBorders>
            <w:shd w:val="clear" w:color="000000" w:fill="FFFFFF"/>
            <w:vAlign w:val="center"/>
            <w:hideMark/>
          </w:tcPr>
          <w:p w14:paraId="6DA3DE33"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Cazangerie  Vorniceni 8042208387.28</w:t>
            </w:r>
          </w:p>
        </w:tc>
        <w:tc>
          <w:tcPr>
            <w:tcW w:w="1480" w:type="dxa"/>
            <w:tcBorders>
              <w:top w:val="nil"/>
              <w:left w:val="nil"/>
              <w:bottom w:val="single" w:sz="4" w:space="0" w:color="auto"/>
              <w:right w:val="single" w:sz="4" w:space="0" w:color="auto"/>
            </w:tcBorders>
            <w:shd w:val="clear" w:color="000000" w:fill="FFFFFF"/>
            <w:vAlign w:val="center"/>
            <w:hideMark/>
          </w:tcPr>
          <w:p w14:paraId="42903C7E"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285.849,00</w:t>
            </w:r>
          </w:p>
        </w:tc>
        <w:tc>
          <w:tcPr>
            <w:tcW w:w="1242" w:type="dxa"/>
            <w:tcBorders>
              <w:top w:val="nil"/>
              <w:left w:val="nil"/>
              <w:bottom w:val="single" w:sz="4" w:space="0" w:color="auto"/>
              <w:right w:val="single" w:sz="4" w:space="0" w:color="auto"/>
            </w:tcBorders>
            <w:shd w:val="clear" w:color="000000" w:fill="FFFFFF"/>
            <w:vAlign w:val="center"/>
            <w:hideMark/>
          </w:tcPr>
          <w:p w14:paraId="326D9241" w14:textId="2B91BE5A"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30909158"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bună</w:t>
            </w:r>
          </w:p>
        </w:tc>
        <w:tc>
          <w:tcPr>
            <w:tcW w:w="1378" w:type="dxa"/>
            <w:tcBorders>
              <w:top w:val="nil"/>
              <w:left w:val="nil"/>
              <w:bottom w:val="single" w:sz="4" w:space="0" w:color="auto"/>
              <w:right w:val="single" w:sz="8" w:space="0" w:color="auto"/>
            </w:tcBorders>
            <w:shd w:val="clear" w:color="000000" w:fill="FFFFFF"/>
            <w:noWrap/>
            <w:vAlign w:val="center"/>
            <w:hideMark/>
          </w:tcPr>
          <w:p w14:paraId="3524AC9E"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135.635,46</w:t>
            </w:r>
          </w:p>
        </w:tc>
      </w:tr>
      <w:tr w:rsidR="00D3471D" w:rsidRPr="00B13B9A" w14:paraId="5E8A23E2"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04A7A746"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18</w:t>
            </w:r>
          </w:p>
        </w:tc>
        <w:tc>
          <w:tcPr>
            <w:tcW w:w="2998" w:type="dxa"/>
            <w:tcBorders>
              <w:top w:val="nil"/>
              <w:left w:val="nil"/>
              <w:bottom w:val="single" w:sz="4" w:space="0" w:color="auto"/>
              <w:right w:val="single" w:sz="4" w:space="0" w:color="auto"/>
            </w:tcBorders>
            <w:shd w:val="clear" w:color="000000" w:fill="FFFFFF"/>
            <w:vAlign w:val="center"/>
            <w:hideMark/>
          </w:tcPr>
          <w:p w14:paraId="2EC8EA11"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Depozit  p/u combustibil Vorniceni 8042208387.27</w:t>
            </w:r>
          </w:p>
        </w:tc>
        <w:tc>
          <w:tcPr>
            <w:tcW w:w="1480" w:type="dxa"/>
            <w:tcBorders>
              <w:top w:val="nil"/>
              <w:left w:val="nil"/>
              <w:bottom w:val="single" w:sz="4" w:space="0" w:color="auto"/>
              <w:right w:val="single" w:sz="4" w:space="0" w:color="auto"/>
            </w:tcBorders>
            <w:shd w:val="clear" w:color="000000" w:fill="FFFFFF"/>
            <w:vAlign w:val="center"/>
            <w:hideMark/>
          </w:tcPr>
          <w:p w14:paraId="6CC86C82"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29.947,00</w:t>
            </w:r>
          </w:p>
        </w:tc>
        <w:tc>
          <w:tcPr>
            <w:tcW w:w="1242" w:type="dxa"/>
            <w:tcBorders>
              <w:top w:val="nil"/>
              <w:left w:val="nil"/>
              <w:bottom w:val="single" w:sz="4" w:space="0" w:color="auto"/>
              <w:right w:val="single" w:sz="4" w:space="0" w:color="auto"/>
            </w:tcBorders>
            <w:shd w:val="clear" w:color="000000" w:fill="FFFFFF"/>
            <w:vAlign w:val="center"/>
            <w:hideMark/>
          </w:tcPr>
          <w:p w14:paraId="5FF7AB5D" w14:textId="6AA6E268"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Nefunc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3B75FD9B"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deplorabilă, învechit, spre demolare, valoarea lucrărilor de demolare constituie 34.398,40 lei</w:t>
            </w:r>
          </w:p>
        </w:tc>
        <w:tc>
          <w:tcPr>
            <w:tcW w:w="1378" w:type="dxa"/>
            <w:tcBorders>
              <w:top w:val="nil"/>
              <w:left w:val="nil"/>
              <w:bottom w:val="single" w:sz="4" w:space="0" w:color="auto"/>
              <w:right w:val="single" w:sz="8" w:space="0" w:color="auto"/>
            </w:tcBorders>
            <w:shd w:val="clear" w:color="000000" w:fill="FFFFFF"/>
            <w:noWrap/>
            <w:vAlign w:val="center"/>
            <w:hideMark/>
          </w:tcPr>
          <w:p w14:paraId="388EEF96"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20.827,98</w:t>
            </w:r>
          </w:p>
        </w:tc>
      </w:tr>
      <w:tr w:rsidR="00D3471D" w:rsidRPr="00B13B9A" w14:paraId="6B453B10"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748F7F7F"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19</w:t>
            </w:r>
          </w:p>
        </w:tc>
        <w:tc>
          <w:tcPr>
            <w:tcW w:w="2998" w:type="dxa"/>
            <w:tcBorders>
              <w:top w:val="nil"/>
              <w:left w:val="nil"/>
              <w:bottom w:val="single" w:sz="4" w:space="0" w:color="auto"/>
              <w:right w:val="single" w:sz="4" w:space="0" w:color="auto"/>
            </w:tcBorders>
            <w:shd w:val="clear" w:color="000000" w:fill="FFFFFF"/>
            <w:vAlign w:val="center"/>
            <w:hideMark/>
          </w:tcPr>
          <w:p w14:paraId="401B28A4"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Depozit de materiale Vorniceni 8042208387.23</w:t>
            </w:r>
          </w:p>
        </w:tc>
        <w:tc>
          <w:tcPr>
            <w:tcW w:w="1480" w:type="dxa"/>
            <w:tcBorders>
              <w:top w:val="nil"/>
              <w:left w:val="nil"/>
              <w:bottom w:val="single" w:sz="4" w:space="0" w:color="auto"/>
              <w:right w:val="single" w:sz="4" w:space="0" w:color="auto"/>
            </w:tcBorders>
            <w:shd w:val="clear" w:color="000000" w:fill="FFFFFF"/>
            <w:vAlign w:val="center"/>
            <w:hideMark/>
          </w:tcPr>
          <w:p w14:paraId="6CF2FF01"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156.668,00</w:t>
            </w:r>
          </w:p>
        </w:tc>
        <w:tc>
          <w:tcPr>
            <w:tcW w:w="1242" w:type="dxa"/>
            <w:tcBorders>
              <w:top w:val="nil"/>
              <w:left w:val="nil"/>
              <w:bottom w:val="single" w:sz="4" w:space="0" w:color="auto"/>
              <w:right w:val="single" w:sz="4" w:space="0" w:color="auto"/>
            </w:tcBorders>
            <w:shd w:val="clear" w:color="000000" w:fill="FFFFFF"/>
            <w:vAlign w:val="center"/>
            <w:hideMark/>
          </w:tcPr>
          <w:p w14:paraId="412DCAFD" w14:textId="42DEE4DB"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14D12F0B" w14:textId="2371631A"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satisfăcătoare, acoperi</w:t>
            </w:r>
            <w:r w:rsidR="00B13B9A" w:rsidRPr="00B13B9A">
              <w:rPr>
                <w:rFonts w:asciiTheme="majorHAnsi" w:eastAsia="Times New Roman" w:hAnsiTheme="majorHAnsi" w:cstheme="majorHAnsi"/>
                <w:i/>
                <w:iCs/>
                <w:color w:val="000000"/>
                <w:sz w:val="20"/>
                <w:szCs w:val="20"/>
                <w:lang w:val="ro-MD"/>
              </w:rPr>
              <w:t>ș</w:t>
            </w:r>
            <w:r w:rsidRPr="00B13B9A">
              <w:rPr>
                <w:rFonts w:asciiTheme="majorHAnsi" w:eastAsia="Times New Roman" w:hAnsiTheme="majorHAnsi" w:cstheme="majorHAnsi"/>
                <w:i/>
                <w:iCs/>
                <w:color w:val="000000"/>
                <w:sz w:val="20"/>
                <w:szCs w:val="20"/>
                <w:lang w:val="ro-MD"/>
              </w:rPr>
              <w:t>ul reparat</w:t>
            </w:r>
          </w:p>
        </w:tc>
        <w:tc>
          <w:tcPr>
            <w:tcW w:w="1378" w:type="dxa"/>
            <w:tcBorders>
              <w:top w:val="nil"/>
              <w:left w:val="nil"/>
              <w:bottom w:val="single" w:sz="4" w:space="0" w:color="auto"/>
              <w:right w:val="single" w:sz="8" w:space="0" w:color="auto"/>
            </w:tcBorders>
            <w:shd w:val="clear" w:color="000000" w:fill="FFFFFF"/>
            <w:noWrap/>
            <w:vAlign w:val="center"/>
            <w:hideMark/>
          </w:tcPr>
          <w:p w14:paraId="38067863"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127.292,36</w:t>
            </w:r>
          </w:p>
        </w:tc>
      </w:tr>
      <w:tr w:rsidR="00D3471D" w:rsidRPr="00B13B9A" w14:paraId="145ECE61"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59F7D17E"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20</w:t>
            </w:r>
          </w:p>
        </w:tc>
        <w:tc>
          <w:tcPr>
            <w:tcW w:w="2998" w:type="dxa"/>
            <w:tcBorders>
              <w:top w:val="nil"/>
              <w:left w:val="nil"/>
              <w:bottom w:val="single" w:sz="4" w:space="0" w:color="auto"/>
              <w:right w:val="single" w:sz="4" w:space="0" w:color="auto"/>
            </w:tcBorders>
            <w:shd w:val="clear" w:color="000000" w:fill="FFFFFF"/>
            <w:vAlign w:val="center"/>
            <w:hideMark/>
          </w:tcPr>
          <w:p w14:paraId="132CB235"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Depozit p/u butelii de  gaz Vorniceni 8042208387.19</w:t>
            </w:r>
          </w:p>
        </w:tc>
        <w:tc>
          <w:tcPr>
            <w:tcW w:w="1480" w:type="dxa"/>
            <w:tcBorders>
              <w:top w:val="nil"/>
              <w:left w:val="nil"/>
              <w:bottom w:val="single" w:sz="4" w:space="0" w:color="auto"/>
              <w:right w:val="single" w:sz="4" w:space="0" w:color="auto"/>
            </w:tcBorders>
            <w:shd w:val="clear" w:color="000000" w:fill="FFFFFF"/>
            <w:vAlign w:val="center"/>
            <w:hideMark/>
          </w:tcPr>
          <w:p w14:paraId="34BD5028"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10.630,00</w:t>
            </w:r>
          </w:p>
        </w:tc>
        <w:tc>
          <w:tcPr>
            <w:tcW w:w="1242" w:type="dxa"/>
            <w:tcBorders>
              <w:top w:val="nil"/>
              <w:left w:val="nil"/>
              <w:bottom w:val="single" w:sz="4" w:space="0" w:color="auto"/>
              <w:right w:val="single" w:sz="4" w:space="0" w:color="auto"/>
            </w:tcBorders>
            <w:shd w:val="clear" w:color="000000" w:fill="FFFFFF"/>
            <w:vAlign w:val="center"/>
            <w:hideMark/>
          </w:tcPr>
          <w:p w14:paraId="5DB8CB26" w14:textId="6E89B0CB"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Nefunc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155648A0" w14:textId="28947CB0"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deplorabilă, sunt doar pere</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 acoperi</w:t>
            </w:r>
            <w:r w:rsidR="00B13B9A" w:rsidRPr="00B13B9A">
              <w:rPr>
                <w:rFonts w:asciiTheme="majorHAnsi" w:eastAsia="Times New Roman" w:hAnsiTheme="majorHAnsi" w:cstheme="majorHAnsi"/>
                <w:i/>
                <w:iCs/>
                <w:color w:val="000000"/>
                <w:sz w:val="20"/>
                <w:szCs w:val="20"/>
                <w:lang w:val="ro-MD"/>
              </w:rPr>
              <w:t>ș</w:t>
            </w:r>
            <w:r w:rsidRPr="00B13B9A">
              <w:rPr>
                <w:rFonts w:asciiTheme="majorHAnsi" w:eastAsia="Times New Roman" w:hAnsiTheme="majorHAnsi" w:cstheme="majorHAnsi"/>
                <w:i/>
                <w:iCs/>
                <w:color w:val="000000"/>
                <w:sz w:val="20"/>
                <w:szCs w:val="20"/>
                <w:lang w:val="ro-MD"/>
              </w:rPr>
              <w:t>ul e cu găuri, spre demolare, valoarea lucrărilor de demolare constituie  11.526,13 lei</w:t>
            </w:r>
          </w:p>
        </w:tc>
        <w:tc>
          <w:tcPr>
            <w:tcW w:w="1378" w:type="dxa"/>
            <w:tcBorders>
              <w:top w:val="nil"/>
              <w:left w:val="nil"/>
              <w:bottom w:val="single" w:sz="4" w:space="0" w:color="auto"/>
              <w:right w:val="single" w:sz="8" w:space="0" w:color="auto"/>
            </w:tcBorders>
            <w:shd w:val="clear" w:color="000000" w:fill="FFFFFF"/>
            <w:noWrap/>
            <w:vAlign w:val="center"/>
            <w:hideMark/>
          </w:tcPr>
          <w:p w14:paraId="2A2CD11B"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7.807,91</w:t>
            </w:r>
          </w:p>
        </w:tc>
      </w:tr>
      <w:tr w:rsidR="00D3471D" w:rsidRPr="00B13B9A" w14:paraId="57C80230"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1420235A"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21</w:t>
            </w:r>
          </w:p>
        </w:tc>
        <w:tc>
          <w:tcPr>
            <w:tcW w:w="2998" w:type="dxa"/>
            <w:tcBorders>
              <w:top w:val="nil"/>
              <w:left w:val="nil"/>
              <w:bottom w:val="single" w:sz="4" w:space="0" w:color="auto"/>
              <w:right w:val="single" w:sz="4" w:space="0" w:color="auto"/>
            </w:tcBorders>
            <w:shd w:val="clear" w:color="000000" w:fill="FFFFFF"/>
            <w:vAlign w:val="center"/>
            <w:hideMark/>
          </w:tcPr>
          <w:p w14:paraId="2FF8EB71" w14:textId="1795361F"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Dispanser cu 9</w:t>
            </w:r>
            <w:r w:rsidR="00D80586" w:rsidRPr="00B13B9A">
              <w:rPr>
                <w:rFonts w:asciiTheme="majorHAnsi" w:eastAsia="Times New Roman" w:hAnsiTheme="majorHAnsi" w:cstheme="majorHAnsi"/>
                <w:i/>
                <w:iCs/>
                <w:color w:val="000000"/>
                <w:sz w:val="20"/>
                <w:szCs w:val="20"/>
                <w:lang w:val="ro-MD"/>
              </w:rPr>
              <w:t xml:space="preserve"> </w:t>
            </w:r>
            <w:r w:rsidRPr="00B13B9A">
              <w:rPr>
                <w:rFonts w:asciiTheme="majorHAnsi" w:eastAsia="Times New Roman" w:hAnsiTheme="majorHAnsi" w:cstheme="majorHAnsi"/>
                <w:i/>
                <w:iCs/>
                <w:color w:val="000000"/>
                <w:sz w:val="20"/>
                <w:szCs w:val="20"/>
                <w:lang w:val="ro-MD"/>
              </w:rPr>
              <w:t>et. or.Chisinau 0100213274.01</w:t>
            </w:r>
          </w:p>
        </w:tc>
        <w:tc>
          <w:tcPr>
            <w:tcW w:w="1480" w:type="dxa"/>
            <w:tcBorders>
              <w:top w:val="nil"/>
              <w:left w:val="nil"/>
              <w:bottom w:val="single" w:sz="4" w:space="0" w:color="auto"/>
              <w:right w:val="single" w:sz="4" w:space="0" w:color="auto"/>
            </w:tcBorders>
            <w:shd w:val="clear" w:color="000000" w:fill="FFFFFF"/>
            <w:vAlign w:val="center"/>
            <w:hideMark/>
          </w:tcPr>
          <w:p w14:paraId="7B6D2D48"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12.729.729,10</w:t>
            </w:r>
          </w:p>
        </w:tc>
        <w:tc>
          <w:tcPr>
            <w:tcW w:w="1242" w:type="dxa"/>
            <w:tcBorders>
              <w:top w:val="nil"/>
              <w:left w:val="nil"/>
              <w:bottom w:val="single" w:sz="4" w:space="0" w:color="auto"/>
              <w:right w:val="single" w:sz="4" w:space="0" w:color="auto"/>
            </w:tcBorders>
            <w:shd w:val="clear" w:color="000000" w:fill="FFFFFF"/>
            <w:vAlign w:val="center"/>
            <w:hideMark/>
          </w:tcPr>
          <w:p w14:paraId="266F1E31" w14:textId="47ABFB60"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0FE5FB2C" w14:textId="01AE0445"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bună, se utilizează pentru prestarea serviciilor pacien</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ilor</w:t>
            </w:r>
          </w:p>
        </w:tc>
        <w:tc>
          <w:tcPr>
            <w:tcW w:w="1378" w:type="dxa"/>
            <w:tcBorders>
              <w:top w:val="nil"/>
              <w:left w:val="nil"/>
              <w:bottom w:val="single" w:sz="4" w:space="0" w:color="auto"/>
              <w:right w:val="single" w:sz="8" w:space="0" w:color="auto"/>
            </w:tcBorders>
            <w:shd w:val="clear" w:color="000000" w:fill="FFFFFF"/>
            <w:noWrap/>
            <w:vAlign w:val="center"/>
            <w:hideMark/>
          </w:tcPr>
          <w:p w14:paraId="04E17166"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7.520.730,10</w:t>
            </w:r>
          </w:p>
        </w:tc>
      </w:tr>
      <w:tr w:rsidR="00D3471D" w:rsidRPr="00B13B9A" w14:paraId="1EE81B3F"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2F08C4C1"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22</w:t>
            </w:r>
          </w:p>
        </w:tc>
        <w:tc>
          <w:tcPr>
            <w:tcW w:w="2998" w:type="dxa"/>
            <w:tcBorders>
              <w:top w:val="nil"/>
              <w:left w:val="nil"/>
              <w:bottom w:val="single" w:sz="4" w:space="0" w:color="auto"/>
              <w:right w:val="single" w:sz="4" w:space="0" w:color="auto"/>
            </w:tcBorders>
            <w:shd w:val="clear" w:color="000000" w:fill="FFFFFF"/>
            <w:vAlign w:val="center"/>
            <w:hideMark/>
          </w:tcPr>
          <w:p w14:paraId="7E70E75E"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Estrada de vara (scena) Vorniceni 8042208387.09</w:t>
            </w:r>
          </w:p>
        </w:tc>
        <w:tc>
          <w:tcPr>
            <w:tcW w:w="1480" w:type="dxa"/>
            <w:tcBorders>
              <w:top w:val="nil"/>
              <w:left w:val="nil"/>
              <w:bottom w:val="single" w:sz="4" w:space="0" w:color="auto"/>
              <w:right w:val="single" w:sz="4" w:space="0" w:color="auto"/>
            </w:tcBorders>
            <w:shd w:val="clear" w:color="000000" w:fill="FFFFFF"/>
            <w:vAlign w:val="center"/>
            <w:hideMark/>
          </w:tcPr>
          <w:p w14:paraId="4C68F763"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188.666,00</w:t>
            </w:r>
          </w:p>
        </w:tc>
        <w:tc>
          <w:tcPr>
            <w:tcW w:w="1242" w:type="dxa"/>
            <w:tcBorders>
              <w:top w:val="nil"/>
              <w:left w:val="nil"/>
              <w:bottom w:val="single" w:sz="4" w:space="0" w:color="auto"/>
              <w:right w:val="single" w:sz="4" w:space="0" w:color="auto"/>
            </w:tcBorders>
            <w:shd w:val="clear" w:color="000000" w:fill="FFFFFF"/>
            <w:vAlign w:val="center"/>
            <w:hideMark/>
          </w:tcPr>
          <w:p w14:paraId="71E75CB7" w14:textId="23F9130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Nefunc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53DCCAD2"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deplorabilă, învechit, spre demolare, valoarea lucrărilor de demolare constituie 79.801,88 lei</w:t>
            </w:r>
          </w:p>
        </w:tc>
        <w:tc>
          <w:tcPr>
            <w:tcW w:w="1378" w:type="dxa"/>
            <w:tcBorders>
              <w:top w:val="nil"/>
              <w:left w:val="nil"/>
              <w:bottom w:val="single" w:sz="4" w:space="0" w:color="auto"/>
              <w:right w:val="single" w:sz="8" w:space="0" w:color="auto"/>
            </w:tcBorders>
            <w:shd w:val="clear" w:color="000000" w:fill="FFFFFF"/>
            <w:noWrap/>
            <w:vAlign w:val="center"/>
            <w:hideMark/>
          </w:tcPr>
          <w:p w14:paraId="585DBB52"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131.217,38</w:t>
            </w:r>
          </w:p>
        </w:tc>
      </w:tr>
      <w:tr w:rsidR="00D3471D" w:rsidRPr="00B13B9A" w14:paraId="5246F1B7"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496A0D4A"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23</w:t>
            </w:r>
          </w:p>
        </w:tc>
        <w:tc>
          <w:tcPr>
            <w:tcW w:w="2998" w:type="dxa"/>
            <w:tcBorders>
              <w:top w:val="nil"/>
              <w:left w:val="nil"/>
              <w:bottom w:val="single" w:sz="4" w:space="0" w:color="auto"/>
              <w:right w:val="single" w:sz="4" w:space="0" w:color="auto"/>
            </w:tcBorders>
            <w:shd w:val="clear" w:color="000000" w:fill="FFFFFF"/>
            <w:vAlign w:val="center"/>
            <w:hideMark/>
          </w:tcPr>
          <w:p w14:paraId="048C9BB7"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Ferma    8042208387.21</w:t>
            </w:r>
          </w:p>
        </w:tc>
        <w:tc>
          <w:tcPr>
            <w:tcW w:w="1480" w:type="dxa"/>
            <w:tcBorders>
              <w:top w:val="nil"/>
              <w:left w:val="nil"/>
              <w:bottom w:val="single" w:sz="4" w:space="0" w:color="auto"/>
              <w:right w:val="single" w:sz="4" w:space="0" w:color="auto"/>
            </w:tcBorders>
            <w:shd w:val="clear" w:color="000000" w:fill="FFFFFF"/>
            <w:vAlign w:val="center"/>
            <w:hideMark/>
          </w:tcPr>
          <w:p w14:paraId="213E6811"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34.465,00</w:t>
            </w:r>
          </w:p>
        </w:tc>
        <w:tc>
          <w:tcPr>
            <w:tcW w:w="1242" w:type="dxa"/>
            <w:tcBorders>
              <w:top w:val="nil"/>
              <w:left w:val="nil"/>
              <w:bottom w:val="single" w:sz="4" w:space="0" w:color="auto"/>
              <w:right w:val="single" w:sz="4" w:space="0" w:color="auto"/>
            </w:tcBorders>
            <w:shd w:val="clear" w:color="000000" w:fill="FFFFFF"/>
            <w:vAlign w:val="center"/>
            <w:hideMark/>
          </w:tcPr>
          <w:p w14:paraId="722B0A92" w14:textId="49C0CDE4"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Nefunc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78417E4B" w14:textId="6F97DC69"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deplorabilă, învechit. Prin HG nr.945 din 20.08.2007 obiectul a fost inclus în Lista bunurilor proprietate de stat supuse privatizării. Ca urmare, Agen</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ia Proprietă</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 xml:space="preserve">ii Publice a intervenit cu solicitarea de a permite accesul </w:t>
            </w:r>
            <w:r w:rsidR="00B13B9A" w:rsidRPr="00B13B9A">
              <w:rPr>
                <w:rFonts w:asciiTheme="majorHAnsi" w:eastAsia="Times New Roman" w:hAnsiTheme="majorHAnsi" w:cstheme="majorHAnsi"/>
                <w:i/>
                <w:iCs/>
                <w:color w:val="000000"/>
                <w:sz w:val="20"/>
                <w:szCs w:val="20"/>
                <w:lang w:val="ro-MD"/>
              </w:rPr>
              <w:t>ș</w:t>
            </w:r>
            <w:r w:rsidRPr="00B13B9A">
              <w:rPr>
                <w:rFonts w:asciiTheme="majorHAnsi" w:eastAsia="Times New Roman" w:hAnsiTheme="majorHAnsi" w:cstheme="majorHAnsi"/>
                <w:i/>
                <w:iCs/>
                <w:color w:val="000000"/>
                <w:sz w:val="20"/>
                <w:szCs w:val="20"/>
                <w:lang w:val="ro-MD"/>
              </w:rPr>
              <w:t xml:space="preserve">i de a prezenta documentele </w:t>
            </w:r>
            <w:r w:rsidR="00B13B9A" w:rsidRPr="00B13B9A">
              <w:rPr>
                <w:rFonts w:asciiTheme="majorHAnsi" w:eastAsia="Times New Roman" w:hAnsiTheme="majorHAnsi" w:cstheme="majorHAnsi"/>
                <w:i/>
                <w:iCs/>
                <w:color w:val="000000"/>
                <w:sz w:val="20"/>
                <w:szCs w:val="20"/>
                <w:lang w:val="ro-MD"/>
              </w:rPr>
              <w:t>ș</w:t>
            </w:r>
            <w:r w:rsidRPr="00B13B9A">
              <w:rPr>
                <w:rFonts w:asciiTheme="majorHAnsi" w:eastAsia="Times New Roman" w:hAnsiTheme="majorHAnsi" w:cstheme="majorHAnsi"/>
                <w:i/>
                <w:iCs/>
                <w:color w:val="000000"/>
                <w:sz w:val="20"/>
                <w:szCs w:val="20"/>
                <w:lang w:val="ro-MD"/>
              </w:rPr>
              <w:t>i informa</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iile necesare evaluării construc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iei - ferma de porcine. La această solicitare entitatea a emis o scrisoare răspuns prin care informează că accesul către obiect este limitat, unica cale de acces este traversarea teritoriului clinicii. Obiectul nu dispune de sistem de canalizare, imposibilitatea racordării la re</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eaua locală de distribu</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ie a energiei electrice. Mai mult ca atât, în preajma obiectului ”ferma de porcine” se află zona de protec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 xml:space="preserve">ie sanitară cu regim sever a Sondei arteziene nr.1067 (unica sursa de apă) care alimentează cu apă potabilă </w:t>
            </w:r>
            <w:r w:rsidR="00B13B9A" w:rsidRPr="00B13B9A">
              <w:rPr>
                <w:rFonts w:asciiTheme="majorHAnsi" w:eastAsia="Times New Roman" w:hAnsiTheme="majorHAnsi" w:cstheme="majorHAnsi"/>
                <w:i/>
                <w:iCs/>
                <w:color w:val="000000"/>
                <w:sz w:val="20"/>
                <w:szCs w:val="20"/>
                <w:lang w:val="ro-MD"/>
              </w:rPr>
              <w:t>ș</w:t>
            </w:r>
            <w:r w:rsidRPr="00B13B9A">
              <w:rPr>
                <w:rFonts w:asciiTheme="majorHAnsi" w:eastAsia="Times New Roman" w:hAnsiTheme="majorHAnsi" w:cstheme="majorHAnsi"/>
                <w:i/>
                <w:iCs/>
                <w:color w:val="000000"/>
                <w:sz w:val="20"/>
                <w:szCs w:val="20"/>
                <w:lang w:val="ro-MD"/>
              </w:rPr>
              <w:t>i 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ionare, inclusiv antiincendiară clinica Vorniceni. Prin urmare, entitatea intervine cu rugămintea de a exclude obiectul ”ferma de porcine” din Lista bunurilor proprietate de stat supuse privatizări.</w:t>
            </w:r>
          </w:p>
        </w:tc>
        <w:tc>
          <w:tcPr>
            <w:tcW w:w="1378" w:type="dxa"/>
            <w:tcBorders>
              <w:top w:val="nil"/>
              <w:left w:val="nil"/>
              <w:bottom w:val="single" w:sz="4" w:space="0" w:color="auto"/>
              <w:right w:val="single" w:sz="8" w:space="0" w:color="auto"/>
            </w:tcBorders>
            <w:shd w:val="clear" w:color="000000" w:fill="FFFFFF"/>
            <w:noWrap/>
            <w:vAlign w:val="center"/>
            <w:hideMark/>
          </w:tcPr>
          <w:p w14:paraId="0396FBCF"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26.659,06</w:t>
            </w:r>
          </w:p>
        </w:tc>
      </w:tr>
      <w:tr w:rsidR="00D3471D" w:rsidRPr="00B13B9A" w14:paraId="50F4154B"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06B3D832"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24</w:t>
            </w:r>
          </w:p>
        </w:tc>
        <w:tc>
          <w:tcPr>
            <w:tcW w:w="2998" w:type="dxa"/>
            <w:tcBorders>
              <w:top w:val="nil"/>
              <w:left w:val="nil"/>
              <w:bottom w:val="single" w:sz="4" w:space="0" w:color="auto"/>
              <w:right w:val="single" w:sz="4" w:space="0" w:color="auto"/>
            </w:tcBorders>
            <w:shd w:val="clear" w:color="000000" w:fill="FFFFFF"/>
            <w:vAlign w:val="center"/>
            <w:hideMark/>
          </w:tcPr>
          <w:p w14:paraId="3C799A0E"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Garaj   nr.1    Vorniceni 8042208387.26</w:t>
            </w:r>
          </w:p>
        </w:tc>
        <w:tc>
          <w:tcPr>
            <w:tcW w:w="1480" w:type="dxa"/>
            <w:tcBorders>
              <w:top w:val="nil"/>
              <w:left w:val="nil"/>
              <w:bottom w:val="single" w:sz="4" w:space="0" w:color="auto"/>
              <w:right w:val="single" w:sz="4" w:space="0" w:color="auto"/>
            </w:tcBorders>
            <w:shd w:val="clear" w:color="000000" w:fill="FFFFFF"/>
            <w:vAlign w:val="center"/>
            <w:hideMark/>
          </w:tcPr>
          <w:p w14:paraId="2017E527"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148.115,00</w:t>
            </w:r>
          </w:p>
        </w:tc>
        <w:tc>
          <w:tcPr>
            <w:tcW w:w="1242" w:type="dxa"/>
            <w:tcBorders>
              <w:top w:val="nil"/>
              <w:left w:val="nil"/>
              <w:bottom w:val="single" w:sz="4" w:space="0" w:color="auto"/>
              <w:right w:val="single" w:sz="4" w:space="0" w:color="auto"/>
            </w:tcBorders>
            <w:shd w:val="clear" w:color="000000" w:fill="FFFFFF"/>
            <w:vAlign w:val="center"/>
            <w:hideMark/>
          </w:tcPr>
          <w:p w14:paraId="4FBEC962" w14:textId="15A1CC89"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Nefunc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654081A0" w14:textId="5BEB4535"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deplorabilă, învechit, majoritatea boxelor nu au acoperi</w:t>
            </w:r>
            <w:r w:rsidR="00B13B9A" w:rsidRPr="00B13B9A">
              <w:rPr>
                <w:rFonts w:asciiTheme="majorHAnsi" w:eastAsia="Times New Roman" w:hAnsiTheme="majorHAnsi" w:cstheme="majorHAnsi"/>
                <w:i/>
                <w:iCs/>
                <w:color w:val="000000"/>
                <w:sz w:val="20"/>
                <w:szCs w:val="20"/>
                <w:lang w:val="ro-MD"/>
              </w:rPr>
              <w:t>ș</w:t>
            </w:r>
            <w:r w:rsidRPr="00B13B9A">
              <w:rPr>
                <w:rFonts w:asciiTheme="majorHAnsi" w:eastAsia="Times New Roman" w:hAnsiTheme="majorHAnsi" w:cstheme="majorHAnsi"/>
                <w:i/>
                <w:iCs/>
                <w:color w:val="000000"/>
                <w:sz w:val="20"/>
                <w:szCs w:val="20"/>
                <w:lang w:val="ro-MD"/>
              </w:rPr>
              <w:t>, spre demolare</w:t>
            </w:r>
          </w:p>
        </w:tc>
        <w:tc>
          <w:tcPr>
            <w:tcW w:w="1378" w:type="dxa"/>
            <w:tcBorders>
              <w:top w:val="nil"/>
              <w:left w:val="nil"/>
              <w:bottom w:val="single" w:sz="4" w:space="0" w:color="auto"/>
              <w:right w:val="single" w:sz="8" w:space="0" w:color="auto"/>
            </w:tcBorders>
            <w:shd w:val="clear" w:color="000000" w:fill="FFFFFF"/>
            <w:noWrap/>
            <w:vAlign w:val="center"/>
            <w:hideMark/>
          </w:tcPr>
          <w:p w14:paraId="76B9CCD6"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122.491,47</w:t>
            </w:r>
          </w:p>
        </w:tc>
      </w:tr>
      <w:tr w:rsidR="00D3471D" w:rsidRPr="00B13B9A" w14:paraId="15763512"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3EE1B949"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25</w:t>
            </w:r>
          </w:p>
        </w:tc>
        <w:tc>
          <w:tcPr>
            <w:tcW w:w="2998" w:type="dxa"/>
            <w:tcBorders>
              <w:top w:val="nil"/>
              <w:left w:val="nil"/>
              <w:bottom w:val="single" w:sz="4" w:space="0" w:color="auto"/>
              <w:right w:val="single" w:sz="4" w:space="0" w:color="auto"/>
            </w:tcBorders>
            <w:shd w:val="clear" w:color="000000" w:fill="FFFFFF"/>
            <w:vAlign w:val="center"/>
            <w:hideMark/>
          </w:tcPr>
          <w:p w14:paraId="748DF398"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Garaj  0100213541.03</w:t>
            </w:r>
          </w:p>
        </w:tc>
        <w:tc>
          <w:tcPr>
            <w:tcW w:w="1480" w:type="dxa"/>
            <w:tcBorders>
              <w:top w:val="nil"/>
              <w:left w:val="nil"/>
              <w:bottom w:val="single" w:sz="4" w:space="0" w:color="auto"/>
              <w:right w:val="single" w:sz="4" w:space="0" w:color="auto"/>
            </w:tcBorders>
            <w:shd w:val="clear" w:color="000000" w:fill="FFFFFF"/>
            <w:vAlign w:val="center"/>
            <w:hideMark/>
          </w:tcPr>
          <w:p w14:paraId="04C6F267"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4.554.956,00</w:t>
            </w:r>
          </w:p>
        </w:tc>
        <w:tc>
          <w:tcPr>
            <w:tcW w:w="1242" w:type="dxa"/>
            <w:tcBorders>
              <w:top w:val="nil"/>
              <w:left w:val="nil"/>
              <w:bottom w:val="single" w:sz="4" w:space="0" w:color="auto"/>
              <w:right w:val="single" w:sz="4" w:space="0" w:color="auto"/>
            </w:tcBorders>
            <w:shd w:val="clear" w:color="000000" w:fill="FFFFFF"/>
            <w:vAlign w:val="center"/>
            <w:hideMark/>
          </w:tcPr>
          <w:p w14:paraId="5F4E0759" w14:textId="076D8AA0"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4F7CC86F" w14:textId="121C633A"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bună, se utilizează pentru autoparcul entită</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ii</w:t>
            </w:r>
          </w:p>
        </w:tc>
        <w:tc>
          <w:tcPr>
            <w:tcW w:w="1378" w:type="dxa"/>
            <w:tcBorders>
              <w:top w:val="nil"/>
              <w:left w:val="nil"/>
              <w:bottom w:val="single" w:sz="4" w:space="0" w:color="auto"/>
              <w:right w:val="single" w:sz="8" w:space="0" w:color="auto"/>
            </w:tcBorders>
            <w:shd w:val="clear" w:color="000000" w:fill="FFFFFF"/>
            <w:noWrap/>
            <w:vAlign w:val="center"/>
            <w:hideMark/>
          </w:tcPr>
          <w:p w14:paraId="012221C5"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1.924.469,25</w:t>
            </w:r>
          </w:p>
        </w:tc>
      </w:tr>
      <w:tr w:rsidR="00D3471D" w:rsidRPr="00B13B9A" w14:paraId="7E5D8F57"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72DEB759"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26</w:t>
            </w:r>
          </w:p>
        </w:tc>
        <w:tc>
          <w:tcPr>
            <w:tcW w:w="2998" w:type="dxa"/>
            <w:tcBorders>
              <w:top w:val="nil"/>
              <w:left w:val="nil"/>
              <w:bottom w:val="single" w:sz="4" w:space="0" w:color="auto"/>
              <w:right w:val="single" w:sz="4" w:space="0" w:color="auto"/>
            </w:tcBorders>
            <w:shd w:val="clear" w:color="000000" w:fill="FFFFFF"/>
            <w:vAlign w:val="center"/>
            <w:hideMark/>
          </w:tcPr>
          <w:p w14:paraId="652CC56E"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Garaj Vorniceni c/c 80422088387.16</w:t>
            </w:r>
          </w:p>
        </w:tc>
        <w:tc>
          <w:tcPr>
            <w:tcW w:w="1480" w:type="dxa"/>
            <w:tcBorders>
              <w:top w:val="nil"/>
              <w:left w:val="nil"/>
              <w:bottom w:val="single" w:sz="4" w:space="0" w:color="auto"/>
              <w:right w:val="single" w:sz="4" w:space="0" w:color="auto"/>
            </w:tcBorders>
            <w:shd w:val="clear" w:color="000000" w:fill="FFFFFF"/>
            <w:vAlign w:val="center"/>
            <w:hideMark/>
          </w:tcPr>
          <w:p w14:paraId="019F0B5E"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220.170,00</w:t>
            </w:r>
          </w:p>
        </w:tc>
        <w:tc>
          <w:tcPr>
            <w:tcW w:w="1242" w:type="dxa"/>
            <w:tcBorders>
              <w:top w:val="nil"/>
              <w:left w:val="nil"/>
              <w:bottom w:val="single" w:sz="4" w:space="0" w:color="auto"/>
              <w:right w:val="single" w:sz="4" w:space="0" w:color="auto"/>
            </w:tcBorders>
            <w:shd w:val="clear" w:color="000000" w:fill="FFFFFF"/>
            <w:vAlign w:val="center"/>
            <w:hideMark/>
          </w:tcPr>
          <w:p w14:paraId="4D83D908" w14:textId="27F4E8FC"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Nefunc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5629F77A"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deplorabilă, învechit, spre demolare, valoarea lucrărilor de demolare constituie 106.447,32 lei</w:t>
            </w:r>
          </w:p>
        </w:tc>
        <w:tc>
          <w:tcPr>
            <w:tcW w:w="1378" w:type="dxa"/>
            <w:tcBorders>
              <w:top w:val="nil"/>
              <w:left w:val="nil"/>
              <w:bottom w:val="single" w:sz="4" w:space="0" w:color="auto"/>
              <w:right w:val="single" w:sz="8" w:space="0" w:color="auto"/>
            </w:tcBorders>
            <w:shd w:val="clear" w:color="000000" w:fill="FFFFFF"/>
            <w:noWrap/>
            <w:vAlign w:val="center"/>
            <w:hideMark/>
          </w:tcPr>
          <w:p w14:paraId="2307D405"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121.644,00</w:t>
            </w:r>
          </w:p>
        </w:tc>
      </w:tr>
      <w:tr w:rsidR="00D3471D" w:rsidRPr="00B13B9A" w14:paraId="1EF932C8"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66510067"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27</w:t>
            </w:r>
          </w:p>
        </w:tc>
        <w:tc>
          <w:tcPr>
            <w:tcW w:w="2998" w:type="dxa"/>
            <w:tcBorders>
              <w:top w:val="nil"/>
              <w:left w:val="nil"/>
              <w:bottom w:val="single" w:sz="4" w:space="0" w:color="auto"/>
              <w:right w:val="single" w:sz="4" w:space="0" w:color="auto"/>
            </w:tcBorders>
            <w:shd w:val="clear" w:color="000000" w:fill="FFFFFF"/>
            <w:vAlign w:val="center"/>
            <w:hideMark/>
          </w:tcPr>
          <w:p w14:paraId="4C895CBD" w14:textId="65441E85"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 xml:space="preserve">Gard </w:t>
            </w:r>
            <w:r w:rsidR="00B13B9A" w:rsidRPr="00B13B9A">
              <w:rPr>
                <w:rFonts w:asciiTheme="majorHAnsi" w:eastAsia="Times New Roman" w:hAnsiTheme="majorHAnsi" w:cstheme="majorHAnsi"/>
                <w:i/>
                <w:iCs/>
                <w:color w:val="000000"/>
                <w:sz w:val="20"/>
                <w:szCs w:val="20"/>
                <w:lang w:val="ro-MD"/>
              </w:rPr>
              <w:t>ș</w:t>
            </w:r>
            <w:r w:rsidRPr="00B13B9A">
              <w:rPr>
                <w:rFonts w:asciiTheme="majorHAnsi" w:eastAsia="Times New Roman" w:hAnsiTheme="majorHAnsi" w:cstheme="majorHAnsi"/>
                <w:i/>
                <w:iCs/>
                <w:color w:val="000000"/>
                <w:sz w:val="20"/>
                <w:szCs w:val="20"/>
                <w:lang w:val="ro-MD"/>
              </w:rPr>
              <w:t>i punct de control Vorniceni 8042208387.34</w:t>
            </w:r>
          </w:p>
        </w:tc>
        <w:tc>
          <w:tcPr>
            <w:tcW w:w="1480" w:type="dxa"/>
            <w:tcBorders>
              <w:top w:val="nil"/>
              <w:left w:val="nil"/>
              <w:bottom w:val="single" w:sz="4" w:space="0" w:color="auto"/>
              <w:right w:val="single" w:sz="4" w:space="0" w:color="auto"/>
            </w:tcBorders>
            <w:shd w:val="clear" w:color="000000" w:fill="FFFFFF"/>
            <w:vAlign w:val="center"/>
            <w:hideMark/>
          </w:tcPr>
          <w:p w14:paraId="4CB79906"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5.586.515,44</w:t>
            </w:r>
          </w:p>
        </w:tc>
        <w:tc>
          <w:tcPr>
            <w:tcW w:w="1242" w:type="dxa"/>
            <w:tcBorders>
              <w:top w:val="nil"/>
              <w:left w:val="nil"/>
              <w:bottom w:val="single" w:sz="4" w:space="0" w:color="auto"/>
              <w:right w:val="single" w:sz="4" w:space="0" w:color="auto"/>
            </w:tcBorders>
            <w:shd w:val="clear" w:color="000000" w:fill="FFFFFF"/>
            <w:vAlign w:val="center"/>
            <w:hideMark/>
          </w:tcPr>
          <w:p w14:paraId="3A765744" w14:textId="418AD03F"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68FEAE9B" w14:textId="63D35758"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bună, se utilizează în activitatea entită</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ii</w:t>
            </w:r>
          </w:p>
        </w:tc>
        <w:tc>
          <w:tcPr>
            <w:tcW w:w="1378" w:type="dxa"/>
            <w:tcBorders>
              <w:top w:val="nil"/>
              <w:left w:val="nil"/>
              <w:bottom w:val="single" w:sz="4" w:space="0" w:color="auto"/>
              <w:right w:val="single" w:sz="8" w:space="0" w:color="auto"/>
            </w:tcBorders>
            <w:shd w:val="clear" w:color="000000" w:fill="FFFFFF"/>
            <w:noWrap/>
            <w:vAlign w:val="center"/>
            <w:hideMark/>
          </w:tcPr>
          <w:p w14:paraId="0D7D6786"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1.472.046,86</w:t>
            </w:r>
          </w:p>
        </w:tc>
      </w:tr>
      <w:tr w:rsidR="00D3471D" w:rsidRPr="00B13B9A" w14:paraId="5328A746"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591DF7D9"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28</w:t>
            </w:r>
          </w:p>
        </w:tc>
        <w:tc>
          <w:tcPr>
            <w:tcW w:w="2998" w:type="dxa"/>
            <w:tcBorders>
              <w:top w:val="nil"/>
              <w:left w:val="nil"/>
              <w:bottom w:val="single" w:sz="4" w:space="0" w:color="auto"/>
              <w:right w:val="single" w:sz="4" w:space="0" w:color="auto"/>
            </w:tcBorders>
            <w:shd w:val="clear" w:color="000000" w:fill="FFFFFF"/>
            <w:vAlign w:val="center"/>
            <w:hideMark/>
          </w:tcPr>
          <w:p w14:paraId="6DBA2DD3" w14:textId="189A1698"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Laboratorul Na</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 de Referin</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ă Chi</w:t>
            </w:r>
            <w:r w:rsidR="00B13B9A" w:rsidRPr="00B13B9A">
              <w:rPr>
                <w:rFonts w:asciiTheme="majorHAnsi" w:eastAsia="Times New Roman" w:hAnsiTheme="majorHAnsi" w:cstheme="majorHAnsi"/>
                <w:i/>
                <w:iCs/>
                <w:color w:val="000000"/>
                <w:sz w:val="20"/>
                <w:szCs w:val="20"/>
                <w:lang w:val="ro-MD"/>
              </w:rPr>
              <w:t>ș</w:t>
            </w:r>
            <w:r w:rsidRPr="00B13B9A">
              <w:rPr>
                <w:rFonts w:asciiTheme="majorHAnsi" w:eastAsia="Times New Roman" w:hAnsiTheme="majorHAnsi" w:cstheme="majorHAnsi"/>
                <w:i/>
                <w:iCs/>
                <w:color w:val="000000"/>
                <w:sz w:val="20"/>
                <w:szCs w:val="20"/>
                <w:lang w:val="ro-MD"/>
              </w:rPr>
              <w:t>inău 0100213541.01</w:t>
            </w:r>
          </w:p>
        </w:tc>
        <w:tc>
          <w:tcPr>
            <w:tcW w:w="1480" w:type="dxa"/>
            <w:tcBorders>
              <w:top w:val="nil"/>
              <w:left w:val="nil"/>
              <w:bottom w:val="single" w:sz="4" w:space="0" w:color="auto"/>
              <w:right w:val="single" w:sz="4" w:space="0" w:color="auto"/>
            </w:tcBorders>
            <w:shd w:val="clear" w:color="000000" w:fill="FFFFFF"/>
            <w:vAlign w:val="center"/>
            <w:hideMark/>
          </w:tcPr>
          <w:p w14:paraId="1A7CEA5F"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27.472.847,42</w:t>
            </w:r>
          </w:p>
        </w:tc>
        <w:tc>
          <w:tcPr>
            <w:tcW w:w="1242" w:type="dxa"/>
            <w:tcBorders>
              <w:top w:val="nil"/>
              <w:left w:val="nil"/>
              <w:bottom w:val="single" w:sz="4" w:space="0" w:color="auto"/>
              <w:right w:val="single" w:sz="4" w:space="0" w:color="auto"/>
            </w:tcBorders>
            <w:shd w:val="clear" w:color="000000" w:fill="FFFFFF"/>
            <w:vAlign w:val="center"/>
            <w:hideMark/>
          </w:tcPr>
          <w:p w14:paraId="4537F596" w14:textId="3C42A99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0ED54261" w14:textId="583A0D3C"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bună, se utilizează în activitatea entită</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ii pentru examinări de laborator</w:t>
            </w:r>
          </w:p>
        </w:tc>
        <w:tc>
          <w:tcPr>
            <w:tcW w:w="1378" w:type="dxa"/>
            <w:tcBorders>
              <w:top w:val="nil"/>
              <w:left w:val="nil"/>
              <w:bottom w:val="single" w:sz="4" w:space="0" w:color="auto"/>
              <w:right w:val="single" w:sz="8" w:space="0" w:color="auto"/>
            </w:tcBorders>
            <w:shd w:val="clear" w:color="000000" w:fill="FFFFFF"/>
            <w:noWrap/>
            <w:vAlign w:val="center"/>
            <w:hideMark/>
          </w:tcPr>
          <w:p w14:paraId="26603046"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12.248.000,34</w:t>
            </w:r>
          </w:p>
        </w:tc>
      </w:tr>
      <w:tr w:rsidR="00D3471D" w:rsidRPr="00B13B9A" w14:paraId="3E21630D"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59A60AF6"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29</w:t>
            </w:r>
          </w:p>
        </w:tc>
        <w:tc>
          <w:tcPr>
            <w:tcW w:w="2998" w:type="dxa"/>
            <w:tcBorders>
              <w:top w:val="nil"/>
              <w:left w:val="nil"/>
              <w:bottom w:val="single" w:sz="4" w:space="0" w:color="auto"/>
              <w:right w:val="single" w:sz="4" w:space="0" w:color="auto"/>
            </w:tcBorders>
            <w:shd w:val="clear" w:color="000000" w:fill="FFFFFF"/>
            <w:vAlign w:val="center"/>
            <w:hideMark/>
          </w:tcPr>
          <w:p w14:paraId="51FF53BC"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Laboratorul bacteriologic Vorniceni 8042208387.03</w:t>
            </w:r>
          </w:p>
        </w:tc>
        <w:tc>
          <w:tcPr>
            <w:tcW w:w="1480" w:type="dxa"/>
            <w:tcBorders>
              <w:top w:val="nil"/>
              <w:left w:val="nil"/>
              <w:bottom w:val="single" w:sz="4" w:space="0" w:color="auto"/>
              <w:right w:val="single" w:sz="4" w:space="0" w:color="auto"/>
            </w:tcBorders>
            <w:shd w:val="clear" w:color="000000" w:fill="FFFFFF"/>
            <w:vAlign w:val="center"/>
            <w:hideMark/>
          </w:tcPr>
          <w:p w14:paraId="4B3C415E"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4.334.143,00</w:t>
            </w:r>
          </w:p>
        </w:tc>
        <w:tc>
          <w:tcPr>
            <w:tcW w:w="1242" w:type="dxa"/>
            <w:tcBorders>
              <w:top w:val="nil"/>
              <w:left w:val="nil"/>
              <w:bottom w:val="single" w:sz="4" w:space="0" w:color="auto"/>
              <w:right w:val="single" w:sz="4" w:space="0" w:color="auto"/>
            </w:tcBorders>
            <w:shd w:val="clear" w:color="000000" w:fill="FFFFFF"/>
            <w:vAlign w:val="center"/>
            <w:hideMark/>
          </w:tcPr>
          <w:p w14:paraId="61A48678" w14:textId="036DD76D"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7FC782D4" w14:textId="03143D90"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 xml:space="preserve">Stare bună, se utilizează </w:t>
            </w:r>
            <w:r w:rsidR="00B13B9A" w:rsidRPr="00B13B9A">
              <w:rPr>
                <w:rFonts w:asciiTheme="majorHAnsi" w:eastAsia="Times New Roman" w:hAnsiTheme="majorHAnsi" w:cstheme="majorHAnsi"/>
                <w:i/>
                <w:iCs/>
                <w:color w:val="000000"/>
                <w:sz w:val="20"/>
                <w:szCs w:val="20"/>
                <w:lang w:val="ro-MD"/>
              </w:rPr>
              <w:t>ș</w:t>
            </w:r>
            <w:r w:rsidRPr="00B13B9A">
              <w:rPr>
                <w:rFonts w:asciiTheme="majorHAnsi" w:eastAsia="Times New Roman" w:hAnsiTheme="majorHAnsi" w:cstheme="majorHAnsi"/>
                <w:i/>
                <w:iCs/>
                <w:color w:val="000000"/>
                <w:sz w:val="20"/>
                <w:szCs w:val="20"/>
                <w:lang w:val="ro-MD"/>
              </w:rPr>
              <w:t>i include</w:t>
            </w:r>
            <w:r w:rsidR="00CD15BA" w:rsidRPr="00B13B9A">
              <w:rPr>
                <w:rFonts w:asciiTheme="majorHAnsi" w:eastAsia="Times New Roman" w:hAnsiTheme="majorHAnsi" w:cstheme="majorHAnsi"/>
                <w:i/>
                <w:iCs/>
                <w:color w:val="000000"/>
                <w:sz w:val="20"/>
                <w:szCs w:val="20"/>
                <w:lang w:val="ro-MD"/>
              </w:rPr>
              <w:t>:</w:t>
            </w:r>
            <w:r w:rsidRPr="00B13B9A">
              <w:rPr>
                <w:rFonts w:asciiTheme="majorHAnsi" w:eastAsia="Times New Roman" w:hAnsiTheme="majorHAnsi" w:cstheme="majorHAnsi"/>
                <w:i/>
                <w:iCs/>
                <w:color w:val="000000"/>
                <w:sz w:val="20"/>
                <w:szCs w:val="20"/>
                <w:lang w:val="ro-MD"/>
              </w:rPr>
              <w:t xml:space="preserve"> arhiva </w:t>
            </w:r>
            <w:r w:rsidR="00CD15BA" w:rsidRPr="00B13B9A">
              <w:rPr>
                <w:rFonts w:asciiTheme="majorHAnsi" w:eastAsia="Times New Roman" w:hAnsiTheme="majorHAnsi" w:cstheme="majorHAnsi"/>
                <w:i/>
                <w:iCs/>
                <w:color w:val="000000"/>
                <w:sz w:val="20"/>
                <w:szCs w:val="20"/>
                <w:lang w:val="ro-MD"/>
              </w:rPr>
              <w:t>(</w:t>
            </w:r>
            <w:r w:rsidRPr="00B13B9A">
              <w:rPr>
                <w:rFonts w:asciiTheme="majorHAnsi" w:eastAsia="Times New Roman" w:hAnsiTheme="majorHAnsi" w:cstheme="majorHAnsi"/>
                <w:i/>
                <w:iCs/>
                <w:color w:val="000000"/>
                <w:sz w:val="20"/>
                <w:szCs w:val="20"/>
                <w:lang w:val="ro-MD"/>
              </w:rPr>
              <w:t>etajul 3</w:t>
            </w:r>
            <w:r w:rsidR="00CD15BA" w:rsidRPr="00B13B9A">
              <w:rPr>
                <w:rFonts w:asciiTheme="majorHAnsi" w:eastAsia="Times New Roman" w:hAnsiTheme="majorHAnsi" w:cstheme="majorHAnsi"/>
                <w:i/>
                <w:iCs/>
                <w:color w:val="000000"/>
                <w:sz w:val="20"/>
                <w:szCs w:val="20"/>
                <w:lang w:val="ro-MD"/>
              </w:rPr>
              <w:t>)</w:t>
            </w:r>
            <w:r w:rsidRPr="00B13B9A">
              <w:rPr>
                <w:rFonts w:asciiTheme="majorHAnsi" w:eastAsia="Times New Roman" w:hAnsiTheme="majorHAnsi" w:cstheme="majorHAnsi"/>
                <w:i/>
                <w:iCs/>
                <w:color w:val="000000"/>
                <w:sz w:val="20"/>
                <w:szCs w:val="20"/>
                <w:lang w:val="ro-MD"/>
              </w:rPr>
              <w:t xml:space="preserve">, laboratorul </w:t>
            </w:r>
            <w:r w:rsidR="00CD15BA" w:rsidRPr="00B13B9A">
              <w:rPr>
                <w:rFonts w:asciiTheme="majorHAnsi" w:eastAsia="Times New Roman" w:hAnsiTheme="majorHAnsi" w:cstheme="majorHAnsi"/>
                <w:i/>
                <w:iCs/>
                <w:color w:val="000000"/>
                <w:sz w:val="20"/>
                <w:szCs w:val="20"/>
                <w:lang w:val="ro-MD"/>
              </w:rPr>
              <w:t>(</w:t>
            </w:r>
            <w:r w:rsidRPr="00B13B9A">
              <w:rPr>
                <w:rFonts w:asciiTheme="majorHAnsi" w:eastAsia="Times New Roman" w:hAnsiTheme="majorHAnsi" w:cstheme="majorHAnsi"/>
                <w:i/>
                <w:iCs/>
                <w:color w:val="000000"/>
                <w:sz w:val="20"/>
                <w:szCs w:val="20"/>
                <w:lang w:val="ro-MD"/>
              </w:rPr>
              <w:t>etajul 2</w:t>
            </w:r>
            <w:r w:rsidR="00CD15BA" w:rsidRPr="00B13B9A">
              <w:rPr>
                <w:rFonts w:asciiTheme="majorHAnsi" w:eastAsia="Times New Roman" w:hAnsiTheme="majorHAnsi" w:cstheme="majorHAnsi"/>
                <w:i/>
                <w:iCs/>
                <w:color w:val="000000"/>
                <w:sz w:val="20"/>
                <w:szCs w:val="20"/>
                <w:lang w:val="ro-MD"/>
              </w:rPr>
              <w:t>)</w:t>
            </w:r>
            <w:r w:rsidRPr="00B13B9A">
              <w:rPr>
                <w:rFonts w:asciiTheme="majorHAnsi" w:eastAsia="Times New Roman" w:hAnsiTheme="majorHAnsi" w:cstheme="majorHAnsi"/>
                <w:i/>
                <w:iCs/>
                <w:color w:val="000000"/>
                <w:sz w:val="20"/>
                <w:szCs w:val="20"/>
                <w:lang w:val="ro-MD"/>
              </w:rPr>
              <w:t xml:space="preserve"> </w:t>
            </w:r>
            <w:r w:rsidR="00B13B9A" w:rsidRPr="00B13B9A">
              <w:rPr>
                <w:rFonts w:asciiTheme="majorHAnsi" w:eastAsia="Times New Roman" w:hAnsiTheme="majorHAnsi" w:cstheme="majorHAnsi"/>
                <w:i/>
                <w:iCs/>
                <w:color w:val="000000"/>
                <w:sz w:val="20"/>
                <w:szCs w:val="20"/>
                <w:lang w:val="ro-MD"/>
              </w:rPr>
              <w:t>ș</w:t>
            </w:r>
            <w:r w:rsidRPr="00B13B9A">
              <w:rPr>
                <w:rFonts w:asciiTheme="majorHAnsi" w:eastAsia="Times New Roman" w:hAnsiTheme="majorHAnsi" w:cstheme="majorHAnsi"/>
                <w:i/>
                <w:iCs/>
                <w:color w:val="000000"/>
                <w:sz w:val="20"/>
                <w:szCs w:val="20"/>
                <w:lang w:val="ro-MD"/>
              </w:rPr>
              <w:t xml:space="preserve">i farmacia </w:t>
            </w:r>
            <w:r w:rsidR="00CD15BA" w:rsidRPr="00B13B9A">
              <w:rPr>
                <w:rFonts w:asciiTheme="majorHAnsi" w:eastAsia="Times New Roman" w:hAnsiTheme="majorHAnsi" w:cstheme="majorHAnsi"/>
                <w:i/>
                <w:iCs/>
                <w:color w:val="000000"/>
                <w:sz w:val="20"/>
                <w:szCs w:val="20"/>
                <w:lang w:val="ro-MD"/>
              </w:rPr>
              <w:t>(</w:t>
            </w:r>
            <w:r w:rsidRPr="00B13B9A">
              <w:rPr>
                <w:rFonts w:asciiTheme="majorHAnsi" w:eastAsia="Times New Roman" w:hAnsiTheme="majorHAnsi" w:cstheme="majorHAnsi"/>
                <w:i/>
                <w:iCs/>
                <w:color w:val="000000"/>
                <w:sz w:val="20"/>
                <w:szCs w:val="20"/>
                <w:lang w:val="ro-MD"/>
              </w:rPr>
              <w:t>etajul 1</w:t>
            </w:r>
            <w:r w:rsidR="00CD15BA" w:rsidRPr="00B13B9A">
              <w:rPr>
                <w:rFonts w:asciiTheme="majorHAnsi" w:eastAsia="Times New Roman" w:hAnsiTheme="majorHAnsi" w:cstheme="majorHAnsi"/>
                <w:i/>
                <w:iCs/>
                <w:color w:val="000000"/>
                <w:sz w:val="20"/>
                <w:szCs w:val="20"/>
                <w:lang w:val="ro-MD"/>
              </w:rPr>
              <w:t>)</w:t>
            </w:r>
          </w:p>
        </w:tc>
        <w:tc>
          <w:tcPr>
            <w:tcW w:w="1378" w:type="dxa"/>
            <w:tcBorders>
              <w:top w:val="nil"/>
              <w:left w:val="nil"/>
              <w:bottom w:val="single" w:sz="4" w:space="0" w:color="auto"/>
              <w:right w:val="single" w:sz="8" w:space="0" w:color="auto"/>
            </w:tcBorders>
            <w:shd w:val="clear" w:color="000000" w:fill="FFFFFF"/>
            <w:noWrap/>
            <w:vAlign w:val="center"/>
            <w:hideMark/>
          </w:tcPr>
          <w:p w14:paraId="23F30C08"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1.887.519,24</w:t>
            </w:r>
          </w:p>
        </w:tc>
      </w:tr>
      <w:tr w:rsidR="00D3471D" w:rsidRPr="00B13B9A" w14:paraId="5E1FC9CF"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21E1C2E4"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30</w:t>
            </w:r>
          </w:p>
        </w:tc>
        <w:tc>
          <w:tcPr>
            <w:tcW w:w="2998" w:type="dxa"/>
            <w:tcBorders>
              <w:top w:val="nil"/>
              <w:left w:val="nil"/>
              <w:bottom w:val="single" w:sz="4" w:space="0" w:color="auto"/>
              <w:right w:val="single" w:sz="4" w:space="0" w:color="auto"/>
            </w:tcBorders>
            <w:shd w:val="clear" w:color="000000" w:fill="FFFFFF"/>
            <w:vAlign w:val="center"/>
            <w:hideMark/>
          </w:tcPr>
          <w:p w14:paraId="6CFE5E25"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Laboratorul microbiologic Vorniceni 8042208387.04</w:t>
            </w:r>
          </w:p>
        </w:tc>
        <w:tc>
          <w:tcPr>
            <w:tcW w:w="1480" w:type="dxa"/>
            <w:tcBorders>
              <w:top w:val="nil"/>
              <w:left w:val="nil"/>
              <w:bottom w:val="single" w:sz="4" w:space="0" w:color="auto"/>
              <w:right w:val="single" w:sz="4" w:space="0" w:color="auto"/>
            </w:tcBorders>
            <w:shd w:val="clear" w:color="000000" w:fill="FFFFFF"/>
            <w:vAlign w:val="center"/>
            <w:hideMark/>
          </w:tcPr>
          <w:p w14:paraId="756EAFEB"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169.565,00</w:t>
            </w:r>
          </w:p>
        </w:tc>
        <w:tc>
          <w:tcPr>
            <w:tcW w:w="1242" w:type="dxa"/>
            <w:tcBorders>
              <w:top w:val="nil"/>
              <w:left w:val="nil"/>
              <w:bottom w:val="single" w:sz="4" w:space="0" w:color="auto"/>
              <w:right w:val="single" w:sz="4" w:space="0" w:color="auto"/>
            </w:tcBorders>
            <w:shd w:val="clear" w:color="000000" w:fill="FFFFFF"/>
            <w:vAlign w:val="center"/>
            <w:hideMark/>
          </w:tcPr>
          <w:p w14:paraId="325FBB97" w14:textId="765DB966"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Nefunc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1DAC5504"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deplorabilă, învechit, nu se utilizează de foarte mult timp, spre demolare, valoarea lucrărilor de demolare constituie 152.310,28 lei</w:t>
            </w:r>
          </w:p>
        </w:tc>
        <w:tc>
          <w:tcPr>
            <w:tcW w:w="1378" w:type="dxa"/>
            <w:tcBorders>
              <w:top w:val="nil"/>
              <w:left w:val="nil"/>
              <w:bottom w:val="single" w:sz="4" w:space="0" w:color="auto"/>
              <w:right w:val="single" w:sz="8" w:space="0" w:color="auto"/>
            </w:tcBorders>
            <w:shd w:val="clear" w:color="000000" w:fill="FFFFFF"/>
            <w:noWrap/>
            <w:vAlign w:val="center"/>
            <w:hideMark/>
          </w:tcPr>
          <w:p w14:paraId="77464707"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14.328,37</w:t>
            </w:r>
          </w:p>
        </w:tc>
      </w:tr>
      <w:tr w:rsidR="00D3471D" w:rsidRPr="00B13B9A" w14:paraId="4E51ED88"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048DE431"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31</w:t>
            </w:r>
          </w:p>
        </w:tc>
        <w:tc>
          <w:tcPr>
            <w:tcW w:w="2998" w:type="dxa"/>
            <w:tcBorders>
              <w:top w:val="nil"/>
              <w:left w:val="nil"/>
              <w:bottom w:val="single" w:sz="4" w:space="0" w:color="auto"/>
              <w:right w:val="single" w:sz="4" w:space="0" w:color="auto"/>
            </w:tcBorders>
            <w:shd w:val="clear" w:color="000000" w:fill="FFFFFF"/>
            <w:vAlign w:val="center"/>
            <w:hideMark/>
          </w:tcPr>
          <w:p w14:paraId="5277E50C"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Lemnărie Vorniceni 8042208387.25</w:t>
            </w:r>
          </w:p>
        </w:tc>
        <w:tc>
          <w:tcPr>
            <w:tcW w:w="1480" w:type="dxa"/>
            <w:tcBorders>
              <w:top w:val="nil"/>
              <w:left w:val="nil"/>
              <w:bottom w:val="single" w:sz="4" w:space="0" w:color="auto"/>
              <w:right w:val="single" w:sz="4" w:space="0" w:color="auto"/>
            </w:tcBorders>
            <w:shd w:val="clear" w:color="000000" w:fill="FFFFFF"/>
            <w:vAlign w:val="center"/>
            <w:hideMark/>
          </w:tcPr>
          <w:p w14:paraId="5C9ACE81"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49.435,00</w:t>
            </w:r>
          </w:p>
        </w:tc>
        <w:tc>
          <w:tcPr>
            <w:tcW w:w="1242" w:type="dxa"/>
            <w:tcBorders>
              <w:top w:val="nil"/>
              <w:left w:val="nil"/>
              <w:bottom w:val="single" w:sz="4" w:space="0" w:color="auto"/>
              <w:right w:val="single" w:sz="4" w:space="0" w:color="auto"/>
            </w:tcBorders>
            <w:shd w:val="clear" w:color="000000" w:fill="FFFFFF"/>
            <w:vAlign w:val="center"/>
            <w:hideMark/>
          </w:tcPr>
          <w:p w14:paraId="39F12034" w14:textId="4D985028"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Nefunc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726D2F99" w14:textId="732EDC41"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deplorabilă, învechit, pere</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ii crăpa</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 spre demolare, valoarea lucrărilor de demolare constituie 32.631,63 lei</w:t>
            </w:r>
          </w:p>
        </w:tc>
        <w:tc>
          <w:tcPr>
            <w:tcW w:w="1378" w:type="dxa"/>
            <w:tcBorders>
              <w:top w:val="nil"/>
              <w:left w:val="nil"/>
              <w:bottom w:val="single" w:sz="4" w:space="0" w:color="auto"/>
              <w:right w:val="single" w:sz="8" w:space="0" w:color="auto"/>
            </w:tcBorders>
            <w:shd w:val="clear" w:color="000000" w:fill="FFFFFF"/>
            <w:noWrap/>
            <w:vAlign w:val="center"/>
            <w:hideMark/>
          </w:tcPr>
          <w:p w14:paraId="61C7F013"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49.435,00</w:t>
            </w:r>
          </w:p>
        </w:tc>
      </w:tr>
      <w:tr w:rsidR="00D3471D" w:rsidRPr="00B13B9A" w14:paraId="7FB817CE"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38125213"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32</w:t>
            </w:r>
          </w:p>
        </w:tc>
        <w:tc>
          <w:tcPr>
            <w:tcW w:w="2998" w:type="dxa"/>
            <w:tcBorders>
              <w:top w:val="nil"/>
              <w:left w:val="nil"/>
              <w:bottom w:val="single" w:sz="4" w:space="0" w:color="auto"/>
              <w:right w:val="single" w:sz="4" w:space="0" w:color="auto"/>
            </w:tcBorders>
            <w:shd w:val="clear" w:color="000000" w:fill="FFFFFF"/>
            <w:vAlign w:val="center"/>
            <w:hideMark/>
          </w:tcPr>
          <w:p w14:paraId="31E36A4F"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Rezervor de apa Vorniceni 8042208387.33</w:t>
            </w:r>
          </w:p>
        </w:tc>
        <w:tc>
          <w:tcPr>
            <w:tcW w:w="1480" w:type="dxa"/>
            <w:tcBorders>
              <w:top w:val="nil"/>
              <w:left w:val="nil"/>
              <w:bottom w:val="single" w:sz="4" w:space="0" w:color="auto"/>
              <w:right w:val="single" w:sz="4" w:space="0" w:color="auto"/>
            </w:tcBorders>
            <w:shd w:val="clear" w:color="000000" w:fill="FFFFFF"/>
            <w:vAlign w:val="center"/>
            <w:hideMark/>
          </w:tcPr>
          <w:p w14:paraId="7C723682"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45.694,41</w:t>
            </w:r>
          </w:p>
        </w:tc>
        <w:tc>
          <w:tcPr>
            <w:tcW w:w="1242" w:type="dxa"/>
            <w:tcBorders>
              <w:top w:val="nil"/>
              <w:left w:val="nil"/>
              <w:bottom w:val="single" w:sz="4" w:space="0" w:color="auto"/>
              <w:right w:val="single" w:sz="4" w:space="0" w:color="auto"/>
            </w:tcBorders>
            <w:shd w:val="clear" w:color="000000" w:fill="FFFFFF"/>
            <w:vAlign w:val="center"/>
            <w:hideMark/>
          </w:tcPr>
          <w:p w14:paraId="44A202F3" w14:textId="7E4EED1F"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16580982"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 </w:t>
            </w:r>
          </w:p>
        </w:tc>
        <w:tc>
          <w:tcPr>
            <w:tcW w:w="1378" w:type="dxa"/>
            <w:tcBorders>
              <w:top w:val="nil"/>
              <w:left w:val="nil"/>
              <w:bottom w:val="single" w:sz="4" w:space="0" w:color="auto"/>
              <w:right w:val="single" w:sz="8" w:space="0" w:color="auto"/>
            </w:tcBorders>
            <w:shd w:val="clear" w:color="000000" w:fill="FFFFFF"/>
            <w:noWrap/>
            <w:vAlign w:val="center"/>
            <w:hideMark/>
          </w:tcPr>
          <w:p w14:paraId="4A7182EA"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34.613,58</w:t>
            </w:r>
          </w:p>
        </w:tc>
      </w:tr>
      <w:tr w:rsidR="00D3471D" w:rsidRPr="00B13B9A" w14:paraId="3E890B7A"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54764101"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33</w:t>
            </w:r>
          </w:p>
        </w:tc>
        <w:tc>
          <w:tcPr>
            <w:tcW w:w="2998" w:type="dxa"/>
            <w:tcBorders>
              <w:top w:val="nil"/>
              <w:left w:val="nil"/>
              <w:bottom w:val="single" w:sz="4" w:space="0" w:color="auto"/>
              <w:right w:val="single" w:sz="4" w:space="0" w:color="auto"/>
            </w:tcBorders>
            <w:shd w:val="clear" w:color="000000" w:fill="FFFFFF"/>
            <w:vAlign w:val="center"/>
            <w:hideMark/>
          </w:tcPr>
          <w:p w14:paraId="57A8B747"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Sarai 8042208387.31</w:t>
            </w:r>
          </w:p>
        </w:tc>
        <w:tc>
          <w:tcPr>
            <w:tcW w:w="1480" w:type="dxa"/>
            <w:tcBorders>
              <w:top w:val="nil"/>
              <w:left w:val="nil"/>
              <w:bottom w:val="single" w:sz="4" w:space="0" w:color="auto"/>
              <w:right w:val="single" w:sz="4" w:space="0" w:color="auto"/>
            </w:tcBorders>
            <w:shd w:val="clear" w:color="000000" w:fill="FFFFFF"/>
            <w:vAlign w:val="center"/>
            <w:hideMark/>
          </w:tcPr>
          <w:p w14:paraId="7E8BF88E"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12.178,80</w:t>
            </w:r>
          </w:p>
        </w:tc>
        <w:tc>
          <w:tcPr>
            <w:tcW w:w="1242" w:type="dxa"/>
            <w:tcBorders>
              <w:top w:val="nil"/>
              <w:left w:val="nil"/>
              <w:bottom w:val="single" w:sz="4" w:space="0" w:color="auto"/>
              <w:right w:val="single" w:sz="4" w:space="0" w:color="auto"/>
            </w:tcBorders>
            <w:shd w:val="clear" w:color="000000" w:fill="FFFFFF"/>
            <w:vAlign w:val="center"/>
            <w:hideMark/>
          </w:tcPr>
          <w:p w14:paraId="5ACB50A7" w14:textId="5183DDBC"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Nefunc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44E1F441"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deplorabilă, învechit, spre demolare</w:t>
            </w:r>
          </w:p>
        </w:tc>
        <w:tc>
          <w:tcPr>
            <w:tcW w:w="1378" w:type="dxa"/>
            <w:tcBorders>
              <w:top w:val="nil"/>
              <w:left w:val="nil"/>
              <w:bottom w:val="single" w:sz="4" w:space="0" w:color="auto"/>
              <w:right w:val="single" w:sz="8" w:space="0" w:color="auto"/>
            </w:tcBorders>
            <w:shd w:val="clear" w:color="000000" w:fill="FFFFFF"/>
            <w:noWrap/>
            <w:vAlign w:val="center"/>
            <w:hideMark/>
          </w:tcPr>
          <w:p w14:paraId="2B64366F"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8.443,64</w:t>
            </w:r>
          </w:p>
        </w:tc>
      </w:tr>
      <w:tr w:rsidR="00D3471D" w:rsidRPr="00B13B9A" w14:paraId="2141E400"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2A8A2847"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34</w:t>
            </w:r>
          </w:p>
        </w:tc>
        <w:tc>
          <w:tcPr>
            <w:tcW w:w="2998" w:type="dxa"/>
            <w:tcBorders>
              <w:top w:val="nil"/>
              <w:left w:val="nil"/>
              <w:bottom w:val="single" w:sz="4" w:space="0" w:color="auto"/>
              <w:right w:val="single" w:sz="4" w:space="0" w:color="auto"/>
            </w:tcBorders>
            <w:shd w:val="clear" w:color="000000" w:fill="FFFFFF"/>
            <w:vAlign w:val="center"/>
            <w:hideMark/>
          </w:tcPr>
          <w:p w14:paraId="11380749"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Spălătoria Vorniceni 8042208387.18</w:t>
            </w:r>
          </w:p>
        </w:tc>
        <w:tc>
          <w:tcPr>
            <w:tcW w:w="1480" w:type="dxa"/>
            <w:tcBorders>
              <w:top w:val="nil"/>
              <w:left w:val="nil"/>
              <w:bottom w:val="single" w:sz="4" w:space="0" w:color="auto"/>
              <w:right w:val="single" w:sz="4" w:space="0" w:color="auto"/>
            </w:tcBorders>
            <w:shd w:val="clear" w:color="000000" w:fill="FFFFFF"/>
            <w:vAlign w:val="center"/>
            <w:hideMark/>
          </w:tcPr>
          <w:p w14:paraId="2D7C26AE"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2.969.278,87</w:t>
            </w:r>
          </w:p>
        </w:tc>
        <w:tc>
          <w:tcPr>
            <w:tcW w:w="1242" w:type="dxa"/>
            <w:tcBorders>
              <w:top w:val="nil"/>
              <w:left w:val="nil"/>
              <w:bottom w:val="single" w:sz="4" w:space="0" w:color="auto"/>
              <w:right w:val="single" w:sz="4" w:space="0" w:color="auto"/>
            </w:tcBorders>
            <w:shd w:val="clear" w:color="000000" w:fill="FFFFFF"/>
            <w:vAlign w:val="center"/>
            <w:hideMark/>
          </w:tcPr>
          <w:p w14:paraId="0EE4ACAB" w14:textId="4EC2558C"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75C0CC39" w14:textId="3916A4FB"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bună, se utilizează în activitatea entită</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ii de zi cu zi</w:t>
            </w:r>
          </w:p>
        </w:tc>
        <w:tc>
          <w:tcPr>
            <w:tcW w:w="1378" w:type="dxa"/>
            <w:tcBorders>
              <w:top w:val="nil"/>
              <w:left w:val="nil"/>
              <w:bottom w:val="single" w:sz="4" w:space="0" w:color="auto"/>
              <w:right w:val="single" w:sz="8" w:space="0" w:color="auto"/>
            </w:tcBorders>
            <w:shd w:val="clear" w:color="000000" w:fill="FFFFFF"/>
            <w:noWrap/>
            <w:vAlign w:val="center"/>
            <w:hideMark/>
          </w:tcPr>
          <w:p w14:paraId="00679814"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521.108,54</w:t>
            </w:r>
          </w:p>
        </w:tc>
      </w:tr>
      <w:tr w:rsidR="00D3471D" w:rsidRPr="00B13B9A" w14:paraId="28994B52"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77D49855"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35</w:t>
            </w:r>
          </w:p>
        </w:tc>
        <w:tc>
          <w:tcPr>
            <w:tcW w:w="2998" w:type="dxa"/>
            <w:tcBorders>
              <w:top w:val="nil"/>
              <w:left w:val="nil"/>
              <w:bottom w:val="single" w:sz="4" w:space="0" w:color="auto"/>
              <w:right w:val="single" w:sz="4" w:space="0" w:color="auto"/>
            </w:tcBorders>
            <w:shd w:val="clear" w:color="000000" w:fill="FFFFFF"/>
            <w:vAlign w:val="center"/>
            <w:hideMark/>
          </w:tcPr>
          <w:p w14:paraId="31E4F648" w14:textId="5ED0E365"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ie de epurare Vorniceni 8042208387.32</w:t>
            </w:r>
          </w:p>
        </w:tc>
        <w:tc>
          <w:tcPr>
            <w:tcW w:w="1480" w:type="dxa"/>
            <w:tcBorders>
              <w:top w:val="nil"/>
              <w:left w:val="nil"/>
              <w:bottom w:val="single" w:sz="4" w:space="0" w:color="auto"/>
              <w:right w:val="single" w:sz="4" w:space="0" w:color="auto"/>
            </w:tcBorders>
            <w:shd w:val="clear" w:color="000000" w:fill="FFFFFF"/>
            <w:vAlign w:val="center"/>
            <w:hideMark/>
          </w:tcPr>
          <w:p w14:paraId="37C8F64F"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6.793.348,33</w:t>
            </w:r>
          </w:p>
        </w:tc>
        <w:tc>
          <w:tcPr>
            <w:tcW w:w="1242" w:type="dxa"/>
            <w:tcBorders>
              <w:top w:val="nil"/>
              <w:left w:val="nil"/>
              <w:bottom w:val="single" w:sz="4" w:space="0" w:color="auto"/>
              <w:right w:val="single" w:sz="4" w:space="0" w:color="auto"/>
            </w:tcBorders>
            <w:shd w:val="clear" w:color="000000" w:fill="FFFFFF"/>
            <w:vAlign w:val="center"/>
            <w:hideMark/>
          </w:tcPr>
          <w:p w14:paraId="339DF97C" w14:textId="24A5BF0D"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4E78DA25" w14:textId="444737A2"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bună, se utilizează în activitatea entită</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ii de zi cu zi</w:t>
            </w:r>
          </w:p>
        </w:tc>
        <w:tc>
          <w:tcPr>
            <w:tcW w:w="1378" w:type="dxa"/>
            <w:tcBorders>
              <w:top w:val="nil"/>
              <w:left w:val="nil"/>
              <w:bottom w:val="single" w:sz="4" w:space="0" w:color="auto"/>
              <w:right w:val="single" w:sz="8" w:space="0" w:color="auto"/>
            </w:tcBorders>
            <w:shd w:val="clear" w:color="000000" w:fill="FFFFFF"/>
            <w:noWrap/>
            <w:vAlign w:val="center"/>
            <w:hideMark/>
          </w:tcPr>
          <w:p w14:paraId="0D559DF4"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684.038,85</w:t>
            </w:r>
          </w:p>
        </w:tc>
      </w:tr>
      <w:tr w:rsidR="00D3471D" w:rsidRPr="00B13B9A" w14:paraId="50D78CB6"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1BEB4CAD"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36</w:t>
            </w:r>
          </w:p>
        </w:tc>
        <w:tc>
          <w:tcPr>
            <w:tcW w:w="2998" w:type="dxa"/>
            <w:tcBorders>
              <w:top w:val="nil"/>
              <w:left w:val="nil"/>
              <w:bottom w:val="single" w:sz="4" w:space="0" w:color="auto"/>
              <w:right w:val="single" w:sz="4" w:space="0" w:color="auto"/>
            </w:tcBorders>
            <w:shd w:val="clear" w:color="000000" w:fill="FFFFFF"/>
            <w:vAlign w:val="center"/>
            <w:hideMark/>
          </w:tcPr>
          <w:p w14:paraId="2CE9520E" w14:textId="357B695C"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ie de transformatoare Vorniceni 8042208387.02</w:t>
            </w:r>
          </w:p>
        </w:tc>
        <w:tc>
          <w:tcPr>
            <w:tcW w:w="1480" w:type="dxa"/>
            <w:tcBorders>
              <w:top w:val="nil"/>
              <w:left w:val="nil"/>
              <w:bottom w:val="single" w:sz="4" w:space="0" w:color="auto"/>
              <w:right w:val="single" w:sz="4" w:space="0" w:color="auto"/>
            </w:tcBorders>
            <w:shd w:val="clear" w:color="000000" w:fill="FFFFFF"/>
            <w:vAlign w:val="center"/>
            <w:hideMark/>
          </w:tcPr>
          <w:p w14:paraId="0DFDA853"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43.916,00</w:t>
            </w:r>
          </w:p>
        </w:tc>
        <w:tc>
          <w:tcPr>
            <w:tcW w:w="1242" w:type="dxa"/>
            <w:tcBorders>
              <w:top w:val="nil"/>
              <w:left w:val="nil"/>
              <w:bottom w:val="single" w:sz="4" w:space="0" w:color="auto"/>
              <w:right w:val="single" w:sz="4" w:space="0" w:color="auto"/>
            </w:tcBorders>
            <w:shd w:val="clear" w:color="000000" w:fill="FFFFFF"/>
            <w:vAlign w:val="center"/>
            <w:hideMark/>
          </w:tcPr>
          <w:p w14:paraId="572F2555" w14:textId="55DFAC5C"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Nefunc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46B81C06"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deplorabilă, învechit</w:t>
            </w:r>
          </w:p>
        </w:tc>
        <w:tc>
          <w:tcPr>
            <w:tcW w:w="1378" w:type="dxa"/>
            <w:tcBorders>
              <w:top w:val="nil"/>
              <w:left w:val="nil"/>
              <w:bottom w:val="single" w:sz="4" w:space="0" w:color="auto"/>
              <w:right w:val="single" w:sz="8" w:space="0" w:color="auto"/>
            </w:tcBorders>
            <w:shd w:val="clear" w:color="000000" w:fill="FFFFFF"/>
            <w:noWrap/>
            <w:vAlign w:val="center"/>
            <w:hideMark/>
          </w:tcPr>
          <w:p w14:paraId="2017EC78"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31.019,57</w:t>
            </w:r>
          </w:p>
        </w:tc>
      </w:tr>
      <w:tr w:rsidR="00D3471D" w:rsidRPr="00B13B9A" w14:paraId="17B2CD4D" w14:textId="77777777" w:rsidTr="002B7B86">
        <w:trPr>
          <w:trHeight w:val="20"/>
        </w:trPr>
        <w:tc>
          <w:tcPr>
            <w:tcW w:w="547" w:type="dxa"/>
            <w:tcBorders>
              <w:top w:val="nil"/>
              <w:left w:val="single" w:sz="8" w:space="0" w:color="auto"/>
              <w:bottom w:val="single" w:sz="8" w:space="0" w:color="auto"/>
              <w:right w:val="single" w:sz="4" w:space="0" w:color="auto"/>
            </w:tcBorders>
            <w:shd w:val="clear" w:color="000000" w:fill="FFFFFF"/>
            <w:noWrap/>
            <w:vAlign w:val="center"/>
            <w:hideMark/>
          </w:tcPr>
          <w:p w14:paraId="783E0924"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37</w:t>
            </w:r>
          </w:p>
        </w:tc>
        <w:tc>
          <w:tcPr>
            <w:tcW w:w="2998" w:type="dxa"/>
            <w:tcBorders>
              <w:top w:val="nil"/>
              <w:left w:val="nil"/>
              <w:bottom w:val="single" w:sz="8" w:space="0" w:color="auto"/>
              <w:right w:val="single" w:sz="4" w:space="0" w:color="auto"/>
            </w:tcBorders>
            <w:shd w:val="clear" w:color="000000" w:fill="FFFFFF"/>
            <w:vAlign w:val="center"/>
            <w:hideMark/>
          </w:tcPr>
          <w:p w14:paraId="7EF1A0E9" w14:textId="4D75BDA5"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ionar pansionat 240 locuri  0100213274.01</w:t>
            </w:r>
          </w:p>
        </w:tc>
        <w:tc>
          <w:tcPr>
            <w:tcW w:w="1480" w:type="dxa"/>
            <w:tcBorders>
              <w:top w:val="nil"/>
              <w:left w:val="nil"/>
              <w:bottom w:val="single" w:sz="8" w:space="0" w:color="auto"/>
              <w:right w:val="single" w:sz="4" w:space="0" w:color="auto"/>
            </w:tcBorders>
            <w:shd w:val="clear" w:color="000000" w:fill="FFFFFF"/>
            <w:vAlign w:val="center"/>
            <w:hideMark/>
          </w:tcPr>
          <w:p w14:paraId="16B70E26"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19.684.071,04</w:t>
            </w:r>
          </w:p>
        </w:tc>
        <w:tc>
          <w:tcPr>
            <w:tcW w:w="1242" w:type="dxa"/>
            <w:tcBorders>
              <w:top w:val="nil"/>
              <w:left w:val="nil"/>
              <w:bottom w:val="single" w:sz="8" w:space="0" w:color="auto"/>
              <w:right w:val="single" w:sz="4" w:space="0" w:color="auto"/>
            </w:tcBorders>
            <w:shd w:val="clear" w:color="000000" w:fill="FFFFFF"/>
            <w:vAlign w:val="center"/>
            <w:hideMark/>
          </w:tcPr>
          <w:p w14:paraId="07A672E4" w14:textId="4E300FB0"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8" w:space="0" w:color="auto"/>
              <w:right w:val="single" w:sz="4" w:space="0" w:color="auto"/>
            </w:tcBorders>
            <w:shd w:val="clear" w:color="000000" w:fill="FFFFFF"/>
            <w:vAlign w:val="center"/>
            <w:hideMark/>
          </w:tcPr>
          <w:p w14:paraId="17925951" w14:textId="5930D12A"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bună, se utilizează pentru tratarea pacien</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ilor</w:t>
            </w:r>
            <w:r w:rsidR="00CD15BA" w:rsidRPr="00B13B9A">
              <w:rPr>
                <w:rFonts w:asciiTheme="majorHAnsi" w:eastAsia="Times New Roman" w:hAnsiTheme="majorHAnsi" w:cstheme="majorHAnsi"/>
                <w:i/>
                <w:iCs/>
                <w:color w:val="000000"/>
                <w:sz w:val="20"/>
                <w:szCs w:val="20"/>
                <w:lang w:val="ro-MD"/>
              </w:rPr>
              <w:t>,</w:t>
            </w:r>
            <w:r w:rsidRPr="00B13B9A">
              <w:rPr>
                <w:rFonts w:asciiTheme="majorHAnsi" w:eastAsia="Times New Roman" w:hAnsiTheme="majorHAnsi" w:cstheme="majorHAnsi"/>
                <w:i/>
                <w:iCs/>
                <w:color w:val="000000"/>
                <w:sz w:val="20"/>
                <w:szCs w:val="20"/>
                <w:lang w:val="ro-MD"/>
              </w:rPr>
              <w:t xml:space="preserve"> cu o disponibilitate de 240 paturi</w:t>
            </w:r>
          </w:p>
        </w:tc>
        <w:tc>
          <w:tcPr>
            <w:tcW w:w="1378" w:type="dxa"/>
            <w:tcBorders>
              <w:top w:val="nil"/>
              <w:left w:val="nil"/>
              <w:bottom w:val="single" w:sz="8" w:space="0" w:color="auto"/>
              <w:right w:val="single" w:sz="8" w:space="0" w:color="auto"/>
            </w:tcBorders>
            <w:shd w:val="clear" w:color="000000" w:fill="FFFFFF"/>
            <w:noWrap/>
            <w:vAlign w:val="center"/>
            <w:hideMark/>
          </w:tcPr>
          <w:p w14:paraId="64792CA6"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7.871.722,00</w:t>
            </w:r>
          </w:p>
        </w:tc>
      </w:tr>
      <w:tr w:rsidR="00D3471D" w:rsidRPr="00B13B9A" w14:paraId="0B3A42AF" w14:textId="77777777" w:rsidTr="002B7B86">
        <w:trPr>
          <w:trHeight w:val="20"/>
        </w:trPr>
        <w:tc>
          <w:tcPr>
            <w:tcW w:w="547" w:type="dxa"/>
            <w:tcBorders>
              <w:top w:val="nil"/>
              <w:left w:val="single" w:sz="8" w:space="0" w:color="auto"/>
              <w:bottom w:val="single" w:sz="8" w:space="0" w:color="auto"/>
              <w:right w:val="nil"/>
            </w:tcBorders>
            <w:shd w:val="clear" w:color="000000" w:fill="FFFFFF"/>
            <w:noWrap/>
            <w:vAlign w:val="center"/>
            <w:hideMark/>
          </w:tcPr>
          <w:p w14:paraId="417AB327" w14:textId="77777777" w:rsidR="00D3471D" w:rsidRPr="00B13B9A" w:rsidRDefault="00D3471D" w:rsidP="00332FF7">
            <w:pPr>
              <w:spacing w:after="0" w:line="240" w:lineRule="auto"/>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 </w:t>
            </w:r>
          </w:p>
        </w:tc>
        <w:tc>
          <w:tcPr>
            <w:tcW w:w="2998" w:type="dxa"/>
            <w:tcBorders>
              <w:top w:val="nil"/>
              <w:left w:val="nil"/>
              <w:bottom w:val="single" w:sz="8" w:space="0" w:color="auto"/>
              <w:right w:val="single" w:sz="8" w:space="0" w:color="auto"/>
            </w:tcBorders>
            <w:shd w:val="clear" w:color="000000" w:fill="FFFFFF"/>
            <w:noWrap/>
            <w:vAlign w:val="center"/>
            <w:hideMark/>
          </w:tcPr>
          <w:p w14:paraId="1B37B124" w14:textId="77777777" w:rsidR="00D3471D" w:rsidRPr="00B13B9A" w:rsidRDefault="00D3471D" w:rsidP="00332FF7">
            <w:pPr>
              <w:spacing w:after="0" w:line="240" w:lineRule="auto"/>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TOTAL</w:t>
            </w:r>
          </w:p>
        </w:tc>
        <w:tc>
          <w:tcPr>
            <w:tcW w:w="1480" w:type="dxa"/>
            <w:tcBorders>
              <w:top w:val="nil"/>
              <w:left w:val="nil"/>
              <w:bottom w:val="single" w:sz="8" w:space="0" w:color="auto"/>
              <w:right w:val="single" w:sz="8" w:space="0" w:color="auto"/>
            </w:tcBorders>
            <w:shd w:val="clear" w:color="000000" w:fill="FFFFFF"/>
            <w:noWrap/>
            <w:vAlign w:val="center"/>
            <w:hideMark/>
          </w:tcPr>
          <w:p w14:paraId="429380FA" w14:textId="77777777" w:rsidR="00D3471D" w:rsidRPr="00B13B9A" w:rsidRDefault="00D3471D" w:rsidP="00332FF7">
            <w:pPr>
              <w:spacing w:after="0" w:line="240" w:lineRule="auto"/>
              <w:jc w:val="right"/>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169.016.039,21</w:t>
            </w:r>
          </w:p>
        </w:tc>
        <w:tc>
          <w:tcPr>
            <w:tcW w:w="1242" w:type="dxa"/>
            <w:tcBorders>
              <w:top w:val="nil"/>
              <w:left w:val="nil"/>
              <w:bottom w:val="single" w:sz="8" w:space="0" w:color="auto"/>
              <w:right w:val="single" w:sz="8" w:space="0" w:color="auto"/>
            </w:tcBorders>
            <w:shd w:val="clear" w:color="000000" w:fill="FFFFFF"/>
            <w:noWrap/>
            <w:vAlign w:val="center"/>
            <w:hideMark/>
          </w:tcPr>
          <w:p w14:paraId="2FC7DAED" w14:textId="77777777" w:rsidR="00D3471D" w:rsidRPr="00B13B9A" w:rsidRDefault="00D3471D" w:rsidP="00332FF7">
            <w:pPr>
              <w:spacing w:after="0" w:line="240" w:lineRule="auto"/>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 </w:t>
            </w:r>
          </w:p>
        </w:tc>
        <w:tc>
          <w:tcPr>
            <w:tcW w:w="6491" w:type="dxa"/>
            <w:tcBorders>
              <w:top w:val="nil"/>
              <w:left w:val="nil"/>
              <w:bottom w:val="single" w:sz="8" w:space="0" w:color="auto"/>
              <w:right w:val="single" w:sz="8" w:space="0" w:color="auto"/>
            </w:tcBorders>
            <w:shd w:val="clear" w:color="000000" w:fill="FFFFFF"/>
            <w:vAlign w:val="center"/>
            <w:hideMark/>
          </w:tcPr>
          <w:p w14:paraId="2126835A" w14:textId="77777777" w:rsidR="00D3471D" w:rsidRPr="00B13B9A" w:rsidRDefault="00D3471D" w:rsidP="00332FF7">
            <w:pPr>
              <w:spacing w:after="0" w:line="240" w:lineRule="auto"/>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 </w:t>
            </w:r>
          </w:p>
        </w:tc>
        <w:tc>
          <w:tcPr>
            <w:tcW w:w="1378" w:type="dxa"/>
            <w:tcBorders>
              <w:top w:val="nil"/>
              <w:left w:val="nil"/>
              <w:bottom w:val="single" w:sz="8" w:space="0" w:color="auto"/>
              <w:right w:val="single" w:sz="8" w:space="0" w:color="auto"/>
            </w:tcBorders>
            <w:shd w:val="clear" w:color="000000" w:fill="FFFFFF"/>
            <w:noWrap/>
            <w:vAlign w:val="center"/>
            <w:hideMark/>
          </w:tcPr>
          <w:p w14:paraId="5D89D196" w14:textId="77777777" w:rsidR="00D3471D" w:rsidRPr="00B13B9A" w:rsidRDefault="00D3471D" w:rsidP="00332FF7">
            <w:pPr>
              <w:spacing w:after="0" w:line="240" w:lineRule="auto"/>
              <w:jc w:val="right"/>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76.170.405,98</w:t>
            </w:r>
          </w:p>
        </w:tc>
      </w:tr>
    </w:tbl>
    <w:p w14:paraId="551CE939" w14:textId="4AB96885" w:rsidR="0007264E" w:rsidRPr="00B13B9A" w:rsidRDefault="0007264E" w:rsidP="0007264E">
      <w:pPr>
        <w:pStyle w:val="cn"/>
        <w:spacing w:line="276" w:lineRule="auto"/>
        <w:ind w:right="71"/>
        <w:jc w:val="both"/>
        <w:rPr>
          <w:rFonts w:asciiTheme="majorHAnsi" w:eastAsiaTheme="minorHAnsi" w:hAnsiTheme="majorHAnsi" w:cstheme="majorHAnsi"/>
          <w:i/>
          <w:sz w:val="20"/>
          <w:szCs w:val="20"/>
          <w:lang w:val="ro-MD" w:eastAsia="en-US"/>
        </w:rPr>
      </w:pPr>
      <w:r w:rsidRPr="00B13B9A">
        <w:rPr>
          <w:rFonts w:asciiTheme="majorHAnsi" w:eastAsiaTheme="minorHAnsi" w:hAnsiTheme="majorHAnsi" w:cstheme="majorHAnsi"/>
          <w:b/>
          <w:i/>
          <w:sz w:val="20"/>
          <w:szCs w:val="20"/>
          <w:lang w:val="ro-MD" w:eastAsia="en-US"/>
        </w:rPr>
        <w:t>Sursa:</w:t>
      </w:r>
      <w:r w:rsidRPr="00B13B9A">
        <w:rPr>
          <w:rFonts w:asciiTheme="majorHAnsi" w:eastAsiaTheme="minorHAnsi" w:hAnsiTheme="majorHAnsi" w:cstheme="majorHAnsi"/>
          <w:i/>
          <w:sz w:val="20"/>
          <w:szCs w:val="20"/>
          <w:lang w:val="ro-MD" w:eastAsia="en-US"/>
        </w:rPr>
        <w:t xml:space="preserve"> Informa</w:t>
      </w:r>
      <w:r w:rsidR="00B13B9A" w:rsidRPr="00B13B9A">
        <w:rPr>
          <w:rFonts w:asciiTheme="majorHAnsi" w:eastAsiaTheme="minorHAnsi" w:hAnsiTheme="majorHAnsi" w:cstheme="majorHAnsi"/>
          <w:i/>
          <w:sz w:val="20"/>
          <w:szCs w:val="20"/>
          <w:lang w:val="ro-MD" w:eastAsia="en-US"/>
        </w:rPr>
        <w:t>ț</w:t>
      </w:r>
      <w:r w:rsidRPr="00B13B9A">
        <w:rPr>
          <w:rFonts w:asciiTheme="majorHAnsi" w:eastAsiaTheme="minorHAnsi" w:hAnsiTheme="majorHAnsi" w:cstheme="majorHAnsi"/>
          <w:i/>
          <w:sz w:val="20"/>
          <w:szCs w:val="20"/>
          <w:lang w:val="ro-MD" w:eastAsia="en-US"/>
        </w:rPr>
        <w:t>ii prezentate de entitate</w:t>
      </w:r>
      <w:r w:rsidR="00CD15BA" w:rsidRPr="00B13B9A">
        <w:rPr>
          <w:rFonts w:asciiTheme="majorHAnsi" w:eastAsiaTheme="minorHAnsi" w:hAnsiTheme="majorHAnsi" w:cstheme="majorHAnsi"/>
          <w:i/>
          <w:sz w:val="20"/>
          <w:szCs w:val="20"/>
          <w:lang w:val="ro-MD" w:eastAsia="en-US"/>
        </w:rPr>
        <w:t>.</w:t>
      </w:r>
    </w:p>
    <w:p w14:paraId="512C0BA5" w14:textId="77777777" w:rsidR="00D3471D" w:rsidRPr="00B13B9A" w:rsidRDefault="00D3471D" w:rsidP="00D3471D">
      <w:pPr>
        <w:spacing w:after="0" w:line="240" w:lineRule="auto"/>
        <w:jc w:val="center"/>
        <w:rPr>
          <w:rFonts w:asciiTheme="majorHAnsi" w:eastAsia="Times New Roman" w:hAnsiTheme="majorHAnsi" w:cstheme="majorHAnsi"/>
          <w:b/>
          <w:bCs/>
          <w:color w:val="000000"/>
          <w:sz w:val="20"/>
          <w:szCs w:val="20"/>
          <w:lang w:val="ro-MD"/>
        </w:rPr>
        <w:sectPr w:rsidR="00D3471D" w:rsidRPr="00B13B9A" w:rsidSect="00D3471D">
          <w:pgSz w:w="15840" w:h="12240" w:orient="landscape"/>
          <w:pgMar w:top="1170" w:right="1138" w:bottom="763" w:left="1138" w:header="706" w:footer="706" w:gutter="0"/>
          <w:cols w:space="708"/>
          <w:titlePg/>
          <w:docGrid w:linePitch="360"/>
        </w:sectPr>
      </w:pPr>
    </w:p>
    <w:p w14:paraId="21C78DEA" w14:textId="77777777" w:rsidR="000A5AB9" w:rsidRPr="00B13B9A" w:rsidRDefault="000A5AB9" w:rsidP="00D3471D">
      <w:pPr>
        <w:pStyle w:val="3"/>
        <w:jc w:val="right"/>
        <w:rPr>
          <w:rFonts w:cstheme="majorHAnsi"/>
          <w:b/>
          <w:iCs/>
          <w:color w:val="auto"/>
        </w:rPr>
      </w:pPr>
      <w:bookmarkStart w:id="71" w:name="_Toc158317272"/>
      <w:r w:rsidRPr="00B13B9A">
        <w:rPr>
          <w:rFonts w:cstheme="majorHAnsi"/>
          <w:b/>
          <w:iCs/>
          <w:color w:val="auto"/>
        </w:rPr>
        <w:t>Anexa nr. 1</w:t>
      </w:r>
      <w:r w:rsidR="00251EC7" w:rsidRPr="00B13B9A">
        <w:rPr>
          <w:rFonts w:cstheme="majorHAnsi"/>
          <w:b/>
          <w:iCs/>
          <w:color w:val="auto"/>
        </w:rPr>
        <w:t>8</w:t>
      </w:r>
      <w:bookmarkEnd w:id="71"/>
    </w:p>
    <w:p w14:paraId="7F9BFCBB" w14:textId="51229E9D" w:rsidR="00E335CE" w:rsidRPr="00B13B9A" w:rsidRDefault="00E335CE" w:rsidP="00F0722E">
      <w:pPr>
        <w:pStyle w:val="cn"/>
        <w:spacing w:line="276" w:lineRule="auto"/>
        <w:ind w:right="71"/>
        <w:rPr>
          <w:rFonts w:asciiTheme="majorHAnsi" w:eastAsiaTheme="minorHAnsi" w:hAnsiTheme="majorHAnsi" w:cstheme="majorHAnsi"/>
          <w:b/>
          <w:lang w:val="ro-MD" w:eastAsia="en-US"/>
        </w:rPr>
      </w:pPr>
      <w:r w:rsidRPr="00B13B9A">
        <w:rPr>
          <w:rFonts w:asciiTheme="majorHAnsi" w:eastAsiaTheme="minorHAnsi" w:hAnsiTheme="majorHAnsi" w:cstheme="majorHAnsi"/>
          <w:b/>
          <w:lang w:val="ro-MD" w:eastAsia="en-US"/>
        </w:rPr>
        <w:t>Dinamica numărului de pacien</w:t>
      </w:r>
      <w:r w:rsidR="00B13B9A" w:rsidRPr="00B13B9A">
        <w:rPr>
          <w:rFonts w:asciiTheme="majorHAnsi" w:eastAsiaTheme="minorHAnsi" w:hAnsiTheme="majorHAnsi" w:cstheme="majorHAnsi"/>
          <w:b/>
          <w:lang w:val="ro-MD" w:eastAsia="en-US"/>
        </w:rPr>
        <w:t>ț</w:t>
      </w:r>
      <w:r w:rsidRPr="00B13B9A">
        <w:rPr>
          <w:rFonts w:asciiTheme="majorHAnsi" w:eastAsiaTheme="minorHAnsi" w:hAnsiTheme="majorHAnsi" w:cstheme="majorHAnsi"/>
          <w:b/>
          <w:lang w:val="ro-MD" w:eastAsia="en-US"/>
        </w:rPr>
        <w:t xml:space="preserve">i </w:t>
      </w:r>
      <w:r w:rsidR="00F0722E" w:rsidRPr="00B13B9A">
        <w:rPr>
          <w:rFonts w:asciiTheme="majorHAnsi" w:eastAsiaTheme="minorHAnsi" w:hAnsiTheme="majorHAnsi" w:cstheme="majorHAnsi"/>
          <w:b/>
          <w:lang w:val="ro-MD" w:eastAsia="en-US"/>
        </w:rPr>
        <w:t>interna</w:t>
      </w:r>
      <w:r w:rsidR="00B13B9A" w:rsidRPr="00B13B9A">
        <w:rPr>
          <w:rFonts w:asciiTheme="majorHAnsi" w:eastAsiaTheme="minorHAnsi" w:hAnsiTheme="majorHAnsi" w:cstheme="majorHAnsi"/>
          <w:b/>
          <w:lang w:val="ro-MD" w:eastAsia="en-US"/>
        </w:rPr>
        <w:t>ț</w:t>
      </w:r>
      <w:r w:rsidR="00F0722E" w:rsidRPr="00B13B9A">
        <w:rPr>
          <w:rFonts w:asciiTheme="majorHAnsi" w:eastAsiaTheme="minorHAnsi" w:hAnsiTheme="majorHAnsi" w:cstheme="majorHAnsi"/>
          <w:b/>
          <w:lang w:val="ro-MD" w:eastAsia="en-US"/>
        </w:rPr>
        <w:t>i pe sec</w:t>
      </w:r>
      <w:r w:rsidR="00B13B9A" w:rsidRPr="00B13B9A">
        <w:rPr>
          <w:rFonts w:asciiTheme="majorHAnsi" w:eastAsiaTheme="minorHAnsi" w:hAnsiTheme="majorHAnsi" w:cstheme="majorHAnsi"/>
          <w:b/>
          <w:lang w:val="ro-MD" w:eastAsia="en-US"/>
        </w:rPr>
        <w:t>ț</w:t>
      </w:r>
      <w:r w:rsidR="00F0722E" w:rsidRPr="00B13B9A">
        <w:rPr>
          <w:rFonts w:asciiTheme="majorHAnsi" w:eastAsiaTheme="minorHAnsi" w:hAnsiTheme="majorHAnsi" w:cstheme="majorHAnsi"/>
          <w:b/>
          <w:lang w:val="ro-MD" w:eastAsia="en-US"/>
        </w:rPr>
        <w:t>ii, comparativ cu numărul de paturi existent</w:t>
      </w:r>
      <w:r w:rsidR="00CA40D9" w:rsidRPr="00B13B9A">
        <w:rPr>
          <w:rFonts w:asciiTheme="majorHAnsi" w:eastAsiaTheme="minorHAnsi" w:hAnsiTheme="majorHAnsi" w:cstheme="majorHAnsi"/>
          <w:b/>
          <w:lang w:val="ro-MD" w:eastAsia="en-US"/>
        </w:rPr>
        <w:t xml:space="preserve"> în perioada 2021-2023 </w:t>
      </w:r>
      <w:r w:rsidR="00D80586" w:rsidRPr="00B13B9A">
        <w:rPr>
          <w:rFonts w:asciiTheme="majorHAnsi" w:eastAsiaTheme="minorHAnsi" w:hAnsiTheme="majorHAnsi" w:cstheme="majorHAnsi"/>
          <w:b/>
          <w:lang w:val="ro-MD" w:eastAsia="en-US"/>
        </w:rPr>
        <w:t>(</w:t>
      </w:r>
      <w:r w:rsidR="00CA40D9" w:rsidRPr="00B13B9A">
        <w:rPr>
          <w:rFonts w:asciiTheme="majorHAnsi" w:eastAsiaTheme="minorHAnsi" w:hAnsiTheme="majorHAnsi" w:cstheme="majorHAnsi"/>
          <w:b/>
          <w:lang w:val="ro-MD" w:eastAsia="en-US"/>
        </w:rPr>
        <w:t>6 luni</w:t>
      </w:r>
      <w:r w:rsidR="00D80586" w:rsidRPr="00B13B9A">
        <w:rPr>
          <w:rFonts w:asciiTheme="majorHAnsi" w:eastAsiaTheme="minorHAnsi" w:hAnsiTheme="majorHAnsi" w:cstheme="majorHAnsi"/>
          <w:b/>
          <w:lang w:val="ro-MD" w:eastAsia="en-US"/>
        </w:rPr>
        <w:t>)</w:t>
      </w:r>
    </w:p>
    <w:tbl>
      <w:tblPr>
        <w:tblW w:w="14269" w:type="dxa"/>
        <w:tblLayout w:type="fixed"/>
        <w:tblLook w:val="04A0" w:firstRow="1" w:lastRow="0" w:firstColumn="1" w:lastColumn="0" w:noHBand="0" w:noVBand="1"/>
      </w:tblPr>
      <w:tblGrid>
        <w:gridCol w:w="1060"/>
        <w:gridCol w:w="703"/>
        <w:gridCol w:w="640"/>
        <w:gridCol w:w="580"/>
        <w:gridCol w:w="13"/>
        <w:gridCol w:w="690"/>
        <w:gridCol w:w="680"/>
        <w:gridCol w:w="534"/>
        <w:gridCol w:w="10"/>
        <w:gridCol w:w="693"/>
        <w:gridCol w:w="629"/>
        <w:gridCol w:w="567"/>
        <w:gridCol w:w="703"/>
        <w:gridCol w:w="609"/>
        <w:gridCol w:w="531"/>
        <w:gridCol w:w="616"/>
        <w:gridCol w:w="620"/>
        <w:gridCol w:w="623"/>
        <w:gridCol w:w="551"/>
        <w:gridCol w:w="567"/>
        <w:gridCol w:w="567"/>
        <w:gridCol w:w="703"/>
        <w:gridCol w:w="700"/>
        <w:gridCol w:w="680"/>
      </w:tblGrid>
      <w:tr w:rsidR="00E335CE" w:rsidRPr="00B13B9A" w14:paraId="650FEF5D" w14:textId="77777777" w:rsidTr="00332FF7">
        <w:trPr>
          <w:trHeight w:val="2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B9104" w14:textId="03C9A1EB" w:rsidR="00E335CE" w:rsidRPr="00B13B9A" w:rsidRDefault="00E335CE" w:rsidP="00E335CE">
            <w:pPr>
              <w:spacing w:after="0" w:line="240" w:lineRule="auto"/>
              <w:jc w:val="center"/>
              <w:rPr>
                <w:rFonts w:asciiTheme="majorHAnsi" w:eastAsia="Times New Roman" w:hAnsiTheme="majorHAnsi" w:cstheme="majorHAnsi"/>
                <w:b/>
                <w:bCs/>
                <w:color w:val="000000"/>
                <w:sz w:val="20"/>
                <w:szCs w:val="16"/>
                <w:lang w:val="ro-MD"/>
              </w:rPr>
            </w:pPr>
            <w:r w:rsidRPr="00B13B9A">
              <w:rPr>
                <w:rFonts w:asciiTheme="majorHAnsi" w:eastAsia="Times New Roman" w:hAnsiTheme="majorHAnsi" w:cstheme="majorHAnsi"/>
                <w:b/>
                <w:bCs/>
                <w:color w:val="000000"/>
                <w:sz w:val="20"/>
                <w:szCs w:val="16"/>
                <w:lang w:val="ro-MD"/>
              </w:rPr>
              <w:t>Sec</w:t>
            </w:r>
            <w:r w:rsidR="00B13B9A" w:rsidRPr="00B13B9A">
              <w:rPr>
                <w:rFonts w:asciiTheme="majorHAnsi" w:eastAsia="Times New Roman" w:hAnsiTheme="majorHAnsi" w:cstheme="majorHAnsi"/>
                <w:b/>
                <w:bCs/>
                <w:color w:val="000000"/>
                <w:sz w:val="20"/>
                <w:szCs w:val="16"/>
                <w:lang w:val="ro-MD"/>
              </w:rPr>
              <w:t>ț</w:t>
            </w:r>
            <w:r w:rsidRPr="00B13B9A">
              <w:rPr>
                <w:rFonts w:asciiTheme="majorHAnsi" w:eastAsia="Times New Roman" w:hAnsiTheme="majorHAnsi" w:cstheme="majorHAnsi"/>
                <w:b/>
                <w:bCs/>
                <w:color w:val="000000"/>
                <w:sz w:val="20"/>
                <w:szCs w:val="16"/>
                <w:lang w:val="ro-MD"/>
              </w:rPr>
              <w:t>ii</w:t>
            </w:r>
          </w:p>
        </w:tc>
        <w:tc>
          <w:tcPr>
            <w:tcW w:w="193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E36FC53"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20"/>
                <w:szCs w:val="16"/>
                <w:lang w:val="ro-MD"/>
              </w:rPr>
            </w:pPr>
            <w:r w:rsidRPr="00B13B9A">
              <w:rPr>
                <w:rFonts w:asciiTheme="majorHAnsi" w:eastAsia="Times New Roman" w:hAnsiTheme="majorHAnsi" w:cstheme="majorHAnsi"/>
                <w:b/>
                <w:bCs/>
                <w:color w:val="000000"/>
                <w:sz w:val="20"/>
                <w:szCs w:val="16"/>
                <w:lang w:val="ro-MD"/>
              </w:rPr>
              <w:t>Ftiziopneumologie</w:t>
            </w:r>
          </w:p>
        </w:tc>
        <w:tc>
          <w:tcPr>
            <w:tcW w:w="1914" w:type="dxa"/>
            <w:gridSpan w:val="4"/>
            <w:tcBorders>
              <w:top w:val="single" w:sz="4" w:space="0" w:color="auto"/>
              <w:left w:val="nil"/>
              <w:bottom w:val="single" w:sz="4" w:space="0" w:color="auto"/>
              <w:right w:val="single" w:sz="4" w:space="0" w:color="auto"/>
            </w:tcBorders>
            <w:shd w:val="clear" w:color="auto" w:fill="auto"/>
            <w:noWrap/>
            <w:vAlign w:val="bottom"/>
            <w:hideMark/>
          </w:tcPr>
          <w:p w14:paraId="4E7AECFE"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20"/>
                <w:szCs w:val="16"/>
                <w:lang w:val="ro-MD"/>
              </w:rPr>
            </w:pPr>
            <w:r w:rsidRPr="00B13B9A">
              <w:rPr>
                <w:rFonts w:asciiTheme="majorHAnsi" w:eastAsia="Times New Roman" w:hAnsiTheme="majorHAnsi" w:cstheme="majorHAnsi"/>
                <w:b/>
                <w:bCs/>
                <w:color w:val="000000"/>
                <w:sz w:val="20"/>
                <w:szCs w:val="16"/>
                <w:lang w:val="ro-MD"/>
              </w:rPr>
              <w:t>MDR 1</w:t>
            </w:r>
          </w:p>
        </w:tc>
        <w:tc>
          <w:tcPr>
            <w:tcW w:w="18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5CE2BB64"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20"/>
                <w:szCs w:val="16"/>
                <w:lang w:val="ro-MD"/>
              </w:rPr>
            </w:pPr>
            <w:r w:rsidRPr="00B13B9A">
              <w:rPr>
                <w:rFonts w:asciiTheme="majorHAnsi" w:eastAsia="Times New Roman" w:hAnsiTheme="majorHAnsi" w:cstheme="majorHAnsi"/>
                <w:b/>
                <w:bCs/>
                <w:color w:val="000000"/>
                <w:sz w:val="20"/>
                <w:szCs w:val="16"/>
                <w:lang w:val="ro-MD"/>
              </w:rPr>
              <w:t>Ftiziologie 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13BD37C"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20"/>
                <w:szCs w:val="16"/>
                <w:lang w:val="ro-MD"/>
              </w:rPr>
            </w:pPr>
            <w:r w:rsidRPr="00B13B9A">
              <w:rPr>
                <w:rFonts w:asciiTheme="majorHAnsi" w:eastAsia="Times New Roman" w:hAnsiTheme="majorHAnsi" w:cstheme="majorHAnsi"/>
                <w:b/>
                <w:bCs/>
                <w:color w:val="000000"/>
                <w:sz w:val="20"/>
                <w:szCs w:val="16"/>
                <w:lang w:val="ro-MD"/>
              </w:rPr>
              <w:t>Ftiziologie 2</w:t>
            </w:r>
          </w:p>
        </w:tc>
        <w:tc>
          <w:tcPr>
            <w:tcW w:w="18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6F2CDB97"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20"/>
                <w:szCs w:val="16"/>
                <w:lang w:val="ro-MD"/>
              </w:rPr>
            </w:pPr>
            <w:r w:rsidRPr="00B13B9A">
              <w:rPr>
                <w:rFonts w:asciiTheme="majorHAnsi" w:eastAsia="Times New Roman" w:hAnsiTheme="majorHAnsi" w:cstheme="majorHAnsi"/>
                <w:b/>
                <w:bCs/>
                <w:color w:val="000000"/>
                <w:sz w:val="20"/>
                <w:szCs w:val="16"/>
                <w:lang w:val="ro-MD"/>
              </w:rPr>
              <w:t>MDR 2</w:t>
            </w:r>
          </w:p>
        </w:tc>
        <w:tc>
          <w:tcPr>
            <w:tcW w:w="168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6F11BC1"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20"/>
                <w:szCs w:val="16"/>
                <w:lang w:val="ro-MD"/>
              </w:rPr>
            </w:pPr>
            <w:r w:rsidRPr="00B13B9A">
              <w:rPr>
                <w:rFonts w:asciiTheme="majorHAnsi" w:eastAsia="Times New Roman" w:hAnsiTheme="majorHAnsi" w:cstheme="majorHAnsi"/>
                <w:b/>
                <w:bCs/>
                <w:color w:val="000000"/>
                <w:sz w:val="20"/>
                <w:szCs w:val="16"/>
                <w:lang w:val="ro-MD"/>
              </w:rPr>
              <w:t>ATI</w:t>
            </w:r>
          </w:p>
        </w:tc>
        <w:tc>
          <w:tcPr>
            <w:tcW w:w="208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AC28FB6"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20"/>
                <w:szCs w:val="16"/>
                <w:lang w:val="ro-MD"/>
              </w:rPr>
            </w:pPr>
            <w:r w:rsidRPr="00B13B9A">
              <w:rPr>
                <w:rFonts w:asciiTheme="majorHAnsi" w:eastAsia="Times New Roman" w:hAnsiTheme="majorHAnsi" w:cstheme="majorHAnsi"/>
                <w:b/>
                <w:bCs/>
                <w:color w:val="000000"/>
                <w:sz w:val="20"/>
                <w:szCs w:val="16"/>
                <w:lang w:val="ro-MD"/>
              </w:rPr>
              <w:t xml:space="preserve">Total </w:t>
            </w:r>
          </w:p>
        </w:tc>
      </w:tr>
      <w:tr w:rsidR="00E335CE" w:rsidRPr="00B13B9A" w14:paraId="0AC90E1A"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F5EB01B"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Perioada</w:t>
            </w:r>
          </w:p>
        </w:tc>
        <w:tc>
          <w:tcPr>
            <w:tcW w:w="703" w:type="dxa"/>
            <w:tcBorders>
              <w:top w:val="nil"/>
              <w:left w:val="nil"/>
              <w:bottom w:val="single" w:sz="4" w:space="0" w:color="auto"/>
              <w:right w:val="single" w:sz="4" w:space="0" w:color="auto"/>
            </w:tcBorders>
            <w:shd w:val="clear" w:color="auto" w:fill="auto"/>
            <w:vAlign w:val="center"/>
            <w:hideMark/>
          </w:tcPr>
          <w:p w14:paraId="5E96D62C" w14:textId="77777777"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Nr. efectiv de paturi</w:t>
            </w:r>
          </w:p>
        </w:tc>
        <w:tc>
          <w:tcPr>
            <w:tcW w:w="640" w:type="dxa"/>
            <w:tcBorders>
              <w:top w:val="nil"/>
              <w:left w:val="nil"/>
              <w:bottom w:val="single" w:sz="4" w:space="0" w:color="auto"/>
              <w:right w:val="single" w:sz="4" w:space="0" w:color="auto"/>
            </w:tcBorders>
            <w:shd w:val="clear" w:color="auto" w:fill="auto"/>
            <w:vAlign w:val="center"/>
            <w:hideMark/>
          </w:tcPr>
          <w:p w14:paraId="5BA33212" w14:textId="77A28A76"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la încep</w:t>
            </w:r>
            <w:r w:rsidR="00D80586" w:rsidRPr="00B13B9A">
              <w:rPr>
                <w:rFonts w:asciiTheme="majorHAnsi" w:eastAsia="Times New Roman" w:hAnsiTheme="majorHAnsi" w:cstheme="majorHAnsi"/>
                <w:color w:val="000000"/>
                <w:sz w:val="16"/>
                <w:szCs w:val="16"/>
                <w:lang w:val="ro-MD"/>
              </w:rPr>
              <w:t>.</w:t>
            </w:r>
            <w:r w:rsidRPr="00B13B9A">
              <w:rPr>
                <w:rFonts w:asciiTheme="majorHAnsi" w:eastAsia="Times New Roman" w:hAnsiTheme="majorHAnsi" w:cstheme="majorHAnsi"/>
                <w:color w:val="000000"/>
                <w:sz w:val="16"/>
                <w:szCs w:val="16"/>
                <w:lang w:val="ro-MD"/>
              </w:rPr>
              <w:t xml:space="preserve"> </w:t>
            </w:r>
            <w:r w:rsidR="00D80586" w:rsidRPr="00B13B9A">
              <w:rPr>
                <w:rFonts w:asciiTheme="majorHAnsi" w:eastAsia="Times New Roman" w:hAnsiTheme="majorHAnsi" w:cstheme="majorHAnsi"/>
                <w:color w:val="000000"/>
                <w:sz w:val="16"/>
                <w:szCs w:val="16"/>
                <w:lang w:val="ro-MD"/>
              </w:rPr>
              <w:t>P</w:t>
            </w:r>
            <w:r w:rsidRPr="00B13B9A">
              <w:rPr>
                <w:rFonts w:asciiTheme="majorHAnsi" w:eastAsia="Times New Roman" w:hAnsiTheme="majorHAnsi" w:cstheme="majorHAnsi"/>
                <w:color w:val="000000"/>
                <w:sz w:val="16"/>
                <w:szCs w:val="16"/>
                <w:lang w:val="ro-MD"/>
              </w:rPr>
              <w:t>er</w:t>
            </w:r>
            <w:r w:rsidR="00D80586" w:rsidRPr="00B13B9A">
              <w:rPr>
                <w:rFonts w:asciiTheme="majorHAnsi" w:eastAsia="Times New Roman" w:hAnsiTheme="majorHAnsi" w:cstheme="majorHAnsi"/>
                <w:color w:val="000000"/>
                <w:sz w:val="16"/>
                <w:szCs w:val="16"/>
                <w:lang w:val="ro-MD"/>
              </w:rPr>
              <w:t>.</w:t>
            </w:r>
          </w:p>
        </w:tc>
        <w:tc>
          <w:tcPr>
            <w:tcW w:w="580" w:type="dxa"/>
            <w:tcBorders>
              <w:top w:val="nil"/>
              <w:left w:val="nil"/>
              <w:bottom w:val="single" w:sz="4" w:space="0" w:color="auto"/>
              <w:right w:val="single" w:sz="4" w:space="0" w:color="auto"/>
            </w:tcBorders>
            <w:shd w:val="clear" w:color="auto" w:fill="auto"/>
            <w:vAlign w:val="center"/>
            <w:hideMark/>
          </w:tcPr>
          <w:p w14:paraId="1EC4BF72" w14:textId="4A39512E"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la sf. per</w:t>
            </w:r>
            <w:r w:rsidR="00D80586" w:rsidRPr="00B13B9A">
              <w:rPr>
                <w:rFonts w:asciiTheme="majorHAnsi" w:eastAsia="Times New Roman" w:hAnsiTheme="majorHAnsi" w:cstheme="majorHAnsi"/>
                <w:color w:val="000000"/>
                <w:sz w:val="16"/>
                <w:szCs w:val="16"/>
                <w:lang w:val="ro-MD"/>
              </w:rPr>
              <w:t>.</w:t>
            </w:r>
          </w:p>
        </w:tc>
        <w:tc>
          <w:tcPr>
            <w:tcW w:w="703" w:type="dxa"/>
            <w:gridSpan w:val="2"/>
            <w:tcBorders>
              <w:top w:val="nil"/>
              <w:left w:val="nil"/>
              <w:bottom w:val="single" w:sz="4" w:space="0" w:color="auto"/>
              <w:right w:val="single" w:sz="4" w:space="0" w:color="auto"/>
            </w:tcBorders>
            <w:shd w:val="clear" w:color="auto" w:fill="auto"/>
            <w:vAlign w:val="center"/>
            <w:hideMark/>
          </w:tcPr>
          <w:p w14:paraId="7CF14942" w14:textId="77777777"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Nr. efectiv de paturi</w:t>
            </w:r>
          </w:p>
        </w:tc>
        <w:tc>
          <w:tcPr>
            <w:tcW w:w="680" w:type="dxa"/>
            <w:tcBorders>
              <w:top w:val="nil"/>
              <w:left w:val="nil"/>
              <w:bottom w:val="single" w:sz="4" w:space="0" w:color="auto"/>
              <w:right w:val="single" w:sz="4" w:space="0" w:color="auto"/>
            </w:tcBorders>
            <w:shd w:val="clear" w:color="auto" w:fill="auto"/>
            <w:vAlign w:val="center"/>
            <w:hideMark/>
          </w:tcPr>
          <w:p w14:paraId="4F9468CE" w14:textId="42719266"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la încep</w:t>
            </w:r>
            <w:r w:rsidR="00D80586" w:rsidRPr="00B13B9A">
              <w:rPr>
                <w:rFonts w:asciiTheme="majorHAnsi" w:eastAsia="Times New Roman" w:hAnsiTheme="majorHAnsi" w:cstheme="majorHAnsi"/>
                <w:color w:val="000000"/>
                <w:sz w:val="16"/>
                <w:szCs w:val="16"/>
                <w:lang w:val="ro-MD"/>
              </w:rPr>
              <w:t>.</w:t>
            </w:r>
            <w:r w:rsidRPr="00B13B9A">
              <w:rPr>
                <w:rFonts w:asciiTheme="majorHAnsi" w:eastAsia="Times New Roman" w:hAnsiTheme="majorHAnsi" w:cstheme="majorHAnsi"/>
                <w:color w:val="000000"/>
                <w:sz w:val="16"/>
                <w:szCs w:val="16"/>
                <w:lang w:val="ro-MD"/>
              </w:rPr>
              <w:t xml:space="preserve"> </w:t>
            </w:r>
            <w:r w:rsidR="00D80586" w:rsidRPr="00B13B9A">
              <w:rPr>
                <w:rFonts w:asciiTheme="majorHAnsi" w:eastAsia="Times New Roman" w:hAnsiTheme="majorHAnsi" w:cstheme="majorHAnsi"/>
                <w:color w:val="000000"/>
                <w:sz w:val="16"/>
                <w:szCs w:val="16"/>
                <w:lang w:val="ro-MD"/>
              </w:rPr>
              <w:t>P</w:t>
            </w:r>
            <w:r w:rsidRPr="00B13B9A">
              <w:rPr>
                <w:rFonts w:asciiTheme="majorHAnsi" w:eastAsia="Times New Roman" w:hAnsiTheme="majorHAnsi" w:cstheme="majorHAnsi"/>
                <w:color w:val="000000"/>
                <w:sz w:val="16"/>
                <w:szCs w:val="16"/>
                <w:lang w:val="ro-MD"/>
              </w:rPr>
              <w:t>er</w:t>
            </w:r>
            <w:r w:rsidR="00D80586" w:rsidRPr="00B13B9A">
              <w:rPr>
                <w:rFonts w:asciiTheme="majorHAnsi" w:eastAsia="Times New Roman" w:hAnsiTheme="majorHAnsi" w:cstheme="majorHAnsi"/>
                <w:color w:val="000000"/>
                <w:sz w:val="16"/>
                <w:szCs w:val="16"/>
                <w:lang w:val="ro-MD"/>
              </w:rPr>
              <w:t>.</w:t>
            </w:r>
          </w:p>
        </w:tc>
        <w:tc>
          <w:tcPr>
            <w:tcW w:w="534" w:type="dxa"/>
            <w:tcBorders>
              <w:top w:val="nil"/>
              <w:left w:val="nil"/>
              <w:bottom w:val="single" w:sz="4" w:space="0" w:color="auto"/>
              <w:right w:val="single" w:sz="4" w:space="0" w:color="auto"/>
            </w:tcBorders>
            <w:shd w:val="clear" w:color="auto" w:fill="auto"/>
            <w:vAlign w:val="center"/>
            <w:hideMark/>
          </w:tcPr>
          <w:p w14:paraId="0B857C2F" w14:textId="3F85B7ED"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la sf. per</w:t>
            </w:r>
            <w:r w:rsidR="00D80586" w:rsidRPr="00B13B9A">
              <w:rPr>
                <w:rFonts w:asciiTheme="majorHAnsi" w:eastAsia="Times New Roman" w:hAnsiTheme="majorHAnsi" w:cstheme="majorHAnsi"/>
                <w:color w:val="000000"/>
                <w:sz w:val="16"/>
                <w:szCs w:val="16"/>
                <w:lang w:val="ro-MD"/>
              </w:rPr>
              <w:t>.</w:t>
            </w:r>
          </w:p>
        </w:tc>
        <w:tc>
          <w:tcPr>
            <w:tcW w:w="703" w:type="dxa"/>
            <w:gridSpan w:val="2"/>
            <w:tcBorders>
              <w:top w:val="nil"/>
              <w:left w:val="nil"/>
              <w:bottom w:val="single" w:sz="4" w:space="0" w:color="auto"/>
              <w:right w:val="single" w:sz="4" w:space="0" w:color="auto"/>
            </w:tcBorders>
            <w:shd w:val="clear" w:color="auto" w:fill="auto"/>
            <w:vAlign w:val="center"/>
            <w:hideMark/>
          </w:tcPr>
          <w:p w14:paraId="1AF9C648" w14:textId="77777777"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Nr. efectiv de paturi</w:t>
            </w:r>
          </w:p>
        </w:tc>
        <w:tc>
          <w:tcPr>
            <w:tcW w:w="629" w:type="dxa"/>
            <w:tcBorders>
              <w:top w:val="nil"/>
              <w:left w:val="nil"/>
              <w:bottom w:val="single" w:sz="4" w:space="0" w:color="auto"/>
              <w:right w:val="single" w:sz="4" w:space="0" w:color="auto"/>
            </w:tcBorders>
            <w:shd w:val="clear" w:color="auto" w:fill="auto"/>
            <w:vAlign w:val="center"/>
            <w:hideMark/>
          </w:tcPr>
          <w:p w14:paraId="7B387C43" w14:textId="7EFBA813"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la încep</w:t>
            </w:r>
            <w:r w:rsidR="00D80586" w:rsidRPr="00B13B9A">
              <w:rPr>
                <w:rFonts w:asciiTheme="majorHAnsi" w:eastAsia="Times New Roman" w:hAnsiTheme="majorHAnsi" w:cstheme="majorHAnsi"/>
                <w:color w:val="000000"/>
                <w:sz w:val="16"/>
                <w:szCs w:val="16"/>
                <w:lang w:val="ro-MD"/>
              </w:rPr>
              <w:t>.</w:t>
            </w:r>
            <w:r w:rsidRPr="00B13B9A">
              <w:rPr>
                <w:rFonts w:asciiTheme="majorHAnsi" w:eastAsia="Times New Roman" w:hAnsiTheme="majorHAnsi" w:cstheme="majorHAnsi"/>
                <w:color w:val="000000"/>
                <w:sz w:val="16"/>
                <w:szCs w:val="16"/>
                <w:lang w:val="ro-MD"/>
              </w:rPr>
              <w:t xml:space="preserve"> </w:t>
            </w:r>
            <w:r w:rsidR="00D80586" w:rsidRPr="00B13B9A">
              <w:rPr>
                <w:rFonts w:asciiTheme="majorHAnsi" w:eastAsia="Times New Roman" w:hAnsiTheme="majorHAnsi" w:cstheme="majorHAnsi"/>
                <w:color w:val="000000"/>
                <w:sz w:val="16"/>
                <w:szCs w:val="16"/>
                <w:lang w:val="ro-MD"/>
              </w:rPr>
              <w:t>P</w:t>
            </w:r>
            <w:r w:rsidRPr="00B13B9A">
              <w:rPr>
                <w:rFonts w:asciiTheme="majorHAnsi" w:eastAsia="Times New Roman" w:hAnsiTheme="majorHAnsi" w:cstheme="majorHAnsi"/>
                <w:color w:val="000000"/>
                <w:sz w:val="16"/>
                <w:szCs w:val="16"/>
                <w:lang w:val="ro-MD"/>
              </w:rPr>
              <w:t>er</w:t>
            </w:r>
            <w:r w:rsidR="00D80586" w:rsidRPr="00B13B9A">
              <w:rPr>
                <w:rFonts w:asciiTheme="majorHAnsi" w:eastAsia="Times New Roman" w:hAnsiTheme="majorHAnsi" w:cstheme="majorHAnsi"/>
                <w:color w:val="000000"/>
                <w:sz w:val="16"/>
                <w:szCs w:val="16"/>
                <w:lang w:val="ro-MD"/>
              </w:rPr>
              <w:t>.</w:t>
            </w:r>
          </w:p>
        </w:tc>
        <w:tc>
          <w:tcPr>
            <w:tcW w:w="567" w:type="dxa"/>
            <w:tcBorders>
              <w:top w:val="nil"/>
              <w:left w:val="nil"/>
              <w:bottom w:val="single" w:sz="4" w:space="0" w:color="auto"/>
              <w:right w:val="single" w:sz="4" w:space="0" w:color="auto"/>
            </w:tcBorders>
            <w:shd w:val="clear" w:color="auto" w:fill="auto"/>
            <w:vAlign w:val="center"/>
            <w:hideMark/>
          </w:tcPr>
          <w:p w14:paraId="41041AD0" w14:textId="240797C4"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la sf. per</w:t>
            </w:r>
            <w:r w:rsidR="00D80586" w:rsidRPr="00B13B9A">
              <w:rPr>
                <w:rFonts w:asciiTheme="majorHAnsi" w:eastAsia="Times New Roman" w:hAnsiTheme="majorHAnsi" w:cstheme="majorHAnsi"/>
                <w:color w:val="000000"/>
                <w:sz w:val="16"/>
                <w:szCs w:val="16"/>
                <w:lang w:val="ro-MD"/>
              </w:rPr>
              <w:t>.</w:t>
            </w:r>
          </w:p>
        </w:tc>
        <w:tc>
          <w:tcPr>
            <w:tcW w:w="703" w:type="dxa"/>
            <w:tcBorders>
              <w:top w:val="nil"/>
              <w:left w:val="nil"/>
              <w:bottom w:val="single" w:sz="4" w:space="0" w:color="auto"/>
              <w:right w:val="single" w:sz="4" w:space="0" w:color="auto"/>
            </w:tcBorders>
            <w:shd w:val="clear" w:color="auto" w:fill="auto"/>
            <w:vAlign w:val="center"/>
            <w:hideMark/>
          </w:tcPr>
          <w:p w14:paraId="55857CCC" w14:textId="77777777"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Nr. efectiv de paturi</w:t>
            </w:r>
          </w:p>
        </w:tc>
        <w:tc>
          <w:tcPr>
            <w:tcW w:w="609" w:type="dxa"/>
            <w:tcBorders>
              <w:top w:val="nil"/>
              <w:left w:val="nil"/>
              <w:bottom w:val="single" w:sz="4" w:space="0" w:color="auto"/>
              <w:right w:val="single" w:sz="4" w:space="0" w:color="auto"/>
            </w:tcBorders>
            <w:shd w:val="clear" w:color="auto" w:fill="auto"/>
            <w:vAlign w:val="center"/>
            <w:hideMark/>
          </w:tcPr>
          <w:p w14:paraId="7D1172C6" w14:textId="22915888"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la încep</w:t>
            </w:r>
            <w:r w:rsidR="00D80586" w:rsidRPr="00B13B9A">
              <w:rPr>
                <w:rFonts w:asciiTheme="majorHAnsi" w:eastAsia="Times New Roman" w:hAnsiTheme="majorHAnsi" w:cstheme="majorHAnsi"/>
                <w:color w:val="000000"/>
                <w:sz w:val="16"/>
                <w:szCs w:val="16"/>
                <w:lang w:val="ro-MD"/>
              </w:rPr>
              <w:t>.</w:t>
            </w:r>
            <w:r w:rsidRPr="00B13B9A">
              <w:rPr>
                <w:rFonts w:asciiTheme="majorHAnsi" w:eastAsia="Times New Roman" w:hAnsiTheme="majorHAnsi" w:cstheme="majorHAnsi"/>
                <w:color w:val="000000"/>
                <w:sz w:val="16"/>
                <w:szCs w:val="16"/>
                <w:lang w:val="ro-MD"/>
              </w:rPr>
              <w:t xml:space="preserve"> </w:t>
            </w:r>
            <w:r w:rsidR="00D80586" w:rsidRPr="00B13B9A">
              <w:rPr>
                <w:rFonts w:asciiTheme="majorHAnsi" w:eastAsia="Times New Roman" w:hAnsiTheme="majorHAnsi" w:cstheme="majorHAnsi"/>
                <w:color w:val="000000"/>
                <w:sz w:val="16"/>
                <w:szCs w:val="16"/>
                <w:lang w:val="ro-MD"/>
              </w:rPr>
              <w:t>P</w:t>
            </w:r>
            <w:r w:rsidRPr="00B13B9A">
              <w:rPr>
                <w:rFonts w:asciiTheme="majorHAnsi" w:eastAsia="Times New Roman" w:hAnsiTheme="majorHAnsi" w:cstheme="majorHAnsi"/>
                <w:color w:val="000000"/>
                <w:sz w:val="16"/>
                <w:szCs w:val="16"/>
                <w:lang w:val="ro-MD"/>
              </w:rPr>
              <w:t>er</w:t>
            </w:r>
            <w:r w:rsidR="00D80586" w:rsidRPr="00B13B9A">
              <w:rPr>
                <w:rFonts w:asciiTheme="majorHAnsi" w:eastAsia="Times New Roman" w:hAnsiTheme="majorHAnsi" w:cstheme="majorHAnsi"/>
                <w:color w:val="000000"/>
                <w:sz w:val="16"/>
                <w:szCs w:val="16"/>
                <w:lang w:val="ro-MD"/>
              </w:rPr>
              <w:t>.</w:t>
            </w:r>
          </w:p>
        </w:tc>
        <w:tc>
          <w:tcPr>
            <w:tcW w:w="531" w:type="dxa"/>
            <w:tcBorders>
              <w:top w:val="nil"/>
              <w:left w:val="nil"/>
              <w:bottom w:val="single" w:sz="4" w:space="0" w:color="auto"/>
              <w:right w:val="single" w:sz="4" w:space="0" w:color="auto"/>
            </w:tcBorders>
            <w:shd w:val="clear" w:color="auto" w:fill="auto"/>
            <w:vAlign w:val="center"/>
            <w:hideMark/>
          </w:tcPr>
          <w:p w14:paraId="216D1FE0" w14:textId="3A9496C6"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la sf. per</w:t>
            </w:r>
            <w:r w:rsidR="00D80586" w:rsidRPr="00B13B9A">
              <w:rPr>
                <w:rFonts w:asciiTheme="majorHAnsi" w:eastAsia="Times New Roman" w:hAnsiTheme="majorHAnsi" w:cstheme="majorHAnsi"/>
                <w:color w:val="000000"/>
                <w:sz w:val="16"/>
                <w:szCs w:val="16"/>
                <w:lang w:val="ro-MD"/>
              </w:rPr>
              <w:t>.</w:t>
            </w:r>
          </w:p>
        </w:tc>
        <w:tc>
          <w:tcPr>
            <w:tcW w:w="616" w:type="dxa"/>
            <w:tcBorders>
              <w:top w:val="nil"/>
              <w:left w:val="nil"/>
              <w:bottom w:val="single" w:sz="4" w:space="0" w:color="auto"/>
              <w:right w:val="single" w:sz="4" w:space="0" w:color="auto"/>
            </w:tcBorders>
            <w:shd w:val="clear" w:color="auto" w:fill="auto"/>
            <w:vAlign w:val="center"/>
            <w:hideMark/>
          </w:tcPr>
          <w:p w14:paraId="726C9749" w14:textId="77777777"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Nr. efectiv de paturi</w:t>
            </w:r>
          </w:p>
        </w:tc>
        <w:tc>
          <w:tcPr>
            <w:tcW w:w="620" w:type="dxa"/>
            <w:tcBorders>
              <w:top w:val="nil"/>
              <w:left w:val="nil"/>
              <w:bottom w:val="single" w:sz="4" w:space="0" w:color="auto"/>
              <w:right w:val="single" w:sz="4" w:space="0" w:color="auto"/>
            </w:tcBorders>
            <w:shd w:val="clear" w:color="auto" w:fill="auto"/>
            <w:vAlign w:val="center"/>
            <w:hideMark/>
          </w:tcPr>
          <w:p w14:paraId="4AF4AD3A" w14:textId="3B9C1876"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la încep</w:t>
            </w:r>
            <w:r w:rsidR="00D80586" w:rsidRPr="00B13B9A">
              <w:rPr>
                <w:rFonts w:asciiTheme="majorHAnsi" w:eastAsia="Times New Roman" w:hAnsiTheme="majorHAnsi" w:cstheme="majorHAnsi"/>
                <w:color w:val="000000"/>
                <w:sz w:val="16"/>
                <w:szCs w:val="16"/>
                <w:lang w:val="ro-MD"/>
              </w:rPr>
              <w:t>.</w:t>
            </w:r>
            <w:r w:rsidRPr="00B13B9A">
              <w:rPr>
                <w:rFonts w:asciiTheme="majorHAnsi" w:eastAsia="Times New Roman" w:hAnsiTheme="majorHAnsi" w:cstheme="majorHAnsi"/>
                <w:color w:val="000000"/>
                <w:sz w:val="16"/>
                <w:szCs w:val="16"/>
                <w:lang w:val="ro-MD"/>
              </w:rPr>
              <w:t xml:space="preserve"> </w:t>
            </w:r>
            <w:r w:rsidR="00D80586" w:rsidRPr="00B13B9A">
              <w:rPr>
                <w:rFonts w:asciiTheme="majorHAnsi" w:eastAsia="Times New Roman" w:hAnsiTheme="majorHAnsi" w:cstheme="majorHAnsi"/>
                <w:color w:val="000000"/>
                <w:sz w:val="16"/>
                <w:szCs w:val="16"/>
                <w:lang w:val="ro-MD"/>
              </w:rPr>
              <w:t>P</w:t>
            </w:r>
            <w:r w:rsidRPr="00B13B9A">
              <w:rPr>
                <w:rFonts w:asciiTheme="majorHAnsi" w:eastAsia="Times New Roman" w:hAnsiTheme="majorHAnsi" w:cstheme="majorHAnsi"/>
                <w:color w:val="000000"/>
                <w:sz w:val="16"/>
                <w:szCs w:val="16"/>
                <w:lang w:val="ro-MD"/>
              </w:rPr>
              <w:t>er</w:t>
            </w:r>
            <w:r w:rsidR="00D80586" w:rsidRPr="00B13B9A">
              <w:rPr>
                <w:rFonts w:asciiTheme="majorHAnsi" w:eastAsia="Times New Roman" w:hAnsiTheme="majorHAnsi" w:cstheme="majorHAnsi"/>
                <w:color w:val="000000"/>
                <w:sz w:val="16"/>
                <w:szCs w:val="16"/>
                <w:lang w:val="ro-MD"/>
              </w:rPr>
              <w:t>.</w:t>
            </w:r>
          </w:p>
        </w:tc>
        <w:tc>
          <w:tcPr>
            <w:tcW w:w="623" w:type="dxa"/>
            <w:tcBorders>
              <w:top w:val="nil"/>
              <w:left w:val="nil"/>
              <w:bottom w:val="single" w:sz="4" w:space="0" w:color="auto"/>
              <w:right w:val="single" w:sz="4" w:space="0" w:color="auto"/>
            </w:tcBorders>
            <w:shd w:val="clear" w:color="auto" w:fill="auto"/>
            <w:vAlign w:val="center"/>
            <w:hideMark/>
          </w:tcPr>
          <w:p w14:paraId="27A65E84" w14:textId="214450E2"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la sf. per</w:t>
            </w:r>
            <w:r w:rsidR="00D80586" w:rsidRPr="00B13B9A">
              <w:rPr>
                <w:rFonts w:asciiTheme="majorHAnsi" w:eastAsia="Times New Roman" w:hAnsiTheme="majorHAnsi" w:cstheme="majorHAnsi"/>
                <w:color w:val="000000"/>
                <w:sz w:val="16"/>
                <w:szCs w:val="16"/>
                <w:lang w:val="ro-MD"/>
              </w:rPr>
              <w:t>.</w:t>
            </w:r>
          </w:p>
        </w:tc>
        <w:tc>
          <w:tcPr>
            <w:tcW w:w="551" w:type="dxa"/>
            <w:tcBorders>
              <w:top w:val="nil"/>
              <w:left w:val="nil"/>
              <w:bottom w:val="single" w:sz="4" w:space="0" w:color="auto"/>
              <w:right w:val="single" w:sz="4" w:space="0" w:color="auto"/>
            </w:tcBorders>
            <w:shd w:val="clear" w:color="auto" w:fill="auto"/>
            <w:vAlign w:val="center"/>
            <w:hideMark/>
          </w:tcPr>
          <w:p w14:paraId="3484BCA1" w14:textId="77777777"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Nr. efectiv de paturi</w:t>
            </w:r>
          </w:p>
        </w:tc>
        <w:tc>
          <w:tcPr>
            <w:tcW w:w="567" w:type="dxa"/>
            <w:tcBorders>
              <w:top w:val="nil"/>
              <w:left w:val="nil"/>
              <w:bottom w:val="single" w:sz="4" w:space="0" w:color="auto"/>
              <w:right w:val="single" w:sz="4" w:space="0" w:color="auto"/>
            </w:tcBorders>
            <w:shd w:val="clear" w:color="auto" w:fill="auto"/>
            <w:vAlign w:val="center"/>
            <w:hideMark/>
          </w:tcPr>
          <w:p w14:paraId="63453BB0" w14:textId="7370078C"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la încep</w:t>
            </w:r>
            <w:r w:rsidR="00D80586" w:rsidRPr="00B13B9A">
              <w:rPr>
                <w:rFonts w:asciiTheme="majorHAnsi" w:eastAsia="Times New Roman" w:hAnsiTheme="majorHAnsi" w:cstheme="majorHAnsi"/>
                <w:color w:val="000000"/>
                <w:sz w:val="16"/>
                <w:szCs w:val="16"/>
                <w:lang w:val="ro-MD"/>
              </w:rPr>
              <w:t>.</w:t>
            </w:r>
            <w:r w:rsidRPr="00B13B9A">
              <w:rPr>
                <w:rFonts w:asciiTheme="majorHAnsi" w:eastAsia="Times New Roman" w:hAnsiTheme="majorHAnsi" w:cstheme="majorHAnsi"/>
                <w:color w:val="000000"/>
                <w:sz w:val="16"/>
                <w:szCs w:val="16"/>
                <w:lang w:val="ro-MD"/>
              </w:rPr>
              <w:t xml:space="preserve"> </w:t>
            </w:r>
            <w:r w:rsidR="00D80586" w:rsidRPr="00B13B9A">
              <w:rPr>
                <w:rFonts w:asciiTheme="majorHAnsi" w:eastAsia="Times New Roman" w:hAnsiTheme="majorHAnsi" w:cstheme="majorHAnsi"/>
                <w:color w:val="000000"/>
                <w:sz w:val="16"/>
                <w:szCs w:val="16"/>
                <w:lang w:val="ro-MD"/>
              </w:rPr>
              <w:t>P</w:t>
            </w:r>
            <w:r w:rsidRPr="00B13B9A">
              <w:rPr>
                <w:rFonts w:asciiTheme="majorHAnsi" w:eastAsia="Times New Roman" w:hAnsiTheme="majorHAnsi" w:cstheme="majorHAnsi"/>
                <w:color w:val="000000"/>
                <w:sz w:val="16"/>
                <w:szCs w:val="16"/>
                <w:lang w:val="ro-MD"/>
              </w:rPr>
              <w:t>er</w:t>
            </w:r>
            <w:r w:rsidR="00D80586" w:rsidRPr="00B13B9A">
              <w:rPr>
                <w:rFonts w:asciiTheme="majorHAnsi" w:eastAsia="Times New Roman" w:hAnsiTheme="majorHAnsi" w:cstheme="majorHAnsi"/>
                <w:color w:val="000000"/>
                <w:sz w:val="16"/>
                <w:szCs w:val="16"/>
                <w:lang w:val="ro-MD"/>
              </w:rPr>
              <w:t>.</w:t>
            </w:r>
          </w:p>
        </w:tc>
        <w:tc>
          <w:tcPr>
            <w:tcW w:w="567" w:type="dxa"/>
            <w:tcBorders>
              <w:top w:val="nil"/>
              <w:left w:val="nil"/>
              <w:bottom w:val="single" w:sz="4" w:space="0" w:color="auto"/>
              <w:right w:val="single" w:sz="4" w:space="0" w:color="auto"/>
            </w:tcBorders>
            <w:shd w:val="clear" w:color="auto" w:fill="auto"/>
            <w:vAlign w:val="center"/>
            <w:hideMark/>
          </w:tcPr>
          <w:p w14:paraId="720FA88D" w14:textId="31EEB6BC"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la sf. per</w:t>
            </w:r>
            <w:r w:rsidR="00D80586" w:rsidRPr="00B13B9A">
              <w:rPr>
                <w:rFonts w:asciiTheme="majorHAnsi" w:eastAsia="Times New Roman" w:hAnsiTheme="majorHAnsi" w:cstheme="majorHAnsi"/>
                <w:color w:val="000000"/>
                <w:sz w:val="16"/>
                <w:szCs w:val="16"/>
                <w:lang w:val="ro-MD"/>
              </w:rPr>
              <w:t>.</w:t>
            </w:r>
          </w:p>
        </w:tc>
        <w:tc>
          <w:tcPr>
            <w:tcW w:w="703" w:type="dxa"/>
            <w:tcBorders>
              <w:top w:val="nil"/>
              <w:left w:val="nil"/>
              <w:bottom w:val="single" w:sz="4" w:space="0" w:color="auto"/>
              <w:right w:val="single" w:sz="4" w:space="0" w:color="auto"/>
            </w:tcBorders>
            <w:shd w:val="clear" w:color="auto" w:fill="auto"/>
            <w:vAlign w:val="center"/>
            <w:hideMark/>
          </w:tcPr>
          <w:p w14:paraId="5DC20C5A" w14:textId="77777777"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Nr. efectiv de paturi</w:t>
            </w:r>
          </w:p>
        </w:tc>
        <w:tc>
          <w:tcPr>
            <w:tcW w:w="700" w:type="dxa"/>
            <w:tcBorders>
              <w:top w:val="nil"/>
              <w:left w:val="nil"/>
              <w:bottom w:val="single" w:sz="4" w:space="0" w:color="auto"/>
              <w:right w:val="single" w:sz="4" w:space="0" w:color="auto"/>
            </w:tcBorders>
            <w:shd w:val="clear" w:color="auto" w:fill="auto"/>
            <w:vAlign w:val="center"/>
            <w:hideMark/>
          </w:tcPr>
          <w:p w14:paraId="7860BE85" w14:textId="6B37DA29"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la încep</w:t>
            </w:r>
            <w:r w:rsidR="00D80586" w:rsidRPr="00B13B9A">
              <w:rPr>
                <w:rFonts w:asciiTheme="majorHAnsi" w:eastAsia="Times New Roman" w:hAnsiTheme="majorHAnsi" w:cstheme="majorHAnsi"/>
                <w:color w:val="000000"/>
                <w:sz w:val="16"/>
                <w:szCs w:val="16"/>
                <w:lang w:val="ro-MD"/>
              </w:rPr>
              <w:t>.</w:t>
            </w:r>
            <w:r w:rsidRPr="00B13B9A">
              <w:rPr>
                <w:rFonts w:asciiTheme="majorHAnsi" w:eastAsia="Times New Roman" w:hAnsiTheme="majorHAnsi" w:cstheme="majorHAnsi"/>
                <w:color w:val="000000"/>
                <w:sz w:val="16"/>
                <w:szCs w:val="16"/>
                <w:lang w:val="ro-MD"/>
              </w:rPr>
              <w:t xml:space="preserve"> </w:t>
            </w:r>
            <w:r w:rsidR="00D80586" w:rsidRPr="00B13B9A">
              <w:rPr>
                <w:rFonts w:asciiTheme="majorHAnsi" w:eastAsia="Times New Roman" w:hAnsiTheme="majorHAnsi" w:cstheme="majorHAnsi"/>
                <w:color w:val="000000"/>
                <w:sz w:val="16"/>
                <w:szCs w:val="16"/>
                <w:lang w:val="ro-MD"/>
              </w:rPr>
              <w:t>P</w:t>
            </w:r>
            <w:r w:rsidRPr="00B13B9A">
              <w:rPr>
                <w:rFonts w:asciiTheme="majorHAnsi" w:eastAsia="Times New Roman" w:hAnsiTheme="majorHAnsi" w:cstheme="majorHAnsi"/>
                <w:color w:val="000000"/>
                <w:sz w:val="16"/>
                <w:szCs w:val="16"/>
                <w:lang w:val="ro-MD"/>
              </w:rPr>
              <w:t>er</w:t>
            </w:r>
            <w:r w:rsidR="00D80586" w:rsidRPr="00B13B9A">
              <w:rPr>
                <w:rFonts w:asciiTheme="majorHAnsi" w:eastAsia="Times New Roman" w:hAnsiTheme="majorHAnsi" w:cstheme="majorHAnsi"/>
                <w:color w:val="000000"/>
                <w:sz w:val="16"/>
                <w:szCs w:val="16"/>
                <w:lang w:val="ro-MD"/>
              </w:rPr>
              <w:t>.</w:t>
            </w:r>
          </w:p>
        </w:tc>
        <w:tc>
          <w:tcPr>
            <w:tcW w:w="680" w:type="dxa"/>
            <w:tcBorders>
              <w:top w:val="nil"/>
              <w:left w:val="nil"/>
              <w:bottom w:val="single" w:sz="4" w:space="0" w:color="auto"/>
              <w:right w:val="single" w:sz="4" w:space="0" w:color="auto"/>
            </w:tcBorders>
            <w:shd w:val="clear" w:color="auto" w:fill="auto"/>
            <w:vAlign w:val="center"/>
            <w:hideMark/>
          </w:tcPr>
          <w:p w14:paraId="3279EEC0" w14:textId="5747464E"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la sf. per</w:t>
            </w:r>
            <w:r w:rsidR="00D80586" w:rsidRPr="00B13B9A">
              <w:rPr>
                <w:rFonts w:asciiTheme="majorHAnsi" w:eastAsia="Times New Roman" w:hAnsiTheme="majorHAnsi" w:cstheme="majorHAnsi"/>
                <w:color w:val="000000"/>
                <w:sz w:val="16"/>
                <w:szCs w:val="16"/>
                <w:lang w:val="ro-MD"/>
              </w:rPr>
              <w:t>.</w:t>
            </w:r>
          </w:p>
        </w:tc>
      </w:tr>
      <w:tr w:rsidR="00E335CE" w:rsidRPr="00B13B9A" w14:paraId="08C58423"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E2EA075"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ian.21</w:t>
            </w:r>
          </w:p>
        </w:tc>
        <w:tc>
          <w:tcPr>
            <w:tcW w:w="703" w:type="dxa"/>
            <w:tcBorders>
              <w:top w:val="nil"/>
              <w:left w:val="nil"/>
              <w:bottom w:val="single" w:sz="4" w:space="0" w:color="auto"/>
              <w:right w:val="single" w:sz="4" w:space="0" w:color="auto"/>
            </w:tcBorders>
            <w:shd w:val="clear" w:color="auto" w:fill="auto"/>
            <w:noWrap/>
            <w:vAlign w:val="bottom"/>
            <w:hideMark/>
          </w:tcPr>
          <w:p w14:paraId="3DCE9E5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3A9E4B4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33</w:t>
            </w:r>
          </w:p>
        </w:tc>
        <w:tc>
          <w:tcPr>
            <w:tcW w:w="580" w:type="dxa"/>
            <w:tcBorders>
              <w:top w:val="nil"/>
              <w:left w:val="nil"/>
              <w:bottom w:val="single" w:sz="4" w:space="0" w:color="auto"/>
              <w:right w:val="single" w:sz="4" w:space="0" w:color="auto"/>
            </w:tcBorders>
            <w:shd w:val="clear" w:color="auto" w:fill="auto"/>
            <w:noWrap/>
            <w:vAlign w:val="bottom"/>
            <w:hideMark/>
          </w:tcPr>
          <w:p w14:paraId="65BA8F1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35</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410FB32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1258C48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28</w:t>
            </w:r>
          </w:p>
        </w:tc>
        <w:tc>
          <w:tcPr>
            <w:tcW w:w="534" w:type="dxa"/>
            <w:tcBorders>
              <w:top w:val="nil"/>
              <w:left w:val="nil"/>
              <w:bottom w:val="single" w:sz="4" w:space="0" w:color="auto"/>
              <w:right w:val="single" w:sz="4" w:space="0" w:color="auto"/>
            </w:tcBorders>
            <w:shd w:val="clear" w:color="auto" w:fill="auto"/>
            <w:noWrap/>
            <w:vAlign w:val="bottom"/>
            <w:hideMark/>
          </w:tcPr>
          <w:p w14:paraId="7278FF7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33</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26EDFC9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1300A7F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18</w:t>
            </w:r>
          </w:p>
        </w:tc>
        <w:tc>
          <w:tcPr>
            <w:tcW w:w="567" w:type="dxa"/>
            <w:tcBorders>
              <w:top w:val="nil"/>
              <w:left w:val="nil"/>
              <w:bottom w:val="single" w:sz="4" w:space="0" w:color="auto"/>
              <w:right w:val="single" w:sz="4" w:space="0" w:color="auto"/>
            </w:tcBorders>
            <w:shd w:val="clear" w:color="auto" w:fill="auto"/>
            <w:noWrap/>
            <w:vAlign w:val="bottom"/>
            <w:hideMark/>
          </w:tcPr>
          <w:p w14:paraId="1B37960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28</w:t>
            </w:r>
          </w:p>
        </w:tc>
        <w:tc>
          <w:tcPr>
            <w:tcW w:w="703" w:type="dxa"/>
            <w:tcBorders>
              <w:top w:val="nil"/>
              <w:left w:val="nil"/>
              <w:bottom w:val="single" w:sz="4" w:space="0" w:color="auto"/>
              <w:right w:val="single" w:sz="4" w:space="0" w:color="auto"/>
            </w:tcBorders>
            <w:shd w:val="clear" w:color="auto" w:fill="auto"/>
            <w:noWrap/>
            <w:vAlign w:val="bottom"/>
            <w:hideMark/>
          </w:tcPr>
          <w:p w14:paraId="3E835D5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50A0A16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25</w:t>
            </w:r>
          </w:p>
        </w:tc>
        <w:tc>
          <w:tcPr>
            <w:tcW w:w="531" w:type="dxa"/>
            <w:tcBorders>
              <w:top w:val="nil"/>
              <w:left w:val="nil"/>
              <w:bottom w:val="single" w:sz="4" w:space="0" w:color="auto"/>
              <w:right w:val="single" w:sz="4" w:space="0" w:color="auto"/>
            </w:tcBorders>
            <w:shd w:val="clear" w:color="auto" w:fill="auto"/>
            <w:noWrap/>
            <w:vAlign w:val="bottom"/>
            <w:hideMark/>
          </w:tcPr>
          <w:p w14:paraId="3D5DD61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39</w:t>
            </w:r>
          </w:p>
        </w:tc>
        <w:tc>
          <w:tcPr>
            <w:tcW w:w="616" w:type="dxa"/>
            <w:tcBorders>
              <w:top w:val="nil"/>
              <w:left w:val="nil"/>
              <w:bottom w:val="single" w:sz="4" w:space="0" w:color="auto"/>
              <w:right w:val="single" w:sz="4" w:space="0" w:color="auto"/>
            </w:tcBorders>
            <w:shd w:val="clear" w:color="auto" w:fill="auto"/>
            <w:noWrap/>
            <w:vAlign w:val="bottom"/>
            <w:hideMark/>
          </w:tcPr>
          <w:p w14:paraId="53EB4E7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052D9C0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44</w:t>
            </w:r>
          </w:p>
        </w:tc>
        <w:tc>
          <w:tcPr>
            <w:tcW w:w="623" w:type="dxa"/>
            <w:tcBorders>
              <w:top w:val="nil"/>
              <w:left w:val="nil"/>
              <w:bottom w:val="single" w:sz="4" w:space="0" w:color="auto"/>
              <w:right w:val="single" w:sz="4" w:space="0" w:color="auto"/>
            </w:tcBorders>
            <w:shd w:val="clear" w:color="auto" w:fill="auto"/>
            <w:noWrap/>
            <w:vAlign w:val="bottom"/>
            <w:hideMark/>
          </w:tcPr>
          <w:p w14:paraId="41C74A8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44</w:t>
            </w:r>
          </w:p>
        </w:tc>
        <w:tc>
          <w:tcPr>
            <w:tcW w:w="551" w:type="dxa"/>
            <w:tcBorders>
              <w:top w:val="nil"/>
              <w:left w:val="nil"/>
              <w:bottom w:val="single" w:sz="4" w:space="0" w:color="auto"/>
              <w:right w:val="single" w:sz="4" w:space="0" w:color="auto"/>
            </w:tcBorders>
            <w:shd w:val="clear" w:color="auto" w:fill="auto"/>
            <w:noWrap/>
            <w:vAlign w:val="bottom"/>
            <w:hideMark/>
          </w:tcPr>
          <w:p w14:paraId="1582E74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59F028A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w:t>
            </w:r>
          </w:p>
        </w:tc>
        <w:tc>
          <w:tcPr>
            <w:tcW w:w="567" w:type="dxa"/>
            <w:tcBorders>
              <w:top w:val="nil"/>
              <w:left w:val="nil"/>
              <w:bottom w:val="single" w:sz="4" w:space="0" w:color="auto"/>
              <w:right w:val="single" w:sz="4" w:space="0" w:color="auto"/>
            </w:tcBorders>
            <w:shd w:val="clear" w:color="auto" w:fill="auto"/>
            <w:noWrap/>
            <w:vAlign w:val="bottom"/>
            <w:hideMark/>
          </w:tcPr>
          <w:p w14:paraId="6D55350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w:t>
            </w:r>
          </w:p>
        </w:tc>
        <w:tc>
          <w:tcPr>
            <w:tcW w:w="703" w:type="dxa"/>
            <w:tcBorders>
              <w:top w:val="nil"/>
              <w:left w:val="nil"/>
              <w:bottom w:val="single" w:sz="4" w:space="0" w:color="auto"/>
              <w:right w:val="single" w:sz="4" w:space="0" w:color="auto"/>
            </w:tcBorders>
            <w:shd w:val="clear" w:color="auto" w:fill="auto"/>
            <w:noWrap/>
            <w:vAlign w:val="bottom"/>
            <w:hideMark/>
          </w:tcPr>
          <w:p w14:paraId="78E173D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7C25CE7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150</w:t>
            </w:r>
          </w:p>
        </w:tc>
        <w:tc>
          <w:tcPr>
            <w:tcW w:w="680" w:type="dxa"/>
            <w:tcBorders>
              <w:top w:val="nil"/>
              <w:left w:val="nil"/>
              <w:bottom w:val="single" w:sz="4" w:space="0" w:color="auto"/>
              <w:right w:val="single" w:sz="4" w:space="0" w:color="auto"/>
            </w:tcBorders>
            <w:shd w:val="clear" w:color="auto" w:fill="auto"/>
            <w:noWrap/>
            <w:vAlign w:val="bottom"/>
            <w:hideMark/>
          </w:tcPr>
          <w:p w14:paraId="516E1FC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184</w:t>
            </w:r>
          </w:p>
        </w:tc>
      </w:tr>
      <w:tr w:rsidR="00E335CE" w:rsidRPr="00B13B9A" w14:paraId="1C22BA56"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C6AF5B4"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feb.21</w:t>
            </w:r>
          </w:p>
        </w:tc>
        <w:tc>
          <w:tcPr>
            <w:tcW w:w="703" w:type="dxa"/>
            <w:tcBorders>
              <w:top w:val="nil"/>
              <w:left w:val="nil"/>
              <w:bottom w:val="single" w:sz="4" w:space="0" w:color="auto"/>
              <w:right w:val="single" w:sz="4" w:space="0" w:color="auto"/>
            </w:tcBorders>
            <w:shd w:val="clear" w:color="auto" w:fill="auto"/>
            <w:noWrap/>
            <w:vAlign w:val="bottom"/>
            <w:hideMark/>
          </w:tcPr>
          <w:p w14:paraId="4E60BCB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703415B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35</w:t>
            </w:r>
          </w:p>
        </w:tc>
        <w:tc>
          <w:tcPr>
            <w:tcW w:w="580" w:type="dxa"/>
            <w:tcBorders>
              <w:top w:val="nil"/>
              <w:left w:val="nil"/>
              <w:bottom w:val="single" w:sz="4" w:space="0" w:color="auto"/>
              <w:right w:val="single" w:sz="4" w:space="0" w:color="auto"/>
            </w:tcBorders>
            <w:shd w:val="clear" w:color="auto" w:fill="auto"/>
            <w:noWrap/>
            <w:vAlign w:val="bottom"/>
            <w:hideMark/>
          </w:tcPr>
          <w:p w14:paraId="1931DC8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59</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28E6192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1E6005E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33</w:t>
            </w:r>
          </w:p>
        </w:tc>
        <w:tc>
          <w:tcPr>
            <w:tcW w:w="534" w:type="dxa"/>
            <w:tcBorders>
              <w:top w:val="nil"/>
              <w:left w:val="nil"/>
              <w:bottom w:val="single" w:sz="4" w:space="0" w:color="auto"/>
              <w:right w:val="single" w:sz="4" w:space="0" w:color="auto"/>
            </w:tcBorders>
            <w:shd w:val="clear" w:color="auto" w:fill="auto"/>
            <w:noWrap/>
            <w:vAlign w:val="bottom"/>
            <w:hideMark/>
          </w:tcPr>
          <w:p w14:paraId="64CE1CE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30</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523751B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2F4688C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28</w:t>
            </w:r>
          </w:p>
        </w:tc>
        <w:tc>
          <w:tcPr>
            <w:tcW w:w="567" w:type="dxa"/>
            <w:tcBorders>
              <w:top w:val="nil"/>
              <w:left w:val="nil"/>
              <w:bottom w:val="single" w:sz="4" w:space="0" w:color="auto"/>
              <w:right w:val="single" w:sz="4" w:space="0" w:color="auto"/>
            </w:tcBorders>
            <w:shd w:val="clear" w:color="auto" w:fill="auto"/>
            <w:noWrap/>
            <w:vAlign w:val="bottom"/>
            <w:hideMark/>
          </w:tcPr>
          <w:p w14:paraId="3FF96BE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58</w:t>
            </w:r>
          </w:p>
        </w:tc>
        <w:tc>
          <w:tcPr>
            <w:tcW w:w="703" w:type="dxa"/>
            <w:tcBorders>
              <w:top w:val="nil"/>
              <w:left w:val="nil"/>
              <w:bottom w:val="single" w:sz="4" w:space="0" w:color="auto"/>
              <w:right w:val="single" w:sz="4" w:space="0" w:color="auto"/>
            </w:tcBorders>
            <w:shd w:val="clear" w:color="auto" w:fill="auto"/>
            <w:noWrap/>
            <w:vAlign w:val="bottom"/>
            <w:hideMark/>
          </w:tcPr>
          <w:p w14:paraId="5EADF05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51EAD90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39</w:t>
            </w:r>
          </w:p>
        </w:tc>
        <w:tc>
          <w:tcPr>
            <w:tcW w:w="531" w:type="dxa"/>
            <w:tcBorders>
              <w:top w:val="nil"/>
              <w:left w:val="nil"/>
              <w:bottom w:val="single" w:sz="4" w:space="0" w:color="auto"/>
              <w:right w:val="single" w:sz="4" w:space="0" w:color="auto"/>
            </w:tcBorders>
            <w:shd w:val="clear" w:color="auto" w:fill="auto"/>
            <w:noWrap/>
            <w:vAlign w:val="bottom"/>
            <w:hideMark/>
          </w:tcPr>
          <w:p w14:paraId="3994D90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46</w:t>
            </w:r>
          </w:p>
        </w:tc>
        <w:tc>
          <w:tcPr>
            <w:tcW w:w="616" w:type="dxa"/>
            <w:tcBorders>
              <w:top w:val="nil"/>
              <w:left w:val="nil"/>
              <w:bottom w:val="single" w:sz="4" w:space="0" w:color="auto"/>
              <w:right w:val="single" w:sz="4" w:space="0" w:color="auto"/>
            </w:tcBorders>
            <w:shd w:val="clear" w:color="auto" w:fill="auto"/>
            <w:noWrap/>
            <w:vAlign w:val="bottom"/>
            <w:hideMark/>
          </w:tcPr>
          <w:p w14:paraId="1E57BD1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26FCD38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44</w:t>
            </w:r>
          </w:p>
        </w:tc>
        <w:tc>
          <w:tcPr>
            <w:tcW w:w="623" w:type="dxa"/>
            <w:tcBorders>
              <w:top w:val="nil"/>
              <w:left w:val="nil"/>
              <w:bottom w:val="single" w:sz="4" w:space="0" w:color="auto"/>
              <w:right w:val="single" w:sz="4" w:space="0" w:color="auto"/>
            </w:tcBorders>
            <w:shd w:val="clear" w:color="auto" w:fill="auto"/>
            <w:noWrap/>
            <w:vAlign w:val="bottom"/>
            <w:hideMark/>
          </w:tcPr>
          <w:p w14:paraId="4C4B84C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78</w:t>
            </w:r>
          </w:p>
        </w:tc>
        <w:tc>
          <w:tcPr>
            <w:tcW w:w="551" w:type="dxa"/>
            <w:tcBorders>
              <w:top w:val="nil"/>
              <w:left w:val="nil"/>
              <w:bottom w:val="single" w:sz="4" w:space="0" w:color="auto"/>
              <w:right w:val="single" w:sz="4" w:space="0" w:color="auto"/>
            </w:tcBorders>
            <w:shd w:val="clear" w:color="auto" w:fill="auto"/>
            <w:noWrap/>
            <w:vAlign w:val="bottom"/>
            <w:hideMark/>
          </w:tcPr>
          <w:p w14:paraId="0832DDD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2274E5A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w:t>
            </w:r>
          </w:p>
        </w:tc>
        <w:tc>
          <w:tcPr>
            <w:tcW w:w="567" w:type="dxa"/>
            <w:tcBorders>
              <w:top w:val="nil"/>
              <w:left w:val="nil"/>
              <w:bottom w:val="single" w:sz="4" w:space="0" w:color="auto"/>
              <w:right w:val="single" w:sz="4" w:space="0" w:color="auto"/>
            </w:tcBorders>
            <w:shd w:val="clear" w:color="auto" w:fill="auto"/>
            <w:noWrap/>
            <w:vAlign w:val="bottom"/>
            <w:hideMark/>
          </w:tcPr>
          <w:p w14:paraId="799C31F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w:t>
            </w:r>
          </w:p>
        </w:tc>
        <w:tc>
          <w:tcPr>
            <w:tcW w:w="703" w:type="dxa"/>
            <w:tcBorders>
              <w:top w:val="nil"/>
              <w:left w:val="nil"/>
              <w:bottom w:val="single" w:sz="4" w:space="0" w:color="auto"/>
              <w:right w:val="single" w:sz="4" w:space="0" w:color="auto"/>
            </w:tcBorders>
            <w:shd w:val="clear" w:color="auto" w:fill="auto"/>
            <w:noWrap/>
            <w:vAlign w:val="bottom"/>
            <w:hideMark/>
          </w:tcPr>
          <w:p w14:paraId="783647F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5574C4F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184</w:t>
            </w:r>
          </w:p>
        </w:tc>
        <w:tc>
          <w:tcPr>
            <w:tcW w:w="680" w:type="dxa"/>
            <w:tcBorders>
              <w:top w:val="nil"/>
              <w:left w:val="nil"/>
              <w:bottom w:val="single" w:sz="4" w:space="0" w:color="auto"/>
              <w:right w:val="single" w:sz="4" w:space="0" w:color="auto"/>
            </w:tcBorders>
            <w:shd w:val="clear" w:color="auto" w:fill="auto"/>
            <w:noWrap/>
            <w:vAlign w:val="bottom"/>
            <w:hideMark/>
          </w:tcPr>
          <w:p w14:paraId="7BB64FD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279</w:t>
            </w:r>
          </w:p>
        </w:tc>
      </w:tr>
      <w:tr w:rsidR="00E335CE" w:rsidRPr="00B13B9A" w14:paraId="3B2CCB99"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B534231"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mar.21</w:t>
            </w:r>
          </w:p>
        </w:tc>
        <w:tc>
          <w:tcPr>
            <w:tcW w:w="703" w:type="dxa"/>
            <w:tcBorders>
              <w:top w:val="nil"/>
              <w:left w:val="nil"/>
              <w:bottom w:val="single" w:sz="4" w:space="0" w:color="auto"/>
              <w:right w:val="single" w:sz="4" w:space="0" w:color="auto"/>
            </w:tcBorders>
            <w:shd w:val="clear" w:color="auto" w:fill="auto"/>
            <w:noWrap/>
            <w:vAlign w:val="bottom"/>
            <w:hideMark/>
          </w:tcPr>
          <w:p w14:paraId="441F408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7DFC005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59</w:t>
            </w:r>
          </w:p>
        </w:tc>
        <w:tc>
          <w:tcPr>
            <w:tcW w:w="580" w:type="dxa"/>
            <w:tcBorders>
              <w:top w:val="nil"/>
              <w:left w:val="nil"/>
              <w:bottom w:val="single" w:sz="4" w:space="0" w:color="auto"/>
              <w:right w:val="single" w:sz="4" w:space="0" w:color="auto"/>
            </w:tcBorders>
            <w:shd w:val="clear" w:color="auto" w:fill="auto"/>
            <w:noWrap/>
            <w:vAlign w:val="bottom"/>
            <w:hideMark/>
          </w:tcPr>
          <w:p w14:paraId="47A50BE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51</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21C5724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2EBF03B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30</w:t>
            </w:r>
          </w:p>
        </w:tc>
        <w:tc>
          <w:tcPr>
            <w:tcW w:w="534" w:type="dxa"/>
            <w:tcBorders>
              <w:top w:val="nil"/>
              <w:left w:val="nil"/>
              <w:bottom w:val="single" w:sz="4" w:space="0" w:color="auto"/>
              <w:right w:val="single" w:sz="4" w:space="0" w:color="auto"/>
            </w:tcBorders>
            <w:shd w:val="clear" w:color="auto" w:fill="auto"/>
            <w:noWrap/>
            <w:vAlign w:val="bottom"/>
            <w:hideMark/>
          </w:tcPr>
          <w:p w14:paraId="70FD393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34</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3D8A1C9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7677027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58</w:t>
            </w:r>
          </w:p>
        </w:tc>
        <w:tc>
          <w:tcPr>
            <w:tcW w:w="567" w:type="dxa"/>
            <w:tcBorders>
              <w:top w:val="nil"/>
              <w:left w:val="nil"/>
              <w:bottom w:val="single" w:sz="4" w:space="0" w:color="auto"/>
              <w:right w:val="single" w:sz="4" w:space="0" w:color="auto"/>
            </w:tcBorders>
            <w:shd w:val="clear" w:color="auto" w:fill="auto"/>
            <w:noWrap/>
            <w:vAlign w:val="bottom"/>
            <w:hideMark/>
          </w:tcPr>
          <w:p w14:paraId="4EA5E7D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703" w:type="dxa"/>
            <w:tcBorders>
              <w:top w:val="nil"/>
              <w:left w:val="nil"/>
              <w:bottom w:val="single" w:sz="4" w:space="0" w:color="auto"/>
              <w:right w:val="single" w:sz="4" w:space="0" w:color="auto"/>
            </w:tcBorders>
            <w:shd w:val="clear" w:color="auto" w:fill="auto"/>
            <w:noWrap/>
            <w:vAlign w:val="bottom"/>
            <w:hideMark/>
          </w:tcPr>
          <w:p w14:paraId="4DBB287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200B905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46</w:t>
            </w:r>
          </w:p>
        </w:tc>
        <w:tc>
          <w:tcPr>
            <w:tcW w:w="531" w:type="dxa"/>
            <w:tcBorders>
              <w:top w:val="nil"/>
              <w:left w:val="nil"/>
              <w:bottom w:val="single" w:sz="4" w:space="0" w:color="auto"/>
              <w:right w:val="single" w:sz="4" w:space="0" w:color="auto"/>
            </w:tcBorders>
            <w:shd w:val="clear" w:color="auto" w:fill="auto"/>
            <w:noWrap/>
            <w:vAlign w:val="bottom"/>
            <w:hideMark/>
          </w:tcPr>
          <w:p w14:paraId="76ADBEF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44</w:t>
            </w:r>
          </w:p>
        </w:tc>
        <w:tc>
          <w:tcPr>
            <w:tcW w:w="616" w:type="dxa"/>
            <w:tcBorders>
              <w:top w:val="nil"/>
              <w:left w:val="nil"/>
              <w:bottom w:val="single" w:sz="4" w:space="0" w:color="auto"/>
              <w:right w:val="single" w:sz="4" w:space="0" w:color="auto"/>
            </w:tcBorders>
            <w:shd w:val="clear" w:color="auto" w:fill="auto"/>
            <w:noWrap/>
            <w:vAlign w:val="bottom"/>
            <w:hideMark/>
          </w:tcPr>
          <w:p w14:paraId="0283BD4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13014BC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78</w:t>
            </w:r>
          </w:p>
        </w:tc>
        <w:tc>
          <w:tcPr>
            <w:tcW w:w="623" w:type="dxa"/>
            <w:tcBorders>
              <w:top w:val="nil"/>
              <w:left w:val="nil"/>
              <w:bottom w:val="single" w:sz="4" w:space="0" w:color="auto"/>
              <w:right w:val="single" w:sz="4" w:space="0" w:color="auto"/>
            </w:tcBorders>
            <w:shd w:val="clear" w:color="auto" w:fill="auto"/>
            <w:noWrap/>
            <w:vAlign w:val="bottom"/>
            <w:hideMark/>
          </w:tcPr>
          <w:p w14:paraId="33C5A66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58</w:t>
            </w:r>
          </w:p>
        </w:tc>
        <w:tc>
          <w:tcPr>
            <w:tcW w:w="551" w:type="dxa"/>
            <w:tcBorders>
              <w:top w:val="nil"/>
              <w:left w:val="nil"/>
              <w:bottom w:val="single" w:sz="4" w:space="0" w:color="auto"/>
              <w:right w:val="single" w:sz="4" w:space="0" w:color="auto"/>
            </w:tcBorders>
            <w:shd w:val="clear" w:color="auto" w:fill="auto"/>
            <w:noWrap/>
            <w:vAlign w:val="bottom"/>
            <w:hideMark/>
          </w:tcPr>
          <w:p w14:paraId="408CBCD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723569A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w:t>
            </w:r>
          </w:p>
        </w:tc>
        <w:tc>
          <w:tcPr>
            <w:tcW w:w="567" w:type="dxa"/>
            <w:tcBorders>
              <w:top w:val="nil"/>
              <w:left w:val="nil"/>
              <w:bottom w:val="single" w:sz="4" w:space="0" w:color="auto"/>
              <w:right w:val="single" w:sz="4" w:space="0" w:color="auto"/>
            </w:tcBorders>
            <w:shd w:val="clear" w:color="auto" w:fill="auto"/>
            <w:noWrap/>
            <w:vAlign w:val="bottom"/>
            <w:hideMark/>
          </w:tcPr>
          <w:p w14:paraId="06224A6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10</w:t>
            </w:r>
          </w:p>
        </w:tc>
        <w:tc>
          <w:tcPr>
            <w:tcW w:w="703" w:type="dxa"/>
            <w:tcBorders>
              <w:top w:val="nil"/>
              <w:left w:val="nil"/>
              <w:bottom w:val="single" w:sz="4" w:space="0" w:color="auto"/>
              <w:right w:val="single" w:sz="4" w:space="0" w:color="auto"/>
            </w:tcBorders>
            <w:shd w:val="clear" w:color="auto" w:fill="auto"/>
            <w:noWrap/>
            <w:vAlign w:val="bottom"/>
            <w:hideMark/>
          </w:tcPr>
          <w:p w14:paraId="6C8D80F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0B99C0B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279</w:t>
            </w:r>
          </w:p>
        </w:tc>
        <w:tc>
          <w:tcPr>
            <w:tcW w:w="680" w:type="dxa"/>
            <w:tcBorders>
              <w:top w:val="nil"/>
              <w:left w:val="nil"/>
              <w:bottom w:val="single" w:sz="4" w:space="0" w:color="auto"/>
              <w:right w:val="single" w:sz="4" w:space="0" w:color="auto"/>
            </w:tcBorders>
            <w:shd w:val="clear" w:color="auto" w:fill="auto"/>
            <w:noWrap/>
            <w:vAlign w:val="bottom"/>
            <w:hideMark/>
          </w:tcPr>
          <w:p w14:paraId="248270C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242</w:t>
            </w:r>
          </w:p>
        </w:tc>
      </w:tr>
      <w:tr w:rsidR="00E335CE" w:rsidRPr="00B13B9A" w14:paraId="378F55F2"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08B6F7E"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apr.21</w:t>
            </w:r>
          </w:p>
        </w:tc>
        <w:tc>
          <w:tcPr>
            <w:tcW w:w="703" w:type="dxa"/>
            <w:tcBorders>
              <w:top w:val="nil"/>
              <w:left w:val="nil"/>
              <w:bottom w:val="single" w:sz="4" w:space="0" w:color="auto"/>
              <w:right w:val="single" w:sz="4" w:space="0" w:color="auto"/>
            </w:tcBorders>
            <w:shd w:val="clear" w:color="auto" w:fill="auto"/>
            <w:noWrap/>
            <w:vAlign w:val="bottom"/>
            <w:hideMark/>
          </w:tcPr>
          <w:p w14:paraId="4041167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1C08412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51</w:t>
            </w:r>
          </w:p>
        </w:tc>
        <w:tc>
          <w:tcPr>
            <w:tcW w:w="580" w:type="dxa"/>
            <w:tcBorders>
              <w:top w:val="nil"/>
              <w:left w:val="nil"/>
              <w:bottom w:val="single" w:sz="4" w:space="0" w:color="auto"/>
              <w:right w:val="single" w:sz="4" w:space="0" w:color="auto"/>
            </w:tcBorders>
            <w:shd w:val="clear" w:color="auto" w:fill="auto"/>
            <w:noWrap/>
            <w:vAlign w:val="bottom"/>
            <w:hideMark/>
          </w:tcPr>
          <w:p w14:paraId="03B75DA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26</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2C9111F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546ABD9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34</w:t>
            </w:r>
          </w:p>
        </w:tc>
        <w:tc>
          <w:tcPr>
            <w:tcW w:w="534" w:type="dxa"/>
            <w:tcBorders>
              <w:top w:val="nil"/>
              <w:left w:val="nil"/>
              <w:bottom w:val="single" w:sz="4" w:space="0" w:color="auto"/>
              <w:right w:val="single" w:sz="4" w:space="0" w:color="auto"/>
            </w:tcBorders>
            <w:shd w:val="clear" w:color="auto" w:fill="auto"/>
            <w:noWrap/>
            <w:vAlign w:val="bottom"/>
            <w:hideMark/>
          </w:tcPr>
          <w:p w14:paraId="1DF9398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35</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7D20D5C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6FB6C03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567" w:type="dxa"/>
            <w:tcBorders>
              <w:top w:val="nil"/>
              <w:left w:val="nil"/>
              <w:bottom w:val="single" w:sz="4" w:space="0" w:color="auto"/>
              <w:right w:val="single" w:sz="4" w:space="0" w:color="auto"/>
            </w:tcBorders>
            <w:shd w:val="clear" w:color="auto" w:fill="auto"/>
            <w:noWrap/>
            <w:vAlign w:val="bottom"/>
            <w:hideMark/>
          </w:tcPr>
          <w:p w14:paraId="50F8AE0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26</w:t>
            </w:r>
          </w:p>
        </w:tc>
        <w:tc>
          <w:tcPr>
            <w:tcW w:w="703" w:type="dxa"/>
            <w:tcBorders>
              <w:top w:val="nil"/>
              <w:left w:val="nil"/>
              <w:bottom w:val="single" w:sz="4" w:space="0" w:color="auto"/>
              <w:right w:val="single" w:sz="4" w:space="0" w:color="auto"/>
            </w:tcBorders>
            <w:shd w:val="clear" w:color="auto" w:fill="auto"/>
            <w:noWrap/>
            <w:vAlign w:val="bottom"/>
            <w:hideMark/>
          </w:tcPr>
          <w:p w14:paraId="6F386D3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62C21BA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44</w:t>
            </w:r>
          </w:p>
        </w:tc>
        <w:tc>
          <w:tcPr>
            <w:tcW w:w="531" w:type="dxa"/>
            <w:tcBorders>
              <w:top w:val="nil"/>
              <w:left w:val="nil"/>
              <w:bottom w:val="single" w:sz="4" w:space="0" w:color="auto"/>
              <w:right w:val="single" w:sz="4" w:space="0" w:color="auto"/>
            </w:tcBorders>
            <w:shd w:val="clear" w:color="auto" w:fill="auto"/>
            <w:noWrap/>
            <w:vAlign w:val="bottom"/>
            <w:hideMark/>
          </w:tcPr>
          <w:p w14:paraId="4BAB1B7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42</w:t>
            </w:r>
          </w:p>
        </w:tc>
        <w:tc>
          <w:tcPr>
            <w:tcW w:w="616" w:type="dxa"/>
            <w:tcBorders>
              <w:top w:val="nil"/>
              <w:left w:val="nil"/>
              <w:bottom w:val="single" w:sz="4" w:space="0" w:color="auto"/>
              <w:right w:val="single" w:sz="4" w:space="0" w:color="auto"/>
            </w:tcBorders>
            <w:shd w:val="clear" w:color="auto" w:fill="auto"/>
            <w:noWrap/>
            <w:vAlign w:val="bottom"/>
            <w:hideMark/>
          </w:tcPr>
          <w:p w14:paraId="7E48DF7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4CB0FBF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58</w:t>
            </w:r>
          </w:p>
        </w:tc>
        <w:tc>
          <w:tcPr>
            <w:tcW w:w="623" w:type="dxa"/>
            <w:tcBorders>
              <w:top w:val="nil"/>
              <w:left w:val="nil"/>
              <w:bottom w:val="single" w:sz="4" w:space="0" w:color="auto"/>
              <w:right w:val="single" w:sz="4" w:space="0" w:color="auto"/>
            </w:tcBorders>
            <w:shd w:val="clear" w:color="auto" w:fill="auto"/>
            <w:noWrap/>
            <w:vAlign w:val="bottom"/>
            <w:hideMark/>
          </w:tcPr>
          <w:p w14:paraId="3CC0288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53</w:t>
            </w:r>
          </w:p>
        </w:tc>
        <w:tc>
          <w:tcPr>
            <w:tcW w:w="551" w:type="dxa"/>
            <w:tcBorders>
              <w:top w:val="nil"/>
              <w:left w:val="nil"/>
              <w:bottom w:val="single" w:sz="4" w:space="0" w:color="auto"/>
              <w:right w:val="single" w:sz="4" w:space="0" w:color="auto"/>
            </w:tcBorders>
            <w:shd w:val="clear" w:color="auto" w:fill="auto"/>
            <w:noWrap/>
            <w:vAlign w:val="bottom"/>
            <w:hideMark/>
          </w:tcPr>
          <w:p w14:paraId="32E0649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657EE31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10</w:t>
            </w:r>
          </w:p>
        </w:tc>
        <w:tc>
          <w:tcPr>
            <w:tcW w:w="567" w:type="dxa"/>
            <w:tcBorders>
              <w:top w:val="nil"/>
              <w:left w:val="nil"/>
              <w:bottom w:val="single" w:sz="4" w:space="0" w:color="auto"/>
              <w:right w:val="single" w:sz="4" w:space="0" w:color="auto"/>
            </w:tcBorders>
            <w:shd w:val="clear" w:color="auto" w:fill="auto"/>
            <w:noWrap/>
            <w:vAlign w:val="bottom"/>
            <w:hideMark/>
          </w:tcPr>
          <w:p w14:paraId="4FDBEAF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w:t>
            </w:r>
          </w:p>
        </w:tc>
        <w:tc>
          <w:tcPr>
            <w:tcW w:w="703" w:type="dxa"/>
            <w:tcBorders>
              <w:top w:val="nil"/>
              <w:left w:val="nil"/>
              <w:bottom w:val="single" w:sz="4" w:space="0" w:color="auto"/>
              <w:right w:val="single" w:sz="4" w:space="0" w:color="auto"/>
            </w:tcBorders>
            <w:shd w:val="clear" w:color="auto" w:fill="auto"/>
            <w:noWrap/>
            <w:vAlign w:val="bottom"/>
            <w:hideMark/>
          </w:tcPr>
          <w:p w14:paraId="42D0C86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5EA4579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242</w:t>
            </w:r>
          </w:p>
        </w:tc>
        <w:tc>
          <w:tcPr>
            <w:tcW w:w="680" w:type="dxa"/>
            <w:tcBorders>
              <w:top w:val="nil"/>
              <w:left w:val="nil"/>
              <w:bottom w:val="single" w:sz="4" w:space="0" w:color="auto"/>
              <w:right w:val="single" w:sz="4" w:space="0" w:color="auto"/>
            </w:tcBorders>
            <w:shd w:val="clear" w:color="auto" w:fill="auto"/>
            <w:noWrap/>
            <w:vAlign w:val="bottom"/>
            <w:hideMark/>
          </w:tcPr>
          <w:p w14:paraId="61C0ABE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189</w:t>
            </w:r>
          </w:p>
        </w:tc>
      </w:tr>
      <w:tr w:rsidR="00E335CE" w:rsidRPr="00B13B9A" w14:paraId="2EC6C6F5"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0E0F205"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mai.21</w:t>
            </w:r>
          </w:p>
        </w:tc>
        <w:tc>
          <w:tcPr>
            <w:tcW w:w="703" w:type="dxa"/>
            <w:tcBorders>
              <w:top w:val="nil"/>
              <w:left w:val="nil"/>
              <w:bottom w:val="single" w:sz="4" w:space="0" w:color="auto"/>
              <w:right w:val="single" w:sz="4" w:space="0" w:color="auto"/>
            </w:tcBorders>
            <w:shd w:val="clear" w:color="auto" w:fill="auto"/>
            <w:noWrap/>
            <w:vAlign w:val="bottom"/>
            <w:hideMark/>
          </w:tcPr>
          <w:p w14:paraId="20B159C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4ECDBDF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26</w:t>
            </w:r>
          </w:p>
        </w:tc>
        <w:tc>
          <w:tcPr>
            <w:tcW w:w="580" w:type="dxa"/>
            <w:tcBorders>
              <w:top w:val="nil"/>
              <w:left w:val="nil"/>
              <w:bottom w:val="single" w:sz="4" w:space="0" w:color="auto"/>
              <w:right w:val="single" w:sz="4" w:space="0" w:color="auto"/>
            </w:tcBorders>
            <w:shd w:val="clear" w:color="auto" w:fill="auto"/>
            <w:noWrap/>
            <w:vAlign w:val="bottom"/>
            <w:hideMark/>
          </w:tcPr>
          <w:p w14:paraId="45FEBAE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21</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5854EC8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4D031B9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35</w:t>
            </w:r>
          </w:p>
        </w:tc>
        <w:tc>
          <w:tcPr>
            <w:tcW w:w="534" w:type="dxa"/>
            <w:tcBorders>
              <w:top w:val="nil"/>
              <w:left w:val="nil"/>
              <w:bottom w:val="single" w:sz="4" w:space="0" w:color="auto"/>
              <w:right w:val="single" w:sz="4" w:space="0" w:color="auto"/>
            </w:tcBorders>
            <w:shd w:val="clear" w:color="auto" w:fill="auto"/>
            <w:noWrap/>
            <w:vAlign w:val="bottom"/>
            <w:hideMark/>
          </w:tcPr>
          <w:p w14:paraId="0B461ED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44</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1C19CD5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24E63A2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26</w:t>
            </w:r>
          </w:p>
        </w:tc>
        <w:tc>
          <w:tcPr>
            <w:tcW w:w="567" w:type="dxa"/>
            <w:tcBorders>
              <w:top w:val="nil"/>
              <w:left w:val="nil"/>
              <w:bottom w:val="single" w:sz="4" w:space="0" w:color="auto"/>
              <w:right w:val="single" w:sz="4" w:space="0" w:color="auto"/>
            </w:tcBorders>
            <w:shd w:val="clear" w:color="auto" w:fill="auto"/>
            <w:noWrap/>
            <w:vAlign w:val="bottom"/>
            <w:hideMark/>
          </w:tcPr>
          <w:p w14:paraId="2F52881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48</w:t>
            </w:r>
          </w:p>
        </w:tc>
        <w:tc>
          <w:tcPr>
            <w:tcW w:w="703" w:type="dxa"/>
            <w:tcBorders>
              <w:top w:val="nil"/>
              <w:left w:val="nil"/>
              <w:bottom w:val="single" w:sz="4" w:space="0" w:color="auto"/>
              <w:right w:val="single" w:sz="4" w:space="0" w:color="auto"/>
            </w:tcBorders>
            <w:shd w:val="clear" w:color="auto" w:fill="auto"/>
            <w:noWrap/>
            <w:vAlign w:val="bottom"/>
            <w:hideMark/>
          </w:tcPr>
          <w:p w14:paraId="0C3BDFF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700B684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42</w:t>
            </w:r>
          </w:p>
        </w:tc>
        <w:tc>
          <w:tcPr>
            <w:tcW w:w="531" w:type="dxa"/>
            <w:tcBorders>
              <w:top w:val="nil"/>
              <w:left w:val="nil"/>
              <w:bottom w:val="single" w:sz="4" w:space="0" w:color="auto"/>
              <w:right w:val="single" w:sz="4" w:space="0" w:color="auto"/>
            </w:tcBorders>
            <w:shd w:val="clear" w:color="auto" w:fill="auto"/>
            <w:noWrap/>
            <w:vAlign w:val="bottom"/>
            <w:hideMark/>
          </w:tcPr>
          <w:p w14:paraId="00AD824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38</w:t>
            </w:r>
          </w:p>
        </w:tc>
        <w:tc>
          <w:tcPr>
            <w:tcW w:w="616" w:type="dxa"/>
            <w:tcBorders>
              <w:top w:val="nil"/>
              <w:left w:val="nil"/>
              <w:bottom w:val="single" w:sz="4" w:space="0" w:color="auto"/>
              <w:right w:val="single" w:sz="4" w:space="0" w:color="auto"/>
            </w:tcBorders>
            <w:shd w:val="clear" w:color="auto" w:fill="auto"/>
            <w:noWrap/>
            <w:vAlign w:val="bottom"/>
            <w:hideMark/>
          </w:tcPr>
          <w:p w14:paraId="1B6BC71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10C0B8E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53</w:t>
            </w:r>
          </w:p>
        </w:tc>
        <w:tc>
          <w:tcPr>
            <w:tcW w:w="623" w:type="dxa"/>
            <w:tcBorders>
              <w:top w:val="nil"/>
              <w:left w:val="nil"/>
              <w:bottom w:val="single" w:sz="4" w:space="0" w:color="auto"/>
              <w:right w:val="single" w:sz="4" w:space="0" w:color="auto"/>
            </w:tcBorders>
            <w:shd w:val="clear" w:color="auto" w:fill="auto"/>
            <w:noWrap/>
            <w:vAlign w:val="bottom"/>
            <w:hideMark/>
          </w:tcPr>
          <w:p w14:paraId="4C81960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43</w:t>
            </w:r>
          </w:p>
        </w:tc>
        <w:tc>
          <w:tcPr>
            <w:tcW w:w="551" w:type="dxa"/>
            <w:tcBorders>
              <w:top w:val="nil"/>
              <w:left w:val="nil"/>
              <w:bottom w:val="single" w:sz="4" w:space="0" w:color="auto"/>
              <w:right w:val="single" w:sz="4" w:space="0" w:color="auto"/>
            </w:tcBorders>
            <w:shd w:val="clear" w:color="auto" w:fill="auto"/>
            <w:noWrap/>
            <w:vAlign w:val="bottom"/>
            <w:hideMark/>
          </w:tcPr>
          <w:p w14:paraId="226627A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440D342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w:t>
            </w:r>
          </w:p>
        </w:tc>
        <w:tc>
          <w:tcPr>
            <w:tcW w:w="567" w:type="dxa"/>
            <w:tcBorders>
              <w:top w:val="nil"/>
              <w:left w:val="nil"/>
              <w:bottom w:val="single" w:sz="4" w:space="0" w:color="auto"/>
              <w:right w:val="single" w:sz="4" w:space="0" w:color="auto"/>
            </w:tcBorders>
            <w:shd w:val="clear" w:color="auto" w:fill="auto"/>
            <w:noWrap/>
            <w:vAlign w:val="bottom"/>
            <w:hideMark/>
          </w:tcPr>
          <w:p w14:paraId="49966BE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w:t>
            </w:r>
          </w:p>
        </w:tc>
        <w:tc>
          <w:tcPr>
            <w:tcW w:w="703" w:type="dxa"/>
            <w:tcBorders>
              <w:top w:val="nil"/>
              <w:left w:val="nil"/>
              <w:bottom w:val="single" w:sz="4" w:space="0" w:color="auto"/>
              <w:right w:val="single" w:sz="4" w:space="0" w:color="auto"/>
            </w:tcBorders>
            <w:shd w:val="clear" w:color="auto" w:fill="auto"/>
            <w:noWrap/>
            <w:vAlign w:val="bottom"/>
            <w:hideMark/>
          </w:tcPr>
          <w:p w14:paraId="2AB6251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28B957E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189</w:t>
            </w:r>
          </w:p>
        </w:tc>
        <w:tc>
          <w:tcPr>
            <w:tcW w:w="680" w:type="dxa"/>
            <w:tcBorders>
              <w:top w:val="nil"/>
              <w:left w:val="nil"/>
              <w:bottom w:val="single" w:sz="4" w:space="0" w:color="auto"/>
              <w:right w:val="single" w:sz="4" w:space="0" w:color="auto"/>
            </w:tcBorders>
            <w:shd w:val="clear" w:color="auto" w:fill="auto"/>
            <w:noWrap/>
            <w:vAlign w:val="bottom"/>
            <w:hideMark/>
          </w:tcPr>
          <w:p w14:paraId="696DA7A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198</w:t>
            </w:r>
          </w:p>
        </w:tc>
      </w:tr>
      <w:tr w:rsidR="00E335CE" w:rsidRPr="00B13B9A" w14:paraId="2B5C582A"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ACB6B70"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iun.21</w:t>
            </w:r>
          </w:p>
        </w:tc>
        <w:tc>
          <w:tcPr>
            <w:tcW w:w="703" w:type="dxa"/>
            <w:tcBorders>
              <w:top w:val="nil"/>
              <w:left w:val="nil"/>
              <w:bottom w:val="single" w:sz="4" w:space="0" w:color="auto"/>
              <w:right w:val="single" w:sz="4" w:space="0" w:color="auto"/>
            </w:tcBorders>
            <w:shd w:val="clear" w:color="auto" w:fill="auto"/>
            <w:noWrap/>
            <w:vAlign w:val="bottom"/>
            <w:hideMark/>
          </w:tcPr>
          <w:p w14:paraId="08E577A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662B7AC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21</w:t>
            </w:r>
          </w:p>
        </w:tc>
        <w:tc>
          <w:tcPr>
            <w:tcW w:w="580" w:type="dxa"/>
            <w:tcBorders>
              <w:top w:val="nil"/>
              <w:left w:val="nil"/>
              <w:bottom w:val="single" w:sz="4" w:space="0" w:color="auto"/>
              <w:right w:val="single" w:sz="4" w:space="0" w:color="auto"/>
            </w:tcBorders>
            <w:shd w:val="clear" w:color="auto" w:fill="auto"/>
            <w:noWrap/>
            <w:vAlign w:val="bottom"/>
            <w:hideMark/>
          </w:tcPr>
          <w:p w14:paraId="2D12514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18</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32C5E07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6C41523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44</w:t>
            </w:r>
          </w:p>
        </w:tc>
        <w:tc>
          <w:tcPr>
            <w:tcW w:w="534" w:type="dxa"/>
            <w:tcBorders>
              <w:top w:val="nil"/>
              <w:left w:val="nil"/>
              <w:bottom w:val="single" w:sz="4" w:space="0" w:color="auto"/>
              <w:right w:val="single" w:sz="4" w:space="0" w:color="auto"/>
            </w:tcBorders>
            <w:shd w:val="clear" w:color="auto" w:fill="auto"/>
            <w:noWrap/>
            <w:vAlign w:val="bottom"/>
            <w:hideMark/>
          </w:tcPr>
          <w:p w14:paraId="20FB835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34</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6BEA4A3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162D0C6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48</w:t>
            </w:r>
          </w:p>
        </w:tc>
        <w:tc>
          <w:tcPr>
            <w:tcW w:w="567" w:type="dxa"/>
            <w:tcBorders>
              <w:top w:val="nil"/>
              <w:left w:val="nil"/>
              <w:bottom w:val="single" w:sz="4" w:space="0" w:color="auto"/>
              <w:right w:val="single" w:sz="4" w:space="0" w:color="auto"/>
            </w:tcBorders>
            <w:shd w:val="clear" w:color="auto" w:fill="auto"/>
            <w:noWrap/>
            <w:vAlign w:val="bottom"/>
            <w:hideMark/>
          </w:tcPr>
          <w:p w14:paraId="594078F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703" w:type="dxa"/>
            <w:tcBorders>
              <w:top w:val="nil"/>
              <w:left w:val="nil"/>
              <w:bottom w:val="single" w:sz="4" w:space="0" w:color="auto"/>
              <w:right w:val="single" w:sz="4" w:space="0" w:color="auto"/>
            </w:tcBorders>
            <w:shd w:val="clear" w:color="auto" w:fill="auto"/>
            <w:noWrap/>
            <w:vAlign w:val="bottom"/>
            <w:hideMark/>
          </w:tcPr>
          <w:p w14:paraId="196CACF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79352DE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38</w:t>
            </w:r>
          </w:p>
        </w:tc>
        <w:tc>
          <w:tcPr>
            <w:tcW w:w="531" w:type="dxa"/>
            <w:tcBorders>
              <w:top w:val="nil"/>
              <w:left w:val="nil"/>
              <w:bottom w:val="single" w:sz="4" w:space="0" w:color="auto"/>
              <w:right w:val="single" w:sz="4" w:space="0" w:color="auto"/>
            </w:tcBorders>
            <w:shd w:val="clear" w:color="auto" w:fill="auto"/>
            <w:noWrap/>
            <w:vAlign w:val="bottom"/>
            <w:hideMark/>
          </w:tcPr>
          <w:p w14:paraId="082F593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46</w:t>
            </w:r>
          </w:p>
        </w:tc>
        <w:tc>
          <w:tcPr>
            <w:tcW w:w="616" w:type="dxa"/>
            <w:tcBorders>
              <w:top w:val="nil"/>
              <w:left w:val="nil"/>
              <w:bottom w:val="single" w:sz="4" w:space="0" w:color="auto"/>
              <w:right w:val="single" w:sz="4" w:space="0" w:color="auto"/>
            </w:tcBorders>
            <w:shd w:val="clear" w:color="auto" w:fill="auto"/>
            <w:noWrap/>
            <w:vAlign w:val="bottom"/>
            <w:hideMark/>
          </w:tcPr>
          <w:p w14:paraId="1B7DE8A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4852EA1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43</w:t>
            </w:r>
          </w:p>
        </w:tc>
        <w:tc>
          <w:tcPr>
            <w:tcW w:w="623" w:type="dxa"/>
            <w:tcBorders>
              <w:top w:val="nil"/>
              <w:left w:val="nil"/>
              <w:bottom w:val="single" w:sz="4" w:space="0" w:color="auto"/>
              <w:right w:val="single" w:sz="4" w:space="0" w:color="auto"/>
            </w:tcBorders>
            <w:shd w:val="clear" w:color="auto" w:fill="auto"/>
            <w:noWrap/>
            <w:vAlign w:val="bottom"/>
            <w:hideMark/>
          </w:tcPr>
          <w:p w14:paraId="2FEB60A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25</w:t>
            </w:r>
          </w:p>
        </w:tc>
        <w:tc>
          <w:tcPr>
            <w:tcW w:w="551" w:type="dxa"/>
            <w:tcBorders>
              <w:top w:val="nil"/>
              <w:left w:val="nil"/>
              <w:bottom w:val="single" w:sz="4" w:space="0" w:color="auto"/>
              <w:right w:val="single" w:sz="4" w:space="0" w:color="auto"/>
            </w:tcBorders>
            <w:shd w:val="clear" w:color="auto" w:fill="auto"/>
            <w:noWrap/>
            <w:vAlign w:val="bottom"/>
            <w:hideMark/>
          </w:tcPr>
          <w:p w14:paraId="73E6C60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77479D3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w:t>
            </w:r>
          </w:p>
        </w:tc>
        <w:tc>
          <w:tcPr>
            <w:tcW w:w="567" w:type="dxa"/>
            <w:tcBorders>
              <w:top w:val="nil"/>
              <w:left w:val="nil"/>
              <w:bottom w:val="single" w:sz="4" w:space="0" w:color="auto"/>
              <w:right w:val="single" w:sz="4" w:space="0" w:color="auto"/>
            </w:tcBorders>
            <w:shd w:val="clear" w:color="auto" w:fill="auto"/>
            <w:noWrap/>
            <w:vAlign w:val="bottom"/>
            <w:hideMark/>
          </w:tcPr>
          <w:p w14:paraId="1167E48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w:t>
            </w:r>
          </w:p>
        </w:tc>
        <w:tc>
          <w:tcPr>
            <w:tcW w:w="703" w:type="dxa"/>
            <w:tcBorders>
              <w:top w:val="nil"/>
              <w:left w:val="nil"/>
              <w:bottom w:val="single" w:sz="4" w:space="0" w:color="auto"/>
              <w:right w:val="single" w:sz="4" w:space="0" w:color="auto"/>
            </w:tcBorders>
            <w:shd w:val="clear" w:color="auto" w:fill="auto"/>
            <w:noWrap/>
            <w:vAlign w:val="bottom"/>
            <w:hideMark/>
          </w:tcPr>
          <w:p w14:paraId="59B7183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6029A60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198</w:t>
            </w:r>
          </w:p>
        </w:tc>
        <w:tc>
          <w:tcPr>
            <w:tcW w:w="680" w:type="dxa"/>
            <w:tcBorders>
              <w:top w:val="nil"/>
              <w:left w:val="nil"/>
              <w:bottom w:val="single" w:sz="4" w:space="0" w:color="auto"/>
              <w:right w:val="single" w:sz="4" w:space="0" w:color="auto"/>
            </w:tcBorders>
            <w:shd w:val="clear" w:color="auto" w:fill="auto"/>
            <w:noWrap/>
            <w:vAlign w:val="bottom"/>
            <w:hideMark/>
          </w:tcPr>
          <w:p w14:paraId="38D3AB3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172</w:t>
            </w:r>
          </w:p>
        </w:tc>
      </w:tr>
      <w:tr w:rsidR="00E335CE" w:rsidRPr="00B13B9A" w14:paraId="4C10F941"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0AF0E6A"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iul.21</w:t>
            </w:r>
          </w:p>
        </w:tc>
        <w:tc>
          <w:tcPr>
            <w:tcW w:w="703" w:type="dxa"/>
            <w:tcBorders>
              <w:top w:val="nil"/>
              <w:left w:val="nil"/>
              <w:bottom w:val="single" w:sz="4" w:space="0" w:color="auto"/>
              <w:right w:val="single" w:sz="4" w:space="0" w:color="auto"/>
            </w:tcBorders>
            <w:shd w:val="clear" w:color="auto" w:fill="auto"/>
            <w:noWrap/>
            <w:vAlign w:val="bottom"/>
            <w:hideMark/>
          </w:tcPr>
          <w:p w14:paraId="26C8B31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7C8BC7E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18</w:t>
            </w:r>
          </w:p>
        </w:tc>
        <w:tc>
          <w:tcPr>
            <w:tcW w:w="580" w:type="dxa"/>
            <w:tcBorders>
              <w:top w:val="nil"/>
              <w:left w:val="nil"/>
              <w:bottom w:val="single" w:sz="4" w:space="0" w:color="auto"/>
              <w:right w:val="single" w:sz="4" w:space="0" w:color="auto"/>
            </w:tcBorders>
            <w:shd w:val="clear" w:color="auto" w:fill="auto"/>
            <w:noWrap/>
            <w:vAlign w:val="bottom"/>
            <w:hideMark/>
          </w:tcPr>
          <w:p w14:paraId="1981ED5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27</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287B3AC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1A8B077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34</w:t>
            </w:r>
          </w:p>
        </w:tc>
        <w:tc>
          <w:tcPr>
            <w:tcW w:w="534" w:type="dxa"/>
            <w:tcBorders>
              <w:top w:val="nil"/>
              <w:left w:val="nil"/>
              <w:bottom w:val="single" w:sz="4" w:space="0" w:color="auto"/>
              <w:right w:val="single" w:sz="4" w:space="0" w:color="auto"/>
            </w:tcBorders>
            <w:shd w:val="clear" w:color="auto" w:fill="auto"/>
            <w:noWrap/>
            <w:vAlign w:val="bottom"/>
            <w:hideMark/>
          </w:tcPr>
          <w:p w14:paraId="62AB116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41</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57C7E28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2A4A38C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567" w:type="dxa"/>
            <w:tcBorders>
              <w:top w:val="nil"/>
              <w:left w:val="nil"/>
              <w:bottom w:val="single" w:sz="4" w:space="0" w:color="auto"/>
              <w:right w:val="single" w:sz="4" w:space="0" w:color="auto"/>
            </w:tcBorders>
            <w:shd w:val="clear" w:color="auto" w:fill="auto"/>
            <w:noWrap/>
            <w:vAlign w:val="bottom"/>
            <w:hideMark/>
          </w:tcPr>
          <w:p w14:paraId="7C70D4B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41</w:t>
            </w:r>
          </w:p>
        </w:tc>
        <w:tc>
          <w:tcPr>
            <w:tcW w:w="703" w:type="dxa"/>
            <w:tcBorders>
              <w:top w:val="nil"/>
              <w:left w:val="nil"/>
              <w:bottom w:val="single" w:sz="4" w:space="0" w:color="auto"/>
              <w:right w:val="single" w:sz="4" w:space="0" w:color="auto"/>
            </w:tcBorders>
            <w:shd w:val="clear" w:color="auto" w:fill="auto"/>
            <w:noWrap/>
            <w:vAlign w:val="bottom"/>
            <w:hideMark/>
          </w:tcPr>
          <w:p w14:paraId="0F9CCFE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0DE010D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46</w:t>
            </w:r>
          </w:p>
        </w:tc>
        <w:tc>
          <w:tcPr>
            <w:tcW w:w="531" w:type="dxa"/>
            <w:tcBorders>
              <w:top w:val="nil"/>
              <w:left w:val="nil"/>
              <w:bottom w:val="single" w:sz="4" w:space="0" w:color="auto"/>
              <w:right w:val="single" w:sz="4" w:space="0" w:color="auto"/>
            </w:tcBorders>
            <w:shd w:val="clear" w:color="auto" w:fill="auto"/>
            <w:noWrap/>
            <w:vAlign w:val="bottom"/>
            <w:hideMark/>
          </w:tcPr>
          <w:p w14:paraId="67F36FC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68</w:t>
            </w:r>
          </w:p>
        </w:tc>
        <w:tc>
          <w:tcPr>
            <w:tcW w:w="616" w:type="dxa"/>
            <w:tcBorders>
              <w:top w:val="nil"/>
              <w:left w:val="nil"/>
              <w:bottom w:val="single" w:sz="4" w:space="0" w:color="auto"/>
              <w:right w:val="single" w:sz="4" w:space="0" w:color="auto"/>
            </w:tcBorders>
            <w:shd w:val="clear" w:color="auto" w:fill="auto"/>
            <w:noWrap/>
            <w:vAlign w:val="bottom"/>
            <w:hideMark/>
          </w:tcPr>
          <w:p w14:paraId="01143DC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0092A0E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25</w:t>
            </w:r>
          </w:p>
        </w:tc>
        <w:tc>
          <w:tcPr>
            <w:tcW w:w="623" w:type="dxa"/>
            <w:tcBorders>
              <w:top w:val="nil"/>
              <w:left w:val="nil"/>
              <w:bottom w:val="single" w:sz="4" w:space="0" w:color="auto"/>
              <w:right w:val="single" w:sz="4" w:space="0" w:color="auto"/>
            </w:tcBorders>
            <w:shd w:val="clear" w:color="auto" w:fill="auto"/>
            <w:noWrap/>
            <w:vAlign w:val="bottom"/>
            <w:hideMark/>
          </w:tcPr>
          <w:p w14:paraId="1433C52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13</w:t>
            </w:r>
          </w:p>
        </w:tc>
        <w:tc>
          <w:tcPr>
            <w:tcW w:w="551" w:type="dxa"/>
            <w:tcBorders>
              <w:top w:val="nil"/>
              <w:left w:val="nil"/>
              <w:bottom w:val="single" w:sz="4" w:space="0" w:color="auto"/>
              <w:right w:val="single" w:sz="4" w:space="0" w:color="auto"/>
            </w:tcBorders>
            <w:shd w:val="clear" w:color="auto" w:fill="auto"/>
            <w:noWrap/>
            <w:vAlign w:val="bottom"/>
            <w:hideMark/>
          </w:tcPr>
          <w:p w14:paraId="211FBC4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5986BD1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w:t>
            </w:r>
          </w:p>
        </w:tc>
        <w:tc>
          <w:tcPr>
            <w:tcW w:w="567" w:type="dxa"/>
            <w:tcBorders>
              <w:top w:val="nil"/>
              <w:left w:val="nil"/>
              <w:bottom w:val="single" w:sz="4" w:space="0" w:color="auto"/>
              <w:right w:val="single" w:sz="4" w:space="0" w:color="auto"/>
            </w:tcBorders>
            <w:shd w:val="clear" w:color="auto" w:fill="auto"/>
            <w:noWrap/>
            <w:vAlign w:val="bottom"/>
            <w:hideMark/>
          </w:tcPr>
          <w:p w14:paraId="2110A33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w:t>
            </w:r>
          </w:p>
        </w:tc>
        <w:tc>
          <w:tcPr>
            <w:tcW w:w="703" w:type="dxa"/>
            <w:tcBorders>
              <w:top w:val="nil"/>
              <w:left w:val="nil"/>
              <w:bottom w:val="single" w:sz="4" w:space="0" w:color="auto"/>
              <w:right w:val="single" w:sz="4" w:space="0" w:color="auto"/>
            </w:tcBorders>
            <w:shd w:val="clear" w:color="auto" w:fill="auto"/>
            <w:noWrap/>
            <w:vAlign w:val="bottom"/>
            <w:hideMark/>
          </w:tcPr>
          <w:p w14:paraId="16512E6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436EB1B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172</w:t>
            </w:r>
          </w:p>
        </w:tc>
        <w:tc>
          <w:tcPr>
            <w:tcW w:w="680" w:type="dxa"/>
            <w:tcBorders>
              <w:top w:val="nil"/>
              <w:left w:val="nil"/>
              <w:bottom w:val="single" w:sz="4" w:space="0" w:color="auto"/>
              <w:right w:val="single" w:sz="4" w:space="0" w:color="auto"/>
            </w:tcBorders>
            <w:shd w:val="clear" w:color="auto" w:fill="auto"/>
            <w:noWrap/>
            <w:vAlign w:val="bottom"/>
            <w:hideMark/>
          </w:tcPr>
          <w:p w14:paraId="08A5649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193</w:t>
            </w:r>
          </w:p>
        </w:tc>
      </w:tr>
      <w:tr w:rsidR="00E335CE" w:rsidRPr="00B13B9A" w14:paraId="412AC1C0"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2370AE1"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aug.21</w:t>
            </w:r>
          </w:p>
        </w:tc>
        <w:tc>
          <w:tcPr>
            <w:tcW w:w="703" w:type="dxa"/>
            <w:tcBorders>
              <w:top w:val="nil"/>
              <w:left w:val="nil"/>
              <w:bottom w:val="single" w:sz="4" w:space="0" w:color="auto"/>
              <w:right w:val="single" w:sz="4" w:space="0" w:color="auto"/>
            </w:tcBorders>
            <w:shd w:val="clear" w:color="auto" w:fill="auto"/>
            <w:noWrap/>
            <w:vAlign w:val="bottom"/>
            <w:hideMark/>
          </w:tcPr>
          <w:p w14:paraId="54A9328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7A04483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27</w:t>
            </w:r>
          </w:p>
        </w:tc>
        <w:tc>
          <w:tcPr>
            <w:tcW w:w="580" w:type="dxa"/>
            <w:tcBorders>
              <w:top w:val="nil"/>
              <w:left w:val="nil"/>
              <w:bottom w:val="single" w:sz="4" w:space="0" w:color="auto"/>
              <w:right w:val="single" w:sz="4" w:space="0" w:color="auto"/>
            </w:tcBorders>
            <w:shd w:val="clear" w:color="auto" w:fill="auto"/>
            <w:noWrap/>
            <w:vAlign w:val="bottom"/>
            <w:hideMark/>
          </w:tcPr>
          <w:p w14:paraId="1154859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12</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72967AB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11EF0F3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41</w:t>
            </w:r>
          </w:p>
        </w:tc>
        <w:tc>
          <w:tcPr>
            <w:tcW w:w="534" w:type="dxa"/>
            <w:tcBorders>
              <w:top w:val="nil"/>
              <w:left w:val="nil"/>
              <w:bottom w:val="single" w:sz="4" w:space="0" w:color="auto"/>
              <w:right w:val="single" w:sz="4" w:space="0" w:color="auto"/>
            </w:tcBorders>
            <w:shd w:val="clear" w:color="auto" w:fill="auto"/>
            <w:noWrap/>
            <w:vAlign w:val="bottom"/>
            <w:hideMark/>
          </w:tcPr>
          <w:p w14:paraId="1B28266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6E54DF7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490E4AC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41</w:t>
            </w:r>
          </w:p>
        </w:tc>
        <w:tc>
          <w:tcPr>
            <w:tcW w:w="567" w:type="dxa"/>
            <w:tcBorders>
              <w:top w:val="nil"/>
              <w:left w:val="nil"/>
              <w:bottom w:val="single" w:sz="4" w:space="0" w:color="auto"/>
              <w:right w:val="single" w:sz="4" w:space="0" w:color="auto"/>
            </w:tcBorders>
            <w:shd w:val="clear" w:color="auto" w:fill="auto"/>
            <w:noWrap/>
            <w:vAlign w:val="bottom"/>
            <w:hideMark/>
          </w:tcPr>
          <w:p w14:paraId="445766B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59</w:t>
            </w:r>
          </w:p>
        </w:tc>
        <w:tc>
          <w:tcPr>
            <w:tcW w:w="703" w:type="dxa"/>
            <w:tcBorders>
              <w:top w:val="nil"/>
              <w:left w:val="nil"/>
              <w:bottom w:val="single" w:sz="4" w:space="0" w:color="auto"/>
              <w:right w:val="single" w:sz="4" w:space="0" w:color="auto"/>
            </w:tcBorders>
            <w:shd w:val="clear" w:color="auto" w:fill="auto"/>
            <w:noWrap/>
            <w:vAlign w:val="bottom"/>
            <w:hideMark/>
          </w:tcPr>
          <w:p w14:paraId="680C840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4332AD1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68</w:t>
            </w:r>
          </w:p>
        </w:tc>
        <w:tc>
          <w:tcPr>
            <w:tcW w:w="531" w:type="dxa"/>
            <w:tcBorders>
              <w:top w:val="nil"/>
              <w:left w:val="nil"/>
              <w:bottom w:val="single" w:sz="4" w:space="0" w:color="auto"/>
              <w:right w:val="single" w:sz="4" w:space="0" w:color="auto"/>
            </w:tcBorders>
            <w:shd w:val="clear" w:color="auto" w:fill="auto"/>
            <w:noWrap/>
            <w:vAlign w:val="bottom"/>
            <w:hideMark/>
          </w:tcPr>
          <w:p w14:paraId="0A26C79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66</w:t>
            </w:r>
          </w:p>
        </w:tc>
        <w:tc>
          <w:tcPr>
            <w:tcW w:w="616" w:type="dxa"/>
            <w:tcBorders>
              <w:top w:val="nil"/>
              <w:left w:val="nil"/>
              <w:bottom w:val="single" w:sz="4" w:space="0" w:color="auto"/>
              <w:right w:val="single" w:sz="4" w:space="0" w:color="auto"/>
            </w:tcBorders>
            <w:shd w:val="clear" w:color="auto" w:fill="auto"/>
            <w:noWrap/>
            <w:vAlign w:val="bottom"/>
            <w:hideMark/>
          </w:tcPr>
          <w:p w14:paraId="0CC4825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69CA09B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13</w:t>
            </w:r>
          </w:p>
        </w:tc>
        <w:tc>
          <w:tcPr>
            <w:tcW w:w="623" w:type="dxa"/>
            <w:tcBorders>
              <w:top w:val="nil"/>
              <w:left w:val="nil"/>
              <w:bottom w:val="single" w:sz="4" w:space="0" w:color="auto"/>
              <w:right w:val="single" w:sz="4" w:space="0" w:color="auto"/>
            </w:tcBorders>
            <w:shd w:val="clear" w:color="auto" w:fill="auto"/>
            <w:noWrap/>
            <w:vAlign w:val="bottom"/>
            <w:hideMark/>
          </w:tcPr>
          <w:p w14:paraId="06E2B85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38</w:t>
            </w:r>
          </w:p>
        </w:tc>
        <w:tc>
          <w:tcPr>
            <w:tcW w:w="551" w:type="dxa"/>
            <w:tcBorders>
              <w:top w:val="nil"/>
              <w:left w:val="nil"/>
              <w:bottom w:val="single" w:sz="4" w:space="0" w:color="auto"/>
              <w:right w:val="single" w:sz="4" w:space="0" w:color="auto"/>
            </w:tcBorders>
            <w:shd w:val="clear" w:color="auto" w:fill="auto"/>
            <w:noWrap/>
            <w:vAlign w:val="bottom"/>
            <w:hideMark/>
          </w:tcPr>
          <w:p w14:paraId="42C606A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41F9AE2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w:t>
            </w:r>
          </w:p>
        </w:tc>
        <w:tc>
          <w:tcPr>
            <w:tcW w:w="567" w:type="dxa"/>
            <w:tcBorders>
              <w:top w:val="nil"/>
              <w:left w:val="nil"/>
              <w:bottom w:val="single" w:sz="4" w:space="0" w:color="auto"/>
              <w:right w:val="single" w:sz="4" w:space="0" w:color="auto"/>
            </w:tcBorders>
            <w:shd w:val="clear" w:color="auto" w:fill="auto"/>
            <w:noWrap/>
            <w:vAlign w:val="bottom"/>
            <w:hideMark/>
          </w:tcPr>
          <w:p w14:paraId="229AC93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w:t>
            </w:r>
          </w:p>
        </w:tc>
        <w:tc>
          <w:tcPr>
            <w:tcW w:w="703" w:type="dxa"/>
            <w:tcBorders>
              <w:top w:val="nil"/>
              <w:left w:val="nil"/>
              <w:bottom w:val="single" w:sz="4" w:space="0" w:color="auto"/>
              <w:right w:val="single" w:sz="4" w:space="0" w:color="auto"/>
            </w:tcBorders>
            <w:shd w:val="clear" w:color="auto" w:fill="auto"/>
            <w:noWrap/>
            <w:vAlign w:val="bottom"/>
            <w:hideMark/>
          </w:tcPr>
          <w:p w14:paraId="2725FB8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77302F6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193</w:t>
            </w:r>
          </w:p>
        </w:tc>
        <w:tc>
          <w:tcPr>
            <w:tcW w:w="680" w:type="dxa"/>
            <w:tcBorders>
              <w:top w:val="nil"/>
              <w:left w:val="nil"/>
              <w:bottom w:val="single" w:sz="4" w:space="0" w:color="auto"/>
              <w:right w:val="single" w:sz="4" w:space="0" w:color="auto"/>
            </w:tcBorders>
            <w:shd w:val="clear" w:color="auto" w:fill="auto"/>
            <w:noWrap/>
            <w:vAlign w:val="bottom"/>
            <w:hideMark/>
          </w:tcPr>
          <w:p w14:paraId="0E96904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220</w:t>
            </w:r>
          </w:p>
        </w:tc>
      </w:tr>
      <w:tr w:rsidR="00E335CE" w:rsidRPr="00B13B9A" w14:paraId="3185AD24"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057AC2F"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sept.21</w:t>
            </w:r>
          </w:p>
        </w:tc>
        <w:tc>
          <w:tcPr>
            <w:tcW w:w="703" w:type="dxa"/>
            <w:tcBorders>
              <w:top w:val="nil"/>
              <w:left w:val="nil"/>
              <w:bottom w:val="single" w:sz="4" w:space="0" w:color="auto"/>
              <w:right w:val="single" w:sz="4" w:space="0" w:color="auto"/>
            </w:tcBorders>
            <w:shd w:val="clear" w:color="auto" w:fill="auto"/>
            <w:noWrap/>
            <w:vAlign w:val="bottom"/>
            <w:hideMark/>
          </w:tcPr>
          <w:p w14:paraId="5E753AD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525F846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12</w:t>
            </w:r>
          </w:p>
        </w:tc>
        <w:tc>
          <w:tcPr>
            <w:tcW w:w="580" w:type="dxa"/>
            <w:tcBorders>
              <w:top w:val="nil"/>
              <w:left w:val="nil"/>
              <w:bottom w:val="single" w:sz="4" w:space="0" w:color="auto"/>
              <w:right w:val="single" w:sz="4" w:space="0" w:color="auto"/>
            </w:tcBorders>
            <w:shd w:val="clear" w:color="auto" w:fill="auto"/>
            <w:noWrap/>
            <w:vAlign w:val="bottom"/>
            <w:hideMark/>
          </w:tcPr>
          <w:p w14:paraId="3566462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64</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2F9DC92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533B344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534" w:type="dxa"/>
            <w:tcBorders>
              <w:top w:val="nil"/>
              <w:left w:val="nil"/>
              <w:bottom w:val="single" w:sz="4" w:space="0" w:color="auto"/>
              <w:right w:val="single" w:sz="4" w:space="0" w:color="auto"/>
            </w:tcBorders>
            <w:shd w:val="clear" w:color="auto" w:fill="auto"/>
            <w:noWrap/>
            <w:vAlign w:val="bottom"/>
            <w:hideMark/>
          </w:tcPr>
          <w:p w14:paraId="2151C12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37</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586C50A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4E5E31A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59</w:t>
            </w:r>
          </w:p>
        </w:tc>
        <w:tc>
          <w:tcPr>
            <w:tcW w:w="567" w:type="dxa"/>
            <w:tcBorders>
              <w:top w:val="nil"/>
              <w:left w:val="nil"/>
              <w:bottom w:val="single" w:sz="4" w:space="0" w:color="auto"/>
              <w:right w:val="single" w:sz="4" w:space="0" w:color="auto"/>
            </w:tcBorders>
            <w:shd w:val="clear" w:color="auto" w:fill="auto"/>
            <w:noWrap/>
            <w:vAlign w:val="bottom"/>
            <w:hideMark/>
          </w:tcPr>
          <w:p w14:paraId="0EA4264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58</w:t>
            </w:r>
          </w:p>
        </w:tc>
        <w:tc>
          <w:tcPr>
            <w:tcW w:w="703" w:type="dxa"/>
            <w:tcBorders>
              <w:top w:val="nil"/>
              <w:left w:val="nil"/>
              <w:bottom w:val="single" w:sz="4" w:space="0" w:color="auto"/>
              <w:right w:val="single" w:sz="4" w:space="0" w:color="auto"/>
            </w:tcBorders>
            <w:shd w:val="clear" w:color="auto" w:fill="auto"/>
            <w:noWrap/>
            <w:vAlign w:val="bottom"/>
            <w:hideMark/>
          </w:tcPr>
          <w:p w14:paraId="4A5DD56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0CD189B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66</w:t>
            </w:r>
          </w:p>
        </w:tc>
        <w:tc>
          <w:tcPr>
            <w:tcW w:w="531" w:type="dxa"/>
            <w:tcBorders>
              <w:top w:val="nil"/>
              <w:left w:val="nil"/>
              <w:bottom w:val="single" w:sz="4" w:space="0" w:color="auto"/>
              <w:right w:val="single" w:sz="4" w:space="0" w:color="auto"/>
            </w:tcBorders>
            <w:shd w:val="clear" w:color="auto" w:fill="auto"/>
            <w:noWrap/>
            <w:vAlign w:val="bottom"/>
            <w:hideMark/>
          </w:tcPr>
          <w:p w14:paraId="5D9C35F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58</w:t>
            </w:r>
          </w:p>
        </w:tc>
        <w:tc>
          <w:tcPr>
            <w:tcW w:w="616" w:type="dxa"/>
            <w:tcBorders>
              <w:top w:val="nil"/>
              <w:left w:val="nil"/>
              <w:bottom w:val="single" w:sz="4" w:space="0" w:color="auto"/>
              <w:right w:val="single" w:sz="4" w:space="0" w:color="auto"/>
            </w:tcBorders>
            <w:shd w:val="clear" w:color="auto" w:fill="auto"/>
            <w:noWrap/>
            <w:vAlign w:val="bottom"/>
            <w:hideMark/>
          </w:tcPr>
          <w:p w14:paraId="4CD06AA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72985B8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38</w:t>
            </w:r>
          </w:p>
        </w:tc>
        <w:tc>
          <w:tcPr>
            <w:tcW w:w="623" w:type="dxa"/>
            <w:tcBorders>
              <w:top w:val="nil"/>
              <w:left w:val="nil"/>
              <w:bottom w:val="single" w:sz="4" w:space="0" w:color="auto"/>
              <w:right w:val="single" w:sz="4" w:space="0" w:color="auto"/>
            </w:tcBorders>
            <w:shd w:val="clear" w:color="auto" w:fill="auto"/>
            <w:noWrap/>
            <w:vAlign w:val="bottom"/>
            <w:hideMark/>
          </w:tcPr>
          <w:p w14:paraId="59FC92E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64</w:t>
            </w:r>
          </w:p>
        </w:tc>
        <w:tc>
          <w:tcPr>
            <w:tcW w:w="551" w:type="dxa"/>
            <w:tcBorders>
              <w:top w:val="nil"/>
              <w:left w:val="nil"/>
              <w:bottom w:val="single" w:sz="4" w:space="0" w:color="auto"/>
              <w:right w:val="single" w:sz="4" w:space="0" w:color="auto"/>
            </w:tcBorders>
            <w:shd w:val="clear" w:color="auto" w:fill="auto"/>
            <w:noWrap/>
            <w:vAlign w:val="bottom"/>
            <w:hideMark/>
          </w:tcPr>
          <w:p w14:paraId="499D673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368C752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w:t>
            </w:r>
          </w:p>
        </w:tc>
        <w:tc>
          <w:tcPr>
            <w:tcW w:w="567" w:type="dxa"/>
            <w:tcBorders>
              <w:top w:val="nil"/>
              <w:left w:val="nil"/>
              <w:bottom w:val="single" w:sz="4" w:space="0" w:color="auto"/>
              <w:right w:val="single" w:sz="4" w:space="0" w:color="auto"/>
            </w:tcBorders>
            <w:shd w:val="clear" w:color="auto" w:fill="auto"/>
            <w:noWrap/>
            <w:vAlign w:val="bottom"/>
            <w:hideMark/>
          </w:tcPr>
          <w:p w14:paraId="4577356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w:t>
            </w:r>
          </w:p>
        </w:tc>
        <w:tc>
          <w:tcPr>
            <w:tcW w:w="703" w:type="dxa"/>
            <w:tcBorders>
              <w:top w:val="nil"/>
              <w:left w:val="nil"/>
              <w:bottom w:val="single" w:sz="4" w:space="0" w:color="auto"/>
              <w:right w:val="single" w:sz="4" w:space="0" w:color="auto"/>
            </w:tcBorders>
            <w:shd w:val="clear" w:color="auto" w:fill="auto"/>
            <w:noWrap/>
            <w:vAlign w:val="bottom"/>
            <w:hideMark/>
          </w:tcPr>
          <w:p w14:paraId="0948A14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425F4FF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220</w:t>
            </w:r>
          </w:p>
        </w:tc>
        <w:tc>
          <w:tcPr>
            <w:tcW w:w="680" w:type="dxa"/>
            <w:tcBorders>
              <w:top w:val="nil"/>
              <w:left w:val="nil"/>
              <w:bottom w:val="single" w:sz="4" w:space="0" w:color="auto"/>
              <w:right w:val="single" w:sz="4" w:space="0" w:color="auto"/>
            </w:tcBorders>
            <w:shd w:val="clear" w:color="auto" w:fill="auto"/>
            <w:noWrap/>
            <w:vAlign w:val="bottom"/>
            <w:hideMark/>
          </w:tcPr>
          <w:p w14:paraId="5D8AD12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289</w:t>
            </w:r>
          </w:p>
        </w:tc>
      </w:tr>
      <w:tr w:rsidR="00E335CE" w:rsidRPr="00B13B9A" w14:paraId="7CC008EE"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05002DC"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oct.21</w:t>
            </w:r>
          </w:p>
        </w:tc>
        <w:tc>
          <w:tcPr>
            <w:tcW w:w="703" w:type="dxa"/>
            <w:tcBorders>
              <w:top w:val="nil"/>
              <w:left w:val="nil"/>
              <w:bottom w:val="single" w:sz="4" w:space="0" w:color="auto"/>
              <w:right w:val="single" w:sz="4" w:space="0" w:color="auto"/>
            </w:tcBorders>
            <w:shd w:val="clear" w:color="auto" w:fill="auto"/>
            <w:noWrap/>
            <w:vAlign w:val="bottom"/>
            <w:hideMark/>
          </w:tcPr>
          <w:p w14:paraId="488AA86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0A6A983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64</w:t>
            </w:r>
          </w:p>
        </w:tc>
        <w:tc>
          <w:tcPr>
            <w:tcW w:w="580" w:type="dxa"/>
            <w:tcBorders>
              <w:top w:val="nil"/>
              <w:left w:val="nil"/>
              <w:bottom w:val="single" w:sz="4" w:space="0" w:color="auto"/>
              <w:right w:val="single" w:sz="4" w:space="0" w:color="auto"/>
            </w:tcBorders>
            <w:shd w:val="clear" w:color="auto" w:fill="auto"/>
            <w:noWrap/>
            <w:vAlign w:val="bottom"/>
            <w:hideMark/>
          </w:tcPr>
          <w:p w14:paraId="365D221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57</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2DF165C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20D98D0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37</w:t>
            </w:r>
          </w:p>
        </w:tc>
        <w:tc>
          <w:tcPr>
            <w:tcW w:w="534" w:type="dxa"/>
            <w:tcBorders>
              <w:top w:val="nil"/>
              <w:left w:val="nil"/>
              <w:bottom w:val="single" w:sz="4" w:space="0" w:color="auto"/>
              <w:right w:val="single" w:sz="4" w:space="0" w:color="auto"/>
            </w:tcBorders>
            <w:shd w:val="clear" w:color="auto" w:fill="auto"/>
            <w:noWrap/>
            <w:vAlign w:val="bottom"/>
            <w:hideMark/>
          </w:tcPr>
          <w:p w14:paraId="55053A2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37</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44951C3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27679A2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58</w:t>
            </w:r>
          </w:p>
        </w:tc>
        <w:tc>
          <w:tcPr>
            <w:tcW w:w="567" w:type="dxa"/>
            <w:tcBorders>
              <w:top w:val="nil"/>
              <w:left w:val="nil"/>
              <w:bottom w:val="single" w:sz="4" w:space="0" w:color="auto"/>
              <w:right w:val="single" w:sz="4" w:space="0" w:color="auto"/>
            </w:tcBorders>
            <w:shd w:val="clear" w:color="auto" w:fill="auto"/>
            <w:noWrap/>
            <w:vAlign w:val="bottom"/>
            <w:hideMark/>
          </w:tcPr>
          <w:p w14:paraId="4C92C5C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46</w:t>
            </w:r>
          </w:p>
        </w:tc>
        <w:tc>
          <w:tcPr>
            <w:tcW w:w="703" w:type="dxa"/>
            <w:tcBorders>
              <w:top w:val="nil"/>
              <w:left w:val="nil"/>
              <w:bottom w:val="single" w:sz="4" w:space="0" w:color="auto"/>
              <w:right w:val="single" w:sz="4" w:space="0" w:color="auto"/>
            </w:tcBorders>
            <w:shd w:val="clear" w:color="auto" w:fill="auto"/>
            <w:noWrap/>
            <w:vAlign w:val="bottom"/>
            <w:hideMark/>
          </w:tcPr>
          <w:p w14:paraId="35B95E4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236353A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58</w:t>
            </w:r>
          </w:p>
        </w:tc>
        <w:tc>
          <w:tcPr>
            <w:tcW w:w="531" w:type="dxa"/>
            <w:tcBorders>
              <w:top w:val="nil"/>
              <w:left w:val="nil"/>
              <w:bottom w:val="single" w:sz="4" w:space="0" w:color="auto"/>
              <w:right w:val="single" w:sz="4" w:space="0" w:color="auto"/>
            </w:tcBorders>
            <w:shd w:val="clear" w:color="auto" w:fill="auto"/>
            <w:noWrap/>
            <w:vAlign w:val="bottom"/>
            <w:hideMark/>
          </w:tcPr>
          <w:p w14:paraId="348C7FB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61</w:t>
            </w:r>
          </w:p>
        </w:tc>
        <w:tc>
          <w:tcPr>
            <w:tcW w:w="616" w:type="dxa"/>
            <w:tcBorders>
              <w:top w:val="nil"/>
              <w:left w:val="nil"/>
              <w:bottom w:val="single" w:sz="4" w:space="0" w:color="auto"/>
              <w:right w:val="single" w:sz="4" w:space="0" w:color="auto"/>
            </w:tcBorders>
            <w:shd w:val="clear" w:color="auto" w:fill="auto"/>
            <w:noWrap/>
            <w:vAlign w:val="bottom"/>
            <w:hideMark/>
          </w:tcPr>
          <w:p w14:paraId="0D0D423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50B2EA1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64</w:t>
            </w:r>
          </w:p>
        </w:tc>
        <w:tc>
          <w:tcPr>
            <w:tcW w:w="623" w:type="dxa"/>
            <w:tcBorders>
              <w:top w:val="nil"/>
              <w:left w:val="nil"/>
              <w:bottom w:val="single" w:sz="4" w:space="0" w:color="auto"/>
              <w:right w:val="single" w:sz="4" w:space="0" w:color="auto"/>
            </w:tcBorders>
            <w:shd w:val="clear" w:color="auto" w:fill="auto"/>
            <w:noWrap/>
            <w:vAlign w:val="bottom"/>
            <w:hideMark/>
          </w:tcPr>
          <w:p w14:paraId="7ACA41B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56</w:t>
            </w:r>
          </w:p>
        </w:tc>
        <w:tc>
          <w:tcPr>
            <w:tcW w:w="551" w:type="dxa"/>
            <w:tcBorders>
              <w:top w:val="nil"/>
              <w:left w:val="nil"/>
              <w:bottom w:val="single" w:sz="4" w:space="0" w:color="auto"/>
              <w:right w:val="single" w:sz="4" w:space="0" w:color="auto"/>
            </w:tcBorders>
            <w:shd w:val="clear" w:color="auto" w:fill="auto"/>
            <w:noWrap/>
            <w:vAlign w:val="bottom"/>
            <w:hideMark/>
          </w:tcPr>
          <w:p w14:paraId="3C48553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3DF9CDF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w:t>
            </w:r>
          </w:p>
        </w:tc>
        <w:tc>
          <w:tcPr>
            <w:tcW w:w="567" w:type="dxa"/>
            <w:tcBorders>
              <w:top w:val="nil"/>
              <w:left w:val="nil"/>
              <w:bottom w:val="single" w:sz="4" w:space="0" w:color="auto"/>
              <w:right w:val="single" w:sz="4" w:space="0" w:color="auto"/>
            </w:tcBorders>
            <w:shd w:val="clear" w:color="auto" w:fill="auto"/>
            <w:noWrap/>
            <w:vAlign w:val="bottom"/>
            <w:hideMark/>
          </w:tcPr>
          <w:p w14:paraId="335F2BF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10</w:t>
            </w:r>
          </w:p>
        </w:tc>
        <w:tc>
          <w:tcPr>
            <w:tcW w:w="703" w:type="dxa"/>
            <w:tcBorders>
              <w:top w:val="nil"/>
              <w:left w:val="nil"/>
              <w:bottom w:val="single" w:sz="4" w:space="0" w:color="auto"/>
              <w:right w:val="single" w:sz="4" w:space="0" w:color="auto"/>
            </w:tcBorders>
            <w:shd w:val="clear" w:color="auto" w:fill="auto"/>
            <w:noWrap/>
            <w:vAlign w:val="bottom"/>
            <w:hideMark/>
          </w:tcPr>
          <w:p w14:paraId="65255A4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6505F3B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289</w:t>
            </w:r>
          </w:p>
        </w:tc>
        <w:tc>
          <w:tcPr>
            <w:tcW w:w="680" w:type="dxa"/>
            <w:tcBorders>
              <w:top w:val="nil"/>
              <w:left w:val="nil"/>
              <w:bottom w:val="single" w:sz="4" w:space="0" w:color="auto"/>
              <w:right w:val="single" w:sz="4" w:space="0" w:color="auto"/>
            </w:tcBorders>
            <w:shd w:val="clear" w:color="auto" w:fill="auto"/>
            <w:noWrap/>
            <w:vAlign w:val="bottom"/>
            <w:hideMark/>
          </w:tcPr>
          <w:p w14:paraId="3063B91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267</w:t>
            </w:r>
          </w:p>
        </w:tc>
      </w:tr>
      <w:tr w:rsidR="00E335CE" w:rsidRPr="00B13B9A" w14:paraId="5677A076"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E239C67"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nov.21</w:t>
            </w:r>
          </w:p>
        </w:tc>
        <w:tc>
          <w:tcPr>
            <w:tcW w:w="703" w:type="dxa"/>
            <w:tcBorders>
              <w:top w:val="nil"/>
              <w:left w:val="nil"/>
              <w:bottom w:val="single" w:sz="4" w:space="0" w:color="auto"/>
              <w:right w:val="single" w:sz="4" w:space="0" w:color="auto"/>
            </w:tcBorders>
            <w:shd w:val="clear" w:color="auto" w:fill="auto"/>
            <w:noWrap/>
            <w:vAlign w:val="bottom"/>
            <w:hideMark/>
          </w:tcPr>
          <w:p w14:paraId="673404B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51A4DC1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57</w:t>
            </w:r>
          </w:p>
        </w:tc>
        <w:tc>
          <w:tcPr>
            <w:tcW w:w="580" w:type="dxa"/>
            <w:tcBorders>
              <w:top w:val="nil"/>
              <w:left w:val="nil"/>
              <w:bottom w:val="single" w:sz="4" w:space="0" w:color="auto"/>
              <w:right w:val="single" w:sz="4" w:space="0" w:color="auto"/>
            </w:tcBorders>
            <w:shd w:val="clear" w:color="auto" w:fill="auto"/>
            <w:noWrap/>
            <w:vAlign w:val="bottom"/>
            <w:hideMark/>
          </w:tcPr>
          <w:p w14:paraId="3C9BED0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43</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44E1898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1B66B5C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37</w:t>
            </w:r>
          </w:p>
        </w:tc>
        <w:tc>
          <w:tcPr>
            <w:tcW w:w="534" w:type="dxa"/>
            <w:tcBorders>
              <w:top w:val="nil"/>
              <w:left w:val="nil"/>
              <w:bottom w:val="single" w:sz="4" w:space="0" w:color="auto"/>
              <w:right w:val="single" w:sz="4" w:space="0" w:color="auto"/>
            </w:tcBorders>
            <w:shd w:val="clear" w:color="auto" w:fill="auto"/>
            <w:noWrap/>
            <w:vAlign w:val="bottom"/>
            <w:hideMark/>
          </w:tcPr>
          <w:p w14:paraId="4E59293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25</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4D8E7E6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6E94902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46</w:t>
            </w:r>
          </w:p>
        </w:tc>
        <w:tc>
          <w:tcPr>
            <w:tcW w:w="567" w:type="dxa"/>
            <w:tcBorders>
              <w:top w:val="nil"/>
              <w:left w:val="nil"/>
              <w:bottom w:val="single" w:sz="4" w:space="0" w:color="auto"/>
              <w:right w:val="single" w:sz="4" w:space="0" w:color="auto"/>
            </w:tcBorders>
            <w:shd w:val="clear" w:color="auto" w:fill="auto"/>
            <w:noWrap/>
            <w:vAlign w:val="bottom"/>
            <w:hideMark/>
          </w:tcPr>
          <w:p w14:paraId="546A4A3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51</w:t>
            </w:r>
          </w:p>
        </w:tc>
        <w:tc>
          <w:tcPr>
            <w:tcW w:w="703" w:type="dxa"/>
            <w:tcBorders>
              <w:top w:val="nil"/>
              <w:left w:val="nil"/>
              <w:bottom w:val="single" w:sz="4" w:space="0" w:color="auto"/>
              <w:right w:val="single" w:sz="4" w:space="0" w:color="auto"/>
            </w:tcBorders>
            <w:shd w:val="clear" w:color="auto" w:fill="auto"/>
            <w:noWrap/>
            <w:vAlign w:val="bottom"/>
            <w:hideMark/>
          </w:tcPr>
          <w:p w14:paraId="0CADB5C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7F23B46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62</w:t>
            </w:r>
          </w:p>
        </w:tc>
        <w:tc>
          <w:tcPr>
            <w:tcW w:w="531" w:type="dxa"/>
            <w:tcBorders>
              <w:top w:val="nil"/>
              <w:left w:val="nil"/>
              <w:bottom w:val="single" w:sz="4" w:space="0" w:color="auto"/>
              <w:right w:val="single" w:sz="4" w:space="0" w:color="auto"/>
            </w:tcBorders>
            <w:shd w:val="clear" w:color="auto" w:fill="auto"/>
            <w:noWrap/>
            <w:vAlign w:val="bottom"/>
            <w:hideMark/>
          </w:tcPr>
          <w:p w14:paraId="17CC280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16" w:type="dxa"/>
            <w:tcBorders>
              <w:top w:val="nil"/>
              <w:left w:val="nil"/>
              <w:bottom w:val="single" w:sz="4" w:space="0" w:color="auto"/>
              <w:right w:val="single" w:sz="4" w:space="0" w:color="auto"/>
            </w:tcBorders>
            <w:shd w:val="clear" w:color="auto" w:fill="auto"/>
            <w:noWrap/>
            <w:vAlign w:val="bottom"/>
            <w:hideMark/>
          </w:tcPr>
          <w:p w14:paraId="0E28B4A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4AA7BDF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56</w:t>
            </w:r>
          </w:p>
        </w:tc>
        <w:tc>
          <w:tcPr>
            <w:tcW w:w="623" w:type="dxa"/>
            <w:tcBorders>
              <w:top w:val="nil"/>
              <w:left w:val="nil"/>
              <w:bottom w:val="single" w:sz="4" w:space="0" w:color="auto"/>
              <w:right w:val="single" w:sz="4" w:space="0" w:color="auto"/>
            </w:tcBorders>
            <w:shd w:val="clear" w:color="auto" w:fill="auto"/>
            <w:noWrap/>
            <w:vAlign w:val="bottom"/>
            <w:hideMark/>
          </w:tcPr>
          <w:p w14:paraId="202F8F4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551" w:type="dxa"/>
            <w:tcBorders>
              <w:top w:val="nil"/>
              <w:left w:val="nil"/>
              <w:bottom w:val="single" w:sz="4" w:space="0" w:color="auto"/>
              <w:right w:val="single" w:sz="4" w:space="0" w:color="auto"/>
            </w:tcBorders>
            <w:shd w:val="clear" w:color="auto" w:fill="auto"/>
            <w:noWrap/>
            <w:vAlign w:val="bottom"/>
            <w:hideMark/>
          </w:tcPr>
          <w:p w14:paraId="5B97D1B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6A54FAD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10</w:t>
            </w:r>
          </w:p>
        </w:tc>
        <w:tc>
          <w:tcPr>
            <w:tcW w:w="567" w:type="dxa"/>
            <w:tcBorders>
              <w:top w:val="nil"/>
              <w:left w:val="nil"/>
              <w:bottom w:val="single" w:sz="4" w:space="0" w:color="auto"/>
              <w:right w:val="single" w:sz="4" w:space="0" w:color="auto"/>
            </w:tcBorders>
            <w:shd w:val="clear" w:color="auto" w:fill="auto"/>
            <w:noWrap/>
            <w:vAlign w:val="bottom"/>
            <w:hideMark/>
          </w:tcPr>
          <w:p w14:paraId="592743F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9</w:t>
            </w:r>
          </w:p>
        </w:tc>
        <w:tc>
          <w:tcPr>
            <w:tcW w:w="703" w:type="dxa"/>
            <w:tcBorders>
              <w:top w:val="nil"/>
              <w:left w:val="nil"/>
              <w:bottom w:val="single" w:sz="4" w:space="0" w:color="auto"/>
              <w:right w:val="single" w:sz="4" w:space="0" w:color="auto"/>
            </w:tcBorders>
            <w:shd w:val="clear" w:color="auto" w:fill="auto"/>
            <w:noWrap/>
            <w:vAlign w:val="bottom"/>
            <w:hideMark/>
          </w:tcPr>
          <w:p w14:paraId="526780B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67C1135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268</w:t>
            </w:r>
          </w:p>
        </w:tc>
        <w:tc>
          <w:tcPr>
            <w:tcW w:w="680" w:type="dxa"/>
            <w:tcBorders>
              <w:top w:val="nil"/>
              <w:left w:val="nil"/>
              <w:bottom w:val="single" w:sz="4" w:space="0" w:color="auto"/>
              <w:right w:val="single" w:sz="4" w:space="0" w:color="auto"/>
            </w:tcBorders>
            <w:shd w:val="clear" w:color="auto" w:fill="auto"/>
            <w:noWrap/>
            <w:vAlign w:val="bottom"/>
            <w:hideMark/>
          </w:tcPr>
          <w:p w14:paraId="750EDE6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258</w:t>
            </w:r>
          </w:p>
        </w:tc>
      </w:tr>
      <w:tr w:rsidR="00E335CE" w:rsidRPr="00B13B9A" w14:paraId="20FF224A"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653B6CB"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dec.21</w:t>
            </w:r>
          </w:p>
        </w:tc>
        <w:tc>
          <w:tcPr>
            <w:tcW w:w="703" w:type="dxa"/>
            <w:tcBorders>
              <w:top w:val="nil"/>
              <w:left w:val="nil"/>
              <w:bottom w:val="single" w:sz="4" w:space="0" w:color="auto"/>
              <w:right w:val="single" w:sz="4" w:space="0" w:color="auto"/>
            </w:tcBorders>
            <w:shd w:val="clear" w:color="auto" w:fill="auto"/>
            <w:noWrap/>
            <w:vAlign w:val="bottom"/>
            <w:hideMark/>
          </w:tcPr>
          <w:p w14:paraId="1498611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34D2676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43</w:t>
            </w:r>
          </w:p>
        </w:tc>
        <w:tc>
          <w:tcPr>
            <w:tcW w:w="580" w:type="dxa"/>
            <w:tcBorders>
              <w:top w:val="nil"/>
              <w:left w:val="nil"/>
              <w:bottom w:val="single" w:sz="4" w:space="0" w:color="auto"/>
              <w:right w:val="single" w:sz="4" w:space="0" w:color="auto"/>
            </w:tcBorders>
            <w:shd w:val="clear" w:color="auto" w:fill="auto"/>
            <w:noWrap/>
            <w:vAlign w:val="bottom"/>
            <w:hideMark/>
          </w:tcPr>
          <w:p w14:paraId="06D6D54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15</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7AC006D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33D332F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25</w:t>
            </w:r>
          </w:p>
        </w:tc>
        <w:tc>
          <w:tcPr>
            <w:tcW w:w="534" w:type="dxa"/>
            <w:tcBorders>
              <w:top w:val="nil"/>
              <w:left w:val="nil"/>
              <w:bottom w:val="single" w:sz="4" w:space="0" w:color="auto"/>
              <w:right w:val="single" w:sz="4" w:space="0" w:color="auto"/>
            </w:tcBorders>
            <w:shd w:val="clear" w:color="auto" w:fill="auto"/>
            <w:noWrap/>
            <w:vAlign w:val="bottom"/>
            <w:hideMark/>
          </w:tcPr>
          <w:p w14:paraId="4857AF1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34</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66E59C8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11B32C0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51</w:t>
            </w:r>
          </w:p>
        </w:tc>
        <w:tc>
          <w:tcPr>
            <w:tcW w:w="567" w:type="dxa"/>
            <w:tcBorders>
              <w:top w:val="nil"/>
              <w:left w:val="nil"/>
              <w:bottom w:val="single" w:sz="4" w:space="0" w:color="auto"/>
              <w:right w:val="single" w:sz="4" w:space="0" w:color="auto"/>
            </w:tcBorders>
            <w:shd w:val="clear" w:color="auto" w:fill="auto"/>
            <w:noWrap/>
            <w:vAlign w:val="bottom"/>
            <w:hideMark/>
          </w:tcPr>
          <w:p w14:paraId="21ACF6D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64</w:t>
            </w:r>
          </w:p>
        </w:tc>
        <w:tc>
          <w:tcPr>
            <w:tcW w:w="703" w:type="dxa"/>
            <w:tcBorders>
              <w:top w:val="nil"/>
              <w:left w:val="nil"/>
              <w:bottom w:val="single" w:sz="4" w:space="0" w:color="auto"/>
              <w:right w:val="single" w:sz="4" w:space="0" w:color="auto"/>
            </w:tcBorders>
            <w:shd w:val="clear" w:color="auto" w:fill="auto"/>
            <w:noWrap/>
            <w:vAlign w:val="bottom"/>
            <w:hideMark/>
          </w:tcPr>
          <w:p w14:paraId="038657F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53E991F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531" w:type="dxa"/>
            <w:tcBorders>
              <w:top w:val="nil"/>
              <w:left w:val="nil"/>
              <w:bottom w:val="single" w:sz="4" w:space="0" w:color="auto"/>
              <w:right w:val="single" w:sz="4" w:space="0" w:color="auto"/>
            </w:tcBorders>
            <w:shd w:val="clear" w:color="auto" w:fill="auto"/>
            <w:noWrap/>
            <w:vAlign w:val="bottom"/>
            <w:hideMark/>
          </w:tcPr>
          <w:p w14:paraId="4291BED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53</w:t>
            </w:r>
          </w:p>
        </w:tc>
        <w:tc>
          <w:tcPr>
            <w:tcW w:w="616" w:type="dxa"/>
            <w:tcBorders>
              <w:top w:val="nil"/>
              <w:left w:val="nil"/>
              <w:bottom w:val="single" w:sz="4" w:space="0" w:color="auto"/>
              <w:right w:val="single" w:sz="4" w:space="0" w:color="auto"/>
            </w:tcBorders>
            <w:shd w:val="clear" w:color="auto" w:fill="auto"/>
            <w:noWrap/>
            <w:vAlign w:val="bottom"/>
            <w:hideMark/>
          </w:tcPr>
          <w:p w14:paraId="6C543A7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7652DB3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3" w:type="dxa"/>
            <w:tcBorders>
              <w:top w:val="nil"/>
              <w:left w:val="nil"/>
              <w:bottom w:val="single" w:sz="4" w:space="0" w:color="auto"/>
              <w:right w:val="single" w:sz="4" w:space="0" w:color="auto"/>
            </w:tcBorders>
            <w:shd w:val="clear" w:color="auto" w:fill="auto"/>
            <w:noWrap/>
            <w:vAlign w:val="bottom"/>
            <w:hideMark/>
          </w:tcPr>
          <w:p w14:paraId="63AFAE0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61</w:t>
            </w:r>
          </w:p>
        </w:tc>
        <w:tc>
          <w:tcPr>
            <w:tcW w:w="551" w:type="dxa"/>
            <w:tcBorders>
              <w:top w:val="nil"/>
              <w:left w:val="nil"/>
              <w:bottom w:val="single" w:sz="4" w:space="0" w:color="auto"/>
              <w:right w:val="single" w:sz="4" w:space="0" w:color="auto"/>
            </w:tcBorders>
            <w:shd w:val="clear" w:color="auto" w:fill="auto"/>
            <w:noWrap/>
            <w:vAlign w:val="bottom"/>
            <w:hideMark/>
          </w:tcPr>
          <w:p w14:paraId="65B5456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76342C9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9</w:t>
            </w:r>
          </w:p>
        </w:tc>
        <w:tc>
          <w:tcPr>
            <w:tcW w:w="567" w:type="dxa"/>
            <w:tcBorders>
              <w:top w:val="nil"/>
              <w:left w:val="nil"/>
              <w:bottom w:val="single" w:sz="4" w:space="0" w:color="auto"/>
              <w:right w:val="single" w:sz="4" w:space="0" w:color="auto"/>
            </w:tcBorders>
            <w:shd w:val="clear" w:color="auto" w:fill="auto"/>
            <w:noWrap/>
            <w:vAlign w:val="bottom"/>
            <w:hideMark/>
          </w:tcPr>
          <w:p w14:paraId="4AA0D66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w:t>
            </w:r>
          </w:p>
        </w:tc>
        <w:tc>
          <w:tcPr>
            <w:tcW w:w="703" w:type="dxa"/>
            <w:tcBorders>
              <w:top w:val="nil"/>
              <w:left w:val="nil"/>
              <w:bottom w:val="single" w:sz="4" w:space="0" w:color="auto"/>
              <w:right w:val="single" w:sz="4" w:space="0" w:color="auto"/>
            </w:tcBorders>
            <w:shd w:val="clear" w:color="auto" w:fill="auto"/>
            <w:noWrap/>
            <w:vAlign w:val="bottom"/>
            <w:hideMark/>
          </w:tcPr>
          <w:p w14:paraId="174E3D5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2F94A34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258</w:t>
            </w:r>
          </w:p>
        </w:tc>
        <w:tc>
          <w:tcPr>
            <w:tcW w:w="680" w:type="dxa"/>
            <w:tcBorders>
              <w:top w:val="nil"/>
              <w:left w:val="nil"/>
              <w:bottom w:val="single" w:sz="4" w:space="0" w:color="auto"/>
              <w:right w:val="single" w:sz="4" w:space="0" w:color="auto"/>
            </w:tcBorders>
            <w:shd w:val="clear" w:color="auto" w:fill="auto"/>
            <w:noWrap/>
            <w:vAlign w:val="bottom"/>
            <w:hideMark/>
          </w:tcPr>
          <w:p w14:paraId="74489EC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232</w:t>
            </w:r>
          </w:p>
        </w:tc>
      </w:tr>
      <w:tr w:rsidR="00E335CE" w:rsidRPr="00B13B9A" w14:paraId="66249FC7"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6D33224"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ian.22</w:t>
            </w:r>
          </w:p>
        </w:tc>
        <w:tc>
          <w:tcPr>
            <w:tcW w:w="703" w:type="dxa"/>
            <w:tcBorders>
              <w:top w:val="nil"/>
              <w:left w:val="nil"/>
              <w:bottom w:val="single" w:sz="4" w:space="0" w:color="auto"/>
              <w:right w:val="single" w:sz="4" w:space="0" w:color="auto"/>
            </w:tcBorders>
            <w:shd w:val="clear" w:color="auto" w:fill="auto"/>
            <w:noWrap/>
            <w:vAlign w:val="bottom"/>
            <w:hideMark/>
          </w:tcPr>
          <w:p w14:paraId="1F37974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32B4212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15</w:t>
            </w:r>
          </w:p>
        </w:tc>
        <w:tc>
          <w:tcPr>
            <w:tcW w:w="580" w:type="dxa"/>
            <w:tcBorders>
              <w:top w:val="nil"/>
              <w:left w:val="nil"/>
              <w:bottom w:val="single" w:sz="4" w:space="0" w:color="auto"/>
              <w:right w:val="single" w:sz="4" w:space="0" w:color="auto"/>
            </w:tcBorders>
            <w:shd w:val="clear" w:color="auto" w:fill="auto"/>
            <w:noWrap/>
            <w:vAlign w:val="bottom"/>
            <w:hideMark/>
          </w:tcPr>
          <w:p w14:paraId="4368367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17</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0FFDA17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1028E55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34</w:t>
            </w:r>
          </w:p>
        </w:tc>
        <w:tc>
          <w:tcPr>
            <w:tcW w:w="534" w:type="dxa"/>
            <w:tcBorders>
              <w:top w:val="nil"/>
              <w:left w:val="nil"/>
              <w:bottom w:val="single" w:sz="4" w:space="0" w:color="auto"/>
              <w:right w:val="single" w:sz="4" w:space="0" w:color="auto"/>
            </w:tcBorders>
            <w:shd w:val="clear" w:color="auto" w:fill="auto"/>
            <w:noWrap/>
            <w:vAlign w:val="bottom"/>
            <w:hideMark/>
          </w:tcPr>
          <w:p w14:paraId="0BF4206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69</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2F8B5C9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106CED6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64</w:t>
            </w:r>
          </w:p>
        </w:tc>
        <w:tc>
          <w:tcPr>
            <w:tcW w:w="567" w:type="dxa"/>
            <w:tcBorders>
              <w:top w:val="nil"/>
              <w:left w:val="nil"/>
              <w:bottom w:val="single" w:sz="4" w:space="0" w:color="auto"/>
              <w:right w:val="single" w:sz="4" w:space="0" w:color="auto"/>
            </w:tcBorders>
            <w:shd w:val="clear" w:color="auto" w:fill="auto"/>
            <w:noWrap/>
            <w:vAlign w:val="bottom"/>
            <w:hideMark/>
          </w:tcPr>
          <w:p w14:paraId="3DDC06E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66</w:t>
            </w:r>
          </w:p>
        </w:tc>
        <w:tc>
          <w:tcPr>
            <w:tcW w:w="703" w:type="dxa"/>
            <w:tcBorders>
              <w:top w:val="nil"/>
              <w:left w:val="nil"/>
              <w:bottom w:val="single" w:sz="4" w:space="0" w:color="auto"/>
              <w:right w:val="single" w:sz="4" w:space="0" w:color="auto"/>
            </w:tcBorders>
            <w:shd w:val="clear" w:color="auto" w:fill="auto"/>
            <w:noWrap/>
            <w:vAlign w:val="bottom"/>
            <w:hideMark/>
          </w:tcPr>
          <w:p w14:paraId="3D024D4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1C5C33F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53</w:t>
            </w:r>
          </w:p>
        </w:tc>
        <w:tc>
          <w:tcPr>
            <w:tcW w:w="531" w:type="dxa"/>
            <w:tcBorders>
              <w:top w:val="nil"/>
              <w:left w:val="nil"/>
              <w:bottom w:val="single" w:sz="4" w:space="0" w:color="auto"/>
              <w:right w:val="single" w:sz="4" w:space="0" w:color="auto"/>
            </w:tcBorders>
            <w:shd w:val="clear" w:color="auto" w:fill="auto"/>
            <w:noWrap/>
            <w:vAlign w:val="bottom"/>
            <w:hideMark/>
          </w:tcPr>
          <w:p w14:paraId="1842CFB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56</w:t>
            </w:r>
          </w:p>
        </w:tc>
        <w:tc>
          <w:tcPr>
            <w:tcW w:w="616" w:type="dxa"/>
            <w:tcBorders>
              <w:top w:val="nil"/>
              <w:left w:val="nil"/>
              <w:bottom w:val="single" w:sz="4" w:space="0" w:color="auto"/>
              <w:right w:val="single" w:sz="4" w:space="0" w:color="auto"/>
            </w:tcBorders>
            <w:shd w:val="clear" w:color="auto" w:fill="auto"/>
            <w:noWrap/>
            <w:vAlign w:val="bottom"/>
            <w:hideMark/>
          </w:tcPr>
          <w:p w14:paraId="56278DC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4676CD2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61</w:t>
            </w:r>
          </w:p>
        </w:tc>
        <w:tc>
          <w:tcPr>
            <w:tcW w:w="623" w:type="dxa"/>
            <w:tcBorders>
              <w:top w:val="nil"/>
              <w:left w:val="nil"/>
              <w:bottom w:val="single" w:sz="4" w:space="0" w:color="auto"/>
              <w:right w:val="single" w:sz="4" w:space="0" w:color="auto"/>
            </w:tcBorders>
            <w:shd w:val="clear" w:color="auto" w:fill="auto"/>
            <w:noWrap/>
            <w:vAlign w:val="bottom"/>
            <w:hideMark/>
          </w:tcPr>
          <w:p w14:paraId="56A9446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52</w:t>
            </w:r>
          </w:p>
        </w:tc>
        <w:tc>
          <w:tcPr>
            <w:tcW w:w="551" w:type="dxa"/>
            <w:tcBorders>
              <w:top w:val="nil"/>
              <w:left w:val="nil"/>
              <w:bottom w:val="single" w:sz="4" w:space="0" w:color="auto"/>
              <w:right w:val="single" w:sz="4" w:space="0" w:color="auto"/>
            </w:tcBorders>
            <w:shd w:val="clear" w:color="auto" w:fill="auto"/>
            <w:noWrap/>
            <w:vAlign w:val="bottom"/>
            <w:hideMark/>
          </w:tcPr>
          <w:p w14:paraId="36B2318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6D24046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w:t>
            </w:r>
          </w:p>
        </w:tc>
        <w:tc>
          <w:tcPr>
            <w:tcW w:w="567" w:type="dxa"/>
            <w:tcBorders>
              <w:top w:val="nil"/>
              <w:left w:val="nil"/>
              <w:bottom w:val="single" w:sz="4" w:space="0" w:color="auto"/>
              <w:right w:val="single" w:sz="4" w:space="0" w:color="auto"/>
            </w:tcBorders>
            <w:shd w:val="clear" w:color="auto" w:fill="auto"/>
            <w:noWrap/>
            <w:vAlign w:val="bottom"/>
            <w:hideMark/>
          </w:tcPr>
          <w:p w14:paraId="19C8D76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10</w:t>
            </w:r>
          </w:p>
        </w:tc>
        <w:tc>
          <w:tcPr>
            <w:tcW w:w="703" w:type="dxa"/>
            <w:tcBorders>
              <w:top w:val="nil"/>
              <w:left w:val="nil"/>
              <w:bottom w:val="single" w:sz="4" w:space="0" w:color="auto"/>
              <w:right w:val="single" w:sz="4" w:space="0" w:color="auto"/>
            </w:tcBorders>
            <w:shd w:val="clear" w:color="auto" w:fill="auto"/>
            <w:noWrap/>
            <w:vAlign w:val="bottom"/>
            <w:hideMark/>
          </w:tcPr>
          <w:p w14:paraId="48FB6B7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7057B70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232</w:t>
            </w:r>
          </w:p>
        </w:tc>
        <w:tc>
          <w:tcPr>
            <w:tcW w:w="680" w:type="dxa"/>
            <w:tcBorders>
              <w:top w:val="nil"/>
              <w:left w:val="nil"/>
              <w:bottom w:val="single" w:sz="4" w:space="0" w:color="auto"/>
              <w:right w:val="single" w:sz="4" w:space="0" w:color="auto"/>
            </w:tcBorders>
            <w:shd w:val="clear" w:color="auto" w:fill="auto"/>
            <w:noWrap/>
            <w:vAlign w:val="bottom"/>
            <w:hideMark/>
          </w:tcPr>
          <w:p w14:paraId="7014B9B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270</w:t>
            </w:r>
          </w:p>
        </w:tc>
      </w:tr>
      <w:tr w:rsidR="00E335CE" w:rsidRPr="00B13B9A" w14:paraId="7D64BBE3"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6128576"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feb.22</w:t>
            </w:r>
          </w:p>
        </w:tc>
        <w:tc>
          <w:tcPr>
            <w:tcW w:w="703" w:type="dxa"/>
            <w:tcBorders>
              <w:top w:val="nil"/>
              <w:left w:val="nil"/>
              <w:bottom w:val="single" w:sz="4" w:space="0" w:color="auto"/>
              <w:right w:val="single" w:sz="4" w:space="0" w:color="auto"/>
            </w:tcBorders>
            <w:shd w:val="clear" w:color="auto" w:fill="auto"/>
            <w:noWrap/>
            <w:vAlign w:val="bottom"/>
            <w:hideMark/>
          </w:tcPr>
          <w:p w14:paraId="2F96D67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48AF2BF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17</w:t>
            </w:r>
          </w:p>
        </w:tc>
        <w:tc>
          <w:tcPr>
            <w:tcW w:w="580" w:type="dxa"/>
            <w:tcBorders>
              <w:top w:val="nil"/>
              <w:left w:val="nil"/>
              <w:bottom w:val="single" w:sz="4" w:space="0" w:color="auto"/>
              <w:right w:val="single" w:sz="4" w:space="0" w:color="auto"/>
            </w:tcBorders>
            <w:shd w:val="clear" w:color="auto" w:fill="auto"/>
            <w:noWrap/>
            <w:vAlign w:val="bottom"/>
            <w:hideMark/>
          </w:tcPr>
          <w:p w14:paraId="033753B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21</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7C926B6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182FB19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69</w:t>
            </w:r>
          </w:p>
        </w:tc>
        <w:tc>
          <w:tcPr>
            <w:tcW w:w="534" w:type="dxa"/>
            <w:tcBorders>
              <w:top w:val="nil"/>
              <w:left w:val="nil"/>
              <w:bottom w:val="single" w:sz="4" w:space="0" w:color="auto"/>
              <w:right w:val="single" w:sz="4" w:space="0" w:color="auto"/>
            </w:tcBorders>
            <w:shd w:val="clear" w:color="auto" w:fill="auto"/>
            <w:noWrap/>
            <w:vAlign w:val="bottom"/>
            <w:hideMark/>
          </w:tcPr>
          <w:p w14:paraId="78BD47A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35</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10736C7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37143F0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66</w:t>
            </w:r>
          </w:p>
        </w:tc>
        <w:tc>
          <w:tcPr>
            <w:tcW w:w="567" w:type="dxa"/>
            <w:tcBorders>
              <w:top w:val="nil"/>
              <w:left w:val="nil"/>
              <w:bottom w:val="single" w:sz="4" w:space="0" w:color="auto"/>
              <w:right w:val="single" w:sz="4" w:space="0" w:color="auto"/>
            </w:tcBorders>
            <w:shd w:val="clear" w:color="auto" w:fill="auto"/>
            <w:noWrap/>
            <w:vAlign w:val="bottom"/>
            <w:hideMark/>
          </w:tcPr>
          <w:p w14:paraId="1EC30C2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703" w:type="dxa"/>
            <w:tcBorders>
              <w:top w:val="nil"/>
              <w:left w:val="nil"/>
              <w:bottom w:val="single" w:sz="4" w:space="0" w:color="auto"/>
              <w:right w:val="single" w:sz="4" w:space="0" w:color="auto"/>
            </w:tcBorders>
            <w:shd w:val="clear" w:color="auto" w:fill="auto"/>
            <w:noWrap/>
            <w:vAlign w:val="bottom"/>
            <w:hideMark/>
          </w:tcPr>
          <w:p w14:paraId="3BB5B30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44A2916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56</w:t>
            </w:r>
          </w:p>
        </w:tc>
        <w:tc>
          <w:tcPr>
            <w:tcW w:w="531" w:type="dxa"/>
            <w:tcBorders>
              <w:top w:val="nil"/>
              <w:left w:val="nil"/>
              <w:bottom w:val="single" w:sz="4" w:space="0" w:color="auto"/>
              <w:right w:val="single" w:sz="4" w:space="0" w:color="auto"/>
            </w:tcBorders>
            <w:shd w:val="clear" w:color="auto" w:fill="auto"/>
            <w:noWrap/>
            <w:vAlign w:val="bottom"/>
            <w:hideMark/>
          </w:tcPr>
          <w:p w14:paraId="2BB0DF2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50</w:t>
            </w:r>
          </w:p>
        </w:tc>
        <w:tc>
          <w:tcPr>
            <w:tcW w:w="616" w:type="dxa"/>
            <w:tcBorders>
              <w:top w:val="nil"/>
              <w:left w:val="nil"/>
              <w:bottom w:val="single" w:sz="4" w:space="0" w:color="auto"/>
              <w:right w:val="single" w:sz="4" w:space="0" w:color="auto"/>
            </w:tcBorders>
            <w:shd w:val="clear" w:color="auto" w:fill="auto"/>
            <w:noWrap/>
            <w:vAlign w:val="bottom"/>
            <w:hideMark/>
          </w:tcPr>
          <w:p w14:paraId="3B6EBB7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221B3A5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52</w:t>
            </w:r>
          </w:p>
        </w:tc>
        <w:tc>
          <w:tcPr>
            <w:tcW w:w="623" w:type="dxa"/>
            <w:tcBorders>
              <w:top w:val="nil"/>
              <w:left w:val="nil"/>
              <w:bottom w:val="single" w:sz="4" w:space="0" w:color="auto"/>
              <w:right w:val="single" w:sz="4" w:space="0" w:color="auto"/>
            </w:tcBorders>
            <w:shd w:val="clear" w:color="auto" w:fill="auto"/>
            <w:noWrap/>
            <w:vAlign w:val="bottom"/>
            <w:hideMark/>
          </w:tcPr>
          <w:p w14:paraId="099B1C7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49</w:t>
            </w:r>
          </w:p>
        </w:tc>
        <w:tc>
          <w:tcPr>
            <w:tcW w:w="551" w:type="dxa"/>
            <w:tcBorders>
              <w:top w:val="nil"/>
              <w:left w:val="nil"/>
              <w:bottom w:val="single" w:sz="4" w:space="0" w:color="auto"/>
              <w:right w:val="single" w:sz="4" w:space="0" w:color="auto"/>
            </w:tcBorders>
            <w:shd w:val="clear" w:color="auto" w:fill="auto"/>
            <w:noWrap/>
            <w:vAlign w:val="bottom"/>
            <w:hideMark/>
          </w:tcPr>
          <w:p w14:paraId="1E9ECAE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4CDBE8E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10</w:t>
            </w:r>
          </w:p>
        </w:tc>
        <w:tc>
          <w:tcPr>
            <w:tcW w:w="567" w:type="dxa"/>
            <w:tcBorders>
              <w:top w:val="nil"/>
              <w:left w:val="nil"/>
              <w:bottom w:val="single" w:sz="4" w:space="0" w:color="auto"/>
              <w:right w:val="single" w:sz="4" w:space="0" w:color="auto"/>
            </w:tcBorders>
            <w:shd w:val="clear" w:color="auto" w:fill="auto"/>
            <w:noWrap/>
            <w:vAlign w:val="bottom"/>
            <w:hideMark/>
          </w:tcPr>
          <w:p w14:paraId="2B83851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w:t>
            </w:r>
          </w:p>
        </w:tc>
        <w:tc>
          <w:tcPr>
            <w:tcW w:w="703" w:type="dxa"/>
            <w:tcBorders>
              <w:top w:val="nil"/>
              <w:left w:val="nil"/>
              <w:bottom w:val="single" w:sz="4" w:space="0" w:color="auto"/>
              <w:right w:val="single" w:sz="4" w:space="0" w:color="auto"/>
            </w:tcBorders>
            <w:shd w:val="clear" w:color="auto" w:fill="auto"/>
            <w:noWrap/>
            <w:vAlign w:val="bottom"/>
            <w:hideMark/>
          </w:tcPr>
          <w:p w14:paraId="6F96B28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034ADA3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270</w:t>
            </w:r>
          </w:p>
        </w:tc>
        <w:tc>
          <w:tcPr>
            <w:tcW w:w="680" w:type="dxa"/>
            <w:tcBorders>
              <w:top w:val="nil"/>
              <w:left w:val="nil"/>
              <w:bottom w:val="single" w:sz="4" w:space="0" w:color="auto"/>
              <w:right w:val="single" w:sz="4" w:space="0" w:color="auto"/>
            </w:tcBorders>
            <w:shd w:val="clear" w:color="auto" w:fill="auto"/>
            <w:noWrap/>
            <w:vAlign w:val="bottom"/>
            <w:hideMark/>
          </w:tcPr>
          <w:p w14:paraId="69A1C08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223</w:t>
            </w:r>
          </w:p>
        </w:tc>
      </w:tr>
      <w:tr w:rsidR="00E335CE" w:rsidRPr="00B13B9A" w14:paraId="0A6968D9"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C88DC11"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mar.22</w:t>
            </w:r>
          </w:p>
        </w:tc>
        <w:tc>
          <w:tcPr>
            <w:tcW w:w="703" w:type="dxa"/>
            <w:tcBorders>
              <w:top w:val="nil"/>
              <w:left w:val="nil"/>
              <w:bottom w:val="single" w:sz="4" w:space="0" w:color="auto"/>
              <w:right w:val="single" w:sz="4" w:space="0" w:color="auto"/>
            </w:tcBorders>
            <w:shd w:val="clear" w:color="auto" w:fill="auto"/>
            <w:noWrap/>
            <w:vAlign w:val="bottom"/>
            <w:hideMark/>
          </w:tcPr>
          <w:p w14:paraId="496F418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4C31D19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21</w:t>
            </w:r>
          </w:p>
        </w:tc>
        <w:tc>
          <w:tcPr>
            <w:tcW w:w="580" w:type="dxa"/>
            <w:tcBorders>
              <w:top w:val="nil"/>
              <w:left w:val="nil"/>
              <w:bottom w:val="single" w:sz="4" w:space="0" w:color="auto"/>
              <w:right w:val="single" w:sz="4" w:space="0" w:color="auto"/>
            </w:tcBorders>
            <w:shd w:val="clear" w:color="auto" w:fill="auto"/>
            <w:noWrap/>
            <w:vAlign w:val="bottom"/>
            <w:hideMark/>
          </w:tcPr>
          <w:p w14:paraId="2E41E61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32</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3124091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4E7CCAC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35</w:t>
            </w:r>
          </w:p>
        </w:tc>
        <w:tc>
          <w:tcPr>
            <w:tcW w:w="534" w:type="dxa"/>
            <w:tcBorders>
              <w:top w:val="nil"/>
              <w:left w:val="nil"/>
              <w:bottom w:val="single" w:sz="4" w:space="0" w:color="auto"/>
              <w:right w:val="single" w:sz="4" w:space="0" w:color="auto"/>
            </w:tcBorders>
            <w:shd w:val="clear" w:color="auto" w:fill="auto"/>
            <w:noWrap/>
            <w:vAlign w:val="bottom"/>
            <w:hideMark/>
          </w:tcPr>
          <w:p w14:paraId="247C534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41</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509428A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5EE888A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567" w:type="dxa"/>
            <w:tcBorders>
              <w:top w:val="nil"/>
              <w:left w:val="nil"/>
              <w:bottom w:val="single" w:sz="4" w:space="0" w:color="auto"/>
              <w:right w:val="single" w:sz="4" w:space="0" w:color="auto"/>
            </w:tcBorders>
            <w:shd w:val="clear" w:color="auto" w:fill="auto"/>
            <w:noWrap/>
            <w:vAlign w:val="bottom"/>
            <w:hideMark/>
          </w:tcPr>
          <w:p w14:paraId="19CF3D6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64</w:t>
            </w:r>
          </w:p>
        </w:tc>
        <w:tc>
          <w:tcPr>
            <w:tcW w:w="703" w:type="dxa"/>
            <w:tcBorders>
              <w:top w:val="nil"/>
              <w:left w:val="nil"/>
              <w:bottom w:val="single" w:sz="4" w:space="0" w:color="auto"/>
              <w:right w:val="single" w:sz="4" w:space="0" w:color="auto"/>
            </w:tcBorders>
            <w:shd w:val="clear" w:color="auto" w:fill="auto"/>
            <w:noWrap/>
            <w:vAlign w:val="bottom"/>
            <w:hideMark/>
          </w:tcPr>
          <w:p w14:paraId="3E74080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04653D2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50</w:t>
            </w:r>
          </w:p>
        </w:tc>
        <w:tc>
          <w:tcPr>
            <w:tcW w:w="531" w:type="dxa"/>
            <w:tcBorders>
              <w:top w:val="nil"/>
              <w:left w:val="nil"/>
              <w:bottom w:val="single" w:sz="4" w:space="0" w:color="auto"/>
              <w:right w:val="single" w:sz="4" w:space="0" w:color="auto"/>
            </w:tcBorders>
            <w:shd w:val="clear" w:color="auto" w:fill="auto"/>
            <w:noWrap/>
            <w:vAlign w:val="bottom"/>
            <w:hideMark/>
          </w:tcPr>
          <w:p w14:paraId="3AE6D82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61</w:t>
            </w:r>
          </w:p>
        </w:tc>
        <w:tc>
          <w:tcPr>
            <w:tcW w:w="616" w:type="dxa"/>
            <w:tcBorders>
              <w:top w:val="nil"/>
              <w:left w:val="nil"/>
              <w:bottom w:val="single" w:sz="4" w:space="0" w:color="auto"/>
              <w:right w:val="single" w:sz="4" w:space="0" w:color="auto"/>
            </w:tcBorders>
            <w:shd w:val="clear" w:color="auto" w:fill="auto"/>
            <w:noWrap/>
            <w:vAlign w:val="bottom"/>
            <w:hideMark/>
          </w:tcPr>
          <w:p w14:paraId="44FE4C3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6ABEDF3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49</w:t>
            </w:r>
          </w:p>
        </w:tc>
        <w:tc>
          <w:tcPr>
            <w:tcW w:w="623" w:type="dxa"/>
            <w:tcBorders>
              <w:top w:val="nil"/>
              <w:left w:val="nil"/>
              <w:bottom w:val="single" w:sz="4" w:space="0" w:color="auto"/>
              <w:right w:val="single" w:sz="4" w:space="0" w:color="auto"/>
            </w:tcBorders>
            <w:shd w:val="clear" w:color="auto" w:fill="auto"/>
            <w:noWrap/>
            <w:vAlign w:val="bottom"/>
            <w:hideMark/>
          </w:tcPr>
          <w:p w14:paraId="3785A61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19</w:t>
            </w:r>
          </w:p>
        </w:tc>
        <w:tc>
          <w:tcPr>
            <w:tcW w:w="551" w:type="dxa"/>
            <w:tcBorders>
              <w:top w:val="nil"/>
              <w:left w:val="nil"/>
              <w:bottom w:val="single" w:sz="4" w:space="0" w:color="auto"/>
              <w:right w:val="single" w:sz="4" w:space="0" w:color="auto"/>
            </w:tcBorders>
            <w:shd w:val="clear" w:color="auto" w:fill="auto"/>
            <w:noWrap/>
            <w:vAlign w:val="bottom"/>
            <w:hideMark/>
          </w:tcPr>
          <w:p w14:paraId="1D41457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6C12341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w:t>
            </w:r>
          </w:p>
        </w:tc>
        <w:tc>
          <w:tcPr>
            <w:tcW w:w="567" w:type="dxa"/>
            <w:tcBorders>
              <w:top w:val="nil"/>
              <w:left w:val="nil"/>
              <w:bottom w:val="single" w:sz="4" w:space="0" w:color="auto"/>
              <w:right w:val="single" w:sz="4" w:space="0" w:color="auto"/>
            </w:tcBorders>
            <w:shd w:val="clear" w:color="auto" w:fill="auto"/>
            <w:noWrap/>
            <w:vAlign w:val="bottom"/>
            <w:hideMark/>
          </w:tcPr>
          <w:p w14:paraId="1165B5C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w:t>
            </w:r>
          </w:p>
        </w:tc>
        <w:tc>
          <w:tcPr>
            <w:tcW w:w="703" w:type="dxa"/>
            <w:tcBorders>
              <w:top w:val="nil"/>
              <w:left w:val="nil"/>
              <w:bottom w:val="single" w:sz="4" w:space="0" w:color="auto"/>
              <w:right w:val="single" w:sz="4" w:space="0" w:color="auto"/>
            </w:tcBorders>
            <w:shd w:val="clear" w:color="auto" w:fill="auto"/>
            <w:noWrap/>
            <w:vAlign w:val="bottom"/>
            <w:hideMark/>
          </w:tcPr>
          <w:p w14:paraId="05FBF96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2E9B90E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223</w:t>
            </w:r>
          </w:p>
        </w:tc>
        <w:tc>
          <w:tcPr>
            <w:tcW w:w="680" w:type="dxa"/>
            <w:tcBorders>
              <w:top w:val="nil"/>
              <w:left w:val="nil"/>
              <w:bottom w:val="single" w:sz="4" w:space="0" w:color="auto"/>
              <w:right w:val="single" w:sz="4" w:space="0" w:color="auto"/>
            </w:tcBorders>
            <w:shd w:val="clear" w:color="auto" w:fill="auto"/>
            <w:noWrap/>
            <w:vAlign w:val="bottom"/>
            <w:hideMark/>
          </w:tcPr>
          <w:p w14:paraId="2113A9E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221</w:t>
            </w:r>
          </w:p>
        </w:tc>
      </w:tr>
      <w:tr w:rsidR="00E335CE" w:rsidRPr="00B13B9A" w14:paraId="5F5ED0C9"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8E7F838"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apr.22</w:t>
            </w:r>
          </w:p>
        </w:tc>
        <w:tc>
          <w:tcPr>
            <w:tcW w:w="703" w:type="dxa"/>
            <w:tcBorders>
              <w:top w:val="nil"/>
              <w:left w:val="nil"/>
              <w:bottom w:val="single" w:sz="4" w:space="0" w:color="auto"/>
              <w:right w:val="single" w:sz="4" w:space="0" w:color="auto"/>
            </w:tcBorders>
            <w:shd w:val="clear" w:color="auto" w:fill="auto"/>
            <w:noWrap/>
            <w:vAlign w:val="bottom"/>
            <w:hideMark/>
          </w:tcPr>
          <w:p w14:paraId="462A365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5C7371B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32</w:t>
            </w:r>
          </w:p>
        </w:tc>
        <w:tc>
          <w:tcPr>
            <w:tcW w:w="580" w:type="dxa"/>
            <w:tcBorders>
              <w:top w:val="nil"/>
              <w:left w:val="nil"/>
              <w:bottom w:val="single" w:sz="4" w:space="0" w:color="auto"/>
              <w:right w:val="single" w:sz="4" w:space="0" w:color="auto"/>
            </w:tcBorders>
            <w:shd w:val="clear" w:color="auto" w:fill="auto"/>
            <w:noWrap/>
            <w:vAlign w:val="bottom"/>
            <w:hideMark/>
          </w:tcPr>
          <w:p w14:paraId="53DE1F3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26</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0B617C5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35EC083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41</w:t>
            </w:r>
          </w:p>
        </w:tc>
        <w:tc>
          <w:tcPr>
            <w:tcW w:w="534" w:type="dxa"/>
            <w:tcBorders>
              <w:top w:val="nil"/>
              <w:left w:val="nil"/>
              <w:bottom w:val="single" w:sz="4" w:space="0" w:color="auto"/>
              <w:right w:val="single" w:sz="4" w:space="0" w:color="auto"/>
            </w:tcBorders>
            <w:shd w:val="clear" w:color="auto" w:fill="auto"/>
            <w:noWrap/>
            <w:vAlign w:val="bottom"/>
            <w:hideMark/>
          </w:tcPr>
          <w:p w14:paraId="3B052F4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41</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50F3A13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2D7BABF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64</w:t>
            </w:r>
          </w:p>
        </w:tc>
        <w:tc>
          <w:tcPr>
            <w:tcW w:w="567" w:type="dxa"/>
            <w:tcBorders>
              <w:top w:val="nil"/>
              <w:left w:val="nil"/>
              <w:bottom w:val="single" w:sz="4" w:space="0" w:color="auto"/>
              <w:right w:val="single" w:sz="4" w:space="0" w:color="auto"/>
            </w:tcBorders>
            <w:shd w:val="clear" w:color="auto" w:fill="auto"/>
            <w:noWrap/>
            <w:vAlign w:val="bottom"/>
            <w:hideMark/>
          </w:tcPr>
          <w:p w14:paraId="7C801FE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68</w:t>
            </w:r>
          </w:p>
        </w:tc>
        <w:tc>
          <w:tcPr>
            <w:tcW w:w="703" w:type="dxa"/>
            <w:tcBorders>
              <w:top w:val="nil"/>
              <w:left w:val="nil"/>
              <w:bottom w:val="single" w:sz="4" w:space="0" w:color="auto"/>
              <w:right w:val="single" w:sz="4" w:space="0" w:color="auto"/>
            </w:tcBorders>
            <w:shd w:val="clear" w:color="auto" w:fill="auto"/>
            <w:noWrap/>
            <w:vAlign w:val="bottom"/>
            <w:hideMark/>
          </w:tcPr>
          <w:p w14:paraId="5A54DB9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04787D9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61</w:t>
            </w:r>
          </w:p>
        </w:tc>
        <w:tc>
          <w:tcPr>
            <w:tcW w:w="531" w:type="dxa"/>
            <w:tcBorders>
              <w:top w:val="nil"/>
              <w:left w:val="nil"/>
              <w:bottom w:val="single" w:sz="4" w:space="0" w:color="auto"/>
              <w:right w:val="single" w:sz="4" w:space="0" w:color="auto"/>
            </w:tcBorders>
            <w:shd w:val="clear" w:color="auto" w:fill="auto"/>
            <w:noWrap/>
            <w:vAlign w:val="bottom"/>
            <w:hideMark/>
          </w:tcPr>
          <w:p w14:paraId="1D76752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77</w:t>
            </w:r>
          </w:p>
        </w:tc>
        <w:tc>
          <w:tcPr>
            <w:tcW w:w="616" w:type="dxa"/>
            <w:tcBorders>
              <w:top w:val="nil"/>
              <w:left w:val="nil"/>
              <w:bottom w:val="single" w:sz="4" w:space="0" w:color="auto"/>
              <w:right w:val="single" w:sz="4" w:space="0" w:color="auto"/>
            </w:tcBorders>
            <w:shd w:val="clear" w:color="auto" w:fill="auto"/>
            <w:noWrap/>
            <w:vAlign w:val="bottom"/>
            <w:hideMark/>
          </w:tcPr>
          <w:p w14:paraId="647A141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3A61A0E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19</w:t>
            </w:r>
          </w:p>
        </w:tc>
        <w:tc>
          <w:tcPr>
            <w:tcW w:w="623" w:type="dxa"/>
            <w:tcBorders>
              <w:top w:val="nil"/>
              <w:left w:val="nil"/>
              <w:bottom w:val="single" w:sz="4" w:space="0" w:color="auto"/>
              <w:right w:val="single" w:sz="4" w:space="0" w:color="auto"/>
            </w:tcBorders>
            <w:shd w:val="clear" w:color="auto" w:fill="auto"/>
            <w:noWrap/>
            <w:vAlign w:val="bottom"/>
            <w:hideMark/>
          </w:tcPr>
          <w:p w14:paraId="4E66A2F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19</w:t>
            </w:r>
          </w:p>
        </w:tc>
        <w:tc>
          <w:tcPr>
            <w:tcW w:w="551" w:type="dxa"/>
            <w:tcBorders>
              <w:top w:val="nil"/>
              <w:left w:val="nil"/>
              <w:bottom w:val="single" w:sz="4" w:space="0" w:color="auto"/>
              <w:right w:val="single" w:sz="4" w:space="0" w:color="auto"/>
            </w:tcBorders>
            <w:shd w:val="clear" w:color="auto" w:fill="auto"/>
            <w:noWrap/>
            <w:vAlign w:val="bottom"/>
            <w:hideMark/>
          </w:tcPr>
          <w:p w14:paraId="5287EBC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436BF9C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w:t>
            </w:r>
          </w:p>
        </w:tc>
        <w:tc>
          <w:tcPr>
            <w:tcW w:w="567" w:type="dxa"/>
            <w:tcBorders>
              <w:top w:val="nil"/>
              <w:left w:val="nil"/>
              <w:bottom w:val="single" w:sz="4" w:space="0" w:color="auto"/>
              <w:right w:val="single" w:sz="4" w:space="0" w:color="auto"/>
            </w:tcBorders>
            <w:shd w:val="clear" w:color="auto" w:fill="auto"/>
            <w:noWrap/>
            <w:vAlign w:val="bottom"/>
            <w:hideMark/>
          </w:tcPr>
          <w:p w14:paraId="205AC0C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703" w:type="dxa"/>
            <w:tcBorders>
              <w:top w:val="nil"/>
              <w:left w:val="nil"/>
              <w:bottom w:val="single" w:sz="4" w:space="0" w:color="auto"/>
              <w:right w:val="single" w:sz="4" w:space="0" w:color="auto"/>
            </w:tcBorders>
            <w:shd w:val="clear" w:color="auto" w:fill="auto"/>
            <w:noWrap/>
            <w:vAlign w:val="bottom"/>
            <w:hideMark/>
          </w:tcPr>
          <w:p w14:paraId="54A3736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1D901F9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221</w:t>
            </w:r>
          </w:p>
        </w:tc>
        <w:tc>
          <w:tcPr>
            <w:tcW w:w="680" w:type="dxa"/>
            <w:tcBorders>
              <w:top w:val="nil"/>
              <w:left w:val="nil"/>
              <w:bottom w:val="single" w:sz="4" w:space="0" w:color="auto"/>
              <w:right w:val="single" w:sz="4" w:space="0" w:color="auto"/>
            </w:tcBorders>
            <w:shd w:val="clear" w:color="auto" w:fill="auto"/>
            <w:noWrap/>
            <w:vAlign w:val="bottom"/>
            <w:hideMark/>
          </w:tcPr>
          <w:p w14:paraId="3D18115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237</w:t>
            </w:r>
          </w:p>
        </w:tc>
      </w:tr>
      <w:tr w:rsidR="00E335CE" w:rsidRPr="00B13B9A" w14:paraId="7758E915"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37C8B1B"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mai.22</w:t>
            </w:r>
          </w:p>
        </w:tc>
        <w:tc>
          <w:tcPr>
            <w:tcW w:w="703" w:type="dxa"/>
            <w:tcBorders>
              <w:top w:val="nil"/>
              <w:left w:val="nil"/>
              <w:bottom w:val="single" w:sz="4" w:space="0" w:color="auto"/>
              <w:right w:val="single" w:sz="4" w:space="0" w:color="auto"/>
            </w:tcBorders>
            <w:shd w:val="clear" w:color="auto" w:fill="auto"/>
            <w:noWrap/>
            <w:vAlign w:val="bottom"/>
            <w:hideMark/>
          </w:tcPr>
          <w:p w14:paraId="6BF16DB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280AD65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26</w:t>
            </w:r>
          </w:p>
        </w:tc>
        <w:tc>
          <w:tcPr>
            <w:tcW w:w="580" w:type="dxa"/>
            <w:tcBorders>
              <w:top w:val="nil"/>
              <w:left w:val="nil"/>
              <w:bottom w:val="single" w:sz="4" w:space="0" w:color="auto"/>
              <w:right w:val="single" w:sz="4" w:space="0" w:color="auto"/>
            </w:tcBorders>
            <w:shd w:val="clear" w:color="auto" w:fill="auto"/>
            <w:noWrap/>
            <w:vAlign w:val="bottom"/>
            <w:hideMark/>
          </w:tcPr>
          <w:p w14:paraId="42CD2E0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32</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546CAB3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67F279C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41</w:t>
            </w:r>
          </w:p>
        </w:tc>
        <w:tc>
          <w:tcPr>
            <w:tcW w:w="534" w:type="dxa"/>
            <w:tcBorders>
              <w:top w:val="nil"/>
              <w:left w:val="nil"/>
              <w:bottom w:val="single" w:sz="4" w:space="0" w:color="auto"/>
              <w:right w:val="single" w:sz="4" w:space="0" w:color="auto"/>
            </w:tcBorders>
            <w:shd w:val="clear" w:color="auto" w:fill="auto"/>
            <w:noWrap/>
            <w:vAlign w:val="bottom"/>
            <w:hideMark/>
          </w:tcPr>
          <w:p w14:paraId="5C35FA9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37</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1DDA668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5E9BA7A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68</w:t>
            </w:r>
          </w:p>
        </w:tc>
        <w:tc>
          <w:tcPr>
            <w:tcW w:w="567" w:type="dxa"/>
            <w:tcBorders>
              <w:top w:val="nil"/>
              <w:left w:val="nil"/>
              <w:bottom w:val="single" w:sz="4" w:space="0" w:color="auto"/>
              <w:right w:val="single" w:sz="4" w:space="0" w:color="auto"/>
            </w:tcBorders>
            <w:shd w:val="clear" w:color="auto" w:fill="auto"/>
            <w:noWrap/>
            <w:vAlign w:val="bottom"/>
            <w:hideMark/>
          </w:tcPr>
          <w:p w14:paraId="147A7E8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71</w:t>
            </w:r>
          </w:p>
        </w:tc>
        <w:tc>
          <w:tcPr>
            <w:tcW w:w="703" w:type="dxa"/>
            <w:tcBorders>
              <w:top w:val="nil"/>
              <w:left w:val="nil"/>
              <w:bottom w:val="single" w:sz="4" w:space="0" w:color="auto"/>
              <w:right w:val="single" w:sz="4" w:space="0" w:color="auto"/>
            </w:tcBorders>
            <w:shd w:val="clear" w:color="auto" w:fill="auto"/>
            <w:noWrap/>
            <w:vAlign w:val="bottom"/>
            <w:hideMark/>
          </w:tcPr>
          <w:p w14:paraId="3A545C2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51611C7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77</w:t>
            </w:r>
          </w:p>
        </w:tc>
        <w:tc>
          <w:tcPr>
            <w:tcW w:w="531" w:type="dxa"/>
            <w:tcBorders>
              <w:top w:val="nil"/>
              <w:left w:val="nil"/>
              <w:bottom w:val="single" w:sz="4" w:space="0" w:color="auto"/>
              <w:right w:val="single" w:sz="4" w:space="0" w:color="auto"/>
            </w:tcBorders>
            <w:shd w:val="clear" w:color="auto" w:fill="auto"/>
            <w:noWrap/>
            <w:vAlign w:val="bottom"/>
            <w:hideMark/>
          </w:tcPr>
          <w:p w14:paraId="158DCD3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81</w:t>
            </w:r>
          </w:p>
        </w:tc>
        <w:tc>
          <w:tcPr>
            <w:tcW w:w="616" w:type="dxa"/>
            <w:tcBorders>
              <w:top w:val="nil"/>
              <w:left w:val="nil"/>
              <w:bottom w:val="single" w:sz="4" w:space="0" w:color="auto"/>
              <w:right w:val="single" w:sz="4" w:space="0" w:color="auto"/>
            </w:tcBorders>
            <w:shd w:val="clear" w:color="auto" w:fill="auto"/>
            <w:noWrap/>
            <w:vAlign w:val="bottom"/>
            <w:hideMark/>
          </w:tcPr>
          <w:p w14:paraId="7C064B2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187D523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19</w:t>
            </w:r>
          </w:p>
        </w:tc>
        <w:tc>
          <w:tcPr>
            <w:tcW w:w="623" w:type="dxa"/>
            <w:tcBorders>
              <w:top w:val="nil"/>
              <w:left w:val="nil"/>
              <w:bottom w:val="single" w:sz="4" w:space="0" w:color="auto"/>
              <w:right w:val="single" w:sz="4" w:space="0" w:color="auto"/>
            </w:tcBorders>
            <w:shd w:val="clear" w:color="auto" w:fill="auto"/>
            <w:noWrap/>
            <w:vAlign w:val="bottom"/>
            <w:hideMark/>
          </w:tcPr>
          <w:p w14:paraId="1AC89D7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11</w:t>
            </w:r>
          </w:p>
        </w:tc>
        <w:tc>
          <w:tcPr>
            <w:tcW w:w="551" w:type="dxa"/>
            <w:tcBorders>
              <w:top w:val="nil"/>
              <w:left w:val="nil"/>
              <w:bottom w:val="single" w:sz="4" w:space="0" w:color="auto"/>
              <w:right w:val="single" w:sz="4" w:space="0" w:color="auto"/>
            </w:tcBorders>
            <w:shd w:val="clear" w:color="auto" w:fill="auto"/>
            <w:noWrap/>
            <w:vAlign w:val="bottom"/>
            <w:hideMark/>
          </w:tcPr>
          <w:p w14:paraId="1D4CC32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24E6A2F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3F07306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w:t>
            </w:r>
          </w:p>
        </w:tc>
        <w:tc>
          <w:tcPr>
            <w:tcW w:w="703" w:type="dxa"/>
            <w:tcBorders>
              <w:top w:val="nil"/>
              <w:left w:val="nil"/>
              <w:bottom w:val="single" w:sz="4" w:space="0" w:color="auto"/>
              <w:right w:val="single" w:sz="4" w:space="0" w:color="auto"/>
            </w:tcBorders>
            <w:shd w:val="clear" w:color="auto" w:fill="auto"/>
            <w:noWrap/>
            <w:vAlign w:val="bottom"/>
            <w:hideMark/>
          </w:tcPr>
          <w:p w14:paraId="11D9BD1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6938AA2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237</w:t>
            </w:r>
          </w:p>
        </w:tc>
        <w:tc>
          <w:tcPr>
            <w:tcW w:w="680" w:type="dxa"/>
            <w:tcBorders>
              <w:top w:val="nil"/>
              <w:left w:val="nil"/>
              <w:bottom w:val="single" w:sz="4" w:space="0" w:color="auto"/>
              <w:right w:val="single" w:sz="4" w:space="0" w:color="auto"/>
            </w:tcBorders>
            <w:shd w:val="clear" w:color="auto" w:fill="auto"/>
            <w:noWrap/>
            <w:vAlign w:val="bottom"/>
            <w:hideMark/>
          </w:tcPr>
          <w:p w14:paraId="3DE4388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235</w:t>
            </w:r>
          </w:p>
        </w:tc>
      </w:tr>
      <w:tr w:rsidR="00E335CE" w:rsidRPr="00B13B9A" w14:paraId="6325BF55"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8F2AF42"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iun.22</w:t>
            </w:r>
          </w:p>
        </w:tc>
        <w:tc>
          <w:tcPr>
            <w:tcW w:w="703" w:type="dxa"/>
            <w:tcBorders>
              <w:top w:val="nil"/>
              <w:left w:val="nil"/>
              <w:bottom w:val="single" w:sz="4" w:space="0" w:color="auto"/>
              <w:right w:val="single" w:sz="4" w:space="0" w:color="auto"/>
            </w:tcBorders>
            <w:shd w:val="clear" w:color="auto" w:fill="auto"/>
            <w:noWrap/>
            <w:vAlign w:val="bottom"/>
            <w:hideMark/>
          </w:tcPr>
          <w:p w14:paraId="013A4EB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34EAB73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32</w:t>
            </w:r>
          </w:p>
        </w:tc>
        <w:tc>
          <w:tcPr>
            <w:tcW w:w="580" w:type="dxa"/>
            <w:tcBorders>
              <w:top w:val="nil"/>
              <w:left w:val="nil"/>
              <w:bottom w:val="single" w:sz="4" w:space="0" w:color="auto"/>
              <w:right w:val="single" w:sz="4" w:space="0" w:color="auto"/>
            </w:tcBorders>
            <w:shd w:val="clear" w:color="auto" w:fill="auto"/>
            <w:noWrap/>
            <w:vAlign w:val="bottom"/>
            <w:hideMark/>
          </w:tcPr>
          <w:p w14:paraId="2B83B90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30</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775E5D8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7A360E2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37</w:t>
            </w:r>
          </w:p>
        </w:tc>
        <w:tc>
          <w:tcPr>
            <w:tcW w:w="534" w:type="dxa"/>
            <w:tcBorders>
              <w:top w:val="nil"/>
              <w:left w:val="nil"/>
              <w:bottom w:val="single" w:sz="4" w:space="0" w:color="auto"/>
              <w:right w:val="single" w:sz="4" w:space="0" w:color="auto"/>
            </w:tcBorders>
            <w:shd w:val="clear" w:color="auto" w:fill="auto"/>
            <w:noWrap/>
            <w:vAlign w:val="bottom"/>
            <w:hideMark/>
          </w:tcPr>
          <w:p w14:paraId="06C96F7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39</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78C51F5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3D50058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71</w:t>
            </w:r>
          </w:p>
        </w:tc>
        <w:tc>
          <w:tcPr>
            <w:tcW w:w="567" w:type="dxa"/>
            <w:tcBorders>
              <w:top w:val="nil"/>
              <w:left w:val="nil"/>
              <w:bottom w:val="single" w:sz="4" w:space="0" w:color="auto"/>
              <w:right w:val="single" w:sz="4" w:space="0" w:color="auto"/>
            </w:tcBorders>
            <w:shd w:val="clear" w:color="auto" w:fill="auto"/>
            <w:noWrap/>
            <w:vAlign w:val="bottom"/>
            <w:hideMark/>
          </w:tcPr>
          <w:p w14:paraId="41F1CDD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61</w:t>
            </w:r>
          </w:p>
        </w:tc>
        <w:tc>
          <w:tcPr>
            <w:tcW w:w="703" w:type="dxa"/>
            <w:tcBorders>
              <w:top w:val="nil"/>
              <w:left w:val="nil"/>
              <w:bottom w:val="single" w:sz="4" w:space="0" w:color="auto"/>
              <w:right w:val="single" w:sz="4" w:space="0" w:color="auto"/>
            </w:tcBorders>
            <w:shd w:val="clear" w:color="auto" w:fill="auto"/>
            <w:noWrap/>
            <w:vAlign w:val="bottom"/>
            <w:hideMark/>
          </w:tcPr>
          <w:p w14:paraId="7473506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06DF82D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81</w:t>
            </w:r>
          </w:p>
        </w:tc>
        <w:tc>
          <w:tcPr>
            <w:tcW w:w="531" w:type="dxa"/>
            <w:tcBorders>
              <w:top w:val="nil"/>
              <w:left w:val="nil"/>
              <w:bottom w:val="single" w:sz="4" w:space="0" w:color="auto"/>
              <w:right w:val="single" w:sz="4" w:space="0" w:color="auto"/>
            </w:tcBorders>
            <w:shd w:val="clear" w:color="auto" w:fill="auto"/>
            <w:noWrap/>
            <w:vAlign w:val="bottom"/>
            <w:hideMark/>
          </w:tcPr>
          <w:p w14:paraId="47AA3CD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76</w:t>
            </w:r>
          </w:p>
        </w:tc>
        <w:tc>
          <w:tcPr>
            <w:tcW w:w="616" w:type="dxa"/>
            <w:tcBorders>
              <w:top w:val="nil"/>
              <w:left w:val="nil"/>
              <w:bottom w:val="single" w:sz="4" w:space="0" w:color="auto"/>
              <w:right w:val="single" w:sz="4" w:space="0" w:color="auto"/>
            </w:tcBorders>
            <w:shd w:val="clear" w:color="auto" w:fill="auto"/>
            <w:noWrap/>
            <w:vAlign w:val="bottom"/>
            <w:hideMark/>
          </w:tcPr>
          <w:p w14:paraId="68ED687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76CE4F7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11</w:t>
            </w:r>
          </w:p>
        </w:tc>
        <w:tc>
          <w:tcPr>
            <w:tcW w:w="623" w:type="dxa"/>
            <w:tcBorders>
              <w:top w:val="nil"/>
              <w:left w:val="nil"/>
              <w:bottom w:val="single" w:sz="4" w:space="0" w:color="auto"/>
              <w:right w:val="single" w:sz="4" w:space="0" w:color="auto"/>
            </w:tcBorders>
            <w:shd w:val="clear" w:color="auto" w:fill="auto"/>
            <w:noWrap/>
            <w:vAlign w:val="bottom"/>
            <w:hideMark/>
          </w:tcPr>
          <w:p w14:paraId="63CB49B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28</w:t>
            </w:r>
          </w:p>
        </w:tc>
        <w:tc>
          <w:tcPr>
            <w:tcW w:w="551" w:type="dxa"/>
            <w:tcBorders>
              <w:top w:val="nil"/>
              <w:left w:val="nil"/>
              <w:bottom w:val="single" w:sz="4" w:space="0" w:color="auto"/>
              <w:right w:val="single" w:sz="4" w:space="0" w:color="auto"/>
            </w:tcBorders>
            <w:shd w:val="clear" w:color="auto" w:fill="auto"/>
            <w:noWrap/>
            <w:vAlign w:val="bottom"/>
            <w:hideMark/>
          </w:tcPr>
          <w:p w14:paraId="08D7E86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5DFB284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w:t>
            </w:r>
          </w:p>
        </w:tc>
        <w:tc>
          <w:tcPr>
            <w:tcW w:w="567" w:type="dxa"/>
            <w:tcBorders>
              <w:top w:val="nil"/>
              <w:left w:val="nil"/>
              <w:bottom w:val="single" w:sz="4" w:space="0" w:color="auto"/>
              <w:right w:val="single" w:sz="4" w:space="0" w:color="auto"/>
            </w:tcBorders>
            <w:shd w:val="clear" w:color="auto" w:fill="auto"/>
            <w:noWrap/>
            <w:vAlign w:val="bottom"/>
            <w:hideMark/>
          </w:tcPr>
          <w:p w14:paraId="074537D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703" w:type="dxa"/>
            <w:tcBorders>
              <w:top w:val="nil"/>
              <w:left w:val="nil"/>
              <w:bottom w:val="single" w:sz="4" w:space="0" w:color="auto"/>
              <w:right w:val="single" w:sz="4" w:space="0" w:color="auto"/>
            </w:tcBorders>
            <w:shd w:val="clear" w:color="auto" w:fill="auto"/>
            <w:noWrap/>
            <w:vAlign w:val="bottom"/>
            <w:hideMark/>
          </w:tcPr>
          <w:p w14:paraId="057BD2E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7A55B5C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235</w:t>
            </w:r>
          </w:p>
        </w:tc>
        <w:tc>
          <w:tcPr>
            <w:tcW w:w="680" w:type="dxa"/>
            <w:tcBorders>
              <w:top w:val="nil"/>
              <w:left w:val="nil"/>
              <w:bottom w:val="single" w:sz="4" w:space="0" w:color="auto"/>
              <w:right w:val="single" w:sz="4" w:space="0" w:color="auto"/>
            </w:tcBorders>
            <w:shd w:val="clear" w:color="auto" w:fill="auto"/>
            <w:noWrap/>
            <w:vAlign w:val="bottom"/>
            <w:hideMark/>
          </w:tcPr>
          <w:p w14:paraId="452CCF9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240</w:t>
            </w:r>
          </w:p>
        </w:tc>
      </w:tr>
      <w:tr w:rsidR="00E335CE" w:rsidRPr="00B13B9A" w14:paraId="2B049666"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A29FF0A"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iul.22</w:t>
            </w:r>
          </w:p>
        </w:tc>
        <w:tc>
          <w:tcPr>
            <w:tcW w:w="703" w:type="dxa"/>
            <w:tcBorders>
              <w:top w:val="nil"/>
              <w:left w:val="nil"/>
              <w:bottom w:val="single" w:sz="4" w:space="0" w:color="auto"/>
              <w:right w:val="single" w:sz="4" w:space="0" w:color="auto"/>
            </w:tcBorders>
            <w:shd w:val="clear" w:color="auto" w:fill="auto"/>
            <w:noWrap/>
            <w:vAlign w:val="bottom"/>
            <w:hideMark/>
          </w:tcPr>
          <w:p w14:paraId="7829F05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7BF5D49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30</w:t>
            </w:r>
          </w:p>
        </w:tc>
        <w:tc>
          <w:tcPr>
            <w:tcW w:w="580" w:type="dxa"/>
            <w:tcBorders>
              <w:top w:val="nil"/>
              <w:left w:val="nil"/>
              <w:bottom w:val="single" w:sz="4" w:space="0" w:color="auto"/>
              <w:right w:val="single" w:sz="4" w:space="0" w:color="auto"/>
            </w:tcBorders>
            <w:shd w:val="clear" w:color="auto" w:fill="auto"/>
            <w:noWrap/>
            <w:vAlign w:val="bottom"/>
            <w:hideMark/>
          </w:tcPr>
          <w:p w14:paraId="20E91A9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28</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29ADF13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110AB29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39</w:t>
            </w:r>
          </w:p>
        </w:tc>
        <w:tc>
          <w:tcPr>
            <w:tcW w:w="534" w:type="dxa"/>
            <w:tcBorders>
              <w:top w:val="nil"/>
              <w:left w:val="nil"/>
              <w:bottom w:val="single" w:sz="4" w:space="0" w:color="auto"/>
              <w:right w:val="single" w:sz="4" w:space="0" w:color="auto"/>
            </w:tcBorders>
            <w:shd w:val="clear" w:color="auto" w:fill="auto"/>
            <w:noWrap/>
            <w:vAlign w:val="bottom"/>
            <w:hideMark/>
          </w:tcPr>
          <w:p w14:paraId="6271A01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35</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3C16B73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4E80A42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61</w:t>
            </w:r>
          </w:p>
        </w:tc>
        <w:tc>
          <w:tcPr>
            <w:tcW w:w="567" w:type="dxa"/>
            <w:tcBorders>
              <w:top w:val="nil"/>
              <w:left w:val="nil"/>
              <w:bottom w:val="single" w:sz="4" w:space="0" w:color="auto"/>
              <w:right w:val="single" w:sz="4" w:space="0" w:color="auto"/>
            </w:tcBorders>
            <w:shd w:val="clear" w:color="auto" w:fill="auto"/>
            <w:noWrap/>
            <w:vAlign w:val="bottom"/>
            <w:hideMark/>
          </w:tcPr>
          <w:p w14:paraId="38267C2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50</w:t>
            </w:r>
          </w:p>
        </w:tc>
        <w:tc>
          <w:tcPr>
            <w:tcW w:w="703" w:type="dxa"/>
            <w:tcBorders>
              <w:top w:val="nil"/>
              <w:left w:val="nil"/>
              <w:bottom w:val="single" w:sz="4" w:space="0" w:color="auto"/>
              <w:right w:val="single" w:sz="4" w:space="0" w:color="auto"/>
            </w:tcBorders>
            <w:shd w:val="clear" w:color="auto" w:fill="auto"/>
            <w:noWrap/>
            <w:vAlign w:val="bottom"/>
            <w:hideMark/>
          </w:tcPr>
          <w:p w14:paraId="3776CEE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63EC0D6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76</w:t>
            </w:r>
          </w:p>
        </w:tc>
        <w:tc>
          <w:tcPr>
            <w:tcW w:w="531" w:type="dxa"/>
            <w:tcBorders>
              <w:top w:val="nil"/>
              <w:left w:val="nil"/>
              <w:bottom w:val="single" w:sz="4" w:space="0" w:color="auto"/>
              <w:right w:val="single" w:sz="4" w:space="0" w:color="auto"/>
            </w:tcBorders>
            <w:shd w:val="clear" w:color="auto" w:fill="auto"/>
            <w:noWrap/>
            <w:vAlign w:val="bottom"/>
            <w:hideMark/>
          </w:tcPr>
          <w:p w14:paraId="71CAAC3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70</w:t>
            </w:r>
          </w:p>
        </w:tc>
        <w:tc>
          <w:tcPr>
            <w:tcW w:w="616" w:type="dxa"/>
            <w:tcBorders>
              <w:top w:val="nil"/>
              <w:left w:val="nil"/>
              <w:bottom w:val="single" w:sz="4" w:space="0" w:color="auto"/>
              <w:right w:val="single" w:sz="4" w:space="0" w:color="auto"/>
            </w:tcBorders>
            <w:shd w:val="clear" w:color="auto" w:fill="auto"/>
            <w:noWrap/>
            <w:vAlign w:val="bottom"/>
            <w:hideMark/>
          </w:tcPr>
          <w:p w14:paraId="073E841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045F325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28</w:t>
            </w:r>
          </w:p>
        </w:tc>
        <w:tc>
          <w:tcPr>
            <w:tcW w:w="623" w:type="dxa"/>
            <w:tcBorders>
              <w:top w:val="nil"/>
              <w:left w:val="nil"/>
              <w:bottom w:val="single" w:sz="4" w:space="0" w:color="auto"/>
              <w:right w:val="single" w:sz="4" w:space="0" w:color="auto"/>
            </w:tcBorders>
            <w:shd w:val="clear" w:color="auto" w:fill="auto"/>
            <w:noWrap/>
            <w:vAlign w:val="bottom"/>
            <w:hideMark/>
          </w:tcPr>
          <w:p w14:paraId="531BEDD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42</w:t>
            </w:r>
          </w:p>
        </w:tc>
        <w:tc>
          <w:tcPr>
            <w:tcW w:w="551" w:type="dxa"/>
            <w:tcBorders>
              <w:top w:val="nil"/>
              <w:left w:val="nil"/>
              <w:bottom w:val="single" w:sz="4" w:space="0" w:color="auto"/>
              <w:right w:val="single" w:sz="4" w:space="0" w:color="auto"/>
            </w:tcBorders>
            <w:shd w:val="clear" w:color="auto" w:fill="auto"/>
            <w:noWrap/>
            <w:vAlign w:val="bottom"/>
            <w:hideMark/>
          </w:tcPr>
          <w:p w14:paraId="7180BCC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72D61BE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1AF9DE1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w:t>
            </w:r>
          </w:p>
        </w:tc>
        <w:tc>
          <w:tcPr>
            <w:tcW w:w="703" w:type="dxa"/>
            <w:tcBorders>
              <w:top w:val="nil"/>
              <w:left w:val="nil"/>
              <w:bottom w:val="single" w:sz="4" w:space="0" w:color="auto"/>
              <w:right w:val="single" w:sz="4" w:space="0" w:color="auto"/>
            </w:tcBorders>
            <w:shd w:val="clear" w:color="auto" w:fill="auto"/>
            <w:noWrap/>
            <w:vAlign w:val="bottom"/>
            <w:hideMark/>
          </w:tcPr>
          <w:p w14:paraId="7ECACCF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4526C03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240</w:t>
            </w:r>
          </w:p>
        </w:tc>
        <w:tc>
          <w:tcPr>
            <w:tcW w:w="680" w:type="dxa"/>
            <w:tcBorders>
              <w:top w:val="nil"/>
              <w:left w:val="nil"/>
              <w:bottom w:val="single" w:sz="4" w:space="0" w:color="auto"/>
              <w:right w:val="single" w:sz="4" w:space="0" w:color="auto"/>
            </w:tcBorders>
            <w:shd w:val="clear" w:color="auto" w:fill="auto"/>
            <w:noWrap/>
            <w:vAlign w:val="bottom"/>
            <w:hideMark/>
          </w:tcPr>
          <w:p w14:paraId="7AA8710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230</w:t>
            </w:r>
          </w:p>
        </w:tc>
      </w:tr>
      <w:tr w:rsidR="00E335CE" w:rsidRPr="00B13B9A" w14:paraId="4FC6F989"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A0A88EA"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aug.22</w:t>
            </w:r>
          </w:p>
        </w:tc>
        <w:tc>
          <w:tcPr>
            <w:tcW w:w="703" w:type="dxa"/>
            <w:tcBorders>
              <w:top w:val="nil"/>
              <w:left w:val="nil"/>
              <w:bottom w:val="single" w:sz="4" w:space="0" w:color="auto"/>
              <w:right w:val="single" w:sz="4" w:space="0" w:color="auto"/>
            </w:tcBorders>
            <w:shd w:val="clear" w:color="auto" w:fill="auto"/>
            <w:noWrap/>
            <w:vAlign w:val="bottom"/>
            <w:hideMark/>
          </w:tcPr>
          <w:p w14:paraId="31336C4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1CCC94A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28</w:t>
            </w:r>
          </w:p>
        </w:tc>
        <w:tc>
          <w:tcPr>
            <w:tcW w:w="580" w:type="dxa"/>
            <w:tcBorders>
              <w:top w:val="nil"/>
              <w:left w:val="nil"/>
              <w:bottom w:val="single" w:sz="4" w:space="0" w:color="auto"/>
              <w:right w:val="single" w:sz="4" w:space="0" w:color="auto"/>
            </w:tcBorders>
            <w:shd w:val="clear" w:color="auto" w:fill="auto"/>
            <w:noWrap/>
            <w:vAlign w:val="bottom"/>
            <w:hideMark/>
          </w:tcPr>
          <w:p w14:paraId="6F70072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19</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37D0969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582D730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35</w:t>
            </w:r>
          </w:p>
        </w:tc>
        <w:tc>
          <w:tcPr>
            <w:tcW w:w="534" w:type="dxa"/>
            <w:tcBorders>
              <w:top w:val="nil"/>
              <w:left w:val="nil"/>
              <w:bottom w:val="single" w:sz="4" w:space="0" w:color="auto"/>
              <w:right w:val="single" w:sz="4" w:space="0" w:color="auto"/>
            </w:tcBorders>
            <w:shd w:val="clear" w:color="auto" w:fill="auto"/>
            <w:noWrap/>
            <w:vAlign w:val="bottom"/>
            <w:hideMark/>
          </w:tcPr>
          <w:p w14:paraId="62A27D0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37</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0EA44DB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50453D5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50</w:t>
            </w:r>
          </w:p>
        </w:tc>
        <w:tc>
          <w:tcPr>
            <w:tcW w:w="567" w:type="dxa"/>
            <w:tcBorders>
              <w:top w:val="nil"/>
              <w:left w:val="nil"/>
              <w:bottom w:val="single" w:sz="4" w:space="0" w:color="auto"/>
              <w:right w:val="single" w:sz="4" w:space="0" w:color="auto"/>
            </w:tcBorders>
            <w:shd w:val="clear" w:color="auto" w:fill="auto"/>
            <w:noWrap/>
            <w:vAlign w:val="bottom"/>
            <w:hideMark/>
          </w:tcPr>
          <w:p w14:paraId="0B4F1BB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64</w:t>
            </w:r>
          </w:p>
        </w:tc>
        <w:tc>
          <w:tcPr>
            <w:tcW w:w="703" w:type="dxa"/>
            <w:tcBorders>
              <w:top w:val="nil"/>
              <w:left w:val="nil"/>
              <w:bottom w:val="single" w:sz="4" w:space="0" w:color="auto"/>
              <w:right w:val="single" w:sz="4" w:space="0" w:color="auto"/>
            </w:tcBorders>
            <w:shd w:val="clear" w:color="auto" w:fill="auto"/>
            <w:noWrap/>
            <w:vAlign w:val="bottom"/>
            <w:hideMark/>
          </w:tcPr>
          <w:p w14:paraId="74E7A8B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763FDE1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70</w:t>
            </w:r>
          </w:p>
        </w:tc>
        <w:tc>
          <w:tcPr>
            <w:tcW w:w="531" w:type="dxa"/>
            <w:tcBorders>
              <w:top w:val="nil"/>
              <w:left w:val="nil"/>
              <w:bottom w:val="single" w:sz="4" w:space="0" w:color="auto"/>
              <w:right w:val="single" w:sz="4" w:space="0" w:color="auto"/>
            </w:tcBorders>
            <w:shd w:val="clear" w:color="auto" w:fill="auto"/>
            <w:noWrap/>
            <w:vAlign w:val="bottom"/>
            <w:hideMark/>
          </w:tcPr>
          <w:p w14:paraId="0B37734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73</w:t>
            </w:r>
          </w:p>
        </w:tc>
        <w:tc>
          <w:tcPr>
            <w:tcW w:w="616" w:type="dxa"/>
            <w:tcBorders>
              <w:top w:val="nil"/>
              <w:left w:val="nil"/>
              <w:bottom w:val="single" w:sz="4" w:space="0" w:color="auto"/>
              <w:right w:val="single" w:sz="4" w:space="0" w:color="auto"/>
            </w:tcBorders>
            <w:shd w:val="clear" w:color="auto" w:fill="auto"/>
            <w:noWrap/>
            <w:vAlign w:val="bottom"/>
            <w:hideMark/>
          </w:tcPr>
          <w:p w14:paraId="694DD4F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69F0CD3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42</w:t>
            </w:r>
          </w:p>
        </w:tc>
        <w:tc>
          <w:tcPr>
            <w:tcW w:w="623" w:type="dxa"/>
            <w:tcBorders>
              <w:top w:val="nil"/>
              <w:left w:val="nil"/>
              <w:bottom w:val="single" w:sz="4" w:space="0" w:color="auto"/>
              <w:right w:val="single" w:sz="4" w:space="0" w:color="auto"/>
            </w:tcBorders>
            <w:shd w:val="clear" w:color="auto" w:fill="auto"/>
            <w:noWrap/>
            <w:vAlign w:val="bottom"/>
            <w:hideMark/>
          </w:tcPr>
          <w:p w14:paraId="55FDB8F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38</w:t>
            </w:r>
          </w:p>
        </w:tc>
        <w:tc>
          <w:tcPr>
            <w:tcW w:w="551" w:type="dxa"/>
            <w:tcBorders>
              <w:top w:val="nil"/>
              <w:left w:val="nil"/>
              <w:bottom w:val="single" w:sz="4" w:space="0" w:color="auto"/>
              <w:right w:val="single" w:sz="4" w:space="0" w:color="auto"/>
            </w:tcBorders>
            <w:shd w:val="clear" w:color="auto" w:fill="auto"/>
            <w:noWrap/>
            <w:vAlign w:val="bottom"/>
            <w:hideMark/>
          </w:tcPr>
          <w:p w14:paraId="01AE54A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17F2012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w:t>
            </w:r>
          </w:p>
        </w:tc>
        <w:tc>
          <w:tcPr>
            <w:tcW w:w="567" w:type="dxa"/>
            <w:tcBorders>
              <w:top w:val="nil"/>
              <w:left w:val="nil"/>
              <w:bottom w:val="single" w:sz="4" w:space="0" w:color="auto"/>
              <w:right w:val="single" w:sz="4" w:space="0" w:color="auto"/>
            </w:tcBorders>
            <w:shd w:val="clear" w:color="auto" w:fill="auto"/>
            <w:noWrap/>
            <w:vAlign w:val="bottom"/>
            <w:hideMark/>
          </w:tcPr>
          <w:p w14:paraId="3A230C6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w:t>
            </w:r>
          </w:p>
        </w:tc>
        <w:tc>
          <w:tcPr>
            <w:tcW w:w="703" w:type="dxa"/>
            <w:tcBorders>
              <w:top w:val="nil"/>
              <w:left w:val="nil"/>
              <w:bottom w:val="single" w:sz="4" w:space="0" w:color="auto"/>
              <w:right w:val="single" w:sz="4" w:space="0" w:color="auto"/>
            </w:tcBorders>
            <w:shd w:val="clear" w:color="auto" w:fill="auto"/>
            <w:noWrap/>
            <w:vAlign w:val="bottom"/>
            <w:hideMark/>
          </w:tcPr>
          <w:p w14:paraId="6D9F0CE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09BFCD9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230</w:t>
            </w:r>
          </w:p>
        </w:tc>
        <w:tc>
          <w:tcPr>
            <w:tcW w:w="680" w:type="dxa"/>
            <w:tcBorders>
              <w:top w:val="nil"/>
              <w:left w:val="nil"/>
              <w:bottom w:val="single" w:sz="4" w:space="0" w:color="auto"/>
              <w:right w:val="single" w:sz="4" w:space="0" w:color="auto"/>
            </w:tcBorders>
            <w:shd w:val="clear" w:color="auto" w:fill="auto"/>
            <w:noWrap/>
            <w:vAlign w:val="bottom"/>
            <w:hideMark/>
          </w:tcPr>
          <w:p w14:paraId="1E3E1C0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232</w:t>
            </w:r>
          </w:p>
        </w:tc>
      </w:tr>
      <w:tr w:rsidR="00E335CE" w:rsidRPr="00B13B9A" w14:paraId="137B34C7"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F5FDC4E"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sept.22</w:t>
            </w:r>
          </w:p>
        </w:tc>
        <w:tc>
          <w:tcPr>
            <w:tcW w:w="703" w:type="dxa"/>
            <w:tcBorders>
              <w:top w:val="nil"/>
              <w:left w:val="nil"/>
              <w:bottom w:val="single" w:sz="4" w:space="0" w:color="auto"/>
              <w:right w:val="single" w:sz="4" w:space="0" w:color="auto"/>
            </w:tcBorders>
            <w:shd w:val="clear" w:color="auto" w:fill="auto"/>
            <w:noWrap/>
            <w:vAlign w:val="bottom"/>
            <w:hideMark/>
          </w:tcPr>
          <w:p w14:paraId="3B93668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20D0A90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19</w:t>
            </w:r>
          </w:p>
        </w:tc>
        <w:tc>
          <w:tcPr>
            <w:tcW w:w="580" w:type="dxa"/>
            <w:tcBorders>
              <w:top w:val="nil"/>
              <w:left w:val="nil"/>
              <w:bottom w:val="single" w:sz="4" w:space="0" w:color="auto"/>
              <w:right w:val="single" w:sz="4" w:space="0" w:color="auto"/>
            </w:tcBorders>
            <w:shd w:val="clear" w:color="auto" w:fill="auto"/>
            <w:noWrap/>
            <w:vAlign w:val="bottom"/>
            <w:hideMark/>
          </w:tcPr>
          <w:p w14:paraId="7FF21C0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30</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062B381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4314106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37</w:t>
            </w:r>
          </w:p>
        </w:tc>
        <w:tc>
          <w:tcPr>
            <w:tcW w:w="534" w:type="dxa"/>
            <w:tcBorders>
              <w:top w:val="nil"/>
              <w:left w:val="nil"/>
              <w:bottom w:val="single" w:sz="4" w:space="0" w:color="auto"/>
              <w:right w:val="single" w:sz="4" w:space="0" w:color="auto"/>
            </w:tcBorders>
            <w:shd w:val="clear" w:color="auto" w:fill="auto"/>
            <w:noWrap/>
            <w:vAlign w:val="bottom"/>
            <w:hideMark/>
          </w:tcPr>
          <w:p w14:paraId="73C5A91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34</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00F4AC4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4580E57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64</w:t>
            </w:r>
          </w:p>
        </w:tc>
        <w:tc>
          <w:tcPr>
            <w:tcW w:w="567" w:type="dxa"/>
            <w:tcBorders>
              <w:top w:val="nil"/>
              <w:left w:val="nil"/>
              <w:bottom w:val="single" w:sz="4" w:space="0" w:color="auto"/>
              <w:right w:val="single" w:sz="4" w:space="0" w:color="auto"/>
            </w:tcBorders>
            <w:shd w:val="clear" w:color="auto" w:fill="auto"/>
            <w:noWrap/>
            <w:vAlign w:val="bottom"/>
            <w:hideMark/>
          </w:tcPr>
          <w:p w14:paraId="7CEF2A3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60</w:t>
            </w:r>
          </w:p>
        </w:tc>
        <w:tc>
          <w:tcPr>
            <w:tcW w:w="703" w:type="dxa"/>
            <w:tcBorders>
              <w:top w:val="nil"/>
              <w:left w:val="nil"/>
              <w:bottom w:val="single" w:sz="4" w:space="0" w:color="auto"/>
              <w:right w:val="single" w:sz="4" w:space="0" w:color="auto"/>
            </w:tcBorders>
            <w:shd w:val="clear" w:color="auto" w:fill="auto"/>
            <w:noWrap/>
            <w:vAlign w:val="bottom"/>
            <w:hideMark/>
          </w:tcPr>
          <w:p w14:paraId="7E33898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1A30AC9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73</w:t>
            </w:r>
          </w:p>
        </w:tc>
        <w:tc>
          <w:tcPr>
            <w:tcW w:w="531" w:type="dxa"/>
            <w:tcBorders>
              <w:top w:val="nil"/>
              <w:left w:val="nil"/>
              <w:bottom w:val="single" w:sz="4" w:space="0" w:color="auto"/>
              <w:right w:val="single" w:sz="4" w:space="0" w:color="auto"/>
            </w:tcBorders>
            <w:shd w:val="clear" w:color="auto" w:fill="auto"/>
            <w:noWrap/>
            <w:vAlign w:val="bottom"/>
            <w:hideMark/>
          </w:tcPr>
          <w:p w14:paraId="5859992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70</w:t>
            </w:r>
          </w:p>
        </w:tc>
        <w:tc>
          <w:tcPr>
            <w:tcW w:w="616" w:type="dxa"/>
            <w:tcBorders>
              <w:top w:val="nil"/>
              <w:left w:val="nil"/>
              <w:bottom w:val="single" w:sz="4" w:space="0" w:color="auto"/>
              <w:right w:val="single" w:sz="4" w:space="0" w:color="auto"/>
            </w:tcBorders>
            <w:shd w:val="clear" w:color="auto" w:fill="auto"/>
            <w:noWrap/>
            <w:vAlign w:val="bottom"/>
            <w:hideMark/>
          </w:tcPr>
          <w:p w14:paraId="00567DB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1122711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38</w:t>
            </w:r>
          </w:p>
        </w:tc>
        <w:tc>
          <w:tcPr>
            <w:tcW w:w="623" w:type="dxa"/>
            <w:tcBorders>
              <w:top w:val="nil"/>
              <w:left w:val="nil"/>
              <w:bottom w:val="single" w:sz="4" w:space="0" w:color="auto"/>
              <w:right w:val="single" w:sz="4" w:space="0" w:color="auto"/>
            </w:tcBorders>
            <w:shd w:val="clear" w:color="auto" w:fill="auto"/>
            <w:noWrap/>
            <w:vAlign w:val="bottom"/>
            <w:hideMark/>
          </w:tcPr>
          <w:p w14:paraId="7159200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26</w:t>
            </w:r>
          </w:p>
        </w:tc>
        <w:tc>
          <w:tcPr>
            <w:tcW w:w="551" w:type="dxa"/>
            <w:tcBorders>
              <w:top w:val="nil"/>
              <w:left w:val="nil"/>
              <w:bottom w:val="single" w:sz="4" w:space="0" w:color="auto"/>
              <w:right w:val="single" w:sz="4" w:space="0" w:color="auto"/>
            </w:tcBorders>
            <w:shd w:val="clear" w:color="auto" w:fill="auto"/>
            <w:noWrap/>
            <w:vAlign w:val="bottom"/>
            <w:hideMark/>
          </w:tcPr>
          <w:p w14:paraId="032E75E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286D13C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w:t>
            </w:r>
          </w:p>
        </w:tc>
        <w:tc>
          <w:tcPr>
            <w:tcW w:w="567" w:type="dxa"/>
            <w:tcBorders>
              <w:top w:val="nil"/>
              <w:left w:val="nil"/>
              <w:bottom w:val="single" w:sz="4" w:space="0" w:color="auto"/>
              <w:right w:val="single" w:sz="4" w:space="0" w:color="auto"/>
            </w:tcBorders>
            <w:shd w:val="clear" w:color="auto" w:fill="auto"/>
            <w:noWrap/>
            <w:vAlign w:val="bottom"/>
            <w:hideMark/>
          </w:tcPr>
          <w:p w14:paraId="7B9C875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w:t>
            </w:r>
          </w:p>
        </w:tc>
        <w:tc>
          <w:tcPr>
            <w:tcW w:w="703" w:type="dxa"/>
            <w:tcBorders>
              <w:top w:val="nil"/>
              <w:left w:val="nil"/>
              <w:bottom w:val="single" w:sz="4" w:space="0" w:color="auto"/>
              <w:right w:val="single" w:sz="4" w:space="0" w:color="auto"/>
            </w:tcBorders>
            <w:shd w:val="clear" w:color="auto" w:fill="auto"/>
            <w:noWrap/>
            <w:vAlign w:val="bottom"/>
            <w:hideMark/>
          </w:tcPr>
          <w:p w14:paraId="3F021C5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4F05B40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232</w:t>
            </w:r>
          </w:p>
        </w:tc>
        <w:tc>
          <w:tcPr>
            <w:tcW w:w="680" w:type="dxa"/>
            <w:tcBorders>
              <w:top w:val="nil"/>
              <w:left w:val="nil"/>
              <w:bottom w:val="single" w:sz="4" w:space="0" w:color="auto"/>
              <w:right w:val="single" w:sz="4" w:space="0" w:color="auto"/>
            </w:tcBorders>
            <w:shd w:val="clear" w:color="auto" w:fill="auto"/>
            <w:noWrap/>
            <w:vAlign w:val="bottom"/>
            <w:hideMark/>
          </w:tcPr>
          <w:p w14:paraId="28D877D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224</w:t>
            </w:r>
          </w:p>
        </w:tc>
      </w:tr>
      <w:tr w:rsidR="00E335CE" w:rsidRPr="00B13B9A" w14:paraId="60B54EFF"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8A46173"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oct.22</w:t>
            </w:r>
          </w:p>
        </w:tc>
        <w:tc>
          <w:tcPr>
            <w:tcW w:w="703" w:type="dxa"/>
            <w:tcBorders>
              <w:top w:val="nil"/>
              <w:left w:val="nil"/>
              <w:bottom w:val="single" w:sz="4" w:space="0" w:color="auto"/>
              <w:right w:val="single" w:sz="4" w:space="0" w:color="auto"/>
            </w:tcBorders>
            <w:shd w:val="clear" w:color="auto" w:fill="auto"/>
            <w:noWrap/>
            <w:vAlign w:val="bottom"/>
            <w:hideMark/>
          </w:tcPr>
          <w:p w14:paraId="553B6A9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63751FC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30</w:t>
            </w:r>
          </w:p>
        </w:tc>
        <w:tc>
          <w:tcPr>
            <w:tcW w:w="580" w:type="dxa"/>
            <w:tcBorders>
              <w:top w:val="nil"/>
              <w:left w:val="nil"/>
              <w:bottom w:val="single" w:sz="4" w:space="0" w:color="auto"/>
              <w:right w:val="single" w:sz="4" w:space="0" w:color="auto"/>
            </w:tcBorders>
            <w:shd w:val="clear" w:color="auto" w:fill="auto"/>
            <w:noWrap/>
            <w:vAlign w:val="bottom"/>
            <w:hideMark/>
          </w:tcPr>
          <w:p w14:paraId="1F504DD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36</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66C5F37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5319D9F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34</w:t>
            </w:r>
          </w:p>
        </w:tc>
        <w:tc>
          <w:tcPr>
            <w:tcW w:w="534" w:type="dxa"/>
            <w:tcBorders>
              <w:top w:val="nil"/>
              <w:left w:val="nil"/>
              <w:bottom w:val="single" w:sz="4" w:space="0" w:color="auto"/>
              <w:right w:val="single" w:sz="4" w:space="0" w:color="auto"/>
            </w:tcBorders>
            <w:shd w:val="clear" w:color="auto" w:fill="auto"/>
            <w:noWrap/>
            <w:vAlign w:val="bottom"/>
            <w:hideMark/>
          </w:tcPr>
          <w:p w14:paraId="21CBF2B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37</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282AEE0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11F99DE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60</w:t>
            </w:r>
          </w:p>
        </w:tc>
        <w:tc>
          <w:tcPr>
            <w:tcW w:w="567" w:type="dxa"/>
            <w:tcBorders>
              <w:top w:val="nil"/>
              <w:left w:val="nil"/>
              <w:bottom w:val="single" w:sz="4" w:space="0" w:color="auto"/>
              <w:right w:val="single" w:sz="4" w:space="0" w:color="auto"/>
            </w:tcBorders>
            <w:shd w:val="clear" w:color="auto" w:fill="auto"/>
            <w:noWrap/>
            <w:vAlign w:val="bottom"/>
            <w:hideMark/>
          </w:tcPr>
          <w:p w14:paraId="302BF60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61</w:t>
            </w:r>
          </w:p>
        </w:tc>
        <w:tc>
          <w:tcPr>
            <w:tcW w:w="703" w:type="dxa"/>
            <w:tcBorders>
              <w:top w:val="nil"/>
              <w:left w:val="nil"/>
              <w:bottom w:val="single" w:sz="4" w:space="0" w:color="auto"/>
              <w:right w:val="single" w:sz="4" w:space="0" w:color="auto"/>
            </w:tcBorders>
            <w:shd w:val="clear" w:color="auto" w:fill="auto"/>
            <w:noWrap/>
            <w:vAlign w:val="bottom"/>
            <w:hideMark/>
          </w:tcPr>
          <w:p w14:paraId="2189F9C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453F361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70</w:t>
            </w:r>
          </w:p>
        </w:tc>
        <w:tc>
          <w:tcPr>
            <w:tcW w:w="531" w:type="dxa"/>
            <w:tcBorders>
              <w:top w:val="nil"/>
              <w:left w:val="nil"/>
              <w:bottom w:val="single" w:sz="4" w:space="0" w:color="auto"/>
              <w:right w:val="single" w:sz="4" w:space="0" w:color="auto"/>
            </w:tcBorders>
            <w:shd w:val="clear" w:color="auto" w:fill="auto"/>
            <w:noWrap/>
            <w:vAlign w:val="bottom"/>
            <w:hideMark/>
          </w:tcPr>
          <w:p w14:paraId="250A9CB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67</w:t>
            </w:r>
          </w:p>
        </w:tc>
        <w:tc>
          <w:tcPr>
            <w:tcW w:w="616" w:type="dxa"/>
            <w:tcBorders>
              <w:top w:val="nil"/>
              <w:left w:val="nil"/>
              <w:bottom w:val="single" w:sz="4" w:space="0" w:color="auto"/>
              <w:right w:val="single" w:sz="4" w:space="0" w:color="auto"/>
            </w:tcBorders>
            <w:shd w:val="clear" w:color="auto" w:fill="auto"/>
            <w:noWrap/>
            <w:vAlign w:val="bottom"/>
            <w:hideMark/>
          </w:tcPr>
          <w:p w14:paraId="232B179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4733A53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26</w:t>
            </w:r>
          </w:p>
        </w:tc>
        <w:tc>
          <w:tcPr>
            <w:tcW w:w="623" w:type="dxa"/>
            <w:tcBorders>
              <w:top w:val="nil"/>
              <w:left w:val="nil"/>
              <w:bottom w:val="single" w:sz="4" w:space="0" w:color="auto"/>
              <w:right w:val="single" w:sz="4" w:space="0" w:color="auto"/>
            </w:tcBorders>
            <w:shd w:val="clear" w:color="auto" w:fill="auto"/>
            <w:noWrap/>
            <w:vAlign w:val="bottom"/>
            <w:hideMark/>
          </w:tcPr>
          <w:p w14:paraId="2354ECE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17</w:t>
            </w:r>
          </w:p>
        </w:tc>
        <w:tc>
          <w:tcPr>
            <w:tcW w:w="551" w:type="dxa"/>
            <w:tcBorders>
              <w:top w:val="nil"/>
              <w:left w:val="nil"/>
              <w:bottom w:val="single" w:sz="4" w:space="0" w:color="auto"/>
              <w:right w:val="single" w:sz="4" w:space="0" w:color="auto"/>
            </w:tcBorders>
            <w:shd w:val="clear" w:color="auto" w:fill="auto"/>
            <w:noWrap/>
            <w:vAlign w:val="bottom"/>
            <w:hideMark/>
          </w:tcPr>
          <w:p w14:paraId="0C11BBF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1F65400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w:t>
            </w:r>
          </w:p>
        </w:tc>
        <w:tc>
          <w:tcPr>
            <w:tcW w:w="567" w:type="dxa"/>
            <w:tcBorders>
              <w:top w:val="nil"/>
              <w:left w:val="nil"/>
              <w:bottom w:val="single" w:sz="4" w:space="0" w:color="auto"/>
              <w:right w:val="single" w:sz="4" w:space="0" w:color="auto"/>
            </w:tcBorders>
            <w:shd w:val="clear" w:color="auto" w:fill="auto"/>
            <w:noWrap/>
            <w:vAlign w:val="bottom"/>
            <w:hideMark/>
          </w:tcPr>
          <w:p w14:paraId="0A56676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w:t>
            </w:r>
          </w:p>
        </w:tc>
        <w:tc>
          <w:tcPr>
            <w:tcW w:w="703" w:type="dxa"/>
            <w:tcBorders>
              <w:top w:val="nil"/>
              <w:left w:val="nil"/>
              <w:bottom w:val="single" w:sz="4" w:space="0" w:color="auto"/>
              <w:right w:val="single" w:sz="4" w:space="0" w:color="auto"/>
            </w:tcBorders>
            <w:shd w:val="clear" w:color="auto" w:fill="auto"/>
            <w:noWrap/>
            <w:vAlign w:val="bottom"/>
            <w:hideMark/>
          </w:tcPr>
          <w:p w14:paraId="2FCA5F0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01AC12E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224</w:t>
            </w:r>
          </w:p>
        </w:tc>
        <w:tc>
          <w:tcPr>
            <w:tcW w:w="680" w:type="dxa"/>
            <w:tcBorders>
              <w:top w:val="nil"/>
              <w:left w:val="nil"/>
              <w:bottom w:val="single" w:sz="4" w:space="0" w:color="auto"/>
              <w:right w:val="single" w:sz="4" w:space="0" w:color="auto"/>
            </w:tcBorders>
            <w:shd w:val="clear" w:color="auto" w:fill="auto"/>
            <w:noWrap/>
            <w:vAlign w:val="bottom"/>
            <w:hideMark/>
          </w:tcPr>
          <w:p w14:paraId="415E7B8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222</w:t>
            </w:r>
          </w:p>
        </w:tc>
      </w:tr>
      <w:tr w:rsidR="00E335CE" w:rsidRPr="00B13B9A" w14:paraId="3C039146"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6A46787"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nov.22</w:t>
            </w:r>
          </w:p>
        </w:tc>
        <w:tc>
          <w:tcPr>
            <w:tcW w:w="703" w:type="dxa"/>
            <w:tcBorders>
              <w:top w:val="nil"/>
              <w:left w:val="nil"/>
              <w:bottom w:val="single" w:sz="4" w:space="0" w:color="auto"/>
              <w:right w:val="single" w:sz="4" w:space="0" w:color="auto"/>
            </w:tcBorders>
            <w:shd w:val="clear" w:color="auto" w:fill="auto"/>
            <w:noWrap/>
            <w:vAlign w:val="bottom"/>
            <w:hideMark/>
          </w:tcPr>
          <w:p w14:paraId="0C24662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6B70DF2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36</w:t>
            </w:r>
          </w:p>
        </w:tc>
        <w:tc>
          <w:tcPr>
            <w:tcW w:w="580" w:type="dxa"/>
            <w:tcBorders>
              <w:top w:val="nil"/>
              <w:left w:val="nil"/>
              <w:bottom w:val="single" w:sz="4" w:space="0" w:color="auto"/>
              <w:right w:val="single" w:sz="4" w:space="0" w:color="auto"/>
            </w:tcBorders>
            <w:shd w:val="clear" w:color="auto" w:fill="auto"/>
            <w:noWrap/>
            <w:vAlign w:val="bottom"/>
            <w:hideMark/>
          </w:tcPr>
          <w:p w14:paraId="642CEED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38</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2AD2D59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7559D46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37</w:t>
            </w:r>
          </w:p>
        </w:tc>
        <w:tc>
          <w:tcPr>
            <w:tcW w:w="534" w:type="dxa"/>
            <w:tcBorders>
              <w:top w:val="nil"/>
              <w:left w:val="nil"/>
              <w:bottom w:val="single" w:sz="4" w:space="0" w:color="auto"/>
              <w:right w:val="single" w:sz="4" w:space="0" w:color="auto"/>
            </w:tcBorders>
            <w:shd w:val="clear" w:color="auto" w:fill="auto"/>
            <w:noWrap/>
            <w:vAlign w:val="bottom"/>
            <w:hideMark/>
          </w:tcPr>
          <w:p w14:paraId="1235801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27</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298050D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3AA946E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61</w:t>
            </w:r>
          </w:p>
        </w:tc>
        <w:tc>
          <w:tcPr>
            <w:tcW w:w="567" w:type="dxa"/>
            <w:tcBorders>
              <w:top w:val="nil"/>
              <w:left w:val="nil"/>
              <w:bottom w:val="single" w:sz="4" w:space="0" w:color="auto"/>
              <w:right w:val="single" w:sz="4" w:space="0" w:color="auto"/>
            </w:tcBorders>
            <w:shd w:val="clear" w:color="auto" w:fill="auto"/>
            <w:noWrap/>
            <w:vAlign w:val="bottom"/>
            <w:hideMark/>
          </w:tcPr>
          <w:p w14:paraId="0B12EC9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63</w:t>
            </w:r>
          </w:p>
        </w:tc>
        <w:tc>
          <w:tcPr>
            <w:tcW w:w="703" w:type="dxa"/>
            <w:tcBorders>
              <w:top w:val="nil"/>
              <w:left w:val="nil"/>
              <w:bottom w:val="single" w:sz="4" w:space="0" w:color="auto"/>
              <w:right w:val="single" w:sz="4" w:space="0" w:color="auto"/>
            </w:tcBorders>
            <w:shd w:val="clear" w:color="auto" w:fill="auto"/>
            <w:noWrap/>
            <w:vAlign w:val="bottom"/>
            <w:hideMark/>
          </w:tcPr>
          <w:p w14:paraId="700BCF7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102334A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67</w:t>
            </w:r>
          </w:p>
        </w:tc>
        <w:tc>
          <w:tcPr>
            <w:tcW w:w="531" w:type="dxa"/>
            <w:tcBorders>
              <w:top w:val="nil"/>
              <w:left w:val="nil"/>
              <w:bottom w:val="single" w:sz="4" w:space="0" w:color="auto"/>
              <w:right w:val="single" w:sz="4" w:space="0" w:color="auto"/>
            </w:tcBorders>
            <w:shd w:val="clear" w:color="auto" w:fill="auto"/>
            <w:noWrap/>
            <w:vAlign w:val="bottom"/>
            <w:hideMark/>
          </w:tcPr>
          <w:p w14:paraId="31A74FC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67</w:t>
            </w:r>
          </w:p>
        </w:tc>
        <w:tc>
          <w:tcPr>
            <w:tcW w:w="616" w:type="dxa"/>
            <w:tcBorders>
              <w:top w:val="nil"/>
              <w:left w:val="nil"/>
              <w:bottom w:val="single" w:sz="4" w:space="0" w:color="auto"/>
              <w:right w:val="single" w:sz="4" w:space="0" w:color="auto"/>
            </w:tcBorders>
            <w:shd w:val="clear" w:color="auto" w:fill="auto"/>
            <w:noWrap/>
            <w:vAlign w:val="bottom"/>
            <w:hideMark/>
          </w:tcPr>
          <w:p w14:paraId="7AAC0A6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35175F4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17</w:t>
            </w:r>
          </w:p>
        </w:tc>
        <w:tc>
          <w:tcPr>
            <w:tcW w:w="623" w:type="dxa"/>
            <w:tcBorders>
              <w:top w:val="nil"/>
              <w:left w:val="nil"/>
              <w:bottom w:val="single" w:sz="4" w:space="0" w:color="auto"/>
              <w:right w:val="single" w:sz="4" w:space="0" w:color="auto"/>
            </w:tcBorders>
            <w:shd w:val="clear" w:color="auto" w:fill="auto"/>
            <w:noWrap/>
            <w:vAlign w:val="bottom"/>
            <w:hideMark/>
          </w:tcPr>
          <w:p w14:paraId="5CAF864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12</w:t>
            </w:r>
          </w:p>
        </w:tc>
        <w:tc>
          <w:tcPr>
            <w:tcW w:w="551" w:type="dxa"/>
            <w:tcBorders>
              <w:top w:val="nil"/>
              <w:left w:val="nil"/>
              <w:bottom w:val="single" w:sz="4" w:space="0" w:color="auto"/>
              <w:right w:val="single" w:sz="4" w:space="0" w:color="auto"/>
            </w:tcBorders>
            <w:shd w:val="clear" w:color="auto" w:fill="auto"/>
            <w:noWrap/>
            <w:vAlign w:val="bottom"/>
            <w:hideMark/>
          </w:tcPr>
          <w:p w14:paraId="54C031C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6C43930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w:t>
            </w:r>
          </w:p>
        </w:tc>
        <w:tc>
          <w:tcPr>
            <w:tcW w:w="567" w:type="dxa"/>
            <w:tcBorders>
              <w:top w:val="nil"/>
              <w:left w:val="nil"/>
              <w:bottom w:val="single" w:sz="4" w:space="0" w:color="auto"/>
              <w:right w:val="single" w:sz="4" w:space="0" w:color="auto"/>
            </w:tcBorders>
            <w:shd w:val="clear" w:color="auto" w:fill="auto"/>
            <w:noWrap/>
            <w:vAlign w:val="bottom"/>
            <w:hideMark/>
          </w:tcPr>
          <w:p w14:paraId="776BB87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703" w:type="dxa"/>
            <w:tcBorders>
              <w:top w:val="nil"/>
              <w:left w:val="nil"/>
              <w:bottom w:val="single" w:sz="4" w:space="0" w:color="auto"/>
              <w:right w:val="single" w:sz="4" w:space="0" w:color="auto"/>
            </w:tcBorders>
            <w:shd w:val="clear" w:color="auto" w:fill="auto"/>
            <w:noWrap/>
            <w:vAlign w:val="bottom"/>
            <w:hideMark/>
          </w:tcPr>
          <w:p w14:paraId="7A91DB3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4894C42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222</w:t>
            </w:r>
          </w:p>
        </w:tc>
        <w:tc>
          <w:tcPr>
            <w:tcW w:w="680" w:type="dxa"/>
            <w:tcBorders>
              <w:top w:val="nil"/>
              <w:left w:val="nil"/>
              <w:bottom w:val="single" w:sz="4" w:space="0" w:color="auto"/>
              <w:right w:val="single" w:sz="4" w:space="0" w:color="auto"/>
            </w:tcBorders>
            <w:shd w:val="clear" w:color="auto" w:fill="auto"/>
            <w:noWrap/>
            <w:vAlign w:val="bottom"/>
            <w:hideMark/>
          </w:tcPr>
          <w:p w14:paraId="0E35AB9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213</w:t>
            </w:r>
          </w:p>
        </w:tc>
      </w:tr>
      <w:tr w:rsidR="00E335CE" w:rsidRPr="00B13B9A" w14:paraId="3FF709B8"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FE8FBB9"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dec.22</w:t>
            </w:r>
          </w:p>
        </w:tc>
        <w:tc>
          <w:tcPr>
            <w:tcW w:w="703" w:type="dxa"/>
            <w:tcBorders>
              <w:top w:val="nil"/>
              <w:left w:val="nil"/>
              <w:bottom w:val="single" w:sz="4" w:space="0" w:color="auto"/>
              <w:right w:val="single" w:sz="4" w:space="0" w:color="auto"/>
            </w:tcBorders>
            <w:shd w:val="clear" w:color="auto" w:fill="auto"/>
            <w:noWrap/>
            <w:vAlign w:val="bottom"/>
            <w:hideMark/>
          </w:tcPr>
          <w:p w14:paraId="580DEB7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290FB08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38</w:t>
            </w:r>
          </w:p>
        </w:tc>
        <w:tc>
          <w:tcPr>
            <w:tcW w:w="580" w:type="dxa"/>
            <w:tcBorders>
              <w:top w:val="nil"/>
              <w:left w:val="nil"/>
              <w:bottom w:val="single" w:sz="4" w:space="0" w:color="auto"/>
              <w:right w:val="single" w:sz="4" w:space="0" w:color="auto"/>
            </w:tcBorders>
            <w:shd w:val="clear" w:color="auto" w:fill="auto"/>
            <w:noWrap/>
            <w:vAlign w:val="bottom"/>
            <w:hideMark/>
          </w:tcPr>
          <w:p w14:paraId="59F381D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34</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6DC8A5F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4593C98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27</w:t>
            </w:r>
          </w:p>
        </w:tc>
        <w:tc>
          <w:tcPr>
            <w:tcW w:w="534" w:type="dxa"/>
            <w:tcBorders>
              <w:top w:val="nil"/>
              <w:left w:val="nil"/>
              <w:bottom w:val="single" w:sz="4" w:space="0" w:color="auto"/>
              <w:right w:val="single" w:sz="4" w:space="0" w:color="auto"/>
            </w:tcBorders>
            <w:shd w:val="clear" w:color="auto" w:fill="auto"/>
            <w:noWrap/>
            <w:vAlign w:val="bottom"/>
            <w:hideMark/>
          </w:tcPr>
          <w:p w14:paraId="51A7F16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32</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32E3D0D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68CF56D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63</w:t>
            </w:r>
          </w:p>
        </w:tc>
        <w:tc>
          <w:tcPr>
            <w:tcW w:w="567" w:type="dxa"/>
            <w:tcBorders>
              <w:top w:val="nil"/>
              <w:left w:val="nil"/>
              <w:bottom w:val="single" w:sz="4" w:space="0" w:color="auto"/>
              <w:right w:val="single" w:sz="4" w:space="0" w:color="auto"/>
            </w:tcBorders>
            <w:shd w:val="clear" w:color="auto" w:fill="auto"/>
            <w:noWrap/>
            <w:vAlign w:val="bottom"/>
            <w:hideMark/>
          </w:tcPr>
          <w:p w14:paraId="7544542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69</w:t>
            </w:r>
          </w:p>
        </w:tc>
        <w:tc>
          <w:tcPr>
            <w:tcW w:w="703" w:type="dxa"/>
            <w:tcBorders>
              <w:top w:val="nil"/>
              <w:left w:val="nil"/>
              <w:bottom w:val="single" w:sz="4" w:space="0" w:color="auto"/>
              <w:right w:val="single" w:sz="4" w:space="0" w:color="auto"/>
            </w:tcBorders>
            <w:shd w:val="clear" w:color="auto" w:fill="auto"/>
            <w:noWrap/>
            <w:vAlign w:val="bottom"/>
            <w:hideMark/>
          </w:tcPr>
          <w:p w14:paraId="595DE77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02848A3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67</w:t>
            </w:r>
          </w:p>
        </w:tc>
        <w:tc>
          <w:tcPr>
            <w:tcW w:w="531" w:type="dxa"/>
            <w:tcBorders>
              <w:top w:val="nil"/>
              <w:left w:val="nil"/>
              <w:bottom w:val="single" w:sz="4" w:space="0" w:color="auto"/>
              <w:right w:val="single" w:sz="4" w:space="0" w:color="auto"/>
            </w:tcBorders>
            <w:shd w:val="clear" w:color="auto" w:fill="auto"/>
            <w:noWrap/>
            <w:vAlign w:val="bottom"/>
            <w:hideMark/>
          </w:tcPr>
          <w:p w14:paraId="31B7CB6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73</w:t>
            </w:r>
          </w:p>
        </w:tc>
        <w:tc>
          <w:tcPr>
            <w:tcW w:w="616" w:type="dxa"/>
            <w:tcBorders>
              <w:top w:val="nil"/>
              <w:left w:val="nil"/>
              <w:bottom w:val="single" w:sz="4" w:space="0" w:color="auto"/>
              <w:right w:val="single" w:sz="4" w:space="0" w:color="auto"/>
            </w:tcBorders>
            <w:shd w:val="clear" w:color="auto" w:fill="auto"/>
            <w:noWrap/>
            <w:vAlign w:val="bottom"/>
            <w:hideMark/>
          </w:tcPr>
          <w:p w14:paraId="730323A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5A7CC55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12</w:t>
            </w:r>
          </w:p>
        </w:tc>
        <w:tc>
          <w:tcPr>
            <w:tcW w:w="623" w:type="dxa"/>
            <w:tcBorders>
              <w:top w:val="nil"/>
              <w:left w:val="nil"/>
              <w:bottom w:val="single" w:sz="4" w:space="0" w:color="auto"/>
              <w:right w:val="single" w:sz="4" w:space="0" w:color="auto"/>
            </w:tcBorders>
            <w:shd w:val="clear" w:color="auto" w:fill="auto"/>
            <w:noWrap/>
            <w:vAlign w:val="bottom"/>
            <w:hideMark/>
          </w:tcPr>
          <w:p w14:paraId="7FAA9F0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17</w:t>
            </w:r>
          </w:p>
        </w:tc>
        <w:tc>
          <w:tcPr>
            <w:tcW w:w="551" w:type="dxa"/>
            <w:tcBorders>
              <w:top w:val="nil"/>
              <w:left w:val="nil"/>
              <w:bottom w:val="single" w:sz="4" w:space="0" w:color="auto"/>
              <w:right w:val="single" w:sz="4" w:space="0" w:color="auto"/>
            </w:tcBorders>
            <w:shd w:val="clear" w:color="auto" w:fill="auto"/>
            <w:noWrap/>
            <w:vAlign w:val="bottom"/>
            <w:hideMark/>
          </w:tcPr>
          <w:p w14:paraId="4FA47B6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741F1BE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687F101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703" w:type="dxa"/>
            <w:tcBorders>
              <w:top w:val="nil"/>
              <w:left w:val="nil"/>
              <w:bottom w:val="single" w:sz="4" w:space="0" w:color="auto"/>
              <w:right w:val="single" w:sz="4" w:space="0" w:color="auto"/>
            </w:tcBorders>
            <w:shd w:val="clear" w:color="auto" w:fill="auto"/>
            <w:noWrap/>
            <w:vAlign w:val="bottom"/>
            <w:hideMark/>
          </w:tcPr>
          <w:p w14:paraId="6D9916C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250C852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213</w:t>
            </w:r>
          </w:p>
        </w:tc>
        <w:tc>
          <w:tcPr>
            <w:tcW w:w="680" w:type="dxa"/>
            <w:tcBorders>
              <w:top w:val="nil"/>
              <w:left w:val="nil"/>
              <w:bottom w:val="single" w:sz="4" w:space="0" w:color="auto"/>
              <w:right w:val="single" w:sz="4" w:space="0" w:color="auto"/>
            </w:tcBorders>
            <w:shd w:val="clear" w:color="auto" w:fill="auto"/>
            <w:noWrap/>
            <w:vAlign w:val="bottom"/>
            <w:hideMark/>
          </w:tcPr>
          <w:p w14:paraId="6C5CD22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232</w:t>
            </w:r>
          </w:p>
        </w:tc>
      </w:tr>
      <w:tr w:rsidR="00E335CE" w:rsidRPr="00B13B9A" w14:paraId="493369CB"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33CB2E3"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ian.23</w:t>
            </w:r>
          </w:p>
        </w:tc>
        <w:tc>
          <w:tcPr>
            <w:tcW w:w="703" w:type="dxa"/>
            <w:tcBorders>
              <w:top w:val="nil"/>
              <w:left w:val="nil"/>
              <w:bottom w:val="single" w:sz="4" w:space="0" w:color="auto"/>
              <w:right w:val="single" w:sz="4" w:space="0" w:color="auto"/>
            </w:tcBorders>
            <w:shd w:val="clear" w:color="auto" w:fill="auto"/>
            <w:noWrap/>
            <w:vAlign w:val="bottom"/>
            <w:hideMark/>
          </w:tcPr>
          <w:p w14:paraId="4AA7562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10A1E08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34</w:t>
            </w:r>
          </w:p>
        </w:tc>
        <w:tc>
          <w:tcPr>
            <w:tcW w:w="580" w:type="dxa"/>
            <w:tcBorders>
              <w:top w:val="nil"/>
              <w:left w:val="nil"/>
              <w:bottom w:val="single" w:sz="4" w:space="0" w:color="auto"/>
              <w:right w:val="single" w:sz="4" w:space="0" w:color="auto"/>
            </w:tcBorders>
            <w:shd w:val="clear" w:color="auto" w:fill="auto"/>
            <w:noWrap/>
            <w:vAlign w:val="bottom"/>
            <w:hideMark/>
          </w:tcPr>
          <w:p w14:paraId="2D2F864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36</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133EB5C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67D022F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32</w:t>
            </w:r>
          </w:p>
        </w:tc>
        <w:tc>
          <w:tcPr>
            <w:tcW w:w="534" w:type="dxa"/>
            <w:tcBorders>
              <w:top w:val="nil"/>
              <w:left w:val="nil"/>
              <w:bottom w:val="single" w:sz="4" w:space="0" w:color="auto"/>
              <w:right w:val="single" w:sz="4" w:space="0" w:color="auto"/>
            </w:tcBorders>
            <w:shd w:val="clear" w:color="auto" w:fill="auto"/>
            <w:noWrap/>
            <w:vAlign w:val="bottom"/>
            <w:hideMark/>
          </w:tcPr>
          <w:p w14:paraId="36D9C30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36</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5B1CD6D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7C69C48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69</w:t>
            </w:r>
          </w:p>
        </w:tc>
        <w:tc>
          <w:tcPr>
            <w:tcW w:w="567" w:type="dxa"/>
            <w:tcBorders>
              <w:top w:val="nil"/>
              <w:left w:val="nil"/>
              <w:bottom w:val="single" w:sz="4" w:space="0" w:color="auto"/>
              <w:right w:val="single" w:sz="4" w:space="0" w:color="auto"/>
            </w:tcBorders>
            <w:shd w:val="clear" w:color="auto" w:fill="auto"/>
            <w:noWrap/>
            <w:vAlign w:val="bottom"/>
            <w:hideMark/>
          </w:tcPr>
          <w:p w14:paraId="00A5362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69</w:t>
            </w:r>
          </w:p>
        </w:tc>
        <w:tc>
          <w:tcPr>
            <w:tcW w:w="703" w:type="dxa"/>
            <w:tcBorders>
              <w:top w:val="nil"/>
              <w:left w:val="nil"/>
              <w:bottom w:val="single" w:sz="4" w:space="0" w:color="auto"/>
              <w:right w:val="single" w:sz="4" w:space="0" w:color="auto"/>
            </w:tcBorders>
            <w:shd w:val="clear" w:color="auto" w:fill="auto"/>
            <w:noWrap/>
            <w:vAlign w:val="bottom"/>
            <w:hideMark/>
          </w:tcPr>
          <w:p w14:paraId="5D1B382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7847178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73</w:t>
            </w:r>
          </w:p>
        </w:tc>
        <w:tc>
          <w:tcPr>
            <w:tcW w:w="531" w:type="dxa"/>
            <w:tcBorders>
              <w:top w:val="nil"/>
              <w:left w:val="nil"/>
              <w:bottom w:val="single" w:sz="4" w:space="0" w:color="auto"/>
              <w:right w:val="single" w:sz="4" w:space="0" w:color="auto"/>
            </w:tcBorders>
            <w:shd w:val="clear" w:color="auto" w:fill="auto"/>
            <w:noWrap/>
            <w:vAlign w:val="bottom"/>
            <w:hideMark/>
          </w:tcPr>
          <w:p w14:paraId="5A5E5AA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78</w:t>
            </w:r>
          </w:p>
        </w:tc>
        <w:tc>
          <w:tcPr>
            <w:tcW w:w="616" w:type="dxa"/>
            <w:tcBorders>
              <w:top w:val="nil"/>
              <w:left w:val="nil"/>
              <w:bottom w:val="single" w:sz="4" w:space="0" w:color="auto"/>
              <w:right w:val="single" w:sz="4" w:space="0" w:color="auto"/>
            </w:tcBorders>
            <w:shd w:val="clear" w:color="auto" w:fill="auto"/>
            <w:noWrap/>
            <w:vAlign w:val="bottom"/>
            <w:hideMark/>
          </w:tcPr>
          <w:p w14:paraId="70C9875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7E5B304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17</w:t>
            </w:r>
          </w:p>
        </w:tc>
        <w:tc>
          <w:tcPr>
            <w:tcW w:w="623" w:type="dxa"/>
            <w:tcBorders>
              <w:top w:val="nil"/>
              <w:left w:val="nil"/>
              <w:bottom w:val="single" w:sz="4" w:space="0" w:color="auto"/>
              <w:right w:val="single" w:sz="4" w:space="0" w:color="auto"/>
            </w:tcBorders>
            <w:shd w:val="clear" w:color="auto" w:fill="auto"/>
            <w:noWrap/>
            <w:vAlign w:val="bottom"/>
            <w:hideMark/>
          </w:tcPr>
          <w:p w14:paraId="0B5751C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34</w:t>
            </w:r>
          </w:p>
        </w:tc>
        <w:tc>
          <w:tcPr>
            <w:tcW w:w="551" w:type="dxa"/>
            <w:tcBorders>
              <w:top w:val="nil"/>
              <w:left w:val="nil"/>
              <w:bottom w:val="single" w:sz="4" w:space="0" w:color="auto"/>
              <w:right w:val="single" w:sz="4" w:space="0" w:color="auto"/>
            </w:tcBorders>
            <w:shd w:val="clear" w:color="auto" w:fill="auto"/>
            <w:noWrap/>
            <w:vAlign w:val="bottom"/>
            <w:hideMark/>
          </w:tcPr>
          <w:p w14:paraId="2FE93E9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22133E5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574C33E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w:t>
            </w:r>
          </w:p>
        </w:tc>
        <w:tc>
          <w:tcPr>
            <w:tcW w:w="703" w:type="dxa"/>
            <w:tcBorders>
              <w:top w:val="nil"/>
              <w:left w:val="nil"/>
              <w:bottom w:val="single" w:sz="4" w:space="0" w:color="auto"/>
              <w:right w:val="single" w:sz="4" w:space="0" w:color="auto"/>
            </w:tcBorders>
            <w:shd w:val="clear" w:color="auto" w:fill="auto"/>
            <w:noWrap/>
            <w:vAlign w:val="bottom"/>
            <w:hideMark/>
          </w:tcPr>
          <w:p w14:paraId="216FEEA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5E2325F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232</w:t>
            </w:r>
          </w:p>
        </w:tc>
        <w:tc>
          <w:tcPr>
            <w:tcW w:w="680" w:type="dxa"/>
            <w:tcBorders>
              <w:top w:val="nil"/>
              <w:left w:val="nil"/>
              <w:bottom w:val="single" w:sz="4" w:space="0" w:color="auto"/>
              <w:right w:val="single" w:sz="4" w:space="0" w:color="auto"/>
            </w:tcBorders>
            <w:shd w:val="clear" w:color="auto" w:fill="auto"/>
            <w:noWrap/>
            <w:vAlign w:val="bottom"/>
            <w:hideMark/>
          </w:tcPr>
          <w:p w14:paraId="0573DEB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256</w:t>
            </w:r>
          </w:p>
        </w:tc>
      </w:tr>
      <w:tr w:rsidR="00E335CE" w:rsidRPr="00B13B9A" w14:paraId="0D6D1604"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46E78BF"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feb.23</w:t>
            </w:r>
          </w:p>
        </w:tc>
        <w:tc>
          <w:tcPr>
            <w:tcW w:w="703" w:type="dxa"/>
            <w:tcBorders>
              <w:top w:val="nil"/>
              <w:left w:val="nil"/>
              <w:bottom w:val="single" w:sz="4" w:space="0" w:color="auto"/>
              <w:right w:val="single" w:sz="4" w:space="0" w:color="auto"/>
            </w:tcBorders>
            <w:shd w:val="clear" w:color="auto" w:fill="auto"/>
            <w:noWrap/>
            <w:vAlign w:val="bottom"/>
            <w:hideMark/>
          </w:tcPr>
          <w:p w14:paraId="2D1B15B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031D27F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36</w:t>
            </w:r>
          </w:p>
        </w:tc>
        <w:tc>
          <w:tcPr>
            <w:tcW w:w="580" w:type="dxa"/>
            <w:tcBorders>
              <w:top w:val="nil"/>
              <w:left w:val="nil"/>
              <w:bottom w:val="single" w:sz="4" w:space="0" w:color="auto"/>
              <w:right w:val="single" w:sz="4" w:space="0" w:color="auto"/>
            </w:tcBorders>
            <w:shd w:val="clear" w:color="auto" w:fill="auto"/>
            <w:noWrap/>
            <w:vAlign w:val="bottom"/>
            <w:hideMark/>
          </w:tcPr>
          <w:p w14:paraId="1093B6D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32</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0DDAADE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194E463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36</w:t>
            </w:r>
          </w:p>
        </w:tc>
        <w:tc>
          <w:tcPr>
            <w:tcW w:w="534" w:type="dxa"/>
            <w:tcBorders>
              <w:top w:val="nil"/>
              <w:left w:val="nil"/>
              <w:bottom w:val="single" w:sz="4" w:space="0" w:color="auto"/>
              <w:right w:val="single" w:sz="4" w:space="0" w:color="auto"/>
            </w:tcBorders>
            <w:shd w:val="clear" w:color="auto" w:fill="auto"/>
            <w:noWrap/>
            <w:vAlign w:val="bottom"/>
            <w:hideMark/>
          </w:tcPr>
          <w:p w14:paraId="6AE7A66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53E6DC9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5AAA32C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69</w:t>
            </w:r>
          </w:p>
        </w:tc>
        <w:tc>
          <w:tcPr>
            <w:tcW w:w="567" w:type="dxa"/>
            <w:tcBorders>
              <w:top w:val="nil"/>
              <w:left w:val="nil"/>
              <w:bottom w:val="single" w:sz="4" w:space="0" w:color="auto"/>
              <w:right w:val="single" w:sz="4" w:space="0" w:color="auto"/>
            </w:tcBorders>
            <w:shd w:val="clear" w:color="auto" w:fill="auto"/>
            <w:noWrap/>
            <w:vAlign w:val="bottom"/>
            <w:hideMark/>
          </w:tcPr>
          <w:p w14:paraId="4E6BAC0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72</w:t>
            </w:r>
          </w:p>
        </w:tc>
        <w:tc>
          <w:tcPr>
            <w:tcW w:w="703" w:type="dxa"/>
            <w:tcBorders>
              <w:top w:val="nil"/>
              <w:left w:val="nil"/>
              <w:bottom w:val="single" w:sz="4" w:space="0" w:color="auto"/>
              <w:right w:val="single" w:sz="4" w:space="0" w:color="auto"/>
            </w:tcBorders>
            <w:shd w:val="clear" w:color="auto" w:fill="auto"/>
            <w:noWrap/>
            <w:vAlign w:val="bottom"/>
            <w:hideMark/>
          </w:tcPr>
          <w:p w14:paraId="13B456C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0872B56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78</w:t>
            </w:r>
          </w:p>
        </w:tc>
        <w:tc>
          <w:tcPr>
            <w:tcW w:w="531" w:type="dxa"/>
            <w:tcBorders>
              <w:top w:val="nil"/>
              <w:left w:val="nil"/>
              <w:bottom w:val="single" w:sz="4" w:space="0" w:color="auto"/>
              <w:right w:val="single" w:sz="4" w:space="0" w:color="auto"/>
            </w:tcBorders>
            <w:shd w:val="clear" w:color="auto" w:fill="auto"/>
            <w:noWrap/>
            <w:vAlign w:val="bottom"/>
            <w:hideMark/>
          </w:tcPr>
          <w:p w14:paraId="33A66D2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74</w:t>
            </w:r>
          </w:p>
        </w:tc>
        <w:tc>
          <w:tcPr>
            <w:tcW w:w="616" w:type="dxa"/>
            <w:tcBorders>
              <w:top w:val="nil"/>
              <w:left w:val="nil"/>
              <w:bottom w:val="single" w:sz="4" w:space="0" w:color="auto"/>
              <w:right w:val="single" w:sz="4" w:space="0" w:color="auto"/>
            </w:tcBorders>
            <w:shd w:val="clear" w:color="auto" w:fill="auto"/>
            <w:noWrap/>
            <w:vAlign w:val="bottom"/>
            <w:hideMark/>
          </w:tcPr>
          <w:p w14:paraId="12B6ACF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0515546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34</w:t>
            </w:r>
          </w:p>
        </w:tc>
        <w:tc>
          <w:tcPr>
            <w:tcW w:w="623" w:type="dxa"/>
            <w:tcBorders>
              <w:top w:val="nil"/>
              <w:left w:val="nil"/>
              <w:bottom w:val="single" w:sz="4" w:space="0" w:color="auto"/>
              <w:right w:val="single" w:sz="4" w:space="0" w:color="auto"/>
            </w:tcBorders>
            <w:shd w:val="clear" w:color="auto" w:fill="auto"/>
            <w:noWrap/>
            <w:vAlign w:val="bottom"/>
            <w:hideMark/>
          </w:tcPr>
          <w:p w14:paraId="1E528A8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56</w:t>
            </w:r>
          </w:p>
        </w:tc>
        <w:tc>
          <w:tcPr>
            <w:tcW w:w="551" w:type="dxa"/>
            <w:tcBorders>
              <w:top w:val="nil"/>
              <w:left w:val="nil"/>
              <w:bottom w:val="single" w:sz="4" w:space="0" w:color="auto"/>
              <w:right w:val="single" w:sz="4" w:space="0" w:color="auto"/>
            </w:tcBorders>
            <w:shd w:val="clear" w:color="auto" w:fill="auto"/>
            <w:noWrap/>
            <w:vAlign w:val="bottom"/>
            <w:hideMark/>
          </w:tcPr>
          <w:p w14:paraId="5F99BBA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27C0E89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w:t>
            </w:r>
          </w:p>
        </w:tc>
        <w:tc>
          <w:tcPr>
            <w:tcW w:w="567" w:type="dxa"/>
            <w:tcBorders>
              <w:top w:val="nil"/>
              <w:left w:val="nil"/>
              <w:bottom w:val="single" w:sz="4" w:space="0" w:color="auto"/>
              <w:right w:val="single" w:sz="4" w:space="0" w:color="auto"/>
            </w:tcBorders>
            <w:shd w:val="clear" w:color="auto" w:fill="auto"/>
            <w:noWrap/>
            <w:vAlign w:val="bottom"/>
            <w:hideMark/>
          </w:tcPr>
          <w:p w14:paraId="2EA8749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w:t>
            </w:r>
          </w:p>
        </w:tc>
        <w:tc>
          <w:tcPr>
            <w:tcW w:w="703" w:type="dxa"/>
            <w:tcBorders>
              <w:top w:val="nil"/>
              <w:left w:val="nil"/>
              <w:bottom w:val="single" w:sz="4" w:space="0" w:color="auto"/>
              <w:right w:val="single" w:sz="4" w:space="0" w:color="auto"/>
            </w:tcBorders>
            <w:shd w:val="clear" w:color="auto" w:fill="auto"/>
            <w:noWrap/>
            <w:vAlign w:val="bottom"/>
            <w:hideMark/>
          </w:tcPr>
          <w:p w14:paraId="0F8D055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3011CD1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256</w:t>
            </w:r>
          </w:p>
        </w:tc>
        <w:tc>
          <w:tcPr>
            <w:tcW w:w="680" w:type="dxa"/>
            <w:tcBorders>
              <w:top w:val="nil"/>
              <w:left w:val="nil"/>
              <w:bottom w:val="single" w:sz="4" w:space="0" w:color="auto"/>
              <w:right w:val="single" w:sz="4" w:space="0" w:color="auto"/>
            </w:tcBorders>
            <w:shd w:val="clear" w:color="auto" w:fill="auto"/>
            <w:noWrap/>
            <w:vAlign w:val="bottom"/>
            <w:hideMark/>
          </w:tcPr>
          <w:p w14:paraId="35F4DA7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280</w:t>
            </w:r>
          </w:p>
        </w:tc>
      </w:tr>
      <w:tr w:rsidR="00E335CE" w:rsidRPr="00B13B9A" w14:paraId="52F58525"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CF25FAF"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mar.23</w:t>
            </w:r>
          </w:p>
        </w:tc>
        <w:tc>
          <w:tcPr>
            <w:tcW w:w="703" w:type="dxa"/>
            <w:tcBorders>
              <w:top w:val="nil"/>
              <w:left w:val="nil"/>
              <w:bottom w:val="single" w:sz="4" w:space="0" w:color="auto"/>
              <w:right w:val="single" w:sz="4" w:space="0" w:color="auto"/>
            </w:tcBorders>
            <w:shd w:val="clear" w:color="auto" w:fill="auto"/>
            <w:noWrap/>
            <w:vAlign w:val="bottom"/>
            <w:hideMark/>
          </w:tcPr>
          <w:p w14:paraId="694D9A4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6125AB7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32</w:t>
            </w:r>
          </w:p>
        </w:tc>
        <w:tc>
          <w:tcPr>
            <w:tcW w:w="580" w:type="dxa"/>
            <w:tcBorders>
              <w:top w:val="nil"/>
              <w:left w:val="nil"/>
              <w:bottom w:val="single" w:sz="4" w:space="0" w:color="auto"/>
              <w:right w:val="single" w:sz="4" w:space="0" w:color="auto"/>
            </w:tcBorders>
            <w:shd w:val="clear" w:color="auto" w:fill="auto"/>
            <w:noWrap/>
            <w:vAlign w:val="bottom"/>
            <w:hideMark/>
          </w:tcPr>
          <w:p w14:paraId="7D2F6A6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1F12463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1B1C806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534" w:type="dxa"/>
            <w:tcBorders>
              <w:top w:val="nil"/>
              <w:left w:val="nil"/>
              <w:bottom w:val="single" w:sz="4" w:space="0" w:color="auto"/>
              <w:right w:val="single" w:sz="4" w:space="0" w:color="auto"/>
            </w:tcBorders>
            <w:shd w:val="clear" w:color="auto" w:fill="auto"/>
            <w:noWrap/>
            <w:vAlign w:val="bottom"/>
            <w:hideMark/>
          </w:tcPr>
          <w:p w14:paraId="2F77A44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29</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1BE5E0A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5CE75A1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72</w:t>
            </w:r>
          </w:p>
        </w:tc>
        <w:tc>
          <w:tcPr>
            <w:tcW w:w="567" w:type="dxa"/>
            <w:tcBorders>
              <w:top w:val="nil"/>
              <w:left w:val="nil"/>
              <w:bottom w:val="single" w:sz="4" w:space="0" w:color="auto"/>
              <w:right w:val="single" w:sz="4" w:space="0" w:color="auto"/>
            </w:tcBorders>
            <w:shd w:val="clear" w:color="auto" w:fill="auto"/>
            <w:noWrap/>
            <w:vAlign w:val="bottom"/>
            <w:hideMark/>
          </w:tcPr>
          <w:p w14:paraId="32787A9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69</w:t>
            </w:r>
          </w:p>
        </w:tc>
        <w:tc>
          <w:tcPr>
            <w:tcW w:w="703" w:type="dxa"/>
            <w:tcBorders>
              <w:top w:val="nil"/>
              <w:left w:val="nil"/>
              <w:bottom w:val="single" w:sz="4" w:space="0" w:color="auto"/>
              <w:right w:val="single" w:sz="4" w:space="0" w:color="auto"/>
            </w:tcBorders>
            <w:shd w:val="clear" w:color="auto" w:fill="auto"/>
            <w:noWrap/>
            <w:vAlign w:val="bottom"/>
            <w:hideMark/>
          </w:tcPr>
          <w:p w14:paraId="53033F2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3E9AAEA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74</w:t>
            </w:r>
          </w:p>
        </w:tc>
        <w:tc>
          <w:tcPr>
            <w:tcW w:w="531" w:type="dxa"/>
            <w:tcBorders>
              <w:top w:val="nil"/>
              <w:left w:val="nil"/>
              <w:bottom w:val="single" w:sz="4" w:space="0" w:color="auto"/>
              <w:right w:val="single" w:sz="4" w:space="0" w:color="auto"/>
            </w:tcBorders>
            <w:shd w:val="clear" w:color="auto" w:fill="auto"/>
            <w:noWrap/>
            <w:vAlign w:val="bottom"/>
            <w:hideMark/>
          </w:tcPr>
          <w:p w14:paraId="4F2A532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74</w:t>
            </w:r>
          </w:p>
        </w:tc>
        <w:tc>
          <w:tcPr>
            <w:tcW w:w="616" w:type="dxa"/>
            <w:tcBorders>
              <w:top w:val="nil"/>
              <w:left w:val="nil"/>
              <w:bottom w:val="single" w:sz="4" w:space="0" w:color="auto"/>
              <w:right w:val="single" w:sz="4" w:space="0" w:color="auto"/>
            </w:tcBorders>
            <w:shd w:val="clear" w:color="auto" w:fill="auto"/>
            <w:noWrap/>
            <w:vAlign w:val="bottom"/>
            <w:hideMark/>
          </w:tcPr>
          <w:p w14:paraId="25C57C0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2434D9F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56</w:t>
            </w:r>
          </w:p>
        </w:tc>
        <w:tc>
          <w:tcPr>
            <w:tcW w:w="623" w:type="dxa"/>
            <w:tcBorders>
              <w:top w:val="nil"/>
              <w:left w:val="nil"/>
              <w:bottom w:val="single" w:sz="4" w:space="0" w:color="auto"/>
              <w:right w:val="single" w:sz="4" w:space="0" w:color="auto"/>
            </w:tcBorders>
            <w:shd w:val="clear" w:color="auto" w:fill="auto"/>
            <w:noWrap/>
            <w:vAlign w:val="bottom"/>
            <w:hideMark/>
          </w:tcPr>
          <w:p w14:paraId="1A9B7B8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23</w:t>
            </w:r>
          </w:p>
        </w:tc>
        <w:tc>
          <w:tcPr>
            <w:tcW w:w="551" w:type="dxa"/>
            <w:tcBorders>
              <w:top w:val="nil"/>
              <w:left w:val="nil"/>
              <w:bottom w:val="single" w:sz="4" w:space="0" w:color="auto"/>
              <w:right w:val="single" w:sz="4" w:space="0" w:color="auto"/>
            </w:tcBorders>
            <w:shd w:val="clear" w:color="auto" w:fill="auto"/>
            <w:noWrap/>
            <w:vAlign w:val="bottom"/>
            <w:hideMark/>
          </w:tcPr>
          <w:p w14:paraId="59DEC1D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51BFEA4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w:t>
            </w:r>
          </w:p>
        </w:tc>
        <w:tc>
          <w:tcPr>
            <w:tcW w:w="567" w:type="dxa"/>
            <w:tcBorders>
              <w:top w:val="nil"/>
              <w:left w:val="nil"/>
              <w:bottom w:val="single" w:sz="4" w:space="0" w:color="auto"/>
              <w:right w:val="single" w:sz="4" w:space="0" w:color="auto"/>
            </w:tcBorders>
            <w:shd w:val="clear" w:color="auto" w:fill="auto"/>
            <w:noWrap/>
            <w:vAlign w:val="bottom"/>
            <w:hideMark/>
          </w:tcPr>
          <w:p w14:paraId="4A8B084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w:t>
            </w:r>
          </w:p>
        </w:tc>
        <w:tc>
          <w:tcPr>
            <w:tcW w:w="703" w:type="dxa"/>
            <w:tcBorders>
              <w:top w:val="nil"/>
              <w:left w:val="nil"/>
              <w:bottom w:val="single" w:sz="4" w:space="0" w:color="auto"/>
              <w:right w:val="single" w:sz="4" w:space="0" w:color="auto"/>
            </w:tcBorders>
            <w:shd w:val="clear" w:color="auto" w:fill="auto"/>
            <w:noWrap/>
            <w:vAlign w:val="bottom"/>
            <w:hideMark/>
          </w:tcPr>
          <w:p w14:paraId="52C9298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0A4B713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280</w:t>
            </w:r>
          </w:p>
        </w:tc>
        <w:tc>
          <w:tcPr>
            <w:tcW w:w="680" w:type="dxa"/>
            <w:tcBorders>
              <w:top w:val="nil"/>
              <w:left w:val="nil"/>
              <w:bottom w:val="single" w:sz="4" w:space="0" w:color="auto"/>
              <w:right w:val="single" w:sz="4" w:space="0" w:color="auto"/>
            </w:tcBorders>
            <w:shd w:val="clear" w:color="auto" w:fill="auto"/>
            <w:noWrap/>
            <w:vAlign w:val="bottom"/>
            <w:hideMark/>
          </w:tcPr>
          <w:p w14:paraId="0B4436C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237</w:t>
            </w:r>
          </w:p>
        </w:tc>
      </w:tr>
      <w:tr w:rsidR="00E335CE" w:rsidRPr="00B13B9A" w14:paraId="721D1E8B"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001C006"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apr.23</w:t>
            </w:r>
          </w:p>
        </w:tc>
        <w:tc>
          <w:tcPr>
            <w:tcW w:w="703" w:type="dxa"/>
            <w:tcBorders>
              <w:top w:val="nil"/>
              <w:left w:val="nil"/>
              <w:bottom w:val="single" w:sz="4" w:space="0" w:color="auto"/>
              <w:right w:val="single" w:sz="4" w:space="0" w:color="auto"/>
            </w:tcBorders>
            <w:shd w:val="clear" w:color="auto" w:fill="auto"/>
            <w:noWrap/>
            <w:vAlign w:val="bottom"/>
            <w:hideMark/>
          </w:tcPr>
          <w:p w14:paraId="4E30690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3239993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580" w:type="dxa"/>
            <w:tcBorders>
              <w:top w:val="nil"/>
              <w:left w:val="nil"/>
              <w:bottom w:val="single" w:sz="4" w:space="0" w:color="auto"/>
              <w:right w:val="single" w:sz="4" w:space="0" w:color="auto"/>
            </w:tcBorders>
            <w:shd w:val="clear" w:color="auto" w:fill="auto"/>
            <w:noWrap/>
            <w:vAlign w:val="bottom"/>
            <w:hideMark/>
          </w:tcPr>
          <w:p w14:paraId="66B6C55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35</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0CBE757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01AC8F8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29</w:t>
            </w:r>
          </w:p>
        </w:tc>
        <w:tc>
          <w:tcPr>
            <w:tcW w:w="534" w:type="dxa"/>
            <w:tcBorders>
              <w:top w:val="nil"/>
              <w:left w:val="nil"/>
              <w:bottom w:val="single" w:sz="4" w:space="0" w:color="auto"/>
              <w:right w:val="single" w:sz="4" w:space="0" w:color="auto"/>
            </w:tcBorders>
            <w:shd w:val="clear" w:color="auto" w:fill="auto"/>
            <w:noWrap/>
            <w:vAlign w:val="bottom"/>
            <w:hideMark/>
          </w:tcPr>
          <w:p w14:paraId="5409E95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42</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1B4A295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071FF06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69</w:t>
            </w:r>
          </w:p>
        </w:tc>
        <w:tc>
          <w:tcPr>
            <w:tcW w:w="567" w:type="dxa"/>
            <w:tcBorders>
              <w:top w:val="nil"/>
              <w:left w:val="nil"/>
              <w:bottom w:val="single" w:sz="4" w:space="0" w:color="auto"/>
              <w:right w:val="single" w:sz="4" w:space="0" w:color="auto"/>
            </w:tcBorders>
            <w:shd w:val="clear" w:color="auto" w:fill="auto"/>
            <w:noWrap/>
            <w:vAlign w:val="bottom"/>
            <w:hideMark/>
          </w:tcPr>
          <w:p w14:paraId="6F5763E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73</w:t>
            </w:r>
          </w:p>
        </w:tc>
        <w:tc>
          <w:tcPr>
            <w:tcW w:w="703" w:type="dxa"/>
            <w:tcBorders>
              <w:top w:val="nil"/>
              <w:left w:val="nil"/>
              <w:bottom w:val="single" w:sz="4" w:space="0" w:color="auto"/>
              <w:right w:val="single" w:sz="4" w:space="0" w:color="auto"/>
            </w:tcBorders>
            <w:shd w:val="clear" w:color="auto" w:fill="auto"/>
            <w:noWrap/>
            <w:vAlign w:val="bottom"/>
            <w:hideMark/>
          </w:tcPr>
          <w:p w14:paraId="06A1959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7FF4FD6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74</w:t>
            </w:r>
          </w:p>
        </w:tc>
        <w:tc>
          <w:tcPr>
            <w:tcW w:w="531" w:type="dxa"/>
            <w:tcBorders>
              <w:top w:val="nil"/>
              <w:left w:val="nil"/>
              <w:bottom w:val="single" w:sz="4" w:space="0" w:color="auto"/>
              <w:right w:val="single" w:sz="4" w:space="0" w:color="auto"/>
            </w:tcBorders>
            <w:shd w:val="clear" w:color="auto" w:fill="auto"/>
            <w:noWrap/>
            <w:vAlign w:val="bottom"/>
            <w:hideMark/>
          </w:tcPr>
          <w:p w14:paraId="74AA24B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47</w:t>
            </w:r>
          </w:p>
        </w:tc>
        <w:tc>
          <w:tcPr>
            <w:tcW w:w="616" w:type="dxa"/>
            <w:tcBorders>
              <w:top w:val="nil"/>
              <w:left w:val="nil"/>
              <w:bottom w:val="single" w:sz="4" w:space="0" w:color="auto"/>
              <w:right w:val="single" w:sz="4" w:space="0" w:color="auto"/>
            </w:tcBorders>
            <w:shd w:val="clear" w:color="auto" w:fill="auto"/>
            <w:noWrap/>
            <w:vAlign w:val="bottom"/>
            <w:hideMark/>
          </w:tcPr>
          <w:p w14:paraId="3E4E973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680B9E4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23</w:t>
            </w:r>
          </w:p>
        </w:tc>
        <w:tc>
          <w:tcPr>
            <w:tcW w:w="623" w:type="dxa"/>
            <w:tcBorders>
              <w:top w:val="nil"/>
              <w:left w:val="nil"/>
              <w:bottom w:val="single" w:sz="4" w:space="0" w:color="auto"/>
              <w:right w:val="single" w:sz="4" w:space="0" w:color="auto"/>
            </w:tcBorders>
            <w:shd w:val="clear" w:color="auto" w:fill="auto"/>
            <w:noWrap/>
            <w:vAlign w:val="bottom"/>
            <w:hideMark/>
          </w:tcPr>
          <w:p w14:paraId="20C4C5D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551" w:type="dxa"/>
            <w:tcBorders>
              <w:top w:val="nil"/>
              <w:left w:val="nil"/>
              <w:bottom w:val="single" w:sz="4" w:space="0" w:color="auto"/>
              <w:right w:val="single" w:sz="4" w:space="0" w:color="auto"/>
            </w:tcBorders>
            <w:shd w:val="clear" w:color="auto" w:fill="auto"/>
            <w:noWrap/>
            <w:vAlign w:val="bottom"/>
            <w:hideMark/>
          </w:tcPr>
          <w:p w14:paraId="37E6A91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26F1A4F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w:t>
            </w:r>
          </w:p>
        </w:tc>
        <w:tc>
          <w:tcPr>
            <w:tcW w:w="567" w:type="dxa"/>
            <w:tcBorders>
              <w:top w:val="nil"/>
              <w:left w:val="nil"/>
              <w:bottom w:val="single" w:sz="4" w:space="0" w:color="auto"/>
              <w:right w:val="single" w:sz="4" w:space="0" w:color="auto"/>
            </w:tcBorders>
            <w:shd w:val="clear" w:color="auto" w:fill="auto"/>
            <w:noWrap/>
            <w:vAlign w:val="bottom"/>
            <w:hideMark/>
          </w:tcPr>
          <w:p w14:paraId="1F5311E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w:t>
            </w:r>
          </w:p>
        </w:tc>
        <w:tc>
          <w:tcPr>
            <w:tcW w:w="703" w:type="dxa"/>
            <w:tcBorders>
              <w:top w:val="nil"/>
              <w:left w:val="nil"/>
              <w:bottom w:val="single" w:sz="4" w:space="0" w:color="auto"/>
              <w:right w:val="single" w:sz="4" w:space="0" w:color="auto"/>
            </w:tcBorders>
            <w:shd w:val="clear" w:color="auto" w:fill="auto"/>
            <w:noWrap/>
            <w:vAlign w:val="bottom"/>
            <w:hideMark/>
          </w:tcPr>
          <w:p w14:paraId="50E32AF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35F3B08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237</w:t>
            </w:r>
          </w:p>
        </w:tc>
        <w:tc>
          <w:tcPr>
            <w:tcW w:w="680" w:type="dxa"/>
            <w:tcBorders>
              <w:top w:val="nil"/>
              <w:left w:val="nil"/>
              <w:bottom w:val="single" w:sz="4" w:space="0" w:color="auto"/>
              <w:right w:val="single" w:sz="4" w:space="0" w:color="auto"/>
            </w:tcBorders>
            <w:shd w:val="clear" w:color="auto" w:fill="auto"/>
            <w:noWrap/>
            <w:vAlign w:val="bottom"/>
            <w:hideMark/>
          </w:tcPr>
          <w:p w14:paraId="60C7F55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250</w:t>
            </w:r>
          </w:p>
        </w:tc>
      </w:tr>
      <w:tr w:rsidR="00E335CE" w:rsidRPr="00B13B9A" w14:paraId="19B048E9"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2299CF3"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mai.23</w:t>
            </w:r>
          </w:p>
        </w:tc>
        <w:tc>
          <w:tcPr>
            <w:tcW w:w="703" w:type="dxa"/>
            <w:tcBorders>
              <w:top w:val="nil"/>
              <w:left w:val="nil"/>
              <w:bottom w:val="single" w:sz="4" w:space="0" w:color="auto"/>
              <w:right w:val="single" w:sz="4" w:space="0" w:color="auto"/>
            </w:tcBorders>
            <w:shd w:val="clear" w:color="auto" w:fill="auto"/>
            <w:noWrap/>
            <w:vAlign w:val="bottom"/>
            <w:hideMark/>
          </w:tcPr>
          <w:p w14:paraId="71770A3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7ECED39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35</w:t>
            </w:r>
          </w:p>
        </w:tc>
        <w:tc>
          <w:tcPr>
            <w:tcW w:w="580" w:type="dxa"/>
            <w:tcBorders>
              <w:top w:val="nil"/>
              <w:left w:val="nil"/>
              <w:bottom w:val="single" w:sz="4" w:space="0" w:color="auto"/>
              <w:right w:val="single" w:sz="4" w:space="0" w:color="auto"/>
            </w:tcBorders>
            <w:shd w:val="clear" w:color="auto" w:fill="auto"/>
            <w:noWrap/>
            <w:vAlign w:val="bottom"/>
            <w:hideMark/>
          </w:tcPr>
          <w:p w14:paraId="5F972C8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15</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4594229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5EFEE14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42</w:t>
            </w:r>
          </w:p>
        </w:tc>
        <w:tc>
          <w:tcPr>
            <w:tcW w:w="534" w:type="dxa"/>
            <w:tcBorders>
              <w:top w:val="nil"/>
              <w:left w:val="nil"/>
              <w:bottom w:val="single" w:sz="4" w:space="0" w:color="auto"/>
              <w:right w:val="single" w:sz="4" w:space="0" w:color="auto"/>
            </w:tcBorders>
            <w:shd w:val="clear" w:color="auto" w:fill="auto"/>
            <w:noWrap/>
            <w:vAlign w:val="bottom"/>
            <w:hideMark/>
          </w:tcPr>
          <w:p w14:paraId="7314468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48</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6BE20FD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5A87904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73</w:t>
            </w:r>
          </w:p>
        </w:tc>
        <w:tc>
          <w:tcPr>
            <w:tcW w:w="567" w:type="dxa"/>
            <w:tcBorders>
              <w:top w:val="nil"/>
              <w:left w:val="nil"/>
              <w:bottom w:val="single" w:sz="4" w:space="0" w:color="auto"/>
              <w:right w:val="single" w:sz="4" w:space="0" w:color="auto"/>
            </w:tcBorders>
            <w:shd w:val="clear" w:color="auto" w:fill="auto"/>
            <w:noWrap/>
            <w:vAlign w:val="bottom"/>
            <w:hideMark/>
          </w:tcPr>
          <w:p w14:paraId="1DB73C3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68</w:t>
            </w:r>
          </w:p>
        </w:tc>
        <w:tc>
          <w:tcPr>
            <w:tcW w:w="703" w:type="dxa"/>
            <w:tcBorders>
              <w:top w:val="nil"/>
              <w:left w:val="nil"/>
              <w:bottom w:val="single" w:sz="4" w:space="0" w:color="auto"/>
              <w:right w:val="single" w:sz="4" w:space="0" w:color="auto"/>
            </w:tcBorders>
            <w:shd w:val="clear" w:color="auto" w:fill="auto"/>
            <w:noWrap/>
            <w:vAlign w:val="bottom"/>
            <w:hideMark/>
          </w:tcPr>
          <w:p w14:paraId="198E52A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040521B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47</w:t>
            </w:r>
          </w:p>
        </w:tc>
        <w:tc>
          <w:tcPr>
            <w:tcW w:w="531" w:type="dxa"/>
            <w:tcBorders>
              <w:top w:val="nil"/>
              <w:left w:val="nil"/>
              <w:bottom w:val="single" w:sz="4" w:space="0" w:color="auto"/>
              <w:right w:val="single" w:sz="4" w:space="0" w:color="auto"/>
            </w:tcBorders>
            <w:shd w:val="clear" w:color="auto" w:fill="auto"/>
            <w:noWrap/>
            <w:vAlign w:val="bottom"/>
            <w:hideMark/>
          </w:tcPr>
          <w:p w14:paraId="53EA3B0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34</w:t>
            </w:r>
          </w:p>
        </w:tc>
        <w:tc>
          <w:tcPr>
            <w:tcW w:w="616" w:type="dxa"/>
            <w:tcBorders>
              <w:top w:val="nil"/>
              <w:left w:val="nil"/>
              <w:bottom w:val="single" w:sz="4" w:space="0" w:color="auto"/>
              <w:right w:val="single" w:sz="4" w:space="0" w:color="auto"/>
            </w:tcBorders>
            <w:shd w:val="clear" w:color="auto" w:fill="auto"/>
            <w:noWrap/>
            <w:vAlign w:val="bottom"/>
            <w:hideMark/>
          </w:tcPr>
          <w:p w14:paraId="5BE81A9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72510DE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23" w:type="dxa"/>
            <w:tcBorders>
              <w:top w:val="nil"/>
              <w:left w:val="nil"/>
              <w:bottom w:val="single" w:sz="4" w:space="0" w:color="auto"/>
              <w:right w:val="single" w:sz="4" w:space="0" w:color="auto"/>
            </w:tcBorders>
            <w:shd w:val="clear" w:color="auto" w:fill="auto"/>
            <w:noWrap/>
            <w:vAlign w:val="bottom"/>
            <w:hideMark/>
          </w:tcPr>
          <w:p w14:paraId="2A8EA10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551" w:type="dxa"/>
            <w:tcBorders>
              <w:top w:val="nil"/>
              <w:left w:val="nil"/>
              <w:bottom w:val="single" w:sz="4" w:space="0" w:color="auto"/>
              <w:right w:val="single" w:sz="4" w:space="0" w:color="auto"/>
            </w:tcBorders>
            <w:shd w:val="clear" w:color="auto" w:fill="auto"/>
            <w:noWrap/>
            <w:vAlign w:val="bottom"/>
            <w:hideMark/>
          </w:tcPr>
          <w:p w14:paraId="3CC50C4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6E7494C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w:t>
            </w:r>
          </w:p>
        </w:tc>
        <w:tc>
          <w:tcPr>
            <w:tcW w:w="567" w:type="dxa"/>
            <w:tcBorders>
              <w:top w:val="nil"/>
              <w:left w:val="nil"/>
              <w:bottom w:val="single" w:sz="4" w:space="0" w:color="auto"/>
              <w:right w:val="single" w:sz="4" w:space="0" w:color="auto"/>
            </w:tcBorders>
            <w:shd w:val="clear" w:color="auto" w:fill="auto"/>
            <w:noWrap/>
            <w:vAlign w:val="bottom"/>
            <w:hideMark/>
          </w:tcPr>
          <w:p w14:paraId="097C446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w:t>
            </w:r>
          </w:p>
        </w:tc>
        <w:tc>
          <w:tcPr>
            <w:tcW w:w="703" w:type="dxa"/>
            <w:tcBorders>
              <w:top w:val="nil"/>
              <w:left w:val="nil"/>
              <w:bottom w:val="single" w:sz="4" w:space="0" w:color="auto"/>
              <w:right w:val="single" w:sz="4" w:space="0" w:color="auto"/>
            </w:tcBorders>
            <w:shd w:val="clear" w:color="auto" w:fill="auto"/>
            <w:noWrap/>
            <w:vAlign w:val="bottom"/>
            <w:hideMark/>
          </w:tcPr>
          <w:p w14:paraId="7F57E59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6A11014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250</w:t>
            </w:r>
          </w:p>
        </w:tc>
        <w:tc>
          <w:tcPr>
            <w:tcW w:w="680" w:type="dxa"/>
            <w:tcBorders>
              <w:top w:val="nil"/>
              <w:left w:val="nil"/>
              <w:bottom w:val="single" w:sz="4" w:space="0" w:color="auto"/>
              <w:right w:val="single" w:sz="4" w:space="0" w:color="auto"/>
            </w:tcBorders>
            <w:shd w:val="clear" w:color="auto" w:fill="auto"/>
            <w:noWrap/>
            <w:vAlign w:val="bottom"/>
            <w:hideMark/>
          </w:tcPr>
          <w:p w14:paraId="296B6FE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215</w:t>
            </w:r>
          </w:p>
        </w:tc>
      </w:tr>
      <w:tr w:rsidR="00E335CE" w:rsidRPr="00B13B9A" w14:paraId="5A89ED35"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AE9C646"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iun.23</w:t>
            </w:r>
          </w:p>
        </w:tc>
        <w:tc>
          <w:tcPr>
            <w:tcW w:w="703" w:type="dxa"/>
            <w:tcBorders>
              <w:top w:val="nil"/>
              <w:left w:val="nil"/>
              <w:bottom w:val="single" w:sz="4" w:space="0" w:color="auto"/>
              <w:right w:val="single" w:sz="4" w:space="0" w:color="auto"/>
            </w:tcBorders>
            <w:shd w:val="clear" w:color="auto" w:fill="auto"/>
            <w:noWrap/>
            <w:vAlign w:val="bottom"/>
            <w:hideMark/>
          </w:tcPr>
          <w:p w14:paraId="156824A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5753D1F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15</w:t>
            </w:r>
          </w:p>
        </w:tc>
        <w:tc>
          <w:tcPr>
            <w:tcW w:w="580" w:type="dxa"/>
            <w:tcBorders>
              <w:top w:val="nil"/>
              <w:left w:val="nil"/>
              <w:bottom w:val="single" w:sz="4" w:space="0" w:color="auto"/>
              <w:right w:val="single" w:sz="4" w:space="0" w:color="auto"/>
            </w:tcBorders>
            <w:shd w:val="clear" w:color="auto" w:fill="auto"/>
            <w:noWrap/>
            <w:vAlign w:val="bottom"/>
            <w:hideMark/>
          </w:tcPr>
          <w:p w14:paraId="45ABF29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26</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708735B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0E25A98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48</w:t>
            </w:r>
          </w:p>
        </w:tc>
        <w:tc>
          <w:tcPr>
            <w:tcW w:w="534" w:type="dxa"/>
            <w:tcBorders>
              <w:top w:val="nil"/>
              <w:left w:val="nil"/>
              <w:bottom w:val="single" w:sz="4" w:space="0" w:color="auto"/>
              <w:right w:val="single" w:sz="4" w:space="0" w:color="auto"/>
            </w:tcBorders>
            <w:shd w:val="clear" w:color="auto" w:fill="auto"/>
            <w:noWrap/>
            <w:vAlign w:val="bottom"/>
            <w:hideMark/>
          </w:tcPr>
          <w:p w14:paraId="55E5119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42</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4FE058C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6CBB518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68</w:t>
            </w:r>
          </w:p>
        </w:tc>
        <w:tc>
          <w:tcPr>
            <w:tcW w:w="567" w:type="dxa"/>
            <w:tcBorders>
              <w:top w:val="nil"/>
              <w:left w:val="nil"/>
              <w:bottom w:val="single" w:sz="4" w:space="0" w:color="auto"/>
              <w:right w:val="single" w:sz="4" w:space="0" w:color="auto"/>
            </w:tcBorders>
            <w:shd w:val="clear" w:color="auto" w:fill="auto"/>
            <w:noWrap/>
            <w:vAlign w:val="bottom"/>
            <w:hideMark/>
          </w:tcPr>
          <w:p w14:paraId="693312C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46</w:t>
            </w:r>
          </w:p>
        </w:tc>
        <w:tc>
          <w:tcPr>
            <w:tcW w:w="703" w:type="dxa"/>
            <w:tcBorders>
              <w:top w:val="nil"/>
              <w:left w:val="nil"/>
              <w:bottom w:val="single" w:sz="4" w:space="0" w:color="auto"/>
              <w:right w:val="single" w:sz="4" w:space="0" w:color="auto"/>
            </w:tcBorders>
            <w:shd w:val="clear" w:color="auto" w:fill="auto"/>
            <w:noWrap/>
            <w:vAlign w:val="bottom"/>
            <w:hideMark/>
          </w:tcPr>
          <w:p w14:paraId="6763AC9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75DFF57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34</w:t>
            </w:r>
          </w:p>
        </w:tc>
        <w:tc>
          <w:tcPr>
            <w:tcW w:w="531" w:type="dxa"/>
            <w:tcBorders>
              <w:top w:val="nil"/>
              <w:left w:val="nil"/>
              <w:bottom w:val="single" w:sz="4" w:space="0" w:color="auto"/>
              <w:right w:val="single" w:sz="4" w:space="0" w:color="auto"/>
            </w:tcBorders>
            <w:shd w:val="clear" w:color="auto" w:fill="auto"/>
            <w:noWrap/>
            <w:vAlign w:val="bottom"/>
            <w:hideMark/>
          </w:tcPr>
          <w:p w14:paraId="2BD8B85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42</w:t>
            </w:r>
          </w:p>
        </w:tc>
        <w:tc>
          <w:tcPr>
            <w:tcW w:w="616" w:type="dxa"/>
            <w:tcBorders>
              <w:top w:val="nil"/>
              <w:left w:val="nil"/>
              <w:bottom w:val="single" w:sz="4" w:space="0" w:color="auto"/>
              <w:right w:val="single" w:sz="4" w:space="0" w:color="auto"/>
            </w:tcBorders>
            <w:shd w:val="clear" w:color="auto" w:fill="auto"/>
            <w:noWrap/>
            <w:vAlign w:val="bottom"/>
            <w:hideMark/>
          </w:tcPr>
          <w:p w14:paraId="3423A61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56A674D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23" w:type="dxa"/>
            <w:tcBorders>
              <w:top w:val="nil"/>
              <w:left w:val="nil"/>
              <w:bottom w:val="single" w:sz="4" w:space="0" w:color="auto"/>
              <w:right w:val="single" w:sz="4" w:space="0" w:color="auto"/>
            </w:tcBorders>
            <w:shd w:val="clear" w:color="auto" w:fill="auto"/>
            <w:noWrap/>
            <w:vAlign w:val="bottom"/>
            <w:hideMark/>
          </w:tcPr>
          <w:p w14:paraId="4ADD9C2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42</w:t>
            </w:r>
          </w:p>
        </w:tc>
        <w:tc>
          <w:tcPr>
            <w:tcW w:w="551" w:type="dxa"/>
            <w:tcBorders>
              <w:top w:val="nil"/>
              <w:left w:val="nil"/>
              <w:bottom w:val="single" w:sz="4" w:space="0" w:color="auto"/>
              <w:right w:val="single" w:sz="4" w:space="0" w:color="auto"/>
            </w:tcBorders>
            <w:shd w:val="clear" w:color="auto" w:fill="auto"/>
            <w:noWrap/>
            <w:vAlign w:val="bottom"/>
            <w:hideMark/>
          </w:tcPr>
          <w:p w14:paraId="32BC263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7711C4B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w:t>
            </w:r>
          </w:p>
        </w:tc>
        <w:tc>
          <w:tcPr>
            <w:tcW w:w="567" w:type="dxa"/>
            <w:tcBorders>
              <w:top w:val="nil"/>
              <w:left w:val="nil"/>
              <w:bottom w:val="single" w:sz="4" w:space="0" w:color="auto"/>
              <w:right w:val="single" w:sz="4" w:space="0" w:color="auto"/>
            </w:tcBorders>
            <w:shd w:val="clear" w:color="auto" w:fill="auto"/>
            <w:noWrap/>
            <w:vAlign w:val="bottom"/>
            <w:hideMark/>
          </w:tcPr>
          <w:p w14:paraId="7FB5ADE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w:t>
            </w:r>
          </w:p>
        </w:tc>
        <w:tc>
          <w:tcPr>
            <w:tcW w:w="703" w:type="dxa"/>
            <w:tcBorders>
              <w:top w:val="nil"/>
              <w:left w:val="nil"/>
              <w:bottom w:val="single" w:sz="4" w:space="0" w:color="auto"/>
              <w:right w:val="single" w:sz="4" w:space="0" w:color="auto"/>
            </w:tcBorders>
            <w:shd w:val="clear" w:color="auto" w:fill="auto"/>
            <w:noWrap/>
            <w:vAlign w:val="bottom"/>
            <w:hideMark/>
          </w:tcPr>
          <w:p w14:paraId="77DD3A9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7D1D1A8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215</w:t>
            </w:r>
          </w:p>
        </w:tc>
        <w:tc>
          <w:tcPr>
            <w:tcW w:w="680" w:type="dxa"/>
            <w:tcBorders>
              <w:top w:val="nil"/>
              <w:left w:val="nil"/>
              <w:bottom w:val="single" w:sz="4" w:space="0" w:color="auto"/>
              <w:right w:val="single" w:sz="4" w:space="0" w:color="auto"/>
            </w:tcBorders>
            <w:shd w:val="clear" w:color="auto" w:fill="auto"/>
            <w:noWrap/>
            <w:vAlign w:val="bottom"/>
            <w:hideMark/>
          </w:tcPr>
          <w:p w14:paraId="608E9F8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203</w:t>
            </w:r>
          </w:p>
        </w:tc>
      </w:tr>
    </w:tbl>
    <w:p w14:paraId="785DDFD2" w14:textId="0EE7C5B4" w:rsidR="00E335CE" w:rsidRPr="00B13B9A" w:rsidRDefault="0007264E" w:rsidP="00A046DD">
      <w:pPr>
        <w:pStyle w:val="cn"/>
        <w:spacing w:line="276" w:lineRule="auto"/>
        <w:ind w:right="71"/>
        <w:jc w:val="both"/>
        <w:rPr>
          <w:rFonts w:asciiTheme="majorHAnsi" w:eastAsiaTheme="minorHAnsi" w:hAnsiTheme="majorHAnsi" w:cstheme="majorHAnsi"/>
          <w:i/>
          <w:sz w:val="20"/>
          <w:szCs w:val="20"/>
          <w:lang w:val="ro-MD" w:eastAsia="en-US"/>
        </w:rPr>
      </w:pPr>
      <w:r w:rsidRPr="00B13B9A">
        <w:rPr>
          <w:rFonts w:asciiTheme="majorHAnsi" w:eastAsiaTheme="minorHAnsi" w:hAnsiTheme="majorHAnsi" w:cstheme="majorHAnsi"/>
          <w:b/>
          <w:i/>
          <w:sz w:val="20"/>
          <w:szCs w:val="20"/>
          <w:lang w:val="ro-MD" w:eastAsia="en-US"/>
        </w:rPr>
        <w:t>Sursa:</w:t>
      </w:r>
      <w:r w:rsidRPr="00B13B9A">
        <w:rPr>
          <w:rFonts w:asciiTheme="majorHAnsi" w:eastAsiaTheme="minorHAnsi" w:hAnsiTheme="majorHAnsi" w:cstheme="majorHAnsi"/>
          <w:i/>
          <w:sz w:val="20"/>
          <w:szCs w:val="20"/>
          <w:lang w:val="ro-MD" w:eastAsia="en-US"/>
        </w:rPr>
        <w:t xml:space="preserve"> Informa</w:t>
      </w:r>
      <w:r w:rsidR="00B13B9A" w:rsidRPr="00B13B9A">
        <w:rPr>
          <w:rFonts w:asciiTheme="majorHAnsi" w:eastAsiaTheme="minorHAnsi" w:hAnsiTheme="majorHAnsi" w:cstheme="majorHAnsi"/>
          <w:i/>
          <w:sz w:val="20"/>
          <w:szCs w:val="20"/>
          <w:lang w:val="ro-MD" w:eastAsia="en-US"/>
        </w:rPr>
        <w:t>ț</w:t>
      </w:r>
      <w:r w:rsidRPr="00B13B9A">
        <w:rPr>
          <w:rFonts w:asciiTheme="majorHAnsi" w:eastAsiaTheme="minorHAnsi" w:hAnsiTheme="majorHAnsi" w:cstheme="majorHAnsi"/>
          <w:i/>
          <w:sz w:val="20"/>
          <w:szCs w:val="20"/>
          <w:lang w:val="ro-MD" w:eastAsia="en-US"/>
        </w:rPr>
        <w:t>ii prezentate de entitate</w:t>
      </w:r>
      <w:r w:rsidR="00D80586" w:rsidRPr="00B13B9A">
        <w:rPr>
          <w:rFonts w:asciiTheme="majorHAnsi" w:eastAsiaTheme="minorHAnsi" w:hAnsiTheme="majorHAnsi" w:cstheme="majorHAnsi"/>
          <w:i/>
          <w:sz w:val="20"/>
          <w:szCs w:val="20"/>
          <w:lang w:val="ro-MD" w:eastAsia="en-US"/>
        </w:rPr>
        <w:t>.</w:t>
      </w:r>
    </w:p>
    <w:p w14:paraId="446065C3" w14:textId="77777777" w:rsidR="00695705" w:rsidRPr="00B13B9A" w:rsidRDefault="00695705" w:rsidP="00A046DD">
      <w:pPr>
        <w:pStyle w:val="cn"/>
        <w:spacing w:line="276" w:lineRule="auto"/>
        <w:ind w:right="71"/>
        <w:jc w:val="both"/>
        <w:rPr>
          <w:rFonts w:asciiTheme="majorHAnsi" w:eastAsiaTheme="minorHAnsi" w:hAnsiTheme="majorHAnsi" w:cstheme="majorHAnsi"/>
          <w:b/>
          <w:lang w:val="ro-MD" w:eastAsia="en-US"/>
        </w:rPr>
      </w:pPr>
    </w:p>
    <w:p w14:paraId="16591D39" w14:textId="77777777" w:rsidR="00332FF7" w:rsidRDefault="00332FF7" w:rsidP="00A046DD">
      <w:pPr>
        <w:pStyle w:val="cn"/>
        <w:spacing w:line="276" w:lineRule="auto"/>
        <w:ind w:right="71"/>
        <w:jc w:val="both"/>
        <w:rPr>
          <w:rFonts w:asciiTheme="majorHAnsi" w:eastAsiaTheme="minorHAnsi" w:hAnsiTheme="majorHAnsi" w:cstheme="majorHAnsi"/>
          <w:b/>
          <w:lang w:val="ro-MD" w:eastAsia="en-US"/>
        </w:rPr>
        <w:sectPr w:rsidR="00332FF7" w:rsidSect="00D3471D">
          <w:pgSz w:w="15840" w:h="12240" w:orient="landscape"/>
          <w:pgMar w:top="1350" w:right="1134" w:bottom="760" w:left="1134" w:header="709" w:footer="709" w:gutter="0"/>
          <w:cols w:space="708"/>
          <w:docGrid w:linePitch="360"/>
        </w:sectPr>
      </w:pPr>
    </w:p>
    <w:p w14:paraId="44A129D6" w14:textId="77777777" w:rsidR="00695705" w:rsidRPr="00B13B9A" w:rsidRDefault="00D3471D" w:rsidP="00D3471D">
      <w:pPr>
        <w:pStyle w:val="3"/>
        <w:jc w:val="right"/>
        <w:rPr>
          <w:rFonts w:cstheme="majorHAnsi"/>
          <w:b/>
          <w:color w:val="auto"/>
        </w:rPr>
      </w:pPr>
      <w:bookmarkStart w:id="72" w:name="_Toc158317273"/>
      <w:r w:rsidRPr="00B13B9A">
        <w:rPr>
          <w:rFonts w:cstheme="majorHAnsi"/>
          <w:b/>
          <w:color w:val="auto"/>
        </w:rPr>
        <w:t>Anexa</w:t>
      </w:r>
      <w:r w:rsidR="00695705" w:rsidRPr="00B13B9A">
        <w:rPr>
          <w:rFonts w:cstheme="majorHAnsi"/>
          <w:b/>
          <w:color w:val="auto"/>
        </w:rPr>
        <w:t xml:space="preserve"> nr.1</w:t>
      </w:r>
      <w:r w:rsidR="00251EC7" w:rsidRPr="00B13B9A">
        <w:rPr>
          <w:rFonts w:cstheme="majorHAnsi"/>
          <w:b/>
          <w:color w:val="auto"/>
        </w:rPr>
        <w:t>9</w:t>
      </w:r>
      <w:bookmarkEnd w:id="72"/>
    </w:p>
    <w:p w14:paraId="75CEBD19" w14:textId="26EC266F" w:rsidR="00695705" w:rsidRPr="00B13B9A" w:rsidRDefault="00695705" w:rsidP="00695705">
      <w:pPr>
        <w:spacing w:after="0" w:line="276" w:lineRule="auto"/>
        <w:jc w:val="center"/>
        <w:rPr>
          <w:rFonts w:asciiTheme="majorHAnsi" w:hAnsiTheme="majorHAnsi" w:cstheme="majorHAnsi"/>
          <w:b/>
          <w:sz w:val="24"/>
          <w:szCs w:val="24"/>
          <w:lang w:val="ro-MD"/>
        </w:rPr>
      </w:pPr>
      <w:r w:rsidRPr="00B13B9A">
        <w:rPr>
          <w:rFonts w:asciiTheme="majorHAnsi" w:hAnsiTheme="majorHAnsi" w:cstheme="majorHAnsi"/>
          <w:b/>
          <w:sz w:val="24"/>
          <w:szCs w:val="24"/>
          <w:lang w:val="ro-MD"/>
        </w:rPr>
        <w:t>Informa</w:t>
      </w:r>
      <w:r w:rsidR="00B13B9A" w:rsidRPr="00B13B9A">
        <w:rPr>
          <w:rFonts w:asciiTheme="majorHAnsi" w:hAnsiTheme="majorHAnsi" w:cstheme="majorHAnsi"/>
          <w:b/>
          <w:sz w:val="24"/>
          <w:szCs w:val="24"/>
          <w:lang w:val="ro-MD"/>
        </w:rPr>
        <w:t>ț</w:t>
      </w:r>
      <w:r w:rsidRPr="00B13B9A">
        <w:rPr>
          <w:rFonts w:asciiTheme="majorHAnsi" w:hAnsiTheme="majorHAnsi" w:cstheme="majorHAnsi"/>
          <w:b/>
          <w:sz w:val="24"/>
          <w:szCs w:val="24"/>
          <w:lang w:val="ro-MD"/>
        </w:rPr>
        <w:t xml:space="preserve">ii privind completarea statelor de personal </w:t>
      </w:r>
      <w:r w:rsidR="00D80586" w:rsidRPr="00B13B9A">
        <w:rPr>
          <w:rFonts w:asciiTheme="majorHAnsi" w:hAnsiTheme="majorHAnsi" w:cstheme="majorHAnsi"/>
          <w:b/>
          <w:sz w:val="24"/>
          <w:szCs w:val="24"/>
          <w:lang w:val="ro-MD"/>
        </w:rPr>
        <w:t xml:space="preserve">ale </w:t>
      </w:r>
      <w:r w:rsidR="005D56E4" w:rsidRPr="00B13B9A">
        <w:rPr>
          <w:rFonts w:asciiTheme="majorHAnsi" w:hAnsiTheme="majorHAnsi" w:cstheme="majorHAnsi"/>
          <w:b/>
          <w:color w:val="000000" w:themeColor="text1"/>
          <w:sz w:val="24"/>
          <w:szCs w:val="24"/>
          <w:lang w:val="ro-MD"/>
        </w:rPr>
        <w:t xml:space="preserve">IMSP IFP </w:t>
      </w:r>
      <w:r w:rsidR="005D56E4" w:rsidRPr="00B13B9A">
        <w:rPr>
          <w:rFonts w:asciiTheme="majorHAnsi" w:hAnsiTheme="majorHAnsi" w:cstheme="majorHAnsi"/>
          <w:b/>
          <w:sz w:val="24"/>
          <w:szCs w:val="24"/>
          <w:lang w:val="ro-MD"/>
        </w:rPr>
        <w:t>„Chiril Draganiuc”</w:t>
      </w:r>
      <w:r w:rsidR="005D56E4" w:rsidRPr="00B13B9A">
        <w:rPr>
          <w:rFonts w:asciiTheme="majorHAnsi" w:hAnsiTheme="majorHAnsi" w:cstheme="majorHAnsi"/>
          <w:sz w:val="24"/>
          <w:szCs w:val="24"/>
          <w:lang w:val="ro-MD"/>
        </w:rPr>
        <w:t xml:space="preserve"> </w:t>
      </w:r>
      <w:r w:rsidRPr="00B13B9A">
        <w:rPr>
          <w:rFonts w:asciiTheme="majorHAnsi" w:hAnsiTheme="majorHAnsi" w:cstheme="majorHAnsi"/>
          <w:b/>
          <w:sz w:val="24"/>
          <w:szCs w:val="24"/>
          <w:lang w:val="ro-MD"/>
        </w:rPr>
        <w:t>în perioada 2021-2023 (6 luni)</w:t>
      </w:r>
    </w:p>
    <w:tbl>
      <w:tblPr>
        <w:tblStyle w:val="a3"/>
        <w:tblW w:w="14227" w:type="dxa"/>
        <w:tblLayout w:type="fixed"/>
        <w:tblLook w:val="04A0" w:firstRow="1" w:lastRow="0" w:firstColumn="1" w:lastColumn="0" w:noHBand="0" w:noVBand="1"/>
      </w:tblPr>
      <w:tblGrid>
        <w:gridCol w:w="1434"/>
        <w:gridCol w:w="1048"/>
        <w:gridCol w:w="917"/>
        <w:gridCol w:w="918"/>
        <w:gridCol w:w="1179"/>
        <w:gridCol w:w="1179"/>
        <w:gridCol w:w="918"/>
        <w:gridCol w:w="1179"/>
        <w:gridCol w:w="1048"/>
        <w:gridCol w:w="918"/>
        <w:gridCol w:w="1179"/>
        <w:gridCol w:w="1179"/>
        <w:gridCol w:w="1131"/>
      </w:tblGrid>
      <w:tr w:rsidR="00695705" w:rsidRPr="00B13B9A" w14:paraId="5C15FD60" w14:textId="77777777" w:rsidTr="00695705">
        <w:trPr>
          <w:trHeight w:val="189"/>
        </w:trPr>
        <w:tc>
          <w:tcPr>
            <w:tcW w:w="1434" w:type="dxa"/>
            <w:vMerge w:val="restart"/>
            <w:shd w:val="clear" w:color="auto" w:fill="auto"/>
            <w:vAlign w:val="center"/>
          </w:tcPr>
          <w:p w14:paraId="1739576E" w14:textId="77777777" w:rsidR="00695705" w:rsidRPr="00B13B9A" w:rsidRDefault="00695705" w:rsidP="002932FC">
            <w:pPr>
              <w:spacing w:line="276" w:lineRule="auto"/>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Categorii de personal</w:t>
            </w:r>
          </w:p>
        </w:tc>
        <w:tc>
          <w:tcPr>
            <w:tcW w:w="2883" w:type="dxa"/>
            <w:gridSpan w:val="3"/>
            <w:shd w:val="clear" w:color="auto" w:fill="auto"/>
            <w:vAlign w:val="center"/>
          </w:tcPr>
          <w:p w14:paraId="0DDBC771" w14:textId="77777777" w:rsidR="00695705" w:rsidRPr="00B13B9A" w:rsidRDefault="00695705" w:rsidP="002932FC">
            <w:pPr>
              <w:spacing w:line="276" w:lineRule="auto"/>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Anul 2021</w:t>
            </w:r>
          </w:p>
        </w:tc>
        <w:tc>
          <w:tcPr>
            <w:tcW w:w="3276" w:type="dxa"/>
            <w:gridSpan w:val="3"/>
            <w:shd w:val="clear" w:color="auto" w:fill="auto"/>
            <w:vAlign w:val="center"/>
          </w:tcPr>
          <w:p w14:paraId="437F0188" w14:textId="77777777" w:rsidR="00695705" w:rsidRPr="00B13B9A" w:rsidRDefault="00695705" w:rsidP="002932FC">
            <w:pPr>
              <w:spacing w:line="276" w:lineRule="auto"/>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Anul 2022</w:t>
            </w:r>
          </w:p>
        </w:tc>
        <w:tc>
          <w:tcPr>
            <w:tcW w:w="3145" w:type="dxa"/>
            <w:gridSpan w:val="3"/>
            <w:shd w:val="clear" w:color="auto" w:fill="auto"/>
            <w:vAlign w:val="center"/>
          </w:tcPr>
          <w:p w14:paraId="7A6AA32E" w14:textId="77777777" w:rsidR="00695705" w:rsidRPr="00B13B9A" w:rsidRDefault="00695705" w:rsidP="002932FC">
            <w:pPr>
              <w:spacing w:line="276" w:lineRule="auto"/>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Anul 2023 (6 luni)</w:t>
            </w:r>
          </w:p>
        </w:tc>
        <w:tc>
          <w:tcPr>
            <w:tcW w:w="3489" w:type="dxa"/>
            <w:gridSpan w:val="3"/>
          </w:tcPr>
          <w:p w14:paraId="680327AD" w14:textId="161385A8" w:rsidR="00695705" w:rsidRPr="00B13B9A" w:rsidRDefault="00695705" w:rsidP="002932FC">
            <w:pPr>
              <w:spacing w:line="276" w:lineRule="auto"/>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Diferen</w:t>
            </w:r>
            <w:r w:rsidR="00B13B9A" w:rsidRPr="00B13B9A">
              <w:rPr>
                <w:rFonts w:asciiTheme="majorHAnsi" w:hAnsiTheme="majorHAnsi" w:cstheme="majorHAnsi"/>
                <w:b/>
                <w:sz w:val="20"/>
                <w:szCs w:val="20"/>
                <w:lang w:val="ro-MD"/>
              </w:rPr>
              <w:t>ț</w:t>
            </w:r>
            <w:r w:rsidRPr="00B13B9A">
              <w:rPr>
                <w:rFonts w:asciiTheme="majorHAnsi" w:hAnsiTheme="majorHAnsi" w:cstheme="majorHAnsi"/>
                <w:b/>
                <w:sz w:val="20"/>
                <w:szCs w:val="20"/>
                <w:lang w:val="ro-MD"/>
              </w:rPr>
              <w:t>a</w:t>
            </w:r>
          </w:p>
        </w:tc>
      </w:tr>
      <w:tr w:rsidR="00695705" w:rsidRPr="00B13B9A" w14:paraId="3553B5A0" w14:textId="77777777" w:rsidTr="00695705">
        <w:trPr>
          <w:trHeight w:val="629"/>
        </w:trPr>
        <w:tc>
          <w:tcPr>
            <w:tcW w:w="1434" w:type="dxa"/>
            <w:vMerge/>
            <w:shd w:val="clear" w:color="auto" w:fill="auto"/>
            <w:vAlign w:val="center"/>
          </w:tcPr>
          <w:p w14:paraId="52A62A6F" w14:textId="77777777" w:rsidR="00695705" w:rsidRPr="00B13B9A" w:rsidRDefault="00695705" w:rsidP="002932FC">
            <w:pPr>
              <w:spacing w:line="276" w:lineRule="auto"/>
              <w:jc w:val="center"/>
              <w:rPr>
                <w:rFonts w:asciiTheme="majorHAnsi" w:hAnsiTheme="majorHAnsi" w:cstheme="majorHAnsi"/>
                <w:b/>
                <w:sz w:val="20"/>
                <w:szCs w:val="20"/>
                <w:lang w:val="ro-MD"/>
              </w:rPr>
            </w:pPr>
          </w:p>
        </w:tc>
        <w:tc>
          <w:tcPr>
            <w:tcW w:w="1048" w:type="dxa"/>
            <w:shd w:val="clear" w:color="auto" w:fill="auto"/>
            <w:vAlign w:val="center"/>
          </w:tcPr>
          <w:p w14:paraId="4BB6C701" w14:textId="13F433E1" w:rsidR="00695705" w:rsidRPr="00B13B9A" w:rsidRDefault="00695705" w:rsidP="002932FC">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Aprob</w:t>
            </w:r>
            <w:r w:rsidR="00D80586" w:rsidRPr="00B13B9A">
              <w:rPr>
                <w:rFonts w:asciiTheme="majorHAnsi" w:hAnsiTheme="majorHAnsi" w:cstheme="majorHAnsi"/>
                <w:b/>
                <w:sz w:val="20"/>
                <w:szCs w:val="20"/>
                <w:lang w:val="ro-MD"/>
              </w:rPr>
              <w:t>.</w:t>
            </w:r>
            <w:r w:rsidRPr="00B13B9A">
              <w:rPr>
                <w:rFonts w:asciiTheme="majorHAnsi" w:hAnsiTheme="majorHAnsi" w:cstheme="majorHAnsi"/>
                <w:b/>
                <w:sz w:val="20"/>
                <w:szCs w:val="20"/>
                <w:lang w:val="ro-MD"/>
              </w:rPr>
              <w:t xml:space="preserve"> unită</w:t>
            </w:r>
            <w:r w:rsidR="00B13B9A" w:rsidRPr="00B13B9A">
              <w:rPr>
                <w:rFonts w:asciiTheme="majorHAnsi" w:hAnsiTheme="majorHAnsi" w:cstheme="majorHAnsi"/>
                <w:b/>
                <w:sz w:val="20"/>
                <w:szCs w:val="20"/>
                <w:lang w:val="ro-MD"/>
              </w:rPr>
              <w:t>ț</w:t>
            </w:r>
            <w:r w:rsidRPr="00B13B9A">
              <w:rPr>
                <w:rFonts w:asciiTheme="majorHAnsi" w:hAnsiTheme="majorHAnsi" w:cstheme="majorHAnsi"/>
                <w:b/>
                <w:sz w:val="20"/>
                <w:szCs w:val="20"/>
                <w:lang w:val="ro-MD"/>
              </w:rPr>
              <w:t>i</w:t>
            </w:r>
          </w:p>
        </w:tc>
        <w:tc>
          <w:tcPr>
            <w:tcW w:w="917" w:type="dxa"/>
            <w:shd w:val="clear" w:color="auto" w:fill="auto"/>
            <w:vAlign w:val="center"/>
          </w:tcPr>
          <w:p w14:paraId="3DFD53AB" w14:textId="77777777" w:rsidR="00695705" w:rsidRPr="00B13B9A" w:rsidRDefault="00695705" w:rsidP="002932FC">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Efectiv ocupat</w:t>
            </w:r>
          </w:p>
        </w:tc>
        <w:tc>
          <w:tcPr>
            <w:tcW w:w="917" w:type="dxa"/>
            <w:shd w:val="clear" w:color="auto" w:fill="auto"/>
            <w:vAlign w:val="center"/>
          </w:tcPr>
          <w:p w14:paraId="3A7FACF3" w14:textId="77777777" w:rsidR="00695705" w:rsidRPr="00B13B9A" w:rsidRDefault="00695705" w:rsidP="002932FC">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w:t>
            </w:r>
          </w:p>
        </w:tc>
        <w:tc>
          <w:tcPr>
            <w:tcW w:w="1179" w:type="dxa"/>
            <w:shd w:val="clear" w:color="auto" w:fill="auto"/>
            <w:vAlign w:val="center"/>
          </w:tcPr>
          <w:p w14:paraId="4F1ABA59" w14:textId="628CDEC0" w:rsidR="00695705" w:rsidRPr="00B13B9A" w:rsidRDefault="00695705" w:rsidP="002932FC">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Aprob</w:t>
            </w:r>
            <w:r w:rsidR="00D80586" w:rsidRPr="00B13B9A">
              <w:rPr>
                <w:rFonts w:asciiTheme="majorHAnsi" w:hAnsiTheme="majorHAnsi" w:cstheme="majorHAnsi"/>
                <w:b/>
                <w:sz w:val="20"/>
                <w:szCs w:val="20"/>
                <w:lang w:val="ro-MD"/>
              </w:rPr>
              <w:t>.</w:t>
            </w:r>
            <w:r w:rsidRPr="00B13B9A">
              <w:rPr>
                <w:rFonts w:asciiTheme="majorHAnsi" w:hAnsiTheme="majorHAnsi" w:cstheme="majorHAnsi"/>
                <w:b/>
                <w:sz w:val="20"/>
                <w:szCs w:val="20"/>
                <w:lang w:val="ro-MD"/>
              </w:rPr>
              <w:t xml:space="preserve"> unită</w:t>
            </w:r>
            <w:r w:rsidR="00B13B9A" w:rsidRPr="00B13B9A">
              <w:rPr>
                <w:rFonts w:asciiTheme="majorHAnsi" w:hAnsiTheme="majorHAnsi" w:cstheme="majorHAnsi"/>
                <w:b/>
                <w:sz w:val="20"/>
                <w:szCs w:val="20"/>
                <w:lang w:val="ro-MD"/>
              </w:rPr>
              <w:t>ț</w:t>
            </w:r>
            <w:r w:rsidRPr="00B13B9A">
              <w:rPr>
                <w:rFonts w:asciiTheme="majorHAnsi" w:hAnsiTheme="majorHAnsi" w:cstheme="majorHAnsi"/>
                <w:b/>
                <w:sz w:val="20"/>
                <w:szCs w:val="20"/>
                <w:lang w:val="ro-MD"/>
              </w:rPr>
              <w:t>i</w:t>
            </w:r>
          </w:p>
        </w:tc>
        <w:tc>
          <w:tcPr>
            <w:tcW w:w="1179" w:type="dxa"/>
            <w:shd w:val="clear" w:color="auto" w:fill="auto"/>
            <w:vAlign w:val="center"/>
          </w:tcPr>
          <w:p w14:paraId="4F6BBA87" w14:textId="77777777" w:rsidR="00695705" w:rsidRPr="00B13B9A" w:rsidRDefault="00695705" w:rsidP="002932FC">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Efectiv ocupat</w:t>
            </w:r>
          </w:p>
        </w:tc>
        <w:tc>
          <w:tcPr>
            <w:tcW w:w="917" w:type="dxa"/>
            <w:shd w:val="clear" w:color="auto" w:fill="auto"/>
            <w:vAlign w:val="center"/>
          </w:tcPr>
          <w:p w14:paraId="72DFB0D8" w14:textId="77777777" w:rsidR="00695705" w:rsidRPr="00B13B9A" w:rsidRDefault="00695705" w:rsidP="002932FC">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w:t>
            </w:r>
          </w:p>
        </w:tc>
        <w:tc>
          <w:tcPr>
            <w:tcW w:w="1179" w:type="dxa"/>
            <w:shd w:val="clear" w:color="auto" w:fill="auto"/>
            <w:vAlign w:val="center"/>
          </w:tcPr>
          <w:p w14:paraId="0A904C94" w14:textId="2D1118DA" w:rsidR="00695705" w:rsidRPr="00B13B9A" w:rsidRDefault="00695705" w:rsidP="002932FC">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Aprob unită</w:t>
            </w:r>
            <w:r w:rsidR="00B13B9A" w:rsidRPr="00B13B9A">
              <w:rPr>
                <w:rFonts w:asciiTheme="majorHAnsi" w:hAnsiTheme="majorHAnsi" w:cstheme="majorHAnsi"/>
                <w:b/>
                <w:sz w:val="20"/>
                <w:szCs w:val="20"/>
                <w:lang w:val="ro-MD"/>
              </w:rPr>
              <w:t>ț</w:t>
            </w:r>
            <w:r w:rsidRPr="00B13B9A">
              <w:rPr>
                <w:rFonts w:asciiTheme="majorHAnsi" w:hAnsiTheme="majorHAnsi" w:cstheme="majorHAnsi"/>
                <w:b/>
                <w:sz w:val="20"/>
                <w:szCs w:val="20"/>
                <w:lang w:val="ro-MD"/>
              </w:rPr>
              <w:t>i</w:t>
            </w:r>
          </w:p>
        </w:tc>
        <w:tc>
          <w:tcPr>
            <w:tcW w:w="1048" w:type="dxa"/>
            <w:shd w:val="clear" w:color="auto" w:fill="auto"/>
            <w:vAlign w:val="center"/>
          </w:tcPr>
          <w:p w14:paraId="5CD671DA" w14:textId="77777777" w:rsidR="00695705" w:rsidRPr="00B13B9A" w:rsidRDefault="00695705" w:rsidP="002932FC">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Efectiv ocupat</w:t>
            </w:r>
          </w:p>
        </w:tc>
        <w:tc>
          <w:tcPr>
            <w:tcW w:w="917" w:type="dxa"/>
            <w:shd w:val="clear" w:color="auto" w:fill="auto"/>
            <w:vAlign w:val="center"/>
          </w:tcPr>
          <w:p w14:paraId="29DA98DB" w14:textId="77777777" w:rsidR="00695705" w:rsidRPr="00B13B9A" w:rsidRDefault="00695705" w:rsidP="002932FC">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w:t>
            </w:r>
          </w:p>
        </w:tc>
        <w:tc>
          <w:tcPr>
            <w:tcW w:w="1179" w:type="dxa"/>
            <w:vAlign w:val="center"/>
          </w:tcPr>
          <w:p w14:paraId="4226C92C" w14:textId="77777777" w:rsidR="00695705" w:rsidRPr="00B13B9A" w:rsidRDefault="00695705" w:rsidP="002932FC">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Aprobat/efectiv 2021</w:t>
            </w:r>
          </w:p>
        </w:tc>
        <w:tc>
          <w:tcPr>
            <w:tcW w:w="1179" w:type="dxa"/>
            <w:shd w:val="clear" w:color="auto" w:fill="auto"/>
            <w:vAlign w:val="center"/>
          </w:tcPr>
          <w:p w14:paraId="65007EFD" w14:textId="77777777" w:rsidR="00695705" w:rsidRPr="00B13B9A" w:rsidRDefault="00695705" w:rsidP="002932FC">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Aprobat/efectiv 2022</w:t>
            </w:r>
          </w:p>
        </w:tc>
        <w:tc>
          <w:tcPr>
            <w:tcW w:w="1130" w:type="dxa"/>
            <w:shd w:val="clear" w:color="auto" w:fill="auto"/>
            <w:vAlign w:val="center"/>
          </w:tcPr>
          <w:p w14:paraId="5F14A03A" w14:textId="77777777" w:rsidR="00695705" w:rsidRPr="00B13B9A" w:rsidRDefault="00695705" w:rsidP="002932FC">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Aprobat 2022 /2021</w:t>
            </w:r>
          </w:p>
        </w:tc>
      </w:tr>
      <w:tr w:rsidR="00695705" w:rsidRPr="00B13B9A" w14:paraId="336E1D09" w14:textId="77777777" w:rsidTr="00695705">
        <w:trPr>
          <w:trHeight w:val="307"/>
        </w:trPr>
        <w:tc>
          <w:tcPr>
            <w:tcW w:w="1434" w:type="dxa"/>
            <w:shd w:val="clear" w:color="auto" w:fill="auto"/>
            <w:vAlign w:val="center"/>
          </w:tcPr>
          <w:p w14:paraId="676B8BD2" w14:textId="77777777" w:rsidR="00695705" w:rsidRPr="00B13B9A" w:rsidRDefault="00695705" w:rsidP="002932FC">
            <w:pPr>
              <w:rPr>
                <w:rFonts w:asciiTheme="majorHAnsi" w:hAnsiTheme="majorHAnsi" w:cstheme="majorHAnsi"/>
                <w:b/>
                <w:sz w:val="20"/>
                <w:szCs w:val="20"/>
                <w:lang w:val="ro-MD"/>
              </w:rPr>
            </w:pPr>
            <w:r w:rsidRPr="00B13B9A">
              <w:rPr>
                <w:rFonts w:asciiTheme="majorHAnsi" w:hAnsiTheme="majorHAnsi" w:cstheme="majorHAnsi"/>
                <w:b/>
                <w:sz w:val="20"/>
                <w:szCs w:val="20"/>
                <w:lang w:val="ro-MD"/>
              </w:rPr>
              <w:t>1. Medici</w:t>
            </w:r>
          </w:p>
        </w:tc>
        <w:tc>
          <w:tcPr>
            <w:tcW w:w="1048" w:type="dxa"/>
            <w:shd w:val="clear" w:color="auto" w:fill="auto"/>
            <w:vAlign w:val="center"/>
          </w:tcPr>
          <w:p w14:paraId="23DFE92F"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120,25</w:t>
            </w:r>
          </w:p>
        </w:tc>
        <w:tc>
          <w:tcPr>
            <w:tcW w:w="917" w:type="dxa"/>
            <w:shd w:val="clear" w:color="auto" w:fill="auto"/>
            <w:vAlign w:val="center"/>
          </w:tcPr>
          <w:p w14:paraId="60016725"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86,5</w:t>
            </w:r>
          </w:p>
        </w:tc>
        <w:tc>
          <w:tcPr>
            <w:tcW w:w="917" w:type="dxa"/>
            <w:shd w:val="clear" w:color="auto" w:fill="auto"/>
            <w:vAlign w:val="center"/>
          </w:tcPr>
          <w:p w14:paraId="30DEE3B0"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71,9</w:t>
            </w:r>
          </w:p>
        </w:tc>
        <w:tc>
          <w:tcPr>
            <w:tcW w:w="1179" w:type="dxa"/>
            <w:shd w:val="clear" w:color="auto" w:fill="auto"/>
            <w:vAlign w:val="center"/>
          </w:tcPr>
          <w:p w14:paraId="71D1AA54"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112</w:t>
            </w:r>
          </w:p>
        </w:tc>
        <w:tc>
          <w:tcPr>
            <w:tcW w:w="1179" w:type="dxa"/>
            <w:shd w:val="clear" w:color="auto" w:fill="auto"/>
            <w:vAlign w:val="center"/>
          </w:tcPr>
          <w:p w14:paraId="13805F17"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86,5</w:t>
            </w:r>
          </w:p>
        </w:tc>
        <w:tc>
          <w:tcPr>
            <w:tcW w:w="917" w:type="dxa"/>
            <w:shd w:val="clear" w:color="auto" w:fill="auto"/>
            <w:vAlign w:val="center"/>
          </w:tcPr>
          <w:p w14:paraId="3ECCB186"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77,2</w:t>
            </w:r>
          </w:p>
        </w:tc>
        <w:tc>
          <w:tcPr>
            <w:tcW w:w="1179" w:type="dxa"/>
            <w:shd w:val="clear" w:color="auto" w:fill="auto"/>
            <w:vAlign w:val="center"/>
          </w:tcPr>
          <w:p w14:paraId="4DC3360C"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112</w:t>
            </w:r>
          </w:p>
        </w:tc>
        <w:tc>
          <w:tcPr>
            <w:tcW w:w="1048" w:type="dxa"/>
            <w:shd w:val="clear" w:color="auto" w:fill="auto"/>
            <w:vAlign w:val="center"/>
          </w:tcPr>
          <w:p w14:paraId="54FD586E"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96,25</w:t>
            </w:r>
          </w:p>
        </w:tc>
        <w:tc>
          <w:tcPr>
            <w:tcW w:w="917" w:type="dxa"/>
            <w:shd w:val="clear" w:color="auto" w:fill="auto"/>
            <w:vAlign w:val="center"/>
          </w:tcPr>
          <w:p w14:paraId="16364749"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85,9</w:t>
            </w:r>
          </w:p>
        </w:tc>
        <w:tc>
          <w:tcPr>
            <w:tcW w:w="1179" w:type="dxa"/>
            <w:vAlign w:val="center"/>
          </w:tcPr>
          <w:p w14:paraId="3B596E65"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33,75</w:t>
            </w:r>
          </w:p>
        </w:tc>
        <w:tc>
          <w:tcPr>
            <w:tcW w:w="1179" w:type="dxa"/>
            <w:shd w:val="clear" w:color="auto" w:fill="auto"/>
            <w:vAlign w:val="center"/>
          </w:tcPr>
          <w:p w14:paraId="70ECFF57"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25,5</w:t>
            </w:r>
          </w:p>
        </w:tc>
        <w:tc>
          <w:tcPr>
            <w:tcW w:w="1130" w:type="dxa"/>
            <w:shd w:val="clear" w:color="auto" w:fill="auto"/>
            <w:vAlign w:val="center"/>
          </w:tcPr>
          <w:p w14:paraId="4F0CA6F6"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8,2</w:t>
            </w:r>
          </w:p>
        </w:tc>
      </w:tr>
      <w:tr w:rsidR="00695705" w:rsidRPr="00B13B9A" w14:paraId="1A393D9A" w14:textId="77777777" w:rsidTr="00695705">
        <w:trPr>
          <w:trHeight w:val="314"/>
        </w:trPr>
        <w:tc>
          <w:tcPr>
            <w:tcW w:w="1434" w:type="dxa"/>
            <w:shd w:val="clear" w:color="auto" w:fill="auto"/>
            <w:vAlign w:val="center"/>
          </w:tcPr>
          <w:p w14:paraId="225CAACD" w14:textId="22D2F277" w:rsidR="00695705" w:rsidRPr="00B13B9A" w:rsidRDefault="00695705" w:rsidP="002932FC">
            <w:pPr>
              <w:rPr>
                <w:rFonts w:asciiTheme="majorHAnsi" w:hAnsiTheme="majorHAnsi" w:cstheme="majorHAnsi"/>
                <w:b/>
                <w:sz w:val="20"/>
                <w:szCs w:val="20"/>
                <w:lang w:val="ro-MD"/>
              </w:rPr>
            </w:pPr>
            <w:r w:rsidRPr="00B13B9A">
              <w:rPr>
                <w:rFonts w:asciiTheme="majorHAnsi" w:hAnsiTheme="majorHAnsi" w:cstheme="majorHAnsi"/>
                <w:b/>
                <w:sz w:val="20"/>
                <w:szCs w:val="20"/>
                <w:lang w:val="ro-MD"/>
              </w:rPr>
              <w:t>2. Medici reziden</w:t>
            </w:r>
            <w:r w:rsidR="00B13B9A" w:rsidRPr="00B13B9A">
              <w:rPr>
                <w:rFonts w:asciiTheme="majorHAnsi" w:hAnsiTheme="majorHAnsi" w:cstheme="majorHAnsi"/>
                <w:b/>
                <w:sz w:val="20"/>
                <w:szCs w:val="20"/>
                <w:lang w:val="ro-MD"/>
              </w:rPr>
              <w:t>ț</w:t>
            </w:r>
            <w:r w:rsidRPr="00B13B9A">
              <w:rPr>
                <w:rFonts w:asciiTheme="majorHAnsi" w:hAnsiTheme="majorHAnsi" w:cstheme="majorHAnsi"/>
                <w:b/>
                <w:sz w:val="20"/>
                <w:szCs w:val="20"/>
                <w:lang w:val="ro-MD"/>
              </w:rPr>
              <w:t>i</w:t>
            </w:r>
          </w:p>
        </w:tc>
        <w:tc>
          <w:tcPr>
            <w:tcW w:w="1048" w:type="dxa"/>
            <w:shd w:val="clear" w:color="auto" w:fill="auto"/>
            <w:vAlign w:val="center"/>
          </w:tcPr>
          <w:p w14:paraId="58114DB8"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13</w:t>
            </w:r>
          </w:p>
        </w:tc>
        <w:tc>
          <w:tcPr>
            <w:tcW w:w="917" w:type="dxa"/>
            <w:shd w:val="clear" w:color="auto" w:fill="auto"/>
            <w:vAlign w:val="center"/>
          </w:tcPr>
          <w:p w14:paraId="2ADF5E1E"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10</w:t>
            </w:r>
          </w:p>
        </w:tc>
        <w:tc>
          <w:tcPr>
            <w:tcW w:w="917" w:type="dxa"/>
            <w:shd w:val="clear" w:color="auto" w:fill="auto"/>
            <w:vAlign w:val="center"/>
          </w:tcPr>
          <w:p w14:paraId="562A694F"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76,9</w:t>
            </w:r>
          </w:p>
        </w:tc>
        <w:tc>
          <w:tcPr>
            <w:tcW w:w="1179" w:type="dxa"/>
            <w:shd w:val="clear" w:color="auto" w:fill="auto"/>
            <w:vAlign w:val="center"/>
          </w:tcPr>
          <w:p w14:paraId="3416CF52"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13</w:t>
            </w:r>
          </w:p>
        </w:tc>
        <w:tc>
          <w:tcPr>
            <w:tcW w:w="1179" w:type="dxa"/>
            <w:shd w:val="clear" w:color="auto" w:fill="auto"/>
            <w:vAlign w:val="center"/>
          </w:tcPr>
          <w:p w14:paraId="6A1C4B89"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10</w:t>
            </w:r>
          </w:p>
        </w:tc>
        <w:tc>
          <w:tcPr>
            <w:tcW w:w="917" w:type="dxa"/>
            <w:shd w:val="clear" w:color="auto" w:fill="auto"/>
            <w:vAlign w:val="center"/>
          </w:tcPr>
          <w:p w14:paraId="5A8AC34D"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76,9</w:t>
            </w:r>
          </w:p>
        </w:tc>
        <w:tc>
          <w:tcPr>
            <w:tcW w:w="1179" w:type="dxa"/>
            <w:shd w:val="clear" w:color="auto" w:fill="auto"/>
            <w:vAlign w:val="center"/>
          </w:tcPr>
          <w:p w14:paraId="18733678"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13</w:t>
            </w:r>
          </w:p>
        </w:tc>
        <w:tc>
          <w:tcPr>
            <w:tcW w:w="1048" w:type="dxa"/>
            <w:shd w:val="clear" w:color="auto" w:fill="auto"/>
            <w:vAlign w:val="center"/>
          </w:tcPr>
          <w:p w14:paraId="16FD56BD"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8</w:t>
            </w:r>
          </w:p>
        </w:tc>
        <w:tc>
          <w:tcPr>
            <w:tcW w:w="917" w:type="dxa"/>
            <w:shd w:val="clear" w:color="auto" w:fill="auto"/>
            <w:vAlign w:val="center"/>
          </w:tcPr>
          <w:p w14:paraId="0FF54C88"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61,5</w:t>
            </w:r>
          </w:p>
        </w:tc>
        <w:tc>
          <w:tcPr>
            <w:tcW w:w="1179" w:type="dxa"/>
            <w:vAlign w:val="center"/>
          </w:tcPr>
          <w:p w14:paraId="5085B5E7"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3</w:t>
            </w:r>
          </w:p>
        </w:tc>
        <w:tc>
          <w:tcPr>
            <w:tcW w:w="1179" w:type="dxa"/>
            <w:shd w:val="clear" w:color="auto" w:fill="auto"/>
            <w:vAlign w:val="center"/>
          </w:tcPr>
          <w:p w14:paraId="34A0371C"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3</w:t>
            </w:r>
          </w:p>
        </w:tc>
        <w:tc>
          <w:tcPr>
            <w:tcW w:w="1130" w:type="dxa"/>
            <w:shd w:val="clear" w:color="auto" w:fill="auto"/>
            <w:vAlign w:val="center"/>
          </w:tcPr>
          <w:p w14:paraId="016EFEFF"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0</w:t>
            </w:r>
          </w:p>
        </w:tc>
      </w:tr>
      <w:tr w:rsidR="00695705" w:rsidRPr="00B13B9A" w14:paraId="24AF4B92" w14:textId="77777777" w:rsidTr="00695705">
        <w:trPr>
          <w:trHeight w:val="468"/>
        </w:trPr>
        <w:tc>
          <w:tcPr>
            <w:tcW w:w="1434" w:type="dxa"/>
            <w:shd w:val="clear" w:color="auto" w:fill="auto"/>
            <w:vAlign w:val="center"/>
          </w:tcPr>
          <w:p w14:paraId="20FD02EF" w14:textId="77777777" w:rsidR="00695705" w:rsidRPr="00B13B9A" w:rsidRDefault="00695705" w:rsidP="002932FC">
            <w:pPr>
              <w:rPr>
                <w:rFonts w:asciiTheme="majorHAnsi" w:hAnsiTheme="majorHAnsi" w:cstheme="majorHAnsi"/>
                <w:b/>
                <w:sz w:val="20"/>
                <w:szCs w:val="20"/>
                <w:lang w:val="ro-MD"/>
              </w:rPr>
            </w:pPr>
            <w:r w:rsidRPr="00B13B9A">
              <w:rPr>
                <w:rFonts w:asciiTheme="majorHAnsi" w:hAnsiTheme="majorHAnsi" w:cstheme="majorHAnsi"/>
                <w:b/>
                <w:sz w:val="20"/>
                <w:szCs w:val="20"/>
                <w:lang w:val="ro-MD"/>
              </w:rPr>
              <w:t>3. Personal mediu</w:t>
            </w:r>
          </w:p>
        </w:tc>
        <w:tc>
          <w:tcPr>
            <w:tcW w:w="1048" w:type="dxa"/>
            <w:shd w:val="clear" w:color="auto" w:fill="auto"/>
            <w:vAlign w:val="center"/>
          </w:tcPr>
          <w:p w14:paraId="25663C77"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230,5</w:t>
            </w:r>
          </w:p>
        </w:tc>
        <w:tc>
          <w:tcPr>
            <w:tcW w:w="917" w:type="dxa"/>
            <w:shd w:val="clear" w:color="auto" w:fill="auto"/>
            <w:vAlign w:val="center"/>
          </w:tcPr>
          <w:p w14:paraId="5E2A74D0"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132,75</w:t>
            </w:r>
          </w:p>
        </w:tc>
        <w:tc>
          <w:tcPr>
            <w:tcW w:w="917" w:type="dxa"/>
            <w:shd w:val="clear" w:color="auto" w:fill="auto"/>
            <w:vAlign w:val="center"/>
          </w:tcPr>
          <w:p w14:paraId="1DD02E03"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56,6</w:t>
            </w:r>
          </w:p>
        </w:tc>
        <w:tc>
          <w:tcPr>
            <w:tcW w:w="1179" w:type="dxa"/>
            <w:shd w:val="clear" w:color="auto" w:fill="auto"/>
            <w:vAlign w:val="center"/>
          </w:tcPr>
          <w:p w14:paraId="5681EE2C"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212,25</w:t>
            </w:r>
          </w:p>
        </w:tc>
        <w:tc>
          <w:tcPr>
            <w:tcW w:w="1179" w:type="dxa"/>
            <w:shd w:val="clear" w:color="auto" w:fill="auto"/>
            <w:vAlign w:val="center"/>
          </w:tcPr>
          <w:p w14:paraId="519AF9F5"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132,75</w:t>
            </w:r>
          </w:p>
        </w:tc>
        <w:tc>
          <w:tcPr>
            <w:tcW w:w="917" w:type="dxa"/>
            <w:shd w:val="clear" w:color="auto" w:fill="auto"/>
            <w:vAlign w:val="center"/>
          </w:tcPr>
          <w:p w14:paraId="4173FC07"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62,5</w:t>
            </w:r>
          </w:p>
        </w:tc>
        <w:tc>
          <w:tcPr>
            <w:tcW w:w="1179" w:type="dxa"/>
            <w:shd w:val="clear" w:color="auto" w:fill="auto"/>
            <w:vAlign w:val="center"/>
          </w:tcPr>
          <w:p w14:paraId="19987216"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212,25</w:t>
            </w:r>
          </w:p>
        </w:tc>
        <w:tc>
          <w:tcPr>
            <w:tcW w:w="1048" w:type="dxa"/>
            <w:shd w:val="clear" w:color="auto" w:fill="auto"/>
            <w:vAlign w:val="center"/>
          </w:tcPr>
          <w:p w14:paraId="085D6BCB"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138</w:t>
            </w:r>
          </w:p>
        </w:tc>
        <w:tc>
          <w:tcPr>
            <w:tcW w:w="917" w:type="dxa"/>
            <w:shd w:val="clear" w:color="auto" w:fill="auto"/>
            <w:vAlign w:val="center"/>
          </w:tcPr>
          <w:p w14:paraId="02FD0E43"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63</w:t>
            </w:r>
          </w:p>
        </w:tc>
        <w:tc>
          <w:tcPr>
            <w:tcW w:w="1179" w:type="dxa"/>
            <w:vAlign w:val="center"/>
          </w:tcPr>
          <w:p w14:paraId="4118C6B4"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97,75</w:t>
            </w:r>
          </w:p>
        </w:tc>
        <w:tc>
          <w:tcPr>
            <w:tcW w:w="1179" w:type="dxa"/>
            <w:shd w:val="clear" w:color="auto" w:fill="auto"/>
            <w:vAlign w:val="center"/>
          </w:tcPr>
          <w:p w14:paraId="6E8BC13B"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79,5</w:t>
            </w:r>
          </w:p>
        </w:tc>
        <w:tc>
          <w:tcPr>
            <w:tcW w:w="1130" w:type="dxa"/>
            <w:shd w:val="clear" w:color="auto" w:fill="auto"/>
            <w:vAlign w:val="center"/>
          </w:tcPr>
          <w:p w14:paraId="0280DD1D"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18,25</w:t>
            </w:r>
          </w:p>
        </w:tc>
      </w:tr>
      <w:tr w:rsidR="00695705" w:rsidRPr="00B13B9A" w14:paraId="57EE5D45" w14:textId="77777777" w:rsidTr="00695705">
        <w:trPr>
          <w:trHeight w:val="339"/>
        </w:trPr>
        <w:tc>
          <w:tcPr>
            <w:tcW w:w="1434" w:type="dxa"/>
            <w:shd w:val="clear" w:color="auto" w:fill="auto"/>
            <w:vAlign w:val="center"/>
          </w:tcPr>
          <w:p w14:paraId="73F2F60E" w14:textId="77777777" w:rsidR="00695705" w:rsidRPr="00B13B9A" w:rsidRDefault="00695705" w:rsidP="002932FC">
            <w:pPr>
              <w:rPr>
                <w:rFonts w:asciiTheme="majorHAnsi" w:hAnsiTheme="majorHAnsi" w:cstheme="majorHAnsi"/>
                <w:b/>
                <w:sz w:val="20"/>
                <w:szCs w:val="20"/>
                <w:lang w:val="ro-MD"/>
              </w:rPr>
            </w:pPr>
            <w:r w:rsidRPr="00B13B9A">
              <w:rPr>
                <w:rFonts w:asciiTheme="majorHAnsi" w:hAnsiTheme="majorHAnsi" w:cstheme="majorHAnsi"/>
                <w:b/>
                <w:sz w:val="20"/>
                <w:szCs w:val="20"/>
                <w:lang w:val="ro-MD"/>
              </w:rPr>
              <w:t>4. Personal inferior</w:t>
            </w:r>
          </w:p>
        </w:tc>
        <w:tc>
          <w:tcPr>
            <w:tcW w:w="1048" w:type="dxa"/>
            <w:shd w:val="clear" w:color="auto" w:fill="auto"/>
            <w:vAlign w:val="center"/>
          </w:tcPr>
          <w:p w14:paraId="4AD67C02"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169,25</w:t>
            </w:r>
          </w:p>
        </w:tc>
        <w:tc>
          <w:tcPr>
            <w:tcW w:w="917" w:type="dxa"/>
            <w:shd w:val="clear" w:color="auto" w:fill="auto"/>
            <w:vAlign w:val="center"/>
          </w:tcPr>
          <w:p w14:paraId="21603B8F"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120,5</w:t>
            </w:r>
          </w:p>
        </w:tc>
        <w:tc>
          <w:tcPr>
            <w:tcW w:w="917" w:type="dxa"/>
            <w:shd w:val="clear" w:color="auto" w:fill="auto"/>
            <w:vAlign w:val="center"/>
          </w:tcPr>
          <w:p w14:paraId="03D9A6D5"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71,1</w:t>
            </w:r>
          </w:p>
        </w:tc>
        <w:tc>
          <w:tcPr>
            <w:tcW w:w="1179" w:type="dxa"/>
            <w:shd w:val="clear" w:color="auto" w:fill="auto"/>
            <w:vAlign w:val="center"/>
          </w:tcPr>
          <w:p w14:paraId="4FE1F09A"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148,25</w:t>
            </w:r>
          </w:p>
        </w:tc>
        <w:tc>
          <w:tcPr>
            <w:tcW w:w="1179" w:type="dxa"/>
            <w:shd w:val="clear" w:color="auto" w:fill="auto"/>
            <w:vAlign w:val="center"/>
          </w:tcPr>
          <w:p w14:paraId="29D818C4"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120,5</w:t>
            </w:r>
          </w:p>
        </w:tc>
        <w:tc>
          <w:tcPr>
            <w:tcW w:w="917" w:type="dxa"/>
            <w:shd w:val="clear" w:color="auto" w:fill="auto"/>
            <w:vAlign w:val="center"/>
          </w:tcPr>
          <w:p w14:paraId="623AE25B"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81,2</w:t>
            </w:r>
          </w:p>
        </w:tc>
        <w:tc>
          <w:tcPr>
            <w:tcW w:w="1179" w:type="dxa"/>
            <w:shd w:val="clear" w:color="auto" w:fill="auto"/>
            <w:vAlign w:val="center"/>
          </w:tcPr>
          <w:p w14:paraId="080A9E05"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148,25</w:t>
            </w:r>
          </w:p>
        </w:tc>
        <w:tc>
          <w:tcPr>
            <w:tcW w:w="1048" w:type="dxa"/>
            <w:shd w:val="clear" w:color="auto" w:fill="auto"/>
            <w:vAlign w:val="center"/>
          </w:tcPr>
          <w:p w14:paraId="1A5CDAF1"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115,5</w:t>
            </w:r>
          </w:p>
        </w:tc>
        <w:tc>
          <w:tcPr>
            <w:tcW w:w="917" w:type="dxa"/>
            <w:shd w:val="clear" w:color="auto" w:fill="auto"/>
            <w:vAlign w:val="center"/>
          </w:tcPr>
          <w:p w14:paraId="77482112"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80</w:t>
            </w:r>
          </w:p>
        </w:tc>
        <w:tc>
          <w:tcPr>
            <w:tcW w:w="1179" w:type="dxa"/>
            <w:vAlign w:val="center"/>
          </w:tcPr>
          <w:p w14:paraId="2529A15B"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48,75</w:t>
            </w:r>
          </w:p>
        </w:tc>
        <w:tc>
          <w:tcPr>
            <w:tcW w:w="1179" w:type="dxa"/>
            <w:shd w:val="clear" w:color="auto" w:fill="auto"/>
            <w:vAlign w:val="center"/>
          </w:tcPr>
          <w:p w14:paraId="491FF69A"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27,75</w:t>
            </w:r>
          </w:p>
        </w:tc>
        <w:tc>
          <w:tcPr>
            <w:tcW w:w="1130" w:type="dxa"/>
            <w:shd w:val="clear" w:color="auto" w:fill="auto"/>
            <w:vAlign w:val="center"/>
          </w:tcPr>
          <w:p w14:paraId="6A4443EA"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21</w:t>
            </w:r>
          </w:p>
        </w:tc>
      </w:tr>
      <w:tr w:rsidR="00695705" w:rsidRPr="00B13B9A" w14:paraId="7CB6E8A1" w14:textId="77777777" w:rsidTr="00695705">
        <w:trPr>
          <w:trHeight w:val="314"/>
        </w:trPr>
        <w:tc>
          <w:tcPr>
            <w:tcW w:w="1434" w:type="dxa"/>
            <w:shd w:val="clear" w:color="auto" w:fill="auto"/>
            <w:vAlign w:val="center"/>
          </w:tcPr>
          <w:p w14:paraId="6E7D042B" w14:textId="6924F348" w:rsidR="00695705" w:rsidRPr="00B13B9A" w:rsidRDefault="00695705" w:rsidP="002932FC">
            <w:pPr>
              <w:rPr>
                <w:rFonts w:asciiTheme="majorHAnsi" w:hAnsiTheme="majorHAnsi" w:cstheme="majorHAnsi"/>
                <w:b/>
                <w:sz w:val="20"/>
                <w:szCs w:val="20"/>
                <w:lang w:val="ro-MD"/>
              </w:rPr>
            </w:pPr>
            <w:r w:rsidRPr="00B13B9A">
              <w:rPr>
                <w:rFonts w:asciiTheme="majorHAnsi" w:hAnsiTheme="majorHAnsi" w:cstheme="majorHAnsi"/>
                <w:b/>
                <w:sz w:val="20"/>
                <w:szCs w:val="20"/>
                <w:lang w:val="ro-MD"/>
              </w:rPr>
              <w:t>5.</w:t>
            </w:r>
            <w:r w:rsidR="00D80586" w:rsidRPr="00B13B9A">
              <w:rPr>
                <w:rFonts w:asciiTheme="majorHAnsi" w:hAnsiTheme="majorHAnsi" w:cstheme="majorHAnsi"/>
                <w:b/>
                <w:sz w:val="20"/>
                <w:szCs w:val="20"/>
                <w:lang w:val="ro-MD"/>
              </w:rPr>
              <w:t xml:space="preserve"> </w:t>
            </w:r>
            <w:r w:rsidRPr="00B13B9A">
              <w:rPr>
                <w:rFonts w:asciiTheme="majorHAnsi" w:hAnsiTheme="majorHAnsi" w:cstheme="majorHAnsi"/>
                <w:b/>
                <w:sz w:val="20"/>
                <w:szCs w:val="20"/>
                <w:lang w:val="ro-MD"/>
              </w:rPr>
              <w:t>Alt personal</w:t>
            </w:r>
          </w:p>
        </w:tc>
        <w:tc>
          <w:tcPr>
            <w:tcW w:w="1048" w:type="dxa"/>
            <w:shd w:val="clear" w:color="auto" w:fill="auto"/>
            <w:vAlign w:val="center"/>
          </w:tcPr>
          <w:p w14:paraId="4D15D93C"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162</w:t>
            </w:r>
          </w:p>
        </w:tc>
        <w:tc>
          <w:tcPr>
            <w:tcW w:w="917" w:type="dxa"/>
            <w:shd w:val="clear" w:color="auto" w:fill="auto"/>
            <w:vAlign w:val="center"/>
          </w:tcPr>
          <w:p w14:paraId="5A3BB720"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114,5</w:t>
            </w:r>
          </w:p>
        </w:tc>
        <w:tc>
          <w:tcPr>
            <w:tcW w:w="917" w:type="dxa"/>
            <w:shd w:val="clear" w:color="auto" w:fill="auto"/>
            <w:vAlign w:val="center"/>
          </w:tcPr>
          <w:p w14:paraId="3FED28C8"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70,1</w:t>
            </w:r>
          </w:p>
        </w:tc>
        <w:tc>
          <w:tcPr>
            <w:tcW w:w="1179" w:type="dxa"/>
            <w:shd w:val="clear" w:color="auto" w:fill="auto"/>
            <w:vAlign w:val="center"/>
          </w:tcPr>
          <w:p w14:paraId="0842588D"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149,5</w:t>
            </w:r>
          </w:p>
        </w:tc>
        <w:tc>
          <w:tcPr>
            <w:tcW w:w="1179" w:type="dxa"/>
            <w:shd w:val="clear" w:color="auto" w:fill="auto"/>
            <w:vAlign w:val="center"/>
          </w:tcPr>
          <w:p w14:paraId="744BCF2B"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114,5</w:t>
            </w:r>
          </w:p>
        </w:tc>
        <w:tc>
          <w:tcPr>
            <w:tcW w:w="917" w:type="dxa"/>
            <w:shd w:val="clear" w:color="auto" w:fill="auto"/>
            <w:vAlign w:val="center"/>
          </w:tcPr>
          <w:p w14:paraId="1B579C6F"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76,5</w:t>
            </w:r>
          </w:p>
        </w:tc>
        <w:tc>
          <w:tcPr>
            <w:tcW w:w="1179" w:type="dxa"/>
            <w:shd w:val="clear" w:color="auto" w:fill="auto"/>
            <w:vAlign w:val="center"/>
          </w:tcPr>
          <w:p w14:paraId="0B1912E3"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149,5</w:t>
            </w:r>
          </w:p>
        </w:tc>
        <w:tc>
          <w:tcPr>
            <w:tcW w:w="1048" w:type="dxa"/>
            <w:shd w:val="clear" w:color="auto" w:fill="auto"/>
            <w:vAlign w:val="center"/>
          </w:tcPr>
          <w:p w14:paraId="5BF649A8"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102</w:t>
            </w:r>
          </w:p>
        </w:tc>
        <w:tc>
          <w:tcPr>
            <w:tcW w:w="917" w:type="dxa"/>
            <w:shd w:val="clear" w:color="auto" w:fill="auto"/>
            <w:vAlign w:val="center"/>
          </w:tcPr>
          <w:p w14:paraId="12749EE8"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68,2</w:t>
            </w:r>
          </w:p>
        </w:tc>
        <w:tc>
          <w:tcPr>
            <w:tcW w:w="1179" w:type="dxa"/>
            <w:vAlign w:val="center"/>
          </w:tcPr>
          <w:p w14:paraId="1F00DAD6"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47,5</w:t>
            </w:r>
          </w:p>
        </w:tc>
        <w:tc>
          <w:tcPr>
            <w:tcW w:w="1179" w:type="dxa"/>
            <w:shd w:val="clear" w:color="auto" w:fill="auto"/>
            <w:vAlign w:val="center"/>
          </w:tcPr>
          <w:p w14:paraId="7ED81230"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35</w:t>
            </w:r>
          </w:p>
        </w:tc>
        <w:tc>
          <w:tcPr>
            <w:tcW w:w="1130" w:type="dxa"/>
            <w:shd w:val="clear" w:color="auto" w:fill="auto"/>
            <w:vAlign w:val="center"/>
          </w:tcPr>
          <w:p w14:paraId="423EC275"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12,5</w:t>
            </w:r>
          </w:p>
        </w:tc>
      </w:tr>
      <w:tr w:rsidR="00695705" w:rsidRPr="00B13B9A" w14:paraId="770FED17" w14:textId="77777777" w:rsidTr="00695705">
        <w:trPr>
          <w:trHeight w:val="307"/>
        </w:trPr>
        <w:tc>
          <w:tcPr>
            <w:tcW w:w="1434" w:type="dxa"/>
            <w:shd w:val="clear" w:color="auto" w:fill="auto"/>
            <w:vAlign w:val="center"/>
          </w:tcPr>
          <w:p w14:paraId="1007586F" w14:textId="77777777" w:rsidR="00695705" w:rsidRPr="00B13B9A" w:rsidRDefault="00695705" w:rsidP="002932FC">
            <w:pPr>
              <w:pStyle w:val="a7"/>
              <w:ind w:left="396"/>
              <w:rPr>
                <w:rFonts w:asciiTheme="majorHAnsi" w:hAnsiTheme="majorHAnsi" w:cstheme="majorHAnsi"/>
                <w:b/>
                <w:sz w:val="20"/>
                <w:szCs w:val="20"/>
                <w:lang w:val="ro-MD"/>
              </w:rPr>
            </w:pPr>
            <w:r w:rsidRPr="00B13B9A">
              <w:rPr>
                <w:rFonts w:asciiTheme="majorHAnsi" w:hAnsiTheme="majorHAnsi" w:cstheme="majorHAnsi"/>
                <w:b/>
                <w:sz w:val="20"/>
                <w:szCs w:val="20"/>
                <w:lang w:val="ro-MD"/>
              </w:rPr>
              <w:t>TOTAL</w:t>
            </w:r>
          </w:p>
        </w:tc>
        <w:tc>
          <w:tcPr>
            <w:tcW w:w="1048" w:type="dxa"/>
            <w:shd w:val="clear" w:color="auto" w:fill="auto"/>
            <w:vAlign w:val="center"/>
          </w:tcPr>
          <w:p w14:paraId="04D85C31"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695</w:t>
            </w:r>
          </w:p>
        </w:tc>
        <w:tc>
          <w:tcPr>
            <w:tcW w:w="917" w:type="dxa"/>
            <w:shd w:val="clear" w:color="auto" w:fill="auto"/>
            <w:vAlign w:val="center"/>
          </w:tcPr>
          <w:p w14:paraId="7B556A50"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464,25</w:t>
            </w:r>
          </w:p>
        </w:tc>
        <w:tc>
          <w:tcPr>
            <w:tcW w:w="917" w:type="dxa"/>
            <w:shd w:val="clear" w:color="auto" w:fill="auto"/>
            <w:vAlign w:val="center"/>
          </w:tcPr>
          <w:p w14:paraId="16DC66D7"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66,8</w:t>
            </w:r>
          </w:p>
        </w:tc>
        <w:tc>
          <w:tcPr>
            <w:tcW w:w="1179" w:type="dxa"/>
            <w:shd w:val="clear" w:color="auto" w:fill="auto"/>
            <w:vAlign w:val="center"/>
          </w:tcPr>
          <w:p w14:paraId="20620F9D"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635</w:t>
            </w:r>
          </w:p>
        </w:tc>
        <w:tc>
          <w:tcPr>
            <w:tcW w:w="1179" w:type="dxa"/>
            <w:shd w:val="clear" w:color="auto" w:fill="auto"/>
            <w:vAlign w:val="center"/>
          </w:tcPr>
          <w:p w14:paraId="6CFDB4C7"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464,25</w:t>
            </w:r>
          </w:p>
        </w:tc>
        <w:tc>
          <w:tcPr>
            <w:tcW w:w="917" w:type="dxa"/>
            <w:shd w:val="clear" w:color="auto" w:fill="auto"/>
            <w:vAlign w:val="center"/>
          </w:tcPr>
          <w:p w14:paraId="5C0D1FB7"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73,1</w:t>
            </w:r>
          </w:p>
        </w:tc>
        <w:tc>
          <w:tcPr>
            <w:tcW w:w="1179" w:type="dxa"/>
            <w:shd w:val="clear" w:color="auto" w:fill="auto"/>
            <w:vAlign w:val="center"/>
          </w:tcPr>
          <w:p w14:paraId="7E869F32"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635</w:t>
            </w:r>
          </w:p>
        </w:tc>
        <w:tc>
          <w:tcPr>
            <w:tcW w:w="1048" w:type="dxa"/>
            <w:shd w:val="clear" w:color="auto" w:fill="auto"/>
            <w:vAlign w:val="center"/>
          </w:tcPr>
          <w:p w14:paraId="0D963AB3"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459,75</w:t>
            </w:r>
          </w:p>
        </w:tc>
        <w:tc>
          <w:tcPr>
            <w:tcW w:w="917" w:type="dxa"/>
            <w:shd w:val="clear" w:color="auto" w:fill="auto"/>
            <w:vAlign w:val="center"/>
          </w:tcPr>
          <w:p w14:paraId="5756B07B"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72,4</w:t>
            </w:r>
          </w:p>
        </w:tc>
        <w:tc>
          <w:tcPr>
            <w:tcW w:w="1179" w:type="dxa"/>
            <w:vAlign w:val="center"/>
          </w:tcPr>
          <w:p w14:paraId="33BD3527"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230,75</w:t>
            </w:r>
          </w:p>
        </w:tc>
        <w:tc>
          <w:tcPr>
            <w:tcW w:w="1179" w:type="dxa"/>
            <w:shd w:val="clear" w:color="auto" w:fill="auto"/>
            <w:vAlign w:val="center"/>
          </w:tcPr>
          <w:p w14:paraId="7CACE42B"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170,75</w:t>
            </w:r>
          </w:p>
        </w:tc>
        <w:tc>
          <w:tcPr>
            <w:tcW w:w="1130" w:type="dxa"/>
            <w:shd w:val="clear" w:color="auto" w:fill="auto"/>
            <w:vAlign w:val="center"/>
          </w:tcPr>
          <w:p w14:paraId="0FBA3F02"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60</w:t>
            </w:r>
          </w:p>
        </w:tc>
      </w:tr>
    </w:tbl>
    <w:p w14:paraId="3907827E" w14:textId="21AD84ED" w:rsidR="00695705" w:rsidRPr="00B13B9A" w:rsidRDefault="00695705" w:rsidP="0062601E">
      <w:pPr>
        <w:pStyle w:val="af0"/>
        <w:tabs>
          <w:tab w:val="left" w:pos="9072"/>
        </w:tabs>
        <w:spacing w:line="276" w:lineRule="auto"/>
        <w:rPr>
          <w:rFonts w:asciiTheme="majorHAnsi" w:hAnsiTheme="majorHAnsi" w:cstheme="majorHAnsi"/>
          <w:i/>
          <w:sz w:val="20"/>
          <w:szCs w:val="20"/>
          <w:lang w:val="ro-MD"/>
        </w:rPr>
      </w:pPr>
      <w:r w:rsidRPr="00B13B9A">
        <w:rPr>
          <w:rFonts w:asciiTheme="majorHAnsi" w:hAnsiTheme="majorHAnsi" w:cstheme="majorHAnsi"/>
          <w:b/>
          <w:i/>
          <w:sz w:val="20"/>
          <w:szCs w:val="20"/>
          <w:lang w:val="ro-MD"/>
        </w:rPr>
        <w:t>Sursa:</w:t>
      </w:r>
      <w:r w:rsidRPr="00B13B9A">
        <w:rPr>
          <w:rFonts w:asciiTheme="majorHAnsi" w:hAnsiTheme="majorHAnsi" w:cstheme="majorHAnsi"/>
          <w:i/>
          <w:sz w:val="20"/>
          <w:szCs w:val="20"/>
          <w:lang w:val="ro-MD"/>
        </w:rPr>
        <w:t xml:space="preserve"> Informa</w:t>
      </w:r>
      <w:r w:rsidR="00B13B9A" w:rsidRPr="00B13B9A">
        <w:rPr>
          <w:rFonts w:asciiTheme="majorHAnsi" w:hAnsiTheme="majorHAnsi" w:cstheme="majorHAnsi"/>
          <w:i/>
          <w:sz w:val="20"/>
          <w:szCs w:val="20"/>
          <w:lang w:val="ro-MD"/>
        </w:rPr>
        <w:t>ț</w:t>
      </w:r>
      <w:r w:rsidRPr="00B13B9A">
        <w:rPr>
          <w:rFonts w:asciiTheme="majorHAnsi" w:hAnsiTheme="majorHAnsi" w:cstheme="majorHAnsi"/>
          <w:i/>
          <w:sz w:val="20"/>
          <w:szCs w:val="20"/>
          <w:lang w:val="ro-MD"/>
        </w:rPr>
        <w:t>ie analizată de auditor în baza datel</w:t>
      </w:r>
      <w:r w:rsidR="0062601E" w:rsidRPr="00B13B9A">
        <w:rPr>
          <w:rFonts w:asciiTheme="majorHAnsi" w:hAnsiTheme="majorHAnsi" w:cstheme="majorHAnsi"/>
          <w:i/>
          <w:sz w:val="20"/>
          <w:szCs w:val="20"/>
          <w:lang w:val="ro-MD"/>
        </w:rPr>
        <w:t>or prezentate de către entitate</w:t>
      </w:r>
      <w:r w:rsidR="00D80586" w:rsidRPr="00B13B9A">
        <w:rPr>
          <w:rFonts w:asciiTheme="majorHAnsi" w:hAnsiTheme="majorHAnsi" w:cstheme="majorHAnsi"/>
          <w:i/>
          <w:sz w:val="20"/>
          <w:szCs w:val="20"/>
          <w:lang w:val="ro-MD"/>
        </w:rPr>
        <w:t>.</w:t>
      </w:r>
    </w:p>
    <w:p w14:paraId="7025EE6B" w14:textId="77777777" w:rsidR="00FD65B6" w:rsidRPr="00B13B9A" w:rsidRDefault="00FD65B6" w:rsidP="0062601E">
      <w:pPr>
        <w:pStyle w:val="af0"/>
        <w:tabs>
          <w:tab w:val="left" w:pos="9072"/>
        </w:tabs>
        <w:spacing w:line="276" w:lineRule="auto"/>
        <w:rPr>
          <w:rFonts w:asciiTheme="majorHAnsi" w:hAnsiTheme="majorHAnsi" w:cstheme="majorHAnsi"/>
          <w:i/>
          <w:sz w:val="20"/>
          <w:szCs w:val="20"/>
          <w:lang w:val="ro-MD"/>
        </w:rPr>
      </w:pPr>
    </w:p>
    <w:p w14:paraId="7A38661E" w14:textId="77777777" w:rsidR="00FD65B6" w:rsidRPr="00B13B9A" w:rsidRDefault="00FD65B6" w:rsidP="0062601E">
      <w:pPr>
        <w:pStyle w:val="af0"/>
        <w:tabs>
          <w:tab w:val="left" w:pos="9072"/>
        </w:tabs>
        <w:spacing w:line="276" w:lineRule="auto"/>
        <w:rPr>
          <w:rFonts w:asciiTheme="majorHAnsi" w:hAnsiTheme="majorHAnsi" w:cstheme="majorHAnsi"/>
          <w:i/>
          <w:sz w:val="20"/>
          <w:szCs w:val="20"/>
          <w:lang w:val="ro-MD"/>
        </w:rPr>
      </w:pPr>
    </w:p>
    <w:p w14:paraId="60B298CA" w14:textId="77777777" w:rsidR="00FD65B6" w:rsidRPr="00B13B9A" w:rsidRDefault="00FD65B6" w:rsidP="0062601E">
      <w:pPr>
        <w:pStyle w:val="af0"/>
        <w:tabs>
          <w:tab w:val="left" w:pos="9072"/>
        </w:tabs>
        <w:spacing w:line="276" w:lineRule="auto"/>
        <w:rPr>
          <w:rFonts w:asciiTheme="majorHAnsi" w:hAnsiTheme="majorHAnsi" w:cstheme="majorHAnsi"/>
          <w:i/>
          <w:sz w:val="20"/>
          <w:szCs w:val="20"/>
          <w:lang w:val="ro-MD"/>
        </w:rPr>
      </w:pPr>
    </w:p>
    <w:p w14:paraId="3E9C5C05" w14:textId="77777777" w:rsidR="00FD65B6" w:rsidRPr="00B13B9A" w:rsidRDefault="00FD65B6" w:rsidP="0062601E">
      <w:pPr>
        <w:pStyle w:val="af0"/>
        <w:tabs>
          <w:tab w:val="left" w:pos="9072"/>
        </w:tabs>
        <w:spacing w:line="276" w:lineRule="auto"/>
        <w:rPr>
          <w:rFonts w:asciiTheme="majorHAnsi" w:hAnsiTheme="majorHAnsi" w:cstheme="majorHAnsi"/>
          <w:i/>
          <w:sz w:val="20"/>
          <w:szCs w:val="20"/>
          <w:lang w:val="ro-MD"/>
        </w:rPr>
      </w:pPr>
    </w:p>
    <w:p w14:paraId="0F82EF1B" w14:textId="77777777" w:rsidR="00FD65B6" w:rsidRPr="00B13B9A" w:rsidRDefault="00FD65B6" w:rsidP="0062601E">
      <w:pPr>
        <w:pStyle w:val="af0"/>
        <w:tabs>
          <w:tab w:val="left" w:pos="9072"/>
        </w:tabs>
        <w:spacing w:line="276" w:lineRule="auto"/>
        <w:rPr>
          <w:rFonts w:asciiTheme="majorHAnsi" w:hAnsiTheme="majorHAnsi" w:cstheme="majorHAnsi"/>
          <w:i/>
          <w:sz w:val="20"/>
          <w:szCs w:val="20"/>
          <w:lang w:val="ro-MD"/>
        </w:rPr>
      </w:pPr>
    </w:p>
    <w:p w14:paraId="2D1B96A2" w14:textId="77777777" w:rsidR="00FD65B6" w:rsidRPr="00B13B9A" w:rsidRDefault="00FD65B6" w:rsidP="0062601E">
      <w:pPr>
        <w:pStyle w:val="af0"/>
        <w:tabs>
          <w:tab w:val="left" w:pos="9072"/>
        </w:tabs>
        <w:spacing w:line="276" w:lineRule="auto"/>
        <w:rPr>
          <w:rFonts w:asciiTheme="majorHAnsi" w:hAnsiTheme="majorHAnsi" w:cstheme="majorHAnsi"/>
          <w:i/>
          <w:sz w:val="20"/>
          <w:szCs w:val="20"/>
          <w:lang w:val="ro-MD"/>
        </w:rPr>
      </w:pPr>
    </w:p>
    <w:p w14:paraId="52FA8DF5" w14:textId="77777777" w:rsidR="00027B88" w:rsidRDefault="00027B88" w:rsidP="0062601E">
      <w:pPr>
        <w:pStyle w:val="af0"/>
        <w:tabs>
          <w:tab w:val="left" w:pos="9072"/>
        </w:tabs>
        <w:spacing w:line="276" w:lineRule="auto"/>
        <w:rPr>
          <w:rFonts w:asciiTheme="majorHAnsi" w:hAnsiTheme="majorHAnsi" w:cstheme="majorHAnsi"/>
          <w:i/>
          <w:sz w:val="20"/>
          <w:szCs w:val="20"/>
          <w:lang w:val="ro-MD"/>
        </w:rPr>
        <w:sectPr w:rsidR="00027B88" w:rsidSect="00332FF7">
          <w:pgSz w:w="15840" w:h="12240" w:orient="landscape"/>
          <w:pgMar w:top="1135" w:right="1134" w:bottom="760" w:left="1134" w:header="709" w:footer="709" w:gutter="0"/>
          <w:cols w:space="708"/>
          <w:docGrid w:linePitch="360"/>
        </w:sectPr>
      </w:pPr>
    </w:p>
    <w:p w14:paraId="28E54ADA" w14:textId="55101E8A" w:rsidR="00FD65B6" w:rsidRPr="00B13B9A" w:rsidRDefault="00FD65B6" w:rsidP="00FD65B6">
      <w:pPr>
        <w:pStyle w:val="3"/>
        <w:jc w:val="right"/>
        <w:rPr>
          <w:rFonts w:cstheme="majorHAnsi"/>
          <w:b/>
          <w:color w:val="auto"/>
        </w:rPr>
      </w:pPr>
      <w:bookmarkStart w:id="73" w:name="_Toc158317274"/>
      <w:r w:rsidRPr="00B13B9A">
        <w:rPr>
          <w:rFonts w:cstheme="majorHAnsi"/>
          <w:b/>
          <w:color w:val="auto"/>
        </w:rPr>
        <w:t>Anexa nr.20</w:t>
      </w:r>
      <w:bookmarkEnd w:id="73"/>
    </w:p>
    <w:p w14:paraId="6670790F" w14:textId="6D3B394E" w:rsidR="0023258A" w:rsidRPr="008860BA" w:rsidRDefault="0023258A" w:rsidP="0023258A">
      <w:pPr>
        <w:jc w:val="center"/>
        <w:rPr>
          <w:rFonts w:asciiTheme="majorHAnsi" w:hAnsiTheme="majorHAnsi" w:cstheme="majorHAnsi"/>
          <w:b/>
          <w:sz w:val="24"/>
          <w:lang w:val="ro-MD"/>
        </w:rPr>
      </w:pPr>
      <w:r w:rsidRPr="008860BA">
        <w:rPr>
          <w:rFonts w:asciiTheme="majorHAnsi" w:hAnsiTheme="majorHAnsi" w:cstheme="majorHAnsi"/>
          <w:b/>
          <w:sz w:val="24"/>
          <w:lang w:val="ro-MD"/>
        </w:rPr>
        <w:t>Analiza repartizării cheltuielilor pe tipuri de servicii în anul 2021</w:t>
      </w:r>
    </w:p>
    <w:tbl>
      <w:tblPr>
        <w:tblW w:w="13943" w:type="dxa"/>
        <w:tblLook w:val="04A0" w:firstRow="1" w:lastRow="0" w:firstColumn="1" w:lastColumn="0" w:noHBand="0" w:noVBand="1"/>
      </w:tblPr>
      <w:tblGrid>
        <w:gridCol w:w="3681"/>
        <w:gridCol w:w="693"/>
        <w:gridCol w:w="1170"/>
        <w:gridCol w:w="1218"/>
        <w:gridCol w:w="1137"/>
        <w:gridCol w:w="1263"/>
        <w:gridCol w:w="1196"/>
        <w:gridCol w:w="1111"/>
        <w:gridCol w:w="761"/>
        <w:gridCol w:w="880"/>
        <w:gridCol w:w="853"/>
      </w:tblGrid>
      <w:tr w:rsidR="009371DC" w:rsidRPr="008860BA" w14:paraId="32EE5222" w14:textId="77777777" w:rsidTr="009371DC">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FF7FE" w14:textId="77777777" w:rsidR="009371DC" w:rsidRPr="008860BA" w:rsidRDefault="009371DC" w:rsidP="009371DC">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Anul 2021</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14:paraId="4DD9AC3B" w14:textId="0C867C77" w:rsidR="009371DC" w:rsidRPr="008860BA" w:rsidRDefault="00E10604" w:rsidP="009371DC">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C</w:t>
            </w:r>
            <w:r w:rsidR="009371DC" w:rsidRPr="008860BA">
              <w:rPr>
                <w:rFonts w:asciiTheme="majorHAnsi" w:eastAsia="Times New Roman" w:hAnsiTheme="majorHAnsi" w:cstheme="majorHAnsi"/>
                <w:b/>
                <w:bCs/>
                <w:color w:val="000000"/>
                <w:sz w:val="18"/>
                <w:szCs w:val="18"/>
                <w:lang w:val="ro-MD"/>
              </w:rPr>
              <w:t>ontul</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2B12EEC" w14:textId="2D36646B" w:rsidR="009371DC" w:rsidRPr="008860BA" w:rsidRDefault="009371DC" w:rsidP="009371DC">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Suma totală conform situa</w:t>
            </w:r>
            <w:r w:rsidR="00B13B9A" w:rsidRPr="008860BA">
              <w:rPr>
                <w:rFonts w:asciiTheme="majorHAnsi" w:eastAsia="Times New Roman" w:hAnsiTheme="majorHAnsi" w:cstheme="majorHAnsi"/>
                <w:b/>
                <w:bCs/>
                <w:color w:val="000000"/>
                <w:sz w:val="18"/>
                <w:szCs w:val="18"/>
                <w:lang w:val="ro-MD"/>
              </w:rPr>
              <w:t>ț</w:t>
            </w:r>
            <w:r w:rsidRPr="008860BA">
              <w:rPr>
                <w:rFonts w:asciiTheme="majorHAnsi" w:eastAsia="Times New Roman" w:hAnsiTheme="majorHAnsi" w:cstheme="majorHAnsi"/>
                <w:b/>
                <w:bCs/>
                <w:color w:val="000000"/>
                <w:sz w:val="18"/>
                <w:szCs w:val="18"/>
                <w:lang w:val="ro-MD"/>
              </w:rPr>
              <w:t>iei financiare</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5261E541" w14:textId="77777777" w:rsidR="009371DC" w:rsidRPr="008860BA" w:rsidRDefault="009371DC" w:rsidP="009371DC">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Total, inclusiv</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10A4E06F" w14:textId="77777777" w:rsidR="009371DC" w:rsidRPr="008860BA" w:rsidRDefault="009371DC" w:rsidP="009371DC">
            <w:pPr>
              <w:spacing w:after="0" w:line="240" w:lineRule="auto"/>
              <w:jc w:val="center"/>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 xml:space="preserve">Spitaliceasca </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2042B26E" w14:textId="77777777" w:rsidR="009371DC" w:rsidRPr="008860BA" w:rsidRDefault="009371DC" w:rsidP="009371DC">
            <w:pPr>
              <w:spacing w:after="0" w:line="240" w:lineRule="auto"/>
              <w:jc w:val="center"/>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 xml:space="preserve">CNAM examinări profilactice (radiografie mobila) </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39C3F0F7" w14:textId="23F9AE3E" w:rsidR="009371DC" w:rsidRPr="008860BA" w:rsidRDefault="009371DC">
            <w:pPr>
              <w:spacing w:after="0" w:line="240" w:lineRule="auto"/>
              <w:jc w:val="center"/>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Aloca</w:t>
            </w:r>
            <w:r w:rsidR="00E10604" w:rsidRPr="008860BA">
              <w:rPr>
                <w:rFonts w:asciiTheme="majorHAnsi" w:eastAsia="Times New Roman" w:hAnsiTheme="majorHAnsi" w:cstheme="majorHAnsi"/>
                <w:b/>
                <w:bCs/>
                <w:sz w:val="18"/>
                <w:szCs w:val="18"/>
                <w:lang w:val="ro-MD"/>
              </w:rPr>
              <w:t>ț</w:t>
            </w:r>
            <w:r w:rsidRPr="008860BA">
              <w:rPr>
                <w:rFonts w:asciiTheme="majorHAnsi" w:eastAsia="Times New Roman" w:hAnsiTheme="majorHAnsi" w:cstheme="majorHAnsi"/>
                <w:b/>
                <w:bCs/>
                <w:sz w:val="18"/>
                <w:szCs w:val="18"/>
                <w:lang w:val="ro-MD"/>
              </w:rPr>
              <w:t>ii CNAM    reziden</w:t>
            </w:r>
            <w:r w:rsidR="00E10604" w:rsidRPr="008860BA">
              <w:rPr>
                <w:rFonts w:asciiTheme="majorHAnsi" w:eastAsia="Times New Roman" w:hAnsiTheme="majorHAnsi" w:cstheme="majorHAnsi"/>
                <w:b/>
                <w:bCs/>
                <w:sz w:val="18"/>
                <w:szCs w:val="18"/>
                <w:lang w:val="ro-MD"/>
              </w:rPr>
              <w:t>ț</w:t>
            </w:r>
            <w:r w:rsidRPr="008860BA">
              <w:rPr>
                <w:rFonts w:asciiTheme="majorHAnsi" w:eastAsia="Times New Roman" w:hAnsiTheme="majorHAnsi" w:cstheme="majorHAnsi"/>
                <w:b/>
                <w:bCs/>
                <w:sz w:val="18"/>
                <w:szCs w:val="18"/>
                <w:lang w:val="ro-MD"/>
              </w:rPr>
              <w:t>i</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2D0006C1" w14:textId="77777777" w:rsidR="009371DC" w:rsidRPr="008860BA" w:rsidRDefault="009371DC" w:rsidP="009371DC">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xml:space="preserve">Consultativă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750FD77A" w14:textId="3C9E44DC" w:rsidR="009371DC" w:rsidRPr="008860BA" w:rsidRDefault="00E10604" w:rsidP="009371DC">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ș</w:t>
            </w:r>
            <w:r w:rsidR="009371DC" w:rsidRPr="008860BA">
              <w:rPr>
                <w:rFonts w:asciiTheme="majorHAnsi" w:eastAsia="Times New Roman" w:hAnsiTheme="majorHAnsi" w:cstheme="majorHAnsi"/>
                <w:b/>
                <w:bCs/>
                <w:color w:val="000000"/>
                <w:sz w:val="18"/>
                <w:szCs w:val="18"/>
                <w:lang w:val="ro-MD"/>
              </w:rPr>
              <w:t>tiin</w:t>
            </w:r>
            <w:r w:rsidR="00B13B9A" w:rsidRPr="008860BA">
              <w:rPr>
                <w:rFonts w:asciiTheme="majorHAnsi" w:eastAsia="Times New Roman" w:hAnsiTheme="majorHAnsi" w:cstheme="majorHAnsi"/>
                <w:b/>
                <w:bCs/>
                <w:color w:val="000000"/>
                <w:sz w:val="18"/>
                <w:szCs w:val="18"/>
                <w:lang w:val="ro-MD"/>
              </w:rPr>
              <w:t>ț</w:t>
            </w:r>
            <w:r w:rsidR="009371DC" w:rsidRPr="008860BA">
              <w:rPr>
                <w:rFonts w:asciiTheme="majorHAnsi" w:eastAsia="Times New Roman" w:hAnsiTheme="majorHAnsi" w:cstheme="majorHAnsi"/>
                <w:b/>
                <w:bCs/>
                <w:color w:val="000000"/>
                <w:sz w:val="18"/>
                <w:szCs w:val="18"/>
                <w:lang w:val="ro-MD"/>
              </w:rPr>
              <w:t xml:space="preserve">ă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BCA5A74" w14:textId="77777777" w:rsidR="009371DC" w:rsidRPr="008860BA" w:rsidRDefault="009371DC" w:rsidP="009371DC">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xml:space="preserve">Servicii contra plată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1CFD0D27" w14:textId="77777777" w:rsidR="009371DC" w:rsidRPr="008860BA" w:rsidRDefault="009371DC" w:rsidP="009371DC">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xml:space="preserve">Proiect </w:t>
            </w:r>
          </w:p>
        </w:tc>
      </w:tr>
      <w:tr w:rsidR="009371DC" w:rsidRPr="008860BA" w14:paraId="4332D033"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BD1A855" w14:textId="1EC47893" w:rsidR="009371DC" w:rsidRPr="008860BA" w:rsidRDefault="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Venituri din v</w:t>
            </w:r>
            <w:r w:rsidR="00E10604" w:rsidRPr="008860BA">
              <w:rPr>
                <w:rFonts w:asciiTheme="majorHAnsi" w:eastAsia="Times New Roman" w:hAnsiTheme="majorHAnsi" w:cstheme="majorHAnsi"/>
                <w:color w:val="000000"/>
                <w:sz w:val="18"/>
                <w:szCs w:val="18"/>
                <w:lang w:val="ro-MD"/>
              </w:rPr>
              <w:t>â</w:t>
            </w:r>
            <w:r w:rsidRPr="008860BA">
              <w:rPr>
                <w:rFonts w:asciiTheme="majorHAnsi" w:eastAsia="Times New Roman" w:hAnsiTheme="majorHAnsi" w:cstheme="majorHAnsi"/>
                <w:color w:val="000000"/>
                <w:sz w:val="18"/>
                <w:szCs w:val="18"/>
                <w:lang w:val="ro-MD"/>
              </w:rPr>
              <w:t>nzări</w:t>
            </w:r>
          </w:p>
        </w:tc>
        <w:tc>
          <w:tcPr>
            <w:tcW w:w="673" w:type="dxa"/>
            <w:tcBorders>
              <w:top w:val="nil"/>
              <w:left w:val="nil"/>
              <w:bottom w:val="single" w:sz="4" w:space="0" w:color="auto"/>
              <w:right w:val="single" w:sz="4" w:space="0" w:color="auto"/>
            </w:tcBorders>
            <w:shd w:val="clear" w:color="auto" w:fill="auto"/>
            <w:noWrap/>
            <w:vAlign w:val="bottom"/>
            <w:hideMark/>
          </w:tcPr>
          <w:p w14:paraId="3533B7BF"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611</w:t>
            </w:r>
          </w:p>
        </w:tc>
        <w:tc>
          <w:tcPr>
            <w:tcW w:w="1170" w:type="dxa"/>
            <w:tcBorders>
              <w:top w:val="nil"/>
              <w:left w:val="nil"/>
              <w:bottom w:val="single" w:sz="4" w:space="0" w:color="auto"/>
              <w:right w:val="single" w:sz="4" w:space="0" w:color="auto"/>
            </w:tcBorders>
            <w:shd w:val="clear" w:color="auto" w:fill="auto"/>
            <w:noWrap/>
            <w:vAlign w:val="bottom"/>
            <w:hideMark/>
          </w:tcPr>
          <w:p w14:paraId="1C1CDF66"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157.128,2</w:t>
            </w:r>
          </w:p>
        </w:tc>
        <w:tc>
          <w:tcPr>
            <w:tcW w:w="1218" w:type="dxa"/>
            <w:tcBorders>
              <w:top w:val="nil"/>
              <w:left w:val="nil"/>
              <w:bottom w:val="single" w:sz="4" w:space="0" w:color="auto"/>
              <w:right w:val="single" w:sz="4" w:space="0" w:color="auto"/>
            </w:tcBorders>
            <w:shd w:val="clear" w:color="auto" w:fill="auto"/>
            <w:noWrap/>
            <w:vAlign w:val="bottom"/>
            <w:hideMark/>
          </w:tcPr>
          <w:p w14:paraId="1AB30AB3"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157.128,2</w:t>
            </w:r>
          </w:p>
        </w:tc>
        <w:tc>
          <w:tcPr>
            <w:tcW w:w="1137" w:type="dxa"/>
            <w:tcBorders>
              <w:top w:val="nil"/>
              <w:left w:val="nil"/>
              <w:bottom w:val="single" w:sz="4" w:space="0" w:color="auto"/>
              <w:right w:val="single" w:sz="4" w:space="0" w:color="auto"/>
            </w:tcBorders>
            <w:shd w:val="clear" w:color="auto" w:fill="auto"/>
            <w:noWrap/>
            <w:vAlign w:val="bottom"/>
            <w:hideMark/>
          </w:tcPr>
          <w:p w14:paraId="61AE22CF"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101.228,2</w:t>
            </w:r>
          </w:p>
        </w:tc>
        <w:tc>
          <w:tcPr>
            <w:tcW w:w="1263" w:type="dxa"/>
            <w:tcBorders>
              <w:top w:val="nil"/>
              <w:left w:val="nil"/>
              <w:bottom w:val="single" w:sz="4" w:space="0" w:color="auto"/>
              <w:right w:val="single" w:sz="4" w:space="0" w:color="auto"/>
            </w:tcBorders>
            <w:shd w:val="clear" w:color="auto" w:fill="auto"/>
            <w:noWrap/>
            <w:vAlign w:val="bottom"/>
            <w:hideMark/>
          </w:tcPr>
          <w:p w14:paraId="707A385C"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401,0</w:t>
            </w:r>
          </w:p>
        </w:tc>
        <w:tc>
          <w:tcPr>
            <w:tcW w:w="1196" w:type="dxa"/>
            <w:tcBorders>
              <w:top w:val="nil"/>
              <w:left w:val="nil"/>
              <w:bottom w:val="single" w:sz="4" w:space="0" w:color="auto"/>
              <w:right w:val="single" w:sz="4" w:space="0" w:color="auto"/>
            </w:tcBorders>
            <w:shd w:val="clear" w:color="auto" w:fill="auto"/>
            <w:noWrap/>
            <w:vAlign w:val="bottom"/>
            <w:hideMark/>
          </w:tcPr>
          <w:p w14:paraId="1BD12779"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1.576,6</w:t>
            </w:r>
          </w:p>
        </w:tc>
        <w:tc>
          <w:tcPr>
            <w:tcW w:w="1111" w:type="dxa"/>
            <w:tcBorders>
              <w:top w:val="nil"/>
              <w:left w:val="nil"/>
              <w:bottom w:val="single" w:sz="4" w:space="0" w:color="auto"/>
              <w:right w:val="single" w:sz="4" w:space="0" w:color="auto"/>
            </w:tcBorders>
            <w:shd w:val="clear" w:color="auto" w:fill="auto"/>
            <w:noWrap/>
            <w:vAlign w:val="bottom"/>
            <w:hideMark/>
          </w:tcPr>
          <w:p w14:paraId="41E3FEC9"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12.451,9</w:t>
            </w:r>
          </w:p>
        </w:tc>
        <w:tc>
          <w:tcPr>
            <w:tcW w:w="761" w:type="dxa"/>
            <w:tcBorders>
              <w:top w:val="nil"/>
              <w:left w:val="nil"/>
              <w:bottom w:val="single" w:sz="4" w:space="0" w:color="auto"/>
              <w:right w:val="single" w:sz="4" w:space="0" w:color="auto"/>
            </w:tcBorders>
            <w:shd w:val="clear" w:color="auto" w:fill="auto"/>
            <w:noWrap/>
            <w:vAlign w:val="bottom"/>
            <w:hideMark/>
          </w:tcPr>
          <w:p w14:paraId="62B236D7"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3.083,3</w:t>
            </w:r>
          </w:p>
        </w:tc>
        <w:tc>
          <w:tcPr>
            <w:tcW w:w="880" w:type="dxa"/>
            <w:tcBorders>
              <w:top w:val="nil"/>
              <w:left w:val="nil"/>
              <w:bottom w:val="single" w:sz="4" w:space="0" w:color="auto"/>
              <w:right w:val="single" w:sz="4" w:space="0" w:color="auto"/>
            </w:tcBorders>
            <w:shd w:val="clear" w:color="auto" w:fill="auto"/>
            <w:noWrap/>
            <w:vAlign w:val="bottom"/>
            <w:hideMark/>
          </w:tcPr>
          <w:p w14:paraId="69EEBD6E"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1.337,4</w:t>
            </w:r>
          </w:p>
        </w:tc>
        <w:tc>
          <w:tcPr>
            <w:tcW w:w="853" w:type="dxa"/>
            <w:tcBorders>
              <w:top w:val="nil"/>
              <w:left w:val="nil"/>
              <w:bottom w:val="single" w:sz="4" w:space="0" w:color="auto"/>
              <w:right w:val="single" w:sz="4" w:space="0" w:color="auto"/>
            </w:tcBorders>
            <w:shd w:val="clear" w:color="auto" w:fill="auto"/>
            <w:noWrap/>
            <w:vAlign w:val="bottom"/>
            <w:hideMark/>
          </w:tcPr>
          <w:p w14:paraId="06E61150"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37.049,7</w:t>
            </w:r>
          </w:p>
        </w:tc>
      </w:tr>
      <w:tr w:rsidR="009371DC" w:rsidRPr="008860BA" w14:paraId="7C45E33C"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0F6A1FD4" w14:textId="60A2F9F2"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Alte venituri din activitatea opera</w:t>
            </w:r>
            <w:r w:rsidR="00B13B9A" w:rsidRPr="008860BA">
              <w:rPr>
                <w:rFonts w:asciiTheme="majorHAnsi" w:eastAsia="Times New Roman" w:hAnsiTheme="majorHAnsi" w:cstheme="majorHAnsi"/>
                <w:color w:val="000000"/>
                <w:sz w:val="18"/>
                <w:szCs w:val="18"/>
                <w:lang w:val="ro-MD"/>
              </w:rPr>
              <w:t>ț</w:t>
            </w:r>
            <w:r w:rsidRPr="008860BA">
              <w:rPr>
                <w:rFonts w:asciiTheme="majorHAnsi" w:eastAsia="Times New Roman" w:hAnsiTheme="majorHAnsi" w:cstheme="majorHAnsi"/>
                <w:color w:val="000000"/>
                <w:sz w:val="18"/>
                <w:szCs w:val="18"/>
                <w:lang w:val="ro-MD"/>
              </w:rPr>
              <w:t>ională</w:t>
            </w:r>
          </w:p>
        </w:tc>
        <w:tc>
          <w:tcPr>
            <w:tcW w:w="673" w:type="dxa"/>
            <w:tcBorders>
              <w:top w:val="nil"/>
              <w:left w:val="nil"/>
              <w:bottom w:val="single" w:sz="4" w:space="0" w:color="auto"/>
              <w:right w:val="single" w:sz="4" w:space="0" w:color="auto"/>
            </w:tcBorders>
            <w:shd w:val="clear" w:color="auto" w:fill="auto"/>
            <w:noWrap/>
            <w:vAlign w:val="bottom"/>
            <w:hideMark/>
          </w:tcPr>
          <w:p w14:paraId="7553BFAF"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612</w:t>
            </w:r>
          </w:p>
        </w:tc>
        <w:tc>
          <w:tcPr>
            <w:tcW w:w="1170" w:type="dxa"/>
            <w:tcBorders>
              <w:top w:val="nil"/>
              <w:left w:val="nil"/>
              <w:bottom w:val="single" w:sz="4" w:space="0" w:color="auto"/>
              <w:right w:val="single" w:sz="4" w:space="0" w:color="auto"/>
            </w:tcBorders>
            <w:shd w:val="clear" w:color="auto" w:fill="auto"/>
            <w:noWrap/>
            <w:vAlign w:val="bottom"/>
            <w:hideMark/>
          </w:tcPr>
          <w:p w14:paraId="28ED9B34"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9,3</w:t>
            </w:r>
          </w:p>
        </w:tc>
        <w:tc>
          <w:tcPr>
            <w:tcW w:w="1218" w:type="dxa"/>
            <w:tcBorders>
              <w:top w:val="nil"/>
              <w:left w:val="nil"/>
              <w:bottom w:val="single" w:sz="4" w:space="0" w:color="auto"/>
              <w:right w:val="single" w:sz="4" w:space="0" w:color="auto"/>
            </w:tcBorders>
            <w:shd w:val="clear" w:color="auto" w:fill="auto"/>
            <w:noWrap/>
            <w:vAlign w:val="bottom"/>
            <w:hideMark/>
          </w:tcPr>
          <w:p w14:paraId="3E67F2D5"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9,3</w:t>
            </w:r>
          </w:p>
        </w:tc>
        <w:tc>
          <w:tcPr>
            <w:tcW w:w="1137" w:type="dxa"/>
            <w:tcBorders>
              <w:top w:val="nil"/>
              <w:left w:val="nil"/>
              <w:bottom w:val="single" w:sz="4" w:space="0" w:color="auto"/>
              <w:right w:val="single" w:sz="4" w:space="0" w:color="auto"/>
            </w:tcBorders>
            <w:shd w:val="clear" w:color="auto" w:fill="auto"/>
            <w:noWrap/>
            <w:vAlign w:val="bottom"/>
            <w:hideMark/>
          </w:tcPr>
          <w:p w14:paraId="34DBA02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63" w:type="dxa"/>
            <w:tcBorders>
              <w:top w:val="nil"/>
              <w:left w:val="nil"/>
              <w:bottom w:val="single" w:sz="4" w:space="0" w:color="auto"/>
              <w:right w:val="single" w:sz="4" w:space="0" w:color="auto"/>
            </w:tcBorders>
            <w:shd w:val="clear" w:color="auto" w:fill="auto"/>
            <w:noWrap/>
            <w:vAlign w:val="bottom"/>
            <w:hideMark/>
          </w:tcPr>
          <w:p w14:paraId="689C0302"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442C53D2"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73986EEF"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39E4CA4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192FC3CE"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5877856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0680B25F"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202B69B0" w14:textId="72527245" w:rsidR="009371DC" w:rsidRPr="008860BA" w:rsidRDefault="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Dob</w:t>
            </w:r>
            <w:r w:rsidR="00E10604" w:rsidRPr="008860BA">
              <w:rPr>
                <w:rFonts w:asciiTheme="majorHAnsi" w:eastAsia="Times New Roman" w:hAnsiTheme="majorHAnsi" w:cstheme="majorHAnsi"/>
                <w:color w:val="000000"/>
                <w:sz w:val="18"/>
                <w:szCs w:val="18"/>
                <w:lang w:val="ro-MD"/>
              </w:rPr>
              <w:t>â</w:t>
            </w:r>
            <w:r w:rsidRPr="008860BA">
              <w:rPr>
                <w:rFonts w:asciiTheme="majorHAnsi" w:eastAsia="Times New Roman" w:hAnsiTheme="majorHAnsi" w:cstheme="majorHAnsi"/>
                <w:color w:val="000000"/>
                <w:sz w:val="18"/>
                <w:szCs w:val="18"/>
                <w:lang w:val="ro-MD"/>
              </w:rPr>
              <w:t>nda bancară</w:t>
            </w:r>
          </w:p>
        </w:tc>
        <w:tc>
          <w:tcPr>
            <w:tcW w:w="673" w:type="dxa"/>
            <w:tcBorders>
              <w:top w:val="nil"/>
              <w:left w:val="nil"/>
              <w:bottom w:val="single" w:sz="4" w:space="0" w:color="auto"/>
              <w:right w:val="single" w:sz="4" w:space="0" w:color="auto"/>
            </w:tcBorders>
            <w:shd w:val="clear" w:color="auto" w:fill="auto"/>
            <w:vAlign w:val="bottom"/>
            <w:hideMark/>
          </w:tcPr>
          <w:p w14:paraId="3C824633"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621</w:t>
            </w:r>
          </w:p>
        </w:tc>
        <w:tc>
          <w:tcPr>
            <w:tcW w:w="1170" w:type="dxa"/>
            <w:tcBorders>
              <w:top w:val="nil"/>
              <w:left w:val="nil"/>
              <w:bottom w:val="single" w:sz="4" w:space="0" w:color="auto"/>
              <w:right w:val="single" w:sz="4" w:space="0" w:color="auto"/>
            </w:tcBorders>
            <w:shd w:val="clear" w:color="auto" w:fill="auto"/>
            <w:vAlign w:val="bottom"/>
            <w:hideMark/>
          </w:tcPr>
          <w:p w14:paraId="6CCBF462"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24,0</w:t>
            </w:r>
          </w:p>
        </w:tc>
        <w:tc>
          <w:tcPr>
            <w:tcW w:w="1218" w:type="dxa"/>
            <w:tcBorders>
              <w:top w:val="nil"/>
              <w:left w:val="nil"/>
              <w:bottom w:val="single" w:sz="4" w:space="0" w:color="auto"/>
              <w:right w:val="single" w:sz="4" w:space="0" w:color="auto"/>
            </w:tcBorders>
            <w:shd w:val="clear" w:color="auto" w:fill="auto"/>
            <w:vAlign w:val="bottom"/>
            <w:hideMark/>
          </w:tcPr>
          <w:p w14:paraId="676B35FB"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24,0</w:t>
            </w:r>
          </w:p>
        </w:tc>
        <w:tc>
          <w:tcPr>
            <w:tcW w:w="1137" w:type="dxa"/>
            <w:tcBorders>
              <w:top w:val="nil"/>
              <w:left w:val="nil"/>
              <w:bottom w:val="single" w:sz="4" w:space="0" w:color="auto"/>
              <w:right w:val="single" w:sz="4" w:space="0" w:color="auto"/>
            </w:tcBorders>
            <w:shd w:val="clear" w:color="auto" w:fill="auto"/>
            <w:vAlign w:val="bottom"/>
            <w:hideMark/>
          </w:tcPr>
          <w:p w14:paraId="1702CB0F"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63" w:type="dxa"/>
            <w:tcBorders>
              <w:top w:val="nil"/>
              <w:left w:val="nil"/>
              <w:bottom w:val="single" w:sz="4" w:space="0" w:color="auto"/>
              <w:right w:val="single" w:sz="4" w:space="0" w:color="auto"/>
            </w:tcBorders>
            <w:shd w:val="clear" w:color="auto" w:fill="auto"/>
            <w:vAlign w:val="bottom"/>
            <w:hideMark/>
          </w:tcPr>
          <w:p w14:paraId="6134AF0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vAlign w:val="bottom"/>
            <w:hideMark/>
          </w:tcPr>
          <w:p w14:paraId="3D2A87D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vAlign w:val="bottom"/>
            <w:hideMark/>
          </w:tcPr>
          <w:p w14:paraId="23A9173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vAlign w:val="bottom"/>
            <w:hideMark/>
          </w:tcPr>
          <w:p w14:paraId="28ECA55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vAlign w:val="bottom"/>
            <w:hideMark/>
          </w:tcPr>
          <w:p w14:paraId="198F1CCC"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vAlign w:val="bottom"/>
            <w:hideMark/>
          </w:tcPr>
          <w:p w14:paraId="22508811"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18F4CB4A"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124790D9" w14:textId="43A3138A"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Diferen</w:t>
            </w:r>
            <w:r w:rsidR="00B13B9A" w:rsidRPr="008860BA">
              <w:rPr>
                <w:rFonts w:asciiTheme="majorHAnsi" w:eastAsia="Times New Roman" w:hAnsiTheme="majorHAnsi" w:cstheme="majorHAnsi"/>
                <w:color w:val="000000"/>
                <w:sz w:val="18"/>
                <w:szCs w:val="18"/>
                <w:lang w:val="ro-MD"/>
              </w:rPr>
              <w:t>ț</w:t>
            </w:r>
            <w:r w:rsidRPr="008860BA">
              <w:rPr>
                <w:rFonts w:asciiTheme="majorHAnsi" w:eastAsia="Times New Roman" w:hAnsiTheme="majorHAnsi" w:cstheme="majorHAnsi"/>
                <w:color w:val="000000"/>
                <w:sz w:val="18"/>
                <w:szCs w:val="18"/>
                <w:lang w:val="ro-MD"/>
              </w:rPr>
              <w:t>a de curs valutar</w:t>
            </w:r>
          </w:p>
        </w:tc>
        <w:tc>
          <w:tcPr>
            <w:tcW w:w="673" w:type="dxa"/>
            <w:tcBorders>
              <w:top w:val="nil"/>
              <w:left w:val="nil"/>
              <w:bottom w:val="single" w:sz="4" w:space="0" w:color="auto"/>
              <w:right w:val="single" w:sz="4" w:space="0" w:color="auto"/>
            </w:tcBorders>
            <w:shd w:val="clear" w:color="auto" w:fill="auto"/>
            <w:vAlign w:val="bottom"/>
            <w:hideMark/>
          </w:tcPr>
          <w:p w14:paraId="5E8CA05C"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622</w:t>
            </w:r>
          </w:p>
        </w:tc>
        <w:tc>
          <w:tcPr>
            <w:tcW w:w="1170" w:type="dxa"/>
            <w:tcBorders>
              <w:top w:val="nil"/>
              <w:left w:val="nil"/>
              <w:bottom w:val="single" w:sz="4" w:space="0" w:color="auto"/>
              <w:right w:val="single" w:sz="4" w:space="0" w:color="auto"/>
            </w:tcBorders>
            <w:shd w:val="clear" w:color="auto" w:fill="auto"/>
            <w:vAlign w:val="bottom"/>
            <w:hideMark/>
          </w:tcPr>
          <w:p w14:paraId="53F0C6DB"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239,8</w:t>
            </w:r>
          </w:p>
        </w:tc>
        <w:tc>
          <w:tcPr>
            <w:tcW w:w="1218" w:type="dxa"/>
            <w:tcBorders>
              <w:top w:val="nil"/>
              <w:left w:val="nil"/>
              <w:bottom w:val="single" w:sz="4" w:space="0" w:color="auto"/>
              <w:right w:val="single" w:sz="4" w:space="0" w:color="auto"/>
            </w:tcBorders>
            <w:shd w:val="clear" w:color="auto" w:fill="auto"/>
            <w:vAlign w:val="bottom"/>
            <w:hideMark/>
          </w:tcPr>
          <w:p w14:paraId="5709ACCE"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239,8</w:t>
            </w:r>
          </w:p>
        </w:tc>
        <w:tc>
          <w:tcPr>
            <w:tcW w:w="1137" w:type="dxa"/>
            <w:tcBorders>
              <w:top w:val="nil"/>
              <w:left w:val="nil"/>
              <w:bottom w:val="single" w:sz="4" w:space="0" w:color="auto"/>
              <w:right w:val="single" w:sz="4" w:space="0" w:color="auto"/>
            </w:tcBorders>
            <w:shd w:val="clear" w:color="auto" w:fill="auto"/>
            <w:vAlign w:val="bottom"/>
            <w:hideMark/>
          </w:tcPr>
          <w:p w14:paraId="29372E3C"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63" w:type="dxa"/>
            <w:tcBorders>
              <w:top w:val="nil"/>
              <w:left w:val="nil"/>
              <w:bottom w:val="single" w:sz="4" w:space="0" w:color="auto"/>
              <w:right w:val="single" w:sz="4" w:space="0" w:color="auto"/>
            </w:tcBorders>
            <w:shd w:val="clear" w:color="auto" w:fill="auto"/>
            <w:vAlign w:val="bottom"/>
            <w:hideMark/>
          </w:tcPr>
          <w:p w14:paraId="44F56DA4"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vAlign w:val="bottom"/>
            <w:hideMark/>
          </w:tcPr>
          <w:p w14:paraId="167C0F1D"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vAlign w:val="bottom"/>
            <w:hideMark/>
          </w:tcPr>
          <w:p w14:paraId="305C798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vAlign w:val="bottom"/>
            <w:hideMark/>
          </w:tcPr>
          <w:p w14:paraId="66AF913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vAlign w:val="bottom"/>
            <w:hideMark/>
          </w:tcPr>
          <w:p w14:paraId="78624B3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vAlign w:val="bottom"/>
            <w:hideMark/>
          </w:tcPr>
          <w:p w14:paraId="6DEC2FD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6B2FEAF7"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2278A90" w14:textId="77777777" w:rsidR="009371DC" w:rsidRPr="008860BA" w:rsidRDefault="009371DC" w:rsidP="009371DC">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Total Venit</w:t>
            </w:r>
          </w:p>
        </w:tc>
        <w:tc>
          <w:tcPr>
            <w:tcW w:w="673" w:type="dxa"/>
            <w:tcBorders>
              <w:top w:val="nil"/>
              <w:left w:val="nil"/>
              <w:bottom w:val="single" w:sz="4" w:space="0" w:color="auto"/>
              <w:right w:val="single" w:sz="4" w:space="0" w:color="auto"/>
            </w:tcBorders>
            <w:shd w:val="clear" w:color="auto" w:fill="auto"/>
            <w:noWrap/>
            <w:vAlign w:val="bottom"/>
            <w:hideMark/>
          </w:tcPr>
          <w:p w14:paraId="41FB5E06" w14:textId="77777777" w:rsidR="009371DC" w:rsidRPr="008860BA" w:rsidRDefault="009371DC" w:rsidP="009371DC">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noWrap/>
            <w:vAlign w:val="bottom"/>
            <w:hideMark/>
          </w:tcPr>
          <w:p w14:paraId="6352F05C"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157.401,2</w:t>
            </w:r>
          </w:p>
        </w:tc>
        <w:tc>
          <w:tcPr>
            <w:tcW w:w="1218" w:type="dxa"/>
            <w:tcBorders>
              <w:top w:val="nil"/>
              <w:left w:val="nil"/>
              <w:bottom w:val="single" w:sz="4" w:space="0" w:color="auto"/>
              <w:right w:val="single" w:sz="4" w:space="0" w:color="auto"/>
            </w:tcBorders>
            <w:shd w:val="clear" w:color="auto" w:fill="auto"/>
            <w:noWrap/>
            <w:vAlign w:val="bottom"/>
            <w:hideMark/>
          </w:tcPr>
          <w:p w14:paraId="7FDBE4A4"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157.401,2</w:t>
            </w:r>
          </w:p>
        </w:tc>
        <w:tc>
          <w:tcPr>
            <w:tcW w:w="1137" w:type="dxa"/>
            <w:tcBorders>
              <w:top w:val="nil"/>
              <w:left w:val="nil"/>
              <w:bottom w:val="single" w:sz="4" w:space="0" w:color="auto"/>
              <w:right w:val="single" w:sz="4" w:space="0" w:color="auto"/>
            </w:tcBorders>
            <w:shd w:val="clear" w:color="auto" w:fill="auto"/>
            <w:noWrap/>
            <w:vAlign w:val="bottom"/>
            <w:hideMark/>
          </w:tcPr>
          <w:p w14:paraId="31DF6502"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101.228,2</w:t>
            </w:r>
          </w:p>
        </w:tc>
        <w:tc>
          <w:tcPr>
            <w:tcW w:w="1263" w:type="dxa"/>
            <w:tcBorders>
              <w:top w:val="nil"/>
              <w:left w:val="nil"/>
              <w:bottom w:val="single" w:sz="4" w:space="0" w:color="auto"/>
              <w:right w:val="single" w:sz="4" w:space="0" w:color="auto"/>
            </w:tcBorders>
            <w:shd w:val="clear" w:color="auto" w:fill="auto"/>
            <w:noWrap/>
            <w:vAlign w:val="bottom"/>
            <w:hideMark/>
          </w:tcPr>
          <w:p w14:paraId="6232DA43"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401,0</w:t>
            </w:r>
          </w:p>
        </w:tc>
        <w:tc>
          <w:tcPr>
            <w:tcW w:w="1196" w:type="dxa"/>
            <w:tcBorders>
              <w:top w:val="nil"/>
              <w:left w:val="nil"/>
              <w:bottom w:val="single" w:sz="4" w:space="0" w:color="auto"/>
              <w:right w:val="single" w:sz="4" w:space="0" w:color="auto"/>
            </w:tcBorders>
            <w:shd w:val="clear" w:color="auto" w:fill="auto"/>
            <w:noWrap/>
            <w:vAlign w:val="bottom"/>
            <w:hideMark/>
          </w:tcPr>
          <w:p w14:paraId="53EC22B1"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1.576,6</w:t>
            </w:r>
          </w:p>
        </w:tc>
        <w:tc>
          <w:tcPr>
            <w:tcW w:w="1111" w:type="dxa"/>
            <w:tcBorders>
              <w:top w:val="nil"/>
              <w:left w:val="nil"/>
              <w:bottom w:val="single" w:sz="4" w:space="0" w:color="auto"/>
              <w:right w:val="single" w:sz="4" w:space="0" w:color="auto"/>
            </w:tcBorders>
            <w:shd w:val="clear" w:color="auto" w:fill="auto"/>
            <w:noWrap/>
            <w:vAlign w:val="bottom"/>
            <w:hideMark/>
          </w:tcPr>
          <w:p w14:paraId="24FBBECA"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12.451,9</w:t>
            </w:r>
          </w:p>
        </w:tc>
        <w:tc>
          <w:tcPr>
            <w:tcW w:w="761" w:type="dxa"/>
            <w:tcBorders>
              <w:top w:val="nil"/>
              <w:left w:val="nil"/>
              <w:bottom w:val="single" w:sz="4" w:space="0" w:color="auto"/>
              <w:right w:val="single" w:sz="4" w:space="0" w:color="auto"/>
            </w:tcBorders>
            <w:shd w:val="clear" w:color="auto" w:fill="auto"/>
            <w:noWrap/>
            <w:vAlign w:val="bottom"/>
            <w:hideMark/>
          </w:tcPr>
          <w:p w14:paraId="68D300BB"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3.083,3</w:t>
            </w:r>
          </w:p>
        </w:tc>
        <w:tc>
          <w:tcPr>
            <w:tcW w:w="880" w:type="dxa"/>
            <w:tcBorders>
              <w:top w:val="nil"/>
              <w:left w:val="nil"/>
              <w:bottom w:val="single" w:sz="4" w:space="0" w:color="auto"/>
              <w:right w:val="single" w:sz="4" w:space="0" w:color="auto"/>
            </w:tcBorders>
            <w:shd w:val="clear" w:color="auto" w:fill="auto"/>
            <w:noWrap/>
            <w:vAlign w:val="bottom"/>
            <w:hideMark/>
          </w:tcPr>
          <w:p w14:paraId="01CFEC5D"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1.337,4</w:t>
            </w:r>
          </w:p>
        </w:tc>
        <w:tc>
          <w:tcPr>
            <w:tcW w:w="853" w:type="dxa"/>
            <w:tcBorders>
              <w:top w:val="nil"/>
              <w:left w:val="nil"/>
              <w:bottom w:val="single" w:sz="4" w:space="0" w:color="auto"/>
              <w:right w:val="single" w:sz="4" w:space="0" w:color="auto"/>
            </w:tcBorders>
            <w:shd w:val="clear" w:color="auto" w:fill="auto"/>
            <w:noWrap/>
            <w:vAlign w:val="bottom"/>
            <w:hideMark/>
          </w:tcPr>
          <w:p w14:paraId="20AB6AE1"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37.049,7</w:t>
            </w:r>
          </w:p>
        </w:tc>
      </w:tr>
      <w:tr w:rsidR="009371DC" w:rsidRPr="008860BA" w14:paraId="0AA98E23"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8560389" w14:textId="5FF6BD39" w:rsidR="009371DC" w:rsidRPr="008860BA" w:rsidRDefault="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Costul v</w:t>
            </w:r>
            <w:r w:rsidR="00E10604" w:rsidRPr="008860BA">
              <w:rPr>
                <w:rFonts w:asciiTheme="majorHAnsi" w:eastAsia="Times New Roman" w:hAnsiTheme="majorHAnsi" w:cstheme="majorHAnsi"/>
                <w:color w:val="000000"/>
                <w:sz w:val="18"/>
                <w:szCs w:val="18"/>
                <w:lang w:val="ro-MD"/>
              </w:rPr>
              <w:t>â</w:t>
            </w:r>
            <w:r w:rsidRPr="008860BA">
              <w:rPr>
                <w:rFonts w:asciiTheme="majorHAnsi" w:eastAsia="Times New Roman" w:hAnsiTheme="majorHAnsi" w:cstheme="majorHAnsi"/>
                <w:color w:val="000000"/>
                <w:sz w:val="18"/>
                <w:szCs w:val="18"/>
                <w:lang w:val="ro-MD"/>
              </w:rPr>
              <w:t>nzărilor, inclusiv:</w:t>
            </w:r>
          </w:p>
        </w:tc>
        <w:tc>
          <w:tcPr>
            <w:tcW w:w="673" w:type="dxa"/>
            <w:tcBorders>
              <w:top w:val="nil"/>
              <w:left w:val="nil"/>
              <w:bottom w:val="single" w:sz="4" w:space="0" w:color="auto"/>
              <w:right w:val="single" w:sz="4" w:space="0" w:color="auto"/>
            </w:tcBorders>
            <w:shd w:val="clear" w:color="auto" w:fill="auto"/>
            <w:noWrap/>
            <w:vAlign w:val="bottom"/>
            <w:hideMark/>
          </w:tcPr>
          <w:p w14:paraId="06D277B7"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711</w:t>
            </w:r>
          </w:p>
        </w:tc>
        <w:tc>
          <w:tcPr>
            <w:tcW w:w="1170" w:type="dxa"/>
            <w:tcBorders>
              <w:top w:val="nil"/>
              <w:left w:val="nil"/>
              <w:bottom w:val="single" w:sz="4" w:space="0" w:color="auto"/>
              <w:right w:val="single" w:sz="4" w:space="0" w:color="auto"/>
            </w:tcBorders>
            <w:shd w:val="clear" w:color="auto" w:fill="auto"/>
            <w:noWrap/>
            <w:vAlign w:val="bottom"/>
            <w:hideMark/>
          </w:tcPr>
          <w:p w14:paraId="53474BE5"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144.144,9</w:t>
            </w:r>
          </w:p>
        </w:tc>
        <w:tc>
          <w:tcPr>
            <w:tcW w:w="1218" w:type="dxa"/>
            <w:tcBorders>
              <w:top w:val="nil"/>
              <w:left w:val="nil"/>
              <w:bottom w:val="single" w:sz="4" w:space="0" w:color="auto"/>
              <w:right w:val="single" w:sz="4" w:space="0" w:color="auto"/>
            </w:tcBorders>
            <w:shd w:val="clear" w:color="auto" w:fill="auto"/>
            <w:noWrap/>
            <w:vAlign w:val="bottom"/>
            <w:hideMark/>
          </w:tcPr>
          <w:p w14:paraId="713774AB"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144.144,9</w:t>
            </w:r>
          </w:p>
        </w:tc>
        <w:tc>
          <w:tcPr>
            <w:tcW w:w="1137" w:type="dxa"/>
            <w:tcBorders>
              <w:top w:val="nil"/>
              <w:left w:val="nil"/>
              <w:bottom w:val="single" w:sz="4" w:space="0" w:color="auto"/>
              <w:right w:val="single" w:sz="4" w:space="0" w:color="auto"/>
            </w:tcBorders>
            <w:shd w:val="clear" w:color="auto" w:fill="auto"/>
            <w:noWrap/>
            <w:vAlign w:val="bottom"/>
            <w:hideMark/>
          </w:tcPr>
          <w:p w14:paraId="7783B436"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94.963,7</w:t>
            </w:r>
          </w:p>
        </w:tc>
        <w:tc>
          <w:tcPr>
            <w:tcW w:w="1263" w:type="dxa"/>
            <w:tcBorders>
              <w:top w:val="nil"/>
              <w:left w:val="nil"/>
              <w:bottom w:val="single" w:sz="4" w:space="0" w:color="auto"/>
              <w:right w:val="single" w:sz="4" w:space="0" w:color="auto"/>
            </w:tcBorders>
            <w:shd w:val="clear" w:color="auto" w:fill="auto"/>
            <w:noWrap/>
            <w:vAlign w:val="bottom"/>
            <w:hideMark/>
          </w:tcPr>
          <w:p w14:paraId="12A571A2"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466,5</w:t>
            </w:r>
          </w:p>
        </w:tc>
        <w:tc>
          <w:tcPr>
            <w:tcW w:w="1196" w:type="dxa"/>
            <w:tcBorders>
              <w:top w:val="nil"/>
              <w:left w:val="nil"/>
              <w:bottom w:val="single" w:sz="4" w:space="0" w:color="auto"/>
              <w:right w:val="single" w:sz="4" w:space="0" w:color="auto"/>
            </w:tcBorders>
            <w:shd w:val="clear" w:color="auto" w:fill="auto"/>
            <w:noWrap/>
            <w:vAlign w:val="bottom"/>
            <w:hideMark/>
          </w:tcPr>
          <w:p w14:paraId="70050A9F"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0C756D80"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12.306,3</w:t>
            </w:r>
          </w:p>
        </w:tc>
        <w:tc>
          <w:tcPr>
            <w:tcW w:w="761" w:type="dxa"/>
            <w:tcBorders>
              <w:top w:val="nil"/>
              <w:left w:val="nil"/>
              <w:bottom w:val="single" w:sz="4" w:space="0" w:color="auto"/>
              <w:right w:val="single" w:sz="4" w:space="0" w:color="auto"/>
            </w:tcBorders>
            <w:shd w:val="clear" w:color="auto" w:fill="auto"/>
            <w:noWrap/>
            <w:vAlign w:val="bottom"/>
            <w:hideMark/>
          </w:tcPr>
          <w:p w14:paraId="0FF6852B"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2.638,7</w:t>
            </w:r>
          </w:p>
        </w:tc>
        <w:tc>
          <w:tcPr>
            <w:tcW w:w="880" w:type="dxa"/>
            <w:tcBorders>
              <w:top w:val="nil"/>
              <w:left w:val="nil"/>
              <w:bottom w:val="single" w:sz="4" w:space="0" w:color="auto"/>
              <w:right w:val="single" w:sz="4" w:space="0" w:color="auto"/>
            </w:tcBorders>
            <w:shd w:val="clear" w:color="auto" w:fill="auto"/>
            <w:noWrap/>
            <w:vAlign w:val="bottom"/>
            <w:hideMark/>
          </w:tcPr>
          <w:p w14:paraId="7F5F88E6"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2.366,6</w:t>
            </w:r>
          </w:p>
        </w:tc>
        <w:tc>
          <w:tcPr>
            <w:tcW w:w="853" w:type="dxa"/>
            <w:tcBorders>
              <w:top w:val="nil"/>
              <w:left w:val="nil"/>
              <w:bottom w:val="single" w:sz="4" w:space="0" w:color="auto"/>
              <w:right w:val="single" w:sz="4" w:space="0" w:color="auto"/>
            </w:tcBorders>
            <w:shd w:val="clear" w:color="auto" w:fill="auto"/>
            <w:noWrap/>
            <w:vAlign w:val="bottom"/>
            <w:hideMark/>
          </w:tcPr>
          <w:p w14:paraId="0F13EE4C"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31.403,1</w:t>
            </w:r>
          </w:p>
        </w:tc>
      </w:tr>
      <w:tr w:rsidR="009371DC" w:rsidRPr="008860BA" w14:paraId="448B63DD"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25BE94DB" w14:textId="17C60CCD" w:rsidR="009371DC" w:rsidRPr="008860BA" w:rsidRDefault="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Alimenta</w:t>
            </w:r>
            <w:r w:rsidR="00E10604"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ia</w:t>
            </w:r>
          </w:p>
        </w:tc>
        <w:tc>
          <w:tcPr>
            <w:tcW w:w="673" w:type="dxa"/>
            <w:tcBorders>
              <w:top w:val="nil"/>
              <w:left w:val="nil"/>
              <w:bottom w:val="single" w:sz="4" w:space="0" w:color="auto"/>
              <w:right w:val="single" w:sz="4" w:space="0" w:color="auto"/>
            </w:tcBorders>
            <w:shd w:val="clear" w:color="auto" w:fill="auto"/>
            <w:noWrap/>
            <w:vAlign w:val="bottom"/>
            <w:hideMark/>
          </w:tcPr>
          <w:p w14:paraId="1B615B9E"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01048FDF"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3.714,7</w:t>
            </w:r>
          </w:p>
        </w:tc>
        <w:tc>
          <w:tcPr>
            <w:tcW w:w="1218" w:type="dxa"/>
            <w:tcBorders>
              <w:top w:val="nil"/>
              <w:left w:val="nil"/>
              <w:bottom w:val="single" w:sz="4" w:space="0" w:color="auto"/>
              <w:right w:val="single" w:sz="4" w:space="0" w:color="auto"/>
            </w:tcBorders>
            <w:shd w:val="clear" w:color="auto" w:fill="auto"/>
            <w:noWrap/>
            <w:vAlign w:val="bottom"/>
            <w:hideMark/>
          </w:tcPr>
          <w:p w14:paraId="27101ED4"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3.714,7</w:t>
            </w:r>
          </w:p>
        </w:tc>
        <w:tc>
          <w:tcPr>
            <w:tcW w:w="1137" w:type="dxa"/>
            <w:tcBorders>
              <w:top w:val="nil"/>
              <w:left w:val="nil"/>
              <w:bottom w:val="single" w:sz="4" w:space="0" w:color="auto"/>
              <w:right w:val="single" w:sz="4" w:space="0" w:color="auto"/>
            </w:tcBorders>
            <w:shd w:val="clear" w:color="auto" w:fill="auto"/>
            <w:hideMark/>
          </w:tcPr>
          <w:p w14:paraId="307B6310"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3.485,9</w:t>
            </w:r>
          </w:p>
        </w:tc>
        <w:tc>
          <w:tcPr>
            <w:tcW w:w="1263" w:type="dxa"/>
            <w:tcBorders>
              <w:top w:val="nil"/>
              <w:left w:val="nil"/>
              <w:bottom w:val="single" w:sz="4" w:space="0" w:color="auto"/>
              <w:right w:val="single" w:sz="4" w:space="0" w:color="auto"/>
            </w:tcBorders>
            <w:shd w:val="clear" w:color="auto" w:fill="auto"/>
            <w:noWrap/>
            <w:vAlign w:val="bottom"/>
            <w:hideMark/>
          </w:tcPr>
          <w:p w14:paraId="08943D1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39F73B48"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5CAA1EA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05668E3D"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4A6B7C06"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0,0</w:t>
            </w:r>
          </w:p>
        </w:tc>
        <w:tc>
          <w:tcPr>
            <w:tcW w:w="853" w:type="dxa"/>
            <w:tcBorders>
              <w:top w:val="nil"/>
              <w:left w:val="nil"/>
              <w:bottom w:val="single" w:sz="4" w:space="0" w:color="auto"/>
              <w:right w:val="single" w:sz="4" w:space="0" w:color="auto"/>
            </w:tcBorders>
            <w:shd w:val="clear" w:color="auto" w:fill="auto"/>
            <w:hideMark/>
          </w:tcPr>
          <w:p w14:paraId="1881BF0F"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228,8</w:t>
            </w:r>
          </w:p>
        </w:tc>
      </w:tr>
      <w:tr w:rsidR="009371DC" w:rsidRPr="008860BA" w14:paraId="671E01EC"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3282DEB7"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Alte cheltuieli</w:t>
            </w:r>
          </w:p>
        </w:tc>
        <w:tc>
          <w:tcPr>
            <w:tcW w:w="673" w:type="dxa"/>
            <w:tcBorders>
              <w:top w:val="nil"/>
              <w:left w:val="nil"/>
              <w:bottom w:val="single" w:sz="4" w:space="0" w:color="auto"/>
              <w:right w:val="single" w:sz="4" w:space="0" w:color="auto"/>
            </w:tcBorders>
            <w:shd w:val="clear" w:color="auto" w:fill="auto"/>
            <w:noWrap/>
            <w:vAlign w:val="bottom"/>
            <w:hideMark/>
          </w:tcPr>
          <w:p w14:paraId="61A6EC9E"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5BD056F1"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1.018,9</w:t>
            </w:r>
          </w:p>
        </w:tc>
        <w:tc>
          <w:tcPr>
            <w:tcW w:w="1218" w:type="dxa"/>
            <w:tcBorders>
              <w:top w:val="nil"/>
              <w:left w:val="nil"/>
              <w:bottom w:val="single" w:sz="4" w:space="0" w:color="auto"/>
              <w:right w:val="single" w:sz="4" w:space="0" w:color="auto"/>
            </w:tcBorders>
            <w:shd w:val="clear" w:color="auto" w:fill="auto"/>
            <w:noWrap/>
            <w:vAlign w:val="bottom"/>
            <w:hideMark/>
          </w:tcPr>
          <w:p w14:paraId="62A44AD1"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1.018,9</w:t>
            </w:r>
          </w:p>
        </w:tc>
        <w:tc>
          <w:tcPr>
            <w:tcW w:w="1137" w:type="dxa"/>
            <w:tcBorders>
              <w:top w:val="nil"/>
              <w:left w:val="nil"/>
              <w:bottom w:val="single" w:sz="4" w:space="0" w:color="auto"/>
              <w:right w:val="single" w:sz="4" w:space="0" w:color="auto"/>
            </w:tcBorders>
            <w:shd w:val="clear" w:color="auto" w:fill="auto"/>
            <w:hideMark/>
          </w:tcPr>
          <w:p w14:paraId="53D72A03"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75,6</w:t>
            </w:r>
          </w:p>
        </w:tc>
        <w:tc>
          <w:tcPr>
            <w:tcW w:w="1263" w:type="dxa"/>
            <w:tcBorders>
              <w:top w:val="nil"/>
              <w:left w:val="nil"/>
              <w:bottom w:val="single" w:sz="4" w:space="0" w:color="auto"/>
              <w:right w:val="single" w:sz="4" w:space="0" w:color="auto"/>
            </w:tcBorders>
            <w:shd w:val="clear" w:color="auto" w:fill="auto"/>
            <w:hideMark/>
          </w:tcPr>
          <w:p w14:paraId="00739920"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3,3</w:t>
            </w:r>
          </w:p>
        </w:tc>
        <w:tc>
          <w:tcPr>
            <w:tcW w:w="1196" w:type="dxa"/>
            <w:tcBorders>
              <w:top w:val="nil"/>
              <w:left w:val="nil"/>
              <w:bottom w:val="single" w:sz="4" w:space="0" w:color="auto"/>
              <w:right w:val="single" w:sz="4" w:space="0" w:color="auto"/>
            </w:tcBorders>
            <w:shd w:val="clear" w:color="auto" w:fill="auto"/>
            <w:noWrap/>
            <w:vAlign w:val="bottom"/>
            <w:hideMark/>
          </w:tcPr>
          <w:p w14:paraId="6DC6008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600FBCDF"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42,7</w:t>
            </w:r>
          </w:p>
        </w:tc>
        <w:tc>
          <w:tcPr>
            <w:tcW w:w="761" w:type="dxa"/>
            <w:tcBorders>
              <w:top w:val="nil"/>
              <w:left w:val="nil"/>
              <w:bottom w:val="single" w:sz="4" w:space="0" w:color="auto"/>
              <w:right w:val="single" w:sz="4" w:space="0" w:color="auto"/>
            </w:tcBorders>
            <w:shd w:val="clear" w:color="auto" w:fill="auto"/>
            <w:hideMark/>
          </w:tcPr>
          <w:p w14:paraId="56CD9D70"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80" w:type="dxa"/>
            <w:tcBorders>
              <w:top w:val="nil"/>
              <w:left w:val="nil"/>
              <w:bottom w:val="single" w:sz="4" w:space="0" w:color="auto"/>
              <w:right w:val="single" w:sz="4" w:space="0" w:color="auto"/>
            </w:tcBorders>
            <w:shd w:val="clear" w:color="auto" w:fill="auto"/>
            <w:hideMark/>
          </w:tcPr>
          <w:p w14:paraId="291DB72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599,9</w:t>
            </w:r>
          </w:p>
        </w:tc>
        <w:tc>
          <w:tcPr>
            <w:tcW w:w="853" w:type="dxa"/>
            <w:tcBorders>
              <w:top w:val="nil"/>
              <w:left w:val="nil"/>
              <w:bottom w:val="single" w:sz="4" w:space="0" w:color="auto"/>
              <w:right w:val="single" w:sz="4" w:space="0" w:color="auto"/>
            </w:tcBorders>
            <w:shd w:val="clear" w:color="auto" w:fill="auto"/>
            <w:hideMark/>
          </w:tcPr>
          <w:p w14:paraId="7407B7AB"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297,3</w:t>
            </w:r>
          </w:p>
        </w:tc>
      </w:tr>
      <w:tr w:rsidR="009371DC" w:rsidRPr="008860BA" w14:paraId="21F05344"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053C9CAB"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Alte cheltuieli stream</w:t>
            </w:r>
          </w:p>
        </w:tc>
        <w:tc>
          <w:tcPr>
            <w:tcW w:w="673" w:type="dxa"/>
            <w:tcBorders>
              <w:top w:val="nil"/>
              <w:left w:val="nil"/>
              <w:bottom w:val="single" w:sz="4" w:space="0" w:color="auto"/>
              <w:right w:val="single" w:sz="4" w:space="0" w:color="auto"/>
            </w:tcBorders>
            <w:shd w:val="clear" w:color="auto" w:fill="auto"/>
            <w:noWrap/>
            <w:vAlign w:val="bottom"/>
            <w:hideMark/>
          </w:tcPr>
          <w:p w14:paraId="01530F1C"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6A77677B"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24,6</w:t>
            </w:r>
          </w:p>
        </w:tc>
        <w:tc>
          <w:tcPr>
            <w:tcW w:w="1218" w:type="dxa"/>
            <w:tcBorders>
              <w:top w:val="nil"/>
              <w:left w:val="nil"/>
              <w:bottom w:val="single" w:sz="4" w:space="0" w:color="auto"/>
              <w:right w:val="single" w:sz="4" w:space="0" w:color="auto"/>
            </w:tcBorders>
            <w:shd w:val="clear" w:color="auto" w:fill="auto"/>
            <w:noWrap/>
            <w:vAlign w:val="bottom"/>
            <w:hideMark/>
          </w:tcPr>
          <w:p w14:paraId="01C9D060"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24,6</w:t>
            </w:r>
          </w:p>
        </w:tc>
        <w:tc>
          <w:tcPr>
            <w:tcW w:w="1137" w:type="dxa"/>
            <w:tcBorders>
              <w:top w:val="nil"/>
              <w:left w:val="nil"/>
              <w:bottom w:val="single" w:sz="4" w:space="0" w:color="auto"/>
              <w:right w:val="single" w:sz="4" w:space="0" w:color="auto"/>
            </w:tcBorders>
            <w:shd w:val="clear" w:color="auto" w:fill="auto"/>
            <w:hideMark/>
          </w:tcPr>
          <w:p w14:paraId="364BA707"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63" w:type="dxa"/>
            <w:tcBorders>
              <w:top w:val="nil"/>
              <w:left w:val="nil"/>
              <w:bottom w:val="single" w:sz="4" w:space="0" w:color="auto"/>
              <w:right w:val="single" w:sz="4" w:space="0" w:color="auto"/>
            </w:tcBorders>
            <w:shd w:val="clear" w:color="auto" w:fill="auto"/>
            <w:noWrap/>
            <w:vAlign w:val="bottom"/>
            <w:hideMark/>
          </w:tcPr>
          <w:p w14:paraId="0F537B3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10AA6B8F"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74ED157A"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hideMark/>
          </w:tcPr>
          <w:p w14:paraId="465DE2EE"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80" w:type="dxa"/>
            <w:tcBorders>
              <w:top w:val="nil"/>
              <w:left w:val="nil"/>
              <w:bottom w:val="single" w:sz="4" w:space="0" w:color="auto"/>
              <w:right w:val="single" w:sz="4" w:space="0" w:color="auto"/>
            </w:tcBorders>
            <w:shd w:val="clear" w:color="auto" w:fill="auto"/>
            <w:hideMark/>
          </w:tcPr>
          <w:p w14:paraId="1AD796CF"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0,0</w:t>
            </w:r>
          </w:p>
        </w:tc>
        <w:tc>
          <w:tcPr>
            <w:tcW w:w="853" w:type="dxa"/>
            <w:tcBorders>
              <w:top w:val="nil"/>
              <w:left w:val="nil"/>
              <w:bottom w:val="single" w:sz="4" w:space="0" w:color="auto"/>
              <w:right w:val="single" w:sz="4" w:space="0" w:color="auto"/>
            </w:tcBorders>
            <w:shd w:val="clear" w:color="auto" w:fill="auto"/>
            <w:hideMark/>
          </w:tcPr>
          <w:p w14:paraId="5BC14E93"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24,6</w:t>
            </w:r>
          </w:p>
        </w:tc>
      </w:tr>
      <w:tr w:rsidR="009371DC" w:rsidRPr="008860BA" w14:paraId="2B991AAE"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1BB726D4"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Alte produse alimentare</w:t>
            </w:r>
          </w:p>
        </w:tc>
        <w:tc>
          <w:tcPr>
            <w:tcW w:w="673" w:type="dxa"/>
            <w:tcBorders>
              <w:top w:val="nil"/>
              <w:left w:val="nil"/>
              <w:bottom w:val="single" w:sz="4" w:space="0" w:color="auto"/>
              <w:right w:val="single" w:sz="4" w:space="0" w:color="auto"/>
            </w:tcBorders>
            <w:shd w:val="clear" w:color="auto" w:fill="auto"/>
            <w:noWrap/>
            <w:vAlign w:val="bottom"/>
            <w:hideMark/>
          </w:tcPr>
          <w:p w14:paraId="5C5965A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6C9DEBA5"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50,8</w:t>
            </w:r>
          </w:p>
        </w:tc>
        <w:tc>
          <w:tcPr>
            <w:tcW w:w="1218" w:type="dxa"/>
            <w:tcBorders>
              <w:top w:val="nil"/>
              <w:left w:val="nil"/>
              <w:bottom w:val="single" w:sz="4" w:space="0" w:color="auto"/>
              <w:right w:val="single" w:sz="4" w:space="0" w:color="auto"/>
            </w:tcBorders>
            <w:shd w:val="clear" w:color="auto" w:fill="auto"/>
            <w:noWrap/>
            <w:vAlign w:val="bottom"/>
            <w:hideMark/>
          </w:tcPr>
          <w:p w14:paraId="0165FE53"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50,8</w:t>
            </w:r>
          </w:p>
        </w:tc>
        <w:tc>
          <w:tcPr>
            <w:tcW w:w="1137" w:type="dxa"/>
            <w:tcBorders>
              <w:top w:val="nil"/>
              <w:left w:val="nil"/>
              <w:bottom w:val="single" w:sz="4" w:space="0" w:color="auto"/>
              <w:right w:val="single" w:sz="4" w:space="0" w:color="auto"/>
            </w:tcBorders>
            <w:shd w:val="clear" w:color="auto" w:fill="auto"/>
            <w:hideMark/>
          </w:tcPr>
          <w:p w14:paraId="40DA607D"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9,9</w:t>
            </w:r>
          </w:p>
        </w:tc>
        <w:tc>
          <w:tcPr>
            <w:tcW w:w="1263" w:type="dxa"/>
            <w:tcBorders>
              <w:top w:val="nil"/>
              <w:left w:val="nil"/>
              <w:bottom w:val="single" w:sz="4" w:space="0" w:color="auto"/>
              <w:right w:val="single" w:sz="4" w:space="0" w:color="auto"/>
            </w:tcBorders>
            <w:shd w:val="clear" w:color="auto" w:fill="auto"/>
            <w:noWrap/>
            <w:vAlign w:val="bottom"/>
            <w:hideMark/>
          </w:tcPr>
          <w:p w14:paraId="14B466F1"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67DDEE16"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4803A738"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4F32F86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7170077D"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0,0</w:t>
            </w:r>
          </w:p>
        </w:tc>
        <w:tc>
          <w:tcPr>
            <w:tcW w:w="853" w:type="dxa"/>
            <w:tcBorders>
              <w:top w:val="nil"/>
              <w:left w:val="nil"/>
              <w:bottom w:val="single" w:sz="4" w:space="0" w:color="auto"/>
              <w:right w:val="single" w:sz="4" w:space="0" w:color="auto"/>
            </w:tcBorders>
            <w:shd w:val="clear" w:color="auto" w:fill="auto"/>
            <w:hideMark/>
          </w:tcPr>
          <w:p w14:paraId="71DC4D9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40,8</w:t>
            </w:r>
          </w:p>
        </w:tc>
      </w:tr>
      <w:tr w:rsidR="009371DC" w:rsidRPr="008860BA" w14:paraId="76F4B73A"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2BA15F0D"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Ambalaj</w:t>
            </w:r>
          </w:p>
        </w:tc>
        <w:tc>
          <w:tcPr>
            <w:tcW w:w="673" w:type="dxa"/>
            <w:tcBorders>
              <w:top w:val="nil"/>
              <w:left w:val="nil"/>
              <w:bottom w:val="single" w:sz="4" w:space="0" w:color="auto"/>
              <w:right w:val="single" w:sz="4" w:space="0" w:color="auto"/>
            </w:tcBorders>
            <w:shd w:val="clear" w:color="auto" w:fill="auto"/>
            <w:noWrap/>
            <w:vAlign w:val="bottom"/>
            <w:hideMark/>
          </w:tcPr>
          <w:p w14:paraId="68C84764"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6667C71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204,7</w:t>
            </w:r>
          </w:p>
        </w:tc>
        <w:tc>
          <w:tcPr>
            <w:tcW w:w="1218" w:type="dxa"/>
            <w:tcBorders>
              <w:top w:val="nil"/>
              <w:left w:val="nil"/>
              <w:bottom w:val="single" w:sz="4" w:space="0" w:color="auto"/>
              <w:right w:val="single" w:sz="4" w:space="0" w:color="auto"/>
            </w:tcBorders>
            <w:shd w:val="clear" w:color="auto" w:fill="auto"/>
            <w:noWrap/>
            <w:vAlign w:val="bottom"/>
            <w:hideMark/>
          </w:tcPr>
          <w:p w14:paraId="364D3EDB"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204,7</w:t>
            </w:r>
          </w:p>
        </w:tc>
        <w:tc>
          <w:tcPr>
            <w:tcW w:w="1137" w:type="dxa"/>
            <w:tcBorders>
              <w:top w:val="nil"/>
              <w:left w:val="nil"/>
              <w:bottom w:val="single" w:sz="4" w:space="0" w:color="auto"/>
              <w:right w:val="single" w:sz="4" w:space="0" w:color="auto"/>
            </w:tcBorders>
            <w:shd w:val="clear" w:color="auto" w:fill="auto"/>
            <w:hideMark/>
          </w:tcPr>
          <w:p w14:paraId="4C712350"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110,7</w:t>
            </w:r>
          </w:p>
        </w:tc>
        <w:tc>
          <w:tcPr>
            <w:tcW w:w="1263" w:type="dxa"/>
            <w:tcBorders>
              <w:top w:val="nil"/>
              <w:left w:val="nil"/>
              <w:bottom w:val="single" w:sz="4" w:space="0" w:color="auto"/>
              <w:right w:val="single" w:sz="4" w:space="0" w:color="auto"/>
            </w:tcBorders>
            <w:shd w:val="clear" w:color="auto" w:fill="auto"/>
            <w:noWrap/>
            <w:vAlign w:val="bottom"/>
            <w:hideMark/>
          </w:tcPr>
          <w:p w14:paraId="2B64800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4990E084"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5601FC7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253F839A"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hideMark/>
          </w:tcPr>
          <w:p w14:paraId="10A87607"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22,2</w:t>
            </w:r>
          </w:p>
        </w:tc>
        <w:tc>
          <w:tcPr>
            <w:tcW w:w="853" w:type="dxa"/>
            <w:tcBorders>
              <w:top w:val="nil"/>
              <w:left w:val="nil"/>
              <w:bottom w:val="single" w:sz="4" w:space="0" w:color="auto"/>
              <w:right w:val="single" w:sz="4" w:space="0" w:color="auto"/>
            </w:tcBorders>
            <w:shd w:val="clear" w:color="auto" w:fill="auto"/>
            <w:hideMark/>
          </w:tcPr>
          <w:p w14:paraId="29C49E2C"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71,8</w:t>
            </w:r>
          </w:p>
        </w:tc>
      </w:tr>
      <w:tr w:rsidR="009371DC" w:rsidRPr="008860BA" w14:paraId="0FFD8BAD"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25262395"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Amortizarea IN</w:t>
            </w:r>
          </w:p>
        </w:tc>
        <w:tc>
          <w:tcPr>
            <w:tcW w:w="673" w:type="dxa"/>
            <w:tcBorders>
              <w:top w:val="nil"/>
              <w:left w:val="nil"/>
              <w:bottom w:val="single" w:sz="4" w:space="0" w:color="auto"/>
              <w:right w:val="single" w:sz="4" w:space="0" w:color="auto"/>
            </w:tcBorders>
            <w:shd w:val="clear" w:color="auto" w:fill="auto"/>
            <w:noWrap/>
            <w:vAlign w:val="bottom"/>
            <w:hideMark/>
          </w:tcPr>
          <w:p w14:paraId="432FDA2E"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1DD1E26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7,9</w:t>
            </w:r>
          </w:p>
        </w:tc>
        <w:tc>
          <w:tcPr>
            <w:tcW w:w="1218" w:type="dxa"/>
            <w:tcBorders>
              <w:top w:val="nil"/>
              <w:left w:val="nil"/>
              <w:bottom w:val="single" w:sz="4" w:space="0" w:color="auto"/>
              <w:right w:val="single" w:sz="4" w:space="0" w:color="auto"/>
            </w:tcBorders>
            <w:shd w:val="clear" w:color="auto" w:fill="auto"/>
            <w:noWrap/>
            <w:vAlign w:val="bottom"/>
            <w:hideMark/>
          </w:tcPr>
          <w:p w14:paraId="17E6DB57"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7,9</w:t>
            </w:r>
          </w:p>
        </w:tc>
        <w:tc>
          <w:tcPr>
            <w:tcW w:w="1137" w:type="dxa"/>
            <w:tcBorders>
              <w:top w:val="nil"/>
              <w:left w:val="nil"/>
              <w:bottom w:val="single" w:sz="4" w:space="0" w:color="auto"/>
              <w:right w:val="single" w:sz="4" w:space="0" w:color="auto"/>
            </w:tcBorders>
            <w:shd w:val="clear" w:color="auto" w:fill="auto"/>
            <w:hideMark/>
          </w:tcPr>
          <w:p w14:paraId="0E795740"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63" w:type="dxa"/>
            <w:tcBorders>
              <w:top w:val="nil"/>
              <w:left w:val="nil"/>
              <w:bottom w:val="single" w:sz="4" w:space="0" w:color="auto"/>
              <w:right w:val="single" w:sz="4" w:space="0" w:color="auto"/>
            </w:tcBorders>
            <w:shd w:val="clear" w:color="auto" w:fill="auto"/>
            <w:noWrap/>
            <w:vAlign w:val="bottom"/>
            <w:hideMark/>
          </w:tcPr>
          <w:p w14:paraId="6014E008"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1BE36C1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7EB5CE38"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1FB538D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hideMark/>
          </w:tcPr>
          <w:p w14:paraId="0651C182"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7,9</w:t>
            </w:r>
          </w:p>
        </w:tc>
        <w:tc>
          <w:tcPr>
            <w:tcW w:w="853" w:type="dxa"/>
            <w:tcBorders>
              <w:top w:val="nil"/>
              <w:left w:val="nil"/>
              <w:bottom w:val="single" w:sz="4" w:space="0" w:color="auto"/>
              <w:right w:val="single" w:sz="4" w:space="0" w:color="auto"/>
            </w:tcBorders>
            <w:shd w:val="clear" w:color="auto" w:fill="auto"/>
            <w:noWrap/>
            <w:vAlign w:val="bottom"/>
            <w:hideMark/>
          </w:tcPr>
          <w:p w14:paraId="09795D5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2835A3B6"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0CE41583"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Amortizarea MF</w:t>
            </w:r>
          </w:p>
        </w:tc>
        <w:tc>
          <w:tcPr>
            <w:tcW w:w="673" w:type="dxa"/>
            <w:tcBorders>
              <w:top w:val="nil"/>
              <w:left w:val="nil"/>
              <w:bottom w:val="single" w:sz="4" w:space="0" w:color="auto"/>
              <w:right w:val="single" w:sz="4" w:space="0" w:color="auto"/>
            </w:tcBorders>
            <w:shd w:val="clear" w:color="auto" w:fill="auto"/>
            <w:noWrap/>
            <w:vAlign w:val="bottom"/>
            <w:hideMark/>
          </w:tcPr>
          <w:p w14:paraId="2519F5C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6FF63C5D"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8.074,1</w:t>
            </w:r>
          </w:p>
        </w:tc>
        <w:tc>
          <w:tcPr>
            <w:tcW w:w="1218" w:type="dxa"/>
            <w:tcBorders>
              <w:top w:val="nil"/>
              <w:left w:val="nil"/>
              <w:bottom w:val="single" w:sz="4" w:space="0" w:color="auto"/>
              <w:right w:val="single" w:sz="4" w:space="0" w:color="auto"/>
            </w:tcBorders>
            <w:shd w:val="clear" w:color="auto" w:fill="auto"/>
            <w:noWrap/>
            <w:vAlign w:val="bottom"/>
            <w:hideMark/>
          </w:tcPr>
          <w:p w14:paraId="5476A5A8"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8.074,1</w:t>
            </w:r>
          </w:p>
        </w:tc>
        <w:tc>
          <w:tcPr>
            <w:tcW w:w="1137" w:type="dxa"/>
            <w:tcBorders>
              <w:top w:val="nil"/>
              <w:left w:val="nil"/>
              <w:bottom w:val="single" w:sz="4" w:space="0" w:color="auto"/>
              <w:right w:val="single" w:sz="4" w:space="0" w:color="auto"/>
            </w:tcBorders>
            <w:shd w:val="clear" w:color="auto" w:fill="auto"/>
            <w:hideMark/>
          </w:tcPr>
          <w:p w14:paraId="66BE1132"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2.188,0</w:t>
            </w:r>
          </w:p>
        </w:tc>
        <w:tc>
          <w:tcPr>
            <w:tcW w:w="1263" w:type="dxa"/>
            <w:tcBorders>
              <w:top w:val="nil"/>
              <w:left w:val="nil"/>
              <w:bottom w:val="single" w:sz="4" w:space="0" w:color="auto"/>
              <w:right w:val="single" w:sz="4" w:space="0" w:color="auto"/>
            </w:tcBorders>
            <w:shd w:val="clear" w:color="auto" w:fill="auto"/>
            <w:hideMark/>
          </w:tcPr>
          <w:p w14:paraId="24A68BF9"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1,6</w:t>
            </w:r>
          </w:p>
        </w:tc>
        <w:tc>
          <w:tcPr>
            <w:tcW w:w="1196" w:type="dxa"/>
            <w:tcBorders>
              <w:top w:val="nil"/>
              <w:left w:val="nil"/>
              <w:bottom w:val="single" w:sz="4" w:space="0" w:color="auto"/>
              <w:right w:val="single" w:sz="4" w:space="0" w:color="auto"/>
            </w:tcBorders>
            <w:shd w:val="clear" w:color="auto" w:fill="auto"/>
            <w:noWrap/>
            <w:vAlign w:val="bottom"/>
            <w:hideMark/>
          </w:tcPr>
          <w:p w14:paraId="24549D0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5D182F7D"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0,8</w:t>
            </w:r>
          </w:p>
        </w:tc>
        <w:tc>
          <w:tcPr>
            <w:tcW w:w="761" w:type="dxa"/>
            <w:tcBorders>
              <w:top w:val="nil"/>
              <w:left w:val="nil"/>
              <w:bottom w:val="single" w:sz="4" w:space="0" w:color="auto"/>
              <w:right w:val="single" w:sz="4" w:space="0" w:color="auto"/>
            </w:tcBorders>
            <w:shd w:val="clear" w:color="auto" w:fill="auto"/>
            <w:hideMark/>
          </w:tcPr>
          <w:p w14:paraId="03E2BF7B"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117,1</w:t>
            </w:r>
          </w:p>
        </w:tc>
        <w:tc>
          <w:tcPr>
            <w:tcW w:w="880" w:type="dxa"/>
            <w:tcBorders>
              <w:top w:val="nil"/>
              <w:left w:val="nil"/>
              <w:bottom w:val="single" w:sz="4" w:space="0" w:color="auto"/>
              <w:right w:val="single" w:sz="4" w:space="0" w:color="auto"/>
            </w:tcBorders>
            <w:shd w:val="clear" w:color="auto" w:fill="auto"/>
            <w:noWrap/>
            <w:vAlign w:val="bottom"/>
            <w:hideMark/>
          </w:tcPr>
          <w:p w14:paraId="2CD888D5"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68,2</w:t>
            </w:r>
          </w:p>
        </w:tc>
        <w:tc>
          <w:tcPr>
            <w:tcW w:w="853" w:type="dxa"/>
            <w:tcBorders>
              <w:top w:val="nil"/>
              <w:left w:val="nil"/>
              <w:bottom w:val="single" w:sz="4" w:space="0" w:color="auto"/>
              <w:right w:val="single" w:sz="4" w:space="0" w:color="auto"/>
            </w:tcBorders>
            <w:shd w:val="clear" w:color="auto" w:fill="auto"/>
            <w:hideMark/>
          </w:tcPr>
          <w:p w14:paraId="0A06213C"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5.698,5</w:t>
            </w:r>
          </w:p>
        </w:tc>
      </w:tr>
      <w:tr w:rsidR="009371DC" w:rsidRPr="008860BA" w14:paraId="7C96B7DF"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2CD63757"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Apa potabilă</w:t>
            </w:r>
          </w:p>
        </w:tc>
        <w:tc>
          <w:tcPr>
            <w:tcW w:w="673" w:type="dxa"/>
            <w:tcBorders>
              <w:top w:val="nil"/>
              <w:left w:val="nil"/>
              <w:bottom w:val="single" w:sz="4" w:space="0" w:color="auto"/>
              <w:right w:val="single" w:sz="4" w:space="0" w:color="auto"/>
            </w:tcBorders>
            <w:shd w:val="clear" w:color="auto" w:fill="auto"/>
            <w:noWrap/>
            <w:vAlign w:val="bottom"/>
            <w:hideMark/>
          </w:tcPr>
          <w:p w14:paraId="3115BD41"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2A0A2661"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9,1</w:t>
            </w:r>
          </w:p>
        </w:tc>
        <w:tc>
          <w:tcPr>
            <w:tcW w:w="1218" w:type="dxa"/>
            <w:tcBorders>
              <w:top w:val="nil"/>
              <w:left w:val="nil"/>
              <w:bottom w:val="single" w:sz="4" w:space="0" w:color="auto"/>
              <w:right w:val="single" w:sz="4" w:space="0" w:color="auto"/>
            </w:tcBorders>
            <w:shd w:val="clear" w:color="auto" w:fill="auto"/>
            <w:noWrap/>
            <w:vAlign w:val="bottom"/>
            <w:hideMark/>
          </w:tcPr>
          <w:p w14:paraId="626F20D1"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9,1</w:t>
            </w:r>
          </w:p>
        </w:tc>
        <w:tc>
          <w:tcPr>
            <w:tcW w:w="1137" w:type="dxa"/>
            <w:tcBorders>
              <w:top w:val="nil"/>
              <w:left w:val="nil"/>
              <w:bottom w:val="single" w:sz="4" w:space="0" w:color="auto"/>
              <w:right w:val="single" w:sz="4" w:space="0" w:color="auto"/>
            </w:tcBorders>
            <w:shd w:val="clear" w:color="auto" w:fill="auto"/>
            <w:hideMark/>
          </w:tcPr>
          <w:p w14:paraId="5C4ADA00"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63" w:type="dxa"/>
            <w:tcBorders>
              <w:top w:val="nil"/>
              <w:left w:val="nil"/>
              <w:bottom w:val="single" w:sz="4" w:space="0" w:color="auto"/>
              <w:right w:val="single" w:sz="4" w:space="0" w:color="auto"/>
            </w:tcBorders>
            <w:shd w:val="clear" w:color="auto" w:fill="auto"/>
            <w:noWrap/>
            <w:vAlign w:val="bottom"/>
            <w:hideMark/>
          </w:tcPr>
          <w:p w14:paraId="3E9A174E"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387CD4FE"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2803DCF5"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761" w:type="dxa"/>
            <w:tcBorders>
              <w:top w:val="nil"/>
              <w:left w:val="nil"/>
              <w:bottom w:val="single" w:sz="4" w:space="0" w:color="auto"/>
              <w:right w:val="single" w:sz="4" w:space="0" w:color="auto"/>
            </w:tcBorders>
            <w:shd w:val="clear" w:color="auto" w:fill="auto"/>
            <w:hideMark/>
          </w:tcPr>
          <w:p w14:paraId="37405DD3"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3B5C31AF"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9,1</w:t>
            </w:r>
          </w:p>
        </w:tc>
        <w:tc>
          <w:tcPr>
            <w:tcW w:w="853" w:type="dxa"/>
            <w:tcBorders>
              <w:top w:val="nil"/>
              <w:left w:val="nil"/>
              <w:bottom w:val="single" w:sz="4" w:space="0" w:color="auto"/>
              <w:right w:val="single" w:sz="4" w:space="0" w:color="auto"/>
            </w:tcBorders>
            <w:shd w:val="clear" w:color="auto" w:fill="auto"/>
            <w:noWrap/>
            <w:vAlign w:val="bottom"/>
            <w:hideMark/>
          </w:tcPr>
          <w:p w14:paraId="5AEACBB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493C824B"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3D18D847"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Apa si canalizarea</w:t>
            </w:r>
          </w:p>
        </w:tc>
        <w:tc>
          <w:tcPr>
            <w:tcW w:w="673" w:type="dxa"/>
            <w:tcBorders>
              <w:top w:val="nil"/>
              <w:left w:val="nil"/>
              <w:bottom w:val="single" w:sz="4" w:space="0" w:color="auto"/>
              <w:right w:val="single" w:sz="4" w:space="0" w:color="auto"/>
            </w:tcBorders>
            <w:shd w:val="clear" w:color="auto" w:fill="auto"/>
            <w:noWrap/>
            <w:vAlign w:val="bottom"/>
            <w:hideMark/>
          </w:tcPr>
          <w:p w14:paraId="7D2DF5C7"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673AD943"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592,8</w:t>
            </w:r>
          </w:p>
        </w:tc>
        <w:tc>
          <w:tcPr>
            <w:tcW w:w="1218" w:type="dxa"/>
            <w:tcBorders>
              <w:top w:val="nil"/>
              <w:left w:val="nil"/>
              <w:bottom w:val="single" w:sz="4" w:space="0" w:color="auto"/>
              <w:right w:val="single" w:sz="4" w:space="0" w:color="auto"/>
            </w:tcBorders>
            <w:shd w:val="clear" w:color="auto" w:fill="auto"/>
            <w:noWrap/>
            <w:vAlign w:val="bottom"/>
            <w:hideMark/>
          </w:tcPr>
          <w:p w14:paraId="57ADD6D9"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592,8</w:t>
            </w:r>
          </w:p>
        </w:tc>
        <w:tc>
          <w:tcPr>
            <w:tcW w:w="1137" w:type="dxa"/>
            <w:tcBorders>
              <w:top w:val="nil"/>
              <w:left w:val="nil"/>
              <w:bottom w:val="single" w:sz="4" w:space="0" w:color="auto"/>
              <w:right w:val="single" w:sz="4" w:space="0" w:color="auto"/>
            </w:tcBorders>
            <w:shd w:val="clear" w:color="auto" w:fill="auto"/>
            <w:hideMark/>
          </w:tcPr>
          <w:p w14:paraId="4318382B"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153,0</w:t>
            </w:r>
          </w:p>
        </w:tc>
        <w:tc>
          <w:tcPr>
            <w:tcW w:w="1263" w:type="dxa"/>
            <w:tcBorders>
              <w:top w:val="nil"/>
              <w:left w:val="nil"/>
              <w:bottom w:val="single" w:sz="4" w:space="0" w:color="auto"/>
              <w:right w:val="single" w:sz="4" w:space="0" w:color="auto"/>
            </w:tcBorders>
            <w:shd w:val="clear" w:color="auto" w:fill="auto"/>
            <w:noWrap/>
            <w:vAlign w:val="bottom"/>
            <w:hideMark/>
          </w:tcPr>
          <w:p w14:paraId="132FB4B2"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2833D9CC"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6837255F"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392,7</w:t>
            </w:r>
          </w:p>
        </w:tc>
        <w:tc>
          <w:tcPr>
            <w:tcW w:w="761" w:type="dxa"/>
            <w:tcBorders>
              <w:top w:val="nil"/>
              <w:left w:val="nil"/>
              <w:bottom w:val="single" w:sz="4" w:space="0" w:color="auto"/>
              <w:right w:val="single" w:sz="4" w:space="0" w:color="auto"/>
            </w:tcBorders>
            <w:shd w:val="clear" w:color="auto" w:fill="auto"/>
            <w:noWrap/>
            <w:vAlign w:val="bottom"/>
            <w:hideMark/>
          </w:tcPr>
          <w:p w14:paraId="26A1AB8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nil"/>
              <w:right w:val="nil"/>
            </w:tcBorders>
            <w:shd w:val="clear" w:color="auto" w:fill="auto"/>
            <w:noWrap/>
            <w:vAlign w:val="bottom"/>
            <w:hideMark/>
          </w:tcPr>
          <w:p w14:paraId="233EBAE8"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47,1</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38950DB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0EAE8E8C"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315F5C67" w14:textId="311A25EB"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Che</w:t>
            </w:r>
            <w:r w:rsidR="00E10604" w:rsidRPr="008860BA">
              <w:rPr>
                <w:rFonts w:asciiTheme="majorHAnsi" w:eastAsia="Times New Roman" w:hAnsiTheme="majorHAnsi" w:cstheme="majorHAnsi"/>
                <w:sz w:val="18"/>
                <w:szCs w:val="18"/>
                <w:lang w:val="ro-MD"/>
              </w:rPr>
              <w:t>l</w:t>
            </w:r>
            <w:r w:rsidRPr="008860BA">
              <w:rPr>
                <w:rFonts w:asciiTheme="majorHAnsi" w:eastAsia="Times New Roman" w:hAnsiTheme="majorHAnsi" w:cstheme="majorHAnsi"/>
                <w:sz w:val="18"/>
                <w:szCs w:val="18"/>
                <w:lang w:val="ro-MD"/>
              </w:rPr>
              <w:t>tuieli de reprezentare</w:t>
            </w:r>
          </w:p>
        </w:tc>
        <w:tc>
          <w:tcPr>
            <w:tcW w:w="673" w:type="dxa"/>
            <w:tcBorders>
              <w:top w:val="nil"/>
              <w:left w:val="nil"/>
              <w:bottom w:val="single" w:sz="4" w:space="0" w:color="auto"/>
              <w:right w:val="single" w:sz="4" w:space="0" w:color="auto"/>
            </w:tcBorders>
            <w:shd w:val="clear" w:color="auto" w:fill="auto"/>
            <w:noWrap/>
            <w:vAlign w:val="bottom"/>
            <w:hideMark/>
          </w:tcPr>
          <w:p w14:paraId="3268972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717AEAA2"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0,4</w:t>
            </w:r>
          </w:p>
        </w:tc>
        <w:tc>
          <w:tcPr>
            <w:tcW w:w="1218" w:type="dxa"/>
            <w:tcBorders>
              <w:top w:val="nil"/>
              <w:left w:val="nil"/>
              <w:bottom w:val="single" w:sz="4" w:space="0" w:color="auto"/>
              <w:right w:val="single" w:sz="4" w:space="0" w:color="auto"/>
            </w:tcBorders>
            <w:shd w:val="clear" w:color="auto" w:fill="auto"/>
            <w:noWrap/>
            <w:vAlign w:val="bottom"/>
            <w:hideMark/>
          </w:tcPr>
          <w:p w14:paraId="13884FA7"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0,4</w:t>
            </w:r>
          </w:p>
        </w:tc>
        <w:tc>
          <w:tcPr>
            <w:tcW w:w="1137" w:type="dxa"/>
            <w:tcBorders>
              <w:top w:val="nil"/>
              <w:left w:val="nil"/>
              <w:bottom w:val="single" w:sz="4" w:space="0" w:color="auto"/>
              <w:right w:val="single" w:sz="4" w:space="0" w:color="auto"/>
            </w:tcBorders>
            <w:shd w:val="clear" w:color="auto" w:fill="auto"/>
            <w:hideMark/>
          </w:tcPr>
          <w:p w14:paraId="6F646473"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63" w:type="dxa"/>
            <w:tcBorders>
              <w:top w:val="nil"/>
              <w:left w:val="nil"/>
              <w:bottom w:val="single" w:sz="4" w:space="0" w:color="auto"/>
              <w:right w:val="single" w:sz="4" w:space="0" w:color="auto"/>
            </w:tcBorders>
            <w:shd w:val="clear" w:color="auto" w:fill="auto"/>
            <w:noWrap/>
            <w:vAlign w:val="bottom"/>
            <w:hideMark/>
          </w:tcPr>
          <w:p w14:paraId="796E851D"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1FF594C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2B58AD9F"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040969C2"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782AE568"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0,4</w:t>
            </w:r>
          </w:p>
        </w:tc>
        <w:tc>
          <w:tcPr>
            <w:tcW w:w="853" w:type="dxa"/>
            <w:tcBorders>
              <w:top w:val="nil"/>
              <w:left w:val="nil"/>
              <w:bottom w:val="single" w:sz="4" w:space="0" w:color="auto"/>
              <w:right w:val="single" w:sz="4" w:space="0" w:color="auto"/>
            </w:tcBorders>
            <w:shd w:val="clear" w:color="auto" w:fill="auto"/>
            <w:noWrap/>
            <w:vAlign w:val="bottom"/>
            <w:hideMark/>
          </w:tcPr>
          <w:p w14:paraId="20AFADE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3E652870"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599F435C"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Cheltuieli de transport</w:t>
            </w:r>
          </w:p>
        </w:tc>
        <w:tc>
          <w:tcPr>
            <w:tcW w:w="673" w:type="dxa"/>
            <w:tcBorders>
              <w:top w:val="nil"/>
              <w:left w:val="nil"/>
              <w:bottom w:val="single" w:sz="4" w:space="0" w:color="auto"/>
              <w:right w:val="single" w:sz="4" w:space="0" w:color="auto"/>
            </w:tcBorders>
            <w:shd w:val="clear" w:color="auto" w:fill="auto"/>
            <w:noWrap/>
            <w:vAlign w:val="bottom"/>
            <w:hideMark/>
          </w:tcPr>
          <w:p w14:paraId="4DE80A98"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59EB51D1"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154,5</w:t>
            </w:r>
          </w:p>
        </w:tc>
        <w:tc>
          <w:tcPr>
            <w:tcW w:w="1218" w:type="dxa"/>
            <w:tcBorders>
              <w:top w:val="nil"/>
              <w:left w:val="nil"/>
              <w:bottom w:val="single" w:sz="4" w:space="0" w:color="auto"/>
              <w:right w:val="single" w:sz="4" w:space="0" w:color="auto"/>
            </w:tcBorders>
            <w:shd w:val="clear" w:color="auto" w:fill="auto"/>
            <w:noWrap/>
            <w:vAlign w:val="bottom"/>
            <w:hideMark/>
          </w:tcPr>
          <w:p w14:paraId="33AEAEA5"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154,5</w:t>
            </w:r>
          </w:p>
        </w:tc>
        <w:tc>
          <w:tcPr>
            <w:tcW w:w="1137" w:type="dxa"/>
            <w:tcBorders>
              <w:top w:val="nil"/>
              <w:left w:val="nil"/>
              <w:bottom w:val="single" w:sz="4" w:space="0" w:color="auto"/>
              <w:right w:val="single" w:sz="4" w:space="0" w:color="auto"/>
            </w:tcBorders>
            <w:shd w:val="clear" w:color="auto" w:fill="auto"/>
            <w:hideMark/>
          </w:tcPr>
          <w:p w14:paraId="4F6EC31C"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11,3</w:t>
            </w:r>
          </w:p>
        </w:tc>
        <w:tc>
          <w:tcPr>
            <w:tcW w:w="1263" w:type="dxa"/>
            <w:tcBorders>
              <w:top w:val="nil"/>
              <w:left w:val="nil"/>
              <w:bottom w:val="single" w:sz="4" w:space="0" w:color="auto"/>
              <w:right w:val="single" w:sz="4" w:space="0" w:color="auto"/>
            </w:tcBorders>
            <w:shd w:val="clear" w:color="auto" w:fill="auto"/>
            <w:hideMark/>
          </w:tcPr>
          <w:p w14:paraId="673FFAD6"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54,3</w:t>
            </w:r>
          </w:p>
        </w:tc>
        <w:tc>
          <w:tcPr>
            <w:tcW w:w="1196" w:type="dxa"/>
            <w:tcBorders>
              <w:top w:val="nil"/>
              <w:left w:val="nil"/>
              <w:bottom w:val="single" w:sz="4" w:space="0" w:color="auto"/>
              <w:right w:val="single" w:sz="4" w:space="0" w:color="auto"/>
            </w:tcBorders>
            <w:shd w:val="clear" w:color="auto" w:fill="auto"/>
            <w:noWrap/>
            <w:vAlign w:val="bottom"/>
            <w:hideMark/>
          </w:tcPr>
          <w:p w14:paraId="1C86D2A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7B4B8A7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1C0BA324"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nil"/>
              <w:right w:val="nil"/>
            </w:tcBorders>
            <w:shd w:val="clear" w:color="auto" w:fill="auto"/>
            <w:noWrap/>
            <w:vAlign w:val="bottom"/>
            <w:hideMark/>
          </w:tcPr>
          <w:p w14:paraId="057E60A4"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72,8</w:t>
            </w:r>
          </w:p>
        </w:tc>
        <w:tc>
          <w:tcPr>
            <w:tcW w:w="853" w:type="dxa"/>
            <w:tcBorders>
              <w:top w:val="nil"/>
              <w:left w:val="single" w:sz="4" w:space="0" w:color="auto"/>
              <w:bottom w:val="single" w:sz="4" w:space="0" w:color="auto"/>
              <w:right w:val="single" w:sz="4" w:space="0" w:color="auto"/>
            </w:tcBorders>
            <w:shd w:val="clear" w:color="auto" w:fill="auto"/>
            <w:hideMark/>
          </w:tcPr>
          <w:p w14:paraId="5C4E2EC5"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16,1</w:t>
            </w:r>
          </w:p>
        </w:tc>
      </w:tr>
      <w:tr w:rsidR="009371DC" w:rsidRPr="008860BA" w14:paraId="3C4298BD"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49CD279B" w14:textId="23E5C6D4" w:rsidR="009371DC" w:rsidRPr="008860BA" w:rsidRDefault="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Comunica</w:t>
            </w:r>
            <w:r w:rsidR="00E10604"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ii</w:t>
            </w:r>
          </w:p>
        </w:tc>
        <w:tc>
          <w:tcPr>
            <w:tcW w:w="673" w:type="dxa"/>
            <w:tcBorders>
              <w:top w:val="nil"/>
              <w:left w:val="nil"/>
              <w:bottom w:val="single" w:sz="4" w:space="0" w:color="auto"/>
              <w:right w:val="single" w:sz="4" w:space="0" w:color="auto"/>
            </w:tcBorders>
            <w:shd w:val="clear" w:color="auto" w:fill="auto"/>
            <w:noWrap/>
            <w:vAlign w:val="bottom"/>
            <w:hideMark/>
          </w:tcPr>
          <w:p w14:paraId="5E7533C2"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514F7A22"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280,9</w:t>
            </w:r>
          </w:p>
        </w:tc>
        <w:tc>
          <w:tcPr>
            <w:tcW w:w="1218" w:type="dxa"/>
            <w:tcBorders>
              <w:top w:val="nil"/>
              <w:left w:val="nil"/>
              <w:bottom w:val="single" w:sz="4" w:space="0" w:color="auto"/>
              <w:right w:val="single" w:sz="4" w:space="0" w:color="auto"/>
            </w:tcBorders>
            <w:shd w:val="clear" w:color="auto" w:fill="auto"/>
            <w:noWrap/>
            <w:vAlign w:val="bottom"/>
            <w:hideMark/>
          </w:tcPr>
          <w:p w14:paraId="710D5054"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280,9</w:t>
            </w:r>
          </w:p>
        </w:tc>
        <w:tc>
          <w:tcPr>
            <w:tcW w:w="1137" w:type="dxa"/>
            <w:tcBorders>
              <w:top w:val="nil"/>
              <w:left w:val="nil"/>
              <w:bottom w:val="single" w:sz="4" w:space="0" w:color="auto"/>
              <w:right w:val="single" w:sz="4" w:space="0" w:color="auto"/>
            </w:tcBorders>
            <w:shd w:val="clear" w:color="auto" w:fill="auto"/>
            <w:hideMark/>
          </w:tcPr>
          <w:p w14:paraId="26CF8886"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115,7</w:t>
            </w:r>
          </w:p>
        </w:tc>
        <w:tc>
          <w:tcPr>
            <w:tcW w:w="1263" w:type="dxa"/>
            <w:tcBorders>
              <w:top w:val="nil"/>
              <w:left w:val="nil"/>
              <w:bottom w:val="single" w:sz="4" w:space="0" w:color="auto"/>
              <w:right w:val="single" w:sz="4" w:space="0" w:color="auto"/>
            </w:tcBorders>
            <w:shd w:val="clear" w:color="auto" w:fill="auto"/>
            <w:noWrap/>
            <w:vAlign w:val="bottom"/>
            <w:hideMark/>
          </w:tcPr>
          <w:p w14:paraId="02B546A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7F639967"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2B00FB7C"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42,7</w:t>
            </w:r>
          </w:p>
        </w:tc>
        <w:tc>
          <w:tcPr>
            <w:tcW w:w="761" w:type="dxa"/>
            <w:tcBorders>
              <w:top w:val="nil"/>
              <w:left w:val="nil"/>
              <w:bottom w:val="single" w:sz="4" w:space="0" w:color="auto"/>
              <w:right w:val="single" w:sz="4" w:space="0" w:color="auto"/>
            </w:tcBorders>
            <w:shd w:val="clear" w:color="auto" w:fill="auto"/>
            <w:noWrap/>
            <w:vAlign w:val="bottom"/>
            <w:hideMark/>
          </w:tcPr>
          <w:p w14:paraId="5FBC8036"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5D8F9259"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10,0</w:t>
            </w:r>
          </w:p>
        </w:tc>
        <w:tc>
          <w:tcPr>
            <w:tcW w:w="853" w:type="dxa"/>
            <w:tcBorders>
              <w:top w:val="nil"/>
              <w:left w:val="nil"/>
              <w:bottom w:val="single" w:sz="4" w:space="0" w:color="auto"/>
              <w:right w:val="single" w:sz="4" w:space="0" w:color="auto"/>
            </w:tcBorders>
            <w:shd w:val="clear" w:color="auto" w:fill="auto"/>
            <w:hideMark/>
          </w:tcPr>
          <w:p w14:paraId="67EE4E66"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112,6</w:t>
            </w:r>
          </w:p>
        </w:tc>
      </w:tr>
      <w:tr w:rsidR="009371DC" w:rsidRPr="008860BA" w14:paraId="405F7804"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61EA63E6" w14:textId="410968E4" w:rsidR="009371DC" w:rsidRPr="008860BA" w:rsidRDefault="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Deplas</w:t>
            </w:r>
            <w:r w:rsidR="00E10604" w:rsidRPr="008860BA">
              <w:rPr>
                <w:rFonts w:asciiTheme="majorHAnsi" w:eastAsia="Times New Roman" w:hAnsiTheme="majorHAnsi" w:cstheme="majorHAnsi"/>
                <w:sz w:val="18"/>
                <w:szCs w:val="18"/>
                <w:lang w:val="ro-MD"/>
              </w:rPr>
              <w:t>ă</w:t>
            </w:r>
            <w:r w:rsidRPr="008860BA">
              <w:rPr>
                <w:rFonts w:asciiTheme="majorHAnsi" w:eastAsia="Times New Roman" w:hAnsiTheme="majorHAnsi" w:cstheme="majorHAnsi"/>
                <w:sz w:val="18"/>
                <w:szCs w:val="18"/>
                <w:lang w:val="ro-MD"/>
              </w:rPr>
              <w:t>ri</w:t>
            </w:r>
          </w:p>
        </w:tc>
        <w:tc>
          <w:tcPr>
            <w:tcW w:w="673" w:type="dxa"/>
            <w:tcBorders>
              <w:top w:val="nil"/>
              <w:left w:val="nil"/>
              <w:bottom w:val="single" w:sz="4" w:space="0" w:color="auto"/>
              <w:right w:val="single" w:sz="4" w:space="0" w:color="auto"/>
            </w:tcBorders>
            <w:shd w:val="clear" w:color="auto" w:fill="auto"/>
            <w:noWrap/>
            <w:vAlign w:val="bottom"/>
            <w:hideMark/>
          </w:tcPr>
          <w:p w14:paraId="78075534"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4C5CA640"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24,8</w:t>
            </w:r>
          </w:p>
        </w:tc>
        <w:tc>
          <w:tcPr>
            <w:tcW w:w="1218" w:type="dxa"/>
            <w:tcBorders>
              <w:top w:val="nil"/>
              <w:left w:val="nil"/>
              <w:bottom w:val="single" w:sz="4" w:space="0" w:color="auto"/>
              <w:right w:val="single" w:sz="4" w:space="0" w:color="auto"/>
            </w:tcBorders>
            <w:shd w:val="clear" w:color="auto" w:fill="auto"/>
            <w:noWrap/>
            <w:vAlign w:val="bottom"/>
            <w:hideMark/>
          </w:tcPr>
          <w:p w14:paraId="1962B08E"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24,8</w:t>
            </w:r>
          </w:p>
        </w:tc>
        <w:tc>
          <w:tcPr>
            <w:tcW w:w="1137" w:type="dxa"/>
            <w:tcBorders>
              <w:top w:val="nil"/>
              <w:left w:val="nil"/>
              <w:bottom w:val="single" w:sz="4" w:space="0" w:color="auto"/>
              <w:right w:val="single" w:sz="4" w:space="0" w:color="auto"/>
            </w:tcBorders>
            <w:shd w:val="clear" w:color="auto" w:fill="auto"/>
            <w:hideMark/>
          </w:tcPr>
          <w:p w14:paraId="7A1C001D"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63" w:type="dxa"/>
            <w:tcBorders>
              <w:top w:val="nil"/>
              <w:left w:val="nil"/>
              <w:bottom w:val="single" w:sz="4" w:space="0" w:color="auto"/>
              <w:right w:val="single" w:sz="4" w:space="0" w:color="auto"/>
            </w:tcBorders>
            <w:shd w:val="clear" w:color="auto" w:fill="auto"/>
            <w:hideMark/>
          </w:tcPr>
          <w:p w14:paraId="1F3D5225"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24,8</w:t>
            </w:r>
          </w:p>
        </w:tc>
        <w:tc>
          <w:tcPr>
            <w:tcW w:w="1196" w:type="dxa"/>
            <w:tcBorders>
              <w:top w:val="nil"/>
              <w:left w:val="nil"/>
              <w:bottom w:val="single" w:sz="4" w:space="0" w:color="auto"/>
              <w:right w:val="single" w:sz="4" w:space="0" w:color="auto"/>
            </w:tcBorders>
            <w:shd w:val="clear" w:color="auto" w:fill="auto"/>
            <w:noWrap/>
            <w:vAlign w:val="bottom"/>
            <w:hideMark/>
          </w:tcPr>
          <w:p w14:paraId="0E8527CA"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25543BC3"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2B857757"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3A4013BB"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0,0</w:t>
            </w:r>
          </w:p>
        </w:tc>
        <w:tc>
          <w:tcPr>
            <w:tcW w:w="853" w:type="dxa"/>
            <w:tcBorders>
              <w:top w:val="nil"/>
              <w:left w:val="nil"/>
              <w:bottom w:val="single" w:sz="4" w:space="0" w:color="auto"/>
              <w:right w:val="single" w:sz="4" w:space="0" w:color="auto"/>
            </w:tcBorders>
            <w:shd w:val="clear" w:color="auto" w:fill="auto"/>
            <w:hideMark/>
          </w:tcPr>
          <w:p w14:paraId="4741BF9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9371DC" w:rsidRPr="008860BA" w14:paraId="1F0CE9C2"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298C16D5" w14:textId="1B1F734A"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Detergen</w:t>
            </w:r>
            <w:r w:rsidR="00B13B9A"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w:t>
            </w:r>
          </w:p>
        </w:tc>
        <w:tc>
          <w:tcPr>
            <w:tcW w:w="673" w:type="dxa"/>
            <w:tcBorders>
              <w:top w:val="nil"/>
              <w:left w:val="nil"/>
              <w:bottom w:val="single" w:sz="4" w:space="0" w:color="auto"/>
              <w:right w:val="single" w:sz="4" w:space="0" w:color="auto"/>
            </w:tcBorders>
            <w:shd w:val="clear" w:color="auto" w:fill="auto"/>
            <w:noWrap/>
            <w:vAlign w:val="bottom"/>
            <w:hideMark/>
          </w:tcPr>
          <w:p w14:paraId="7E54BA0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13707CED"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85,1</w:t>
            </w:r>
          </w:p>
        </w:tc>
        <w:tc>
          <w:tcPr>
            <w:tcW w:w="1218" w:type="dxa"/>
            <w:tcBorders>
              <w:top w:val="nil"/>
              <w:left w:val="nil"/>
              <w:bottom w:val="single" w:sz="4" w:space="0" w:color="auto"/>
              <w:right w:val="single" w:sz="4" w:space="0" w:color="auto"/>
            </w:tcBorders>
            <w:shd w:val="clear" w:color="auto" w:fill="auto"/>
            <w:noWrap/>
            <w:vAlign w:val="bottom"/>
            <w:hideMark/>
          </w:tcPr>
          <w:p w14:paraId="5D754B5D"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85,1</w:t>
            </w:r>
          </w:p>
        </w:tc>
        <w:tc>
          <w:tcPr>
            <w:tcW w:w="1137" w:type="dxa"/>
            <w:tcBorders>
              <w:top w:val="nil"/>
              <w:left w:val="nil"/>
              <w:bottom w:val="single" w:sz="4" w:space="0" w:color="auto"/>
              <w:right w:val="single" w:sz="4" w:space="0" w:color="auto"/>
            </w:tcBorders>
            <w:shd w:val="clear" w:color="auto" w:fill="auto"/>
            <w:hideMark/>
          </w:tcPr>
          <w:p w14:paraId="77D9229F"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34,7</w:t>
            </w:r>
          </w:p>
        </w:tc>
        <w:tc>
          <w:tcPr>
            <w:tcW w:w="1263" w:type="dxa"/>
            <w:tcBorders>
              <w:top w:val="nil"/>
              <w:left w:val="nil"/>
              <w:bottom w:val="single" w:sz="4" w:space="0" w:color="auto"/>
              <w:right w:val="single" w:sz="4" w:space="0" w:color="auto"/>
            </w:tcBorders>
            <w:shd w:val="clear" w:color="auto" w:fill="auto"/>
            <w:noWrap/>
            <w:vAlign w:val="bottom"/>
            <w:hideMark/>
          </w:tcPr>
          <w:p w14:paraId="601226E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336BFAA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507AFCF5"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37,9</w:t>
            </w:r>
          </w:p>
        </w:tc>
        <w:tc>
          <w:tcPr>
            <w:tcW w:w="761" w:type="dxa"/>
            <w:tcBorders>
              <w:top w:val="nil"/>
              <w:left w:val="nil"/>
              <w:bottom w:val="single" w:sz="4" w:space="0" w:color="auto"/>
              <w:right w:val="single" w:sz="4" w:space="0" w:color="auto"/>
            </w:tcBorders>
            <w:shd w:val="clear" w:color="auto" w:fill="auto"/>
            <w:noWrap/>
            <w:vAlign w:val="bottom"/>
            <w:hideMark/>
          </w:tcPr>
          <w:p w14:paraId="19471042"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564771DE"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0,0</w:t>
            </w:r>
          </w:p>
        </w:tc>
        <w:tc>
          <w:tcPr>
            <w:tcW w:w="853" w:type="dxa"/>
            <w:tcBorders>
              <w:top w:val="nil"/>
              <w:left w:val="nil"/>
              <w:bottom w:val="single" w:sz="4" w:space="0" w:color="auto"/>
              <w:right w:val="single" w:sz="4" w:space="0" w:color="auto"/>
            </w:tcBorders>
            <w:shd w:val="clear" w:color="auto" w:fill="auto"/>
            <w:hideMark/>
          </w:tcPr>
          <w:p w14:paraId="0DE82CD7"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12,5</w:t>
            </w:r>
          </w:p>
        </w:tc>
      </w:tr>
      <w:tr w:rsidR="009371DC" w:rsidRPr="008860BA" w14:paraId="583BEF4C"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4D706D0D" w14:textId="2109BD4F" w:rsidR="009371DC" w:rsidRPr="008860BA" w:rsidRDefault="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Energie electric</w:t>
            </w:r>
            <w:r w:rsidR="00E10604" w:rsidRPr="008860BA">
              <w:rPr>
                <w:rFonts w:asciiTheme="majorHAnsi" w:eastAsia="Times New Roman" w:hAnsiTheme="majorHAnsi" w:cstheme="majorHAnsi"/>
                <w:sz w:val="18"/>
                <w:szCs w:val="18"/>
                <w:lang w:val="ro-MD"/>
              </w:rPr>
              <w:t>ă</w:t>
            </w:r>
          </w:p>
        </w:tc>
        <w:tc>
          <w:tcPr>
            <w:tcW w:w="673" w:type="dxa"/>
            <w:tcBorders>
              <w:top w:val="nil"/>
              <w:left w:val="nil"/>
              <w:bottom w:val="single" w:sz="4" w:space="0" w:color="auto"/>
              <w:right w:val="single" w:sz="4" w:space="0" w:color="auto"/>
            </w:tcBorders>
            <w:shd w:val="clear" w:color="auto" w:fill="auto"/>
            <w:noWrap/>
            <w:vAlign w:val="bottom"/>
            <w:hideMark/>
          </w:tcPr>
          <w:p w14:paraId="6D1460B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41CE3F6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2.113,6</w:t>
            </w:r>
          </w:p>
        </w:tc>
        <w:tc>
          <w:tcPr>
            <w:tcW w:w="1218" w:type="dxa"/>
            <w:tcBorders>
              <w:top w:val="nil"/>
              <w:left w:val="nil"/>
              <w:bottom w:val="single" w:sz="4" w:space="0" w:color="auto"/>
              <w:right w:val="single" w:sz="4" w:space="0" w:color="auto"/>
            </w:tcBorders>
            <w:shd w:val="clear" w:color="auto" w:fill="auto"/>
            <w:noWrap/>
            <w:vAlign w:val="bottom"/>
            <w:hideMark/>
          </w:tcPr>
          <w:p w14:paraId="2062B81F"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2.113,6</w:t>
            </w:r>
          </w:p>
        </w:tc>
        <w:tc>
          <w:tcPr>
            <w:tcW w:w="1137" w:type="dxa"/>
            <w:tcBorders>
              <w:top w:val="nil"/>
              <w:left w:val="nil"/>
              <w:bottom w:val="single" w:sz="4" w:space="0" w:color="auto"/>
              <w:right w:val="single" w:sz="4" w:space="0" w:color="auto"/>
            </w:tcBorders>
            <w:shd w:val="clear" w:color="auto" w:fill="auto"/>
            <w:hideMark/>
          </w:tcPr>
          <w:p w14:paraId="063E3A1B"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518,9</w:t>
            </w:r>
          </w:p>
        </w:tc>
        <w:tc>
          <w:tcPr>
            <w:tcW w:w="1263" w:type="dxa"/>
            <w:tcBorders>
              <w:top w:val="nil"/>
              <w:left w:val="nil"/>
              <w:bottom w:val="single" w:sz="4" w:space="0" w:color="auto"/>
              <w:right w:val="single" w:sz="4" w:space="0" w:color="auto"/>
            </w:tcBorders>
            <w:shd w:val="clear" w:color="auto" w:fill="auto"/>
            <w:noWrap/>
            <w:vAlign w:val="bottom"/>
            <w:hideMark/>
          </w:tcPr>
          <w:p w14:paraId="1C47E42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0D090E9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2F8200A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1.152,6</w:t>
            </w:r>
          </w:p>
        </w:tc>
        <w:tc>
          <w:tcPr>
            <w:tcW w:w="761" w:type="dxa"/>
            <w:tcBorders>
              <w:top w:val="nil"/>
              <w:left w:val="nil"/>
              <w:bottom w:val="single" w:sz="4" w:space="0" w:color="auto"/>
              <w:right w:val="single" w:sz="4" w:space="0" w:color="auto"/>
            </w:tcBorders>
            <w:shd w:val="clear" w:color="auto" w:fill="auto"/>
            <w:noWrap/>
            <w:vAlign w:val="bottom"/>
            <w:hideMark/>
          </w:tcPr>
          <w:p w14:paraId="295F4D2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481E8B48"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241,9</w:t>
            </w:r>
          </w:p>
        </w:tc>
        <w:tc>
          <w:tcPr>
            <w:tcW w:w="853" w:type="dxa"/>
            <w:tcBorders>
              <w:top w:val="nil"/>
              <w:left w:val="nil"/>
              <w:bottom w:val="single" w:sz="4" w:space="0" w:color="auto"/>
              <w:right w:val="single" w:sz="4" w:space="0" w:color="auto"/>
            </w:tcBorders>
            <w:shd w:val="clear" w:color="auto" w:fill="auto"/>
            <w:hideMark/>
          </w:tcPr>
          <w:p w14:paraId="56D22E02"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200,2</w:t>
            </w:r>
          </w:p>
        </w:tc>
      </w:tr>
      <w:tr w:rsidR="009371DC" w:rsidRPr="008860BA" w14:paraId="36766EAF"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0E581805" w14:textId="0DB0484F" w:rsidR="009371DC" w:rsidRPr="008860BA" w:rsidRDefault="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Energie termic</w:t>
            </w:r>
            <w:r w:rsidR="00E10604" w:rsidRPr="008860BA">
              <w:rPr>
                <w:rFonts w:asciiTheme="majorHAnsi" w:eastAsia="Times New Roman" w:hAnsiTheme="majorHAnsi" w:cstheme="majorHAnsi"/>
                <w:sz w:val="18"/>
                <w:szCs w:val="18"/>
                <w:lang w:val="ro-MD"/>
              </w:rPr>
              <w:t>ă</w:t>
            </w:r>
          </w:p>
        </w:tc>
        <w:tc>
          <w:tcPr>
            <w:tcW w:w="673" w:type="dxa"/>
            <w:tcBorders>
              <w:top w:val="nil"/>
              <w:left w:val="nil"/>
              <w:bottom w:val="single" w:sz="4" w:space="0" w:color="auto"/>
              <w:right w:val="single" w:sz="4" w:space="0" w:color="auto"/>
            </w:tcBorders>
            <w:shd w:val="clear" w:color="auto" w:fill="auto"/>
            <w:noWrap/>
            <w:vAlign w:val="bottom"/>
            <w:hideMark/>
          </w:tcPr>
          <w:p w14:paraId="649E306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23B32520"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2.140,3</w:t>
            </w:r>
          </w:p>
        </w:tc>
        <w:tc>
          <w:tcPr>
            <w:tcW w:w="1218" w:type="dxa"/>
            <w:tcBorders>
              <w:top w:val="nil"/>
              <w:left w:val="nil"/>
              <w:bottom w:val="single" w:sz="4" w:space="0" w:color="auto"/>
              <w:right w:val="single" w:sz="4" w:space="0" w:color="auto"/>
            </w:tcBorders>
            <w:shd w:val="clear" w:color="auto" w:fill="auto"/>
            <w:noWrap/>
            <w:vAlign w:val="bottom"/>
            <w:hideMark/>
          </w:tcPr>
          <w:p w14:paraId="2AA40A54"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2.140,3</w:t>
            </w:r>
          </w:p>
        </w:tc>
        <w:tc>
          <w:tcPr>
            <w:tcW w:w="1137" w:type="dxa"/>
            <w:tcBorders>
              <w:top w:val="nil"/>
              <w:left w:val="nil"/>
              <w:bottom w:val="single" w:sz="4" w:space="0" w:color="auto"/>
              <w:right w:val="single" w:sz="4" w:space="0" w:color="auto"/>
            </w:tcBorders>
            <w:shd w:val="clear" w:color="auto" w:fill="auto"/>
            <w:hideMark/>
          </w:tcPr>
          <w:p w14:paraId="722CF9DA"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1.691,8</w:t>
            </w:r>
          </w:p>
        </w:tc>
        <w:tc>
          <w:tcPr>
            <w:tcW w:w="1263" w:type="dxa"/>
            <w:tcBorders>
              <w:top w:val="nil"/>
              <w:left w:val="nil"/>
              <w:bottom w:val="single" w:sz="4" w:space="0" w:color="auto"/>
              <w:right w:val="single" w:sz="4" w:space="0" w:color="auto"/>
            </w:tcBorders>
            <w:shd w:val="clear" w:color="auto" w:fill="auto"/>
            <w:noWrap/>
            <w:vAlign w:val="bottom"/>
            <w:hideMark/>
          </w:tcPr>
          <w:p w14:paraId="427A090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5EB8E326"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75EF1CF1"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150,0</w:t>
            </w:r>
          </w:p>
        </w:tc>
        <w:tc>
          <w:tcPr>
            <w:tcW w:w="761" w:type="dxa"/>
            <w:tcBorders>
              <w:top w:val="nil"/>
              <w:left w:val="nil"/>
              <w:bottom w:val="single" w:sz="4" w:space="0" w:color="auto"/>
              <w:right w:val="single" w:sz="4" w:space="0" w:color="auto"/>
            </w:tcBorders>
            <w:shd w:val="clear" w:color="auto" w:fill="auto"/>
            <w:noWrap/>
            <w:vAlign w:val="bottom"/>
            <w:hideMark/>
          </w:tcPr>
          <w:p w14:paraId="71363838"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nil"/>
              <w:right w:val="nil"/>
            </w:tcBorders>
            <w:shd w:val="clear" w:color="auto" w:fill="auto"/>
            <w:noWrap/>
            <w:vAlign w:val="bottom"/>
            <w:hideMark/>
          </w:tcPr>
          <w:p w14:paraId="4817A11F"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0,0</w:t>
            </w:r>
          </w:p>
        </w:tc>
        <w:tc>
          <w:tcPr>
            <w:tcW w:w="853" w:type="dxa"/>
            <w:tcBorders>
              <w:top w:val="nil"/>
              <w:left w:val="single" w:sz="4" w:space="0" w:color="auto"/>
              <w:bottom w:val="single" w:sz="4" w:space="0" w:color="auto"/>
              <w:right w:val="single" w:sz="4" w:space="0" w:color="auto"/>
            </w:tcBorders>
            <w:shd w:val="clear" w:color="auto" w:fill="auto"/>
            <w:hideMark/>
          </w:tcPr>
          <w:p w14:paraId="4D8D07F0"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298,5</w:t>
            </w:r>
          </w:p>
        </w:tc>
      </w:tr>
      <w:tr w:rsidR="009371DC" w:rsidRPr="008860BA" w14:paraId="63959128"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78810A02" w14:textId="34189960" w:rsidR="009371DC" w:rsidRPr="008860BA" w:rsidRDefault="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Fondul social (24%)</w:t>
            </w:r>
          </w:p>
        </w:tc>
        <w:tc>
          <w:tcPr>
            <w:tcW w:w="673" w:type="dxa"/>
            <w:tcBorders>
              <w:top w:val="nil"/>
              <w:left w:val="nil"/>
              <w:bottom w:val="single" w:sz="4" w:space="0" w:color="auto"/>
              <w:right w:val="single" w:sz="4" w:space="0" w:color="auto"/>
            </w:tcBorders>
            <w:shd w:val="clear" w:color="auto" w:fill="auto"/>
            <w:noWrap/>
            <w:vAlign w:val="bottom"/>
            <w:hideMark/>
          </w:tcPr>
          <w:p w14:paraId="0969F826"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41618260"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18.392,5</w:t>
            </w:r>
          </w:p>
        </w:tc>
        <w:tc>
          <w:tcPr>
            <w:tcW w:w="1218" w:type="dxa"/>
            <w:tcBorders>
              <w:top w:val="nil"/>
              <w:left w:val="nil"/>
              <w:bottom w:val="single" w:sz="4" w:space="0" w:color="auto"/>
              <w:right w:val="single" w:sz="4" w:space="0" w:color="auto"/>
            </w:tcBorders>
            <w:shd w:val="clear" w:color="auto" w:fill="auto"/>
            <w:noWrap/>
            <w:vAlign w:val="bottom"/>
            <w:hideMark/>
          </w:tcPr>
          <w:p w14:paraId="54D37C08"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18.392,5</w:t>
            </w:r>
          </w:p>
        </w:tc>
        <w:tc>
          <w:tcPr>
            <w:tcW w:w="1137" w:type="dxa"/>
            <w:tcBorders>
              <w:top w:val="nil"/>
              <w:left w:val="nil"/>
              <w:bottom w:val="single" w:sz="4" w:space="0" w:color="auto"/>
              <w:right w:val="single" w:sz="4" w:space="0" w:color="auto"/>
            </w:tcBorders>
            <w:shd w:val="clear" w:color="auto" w:fill="auto"/>
            <w:hideMark/>
          </w:tcPr>
          <w:p w14:paraId="504A32F8"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14.986,9</w:t>
            </w:r>
          </w:p>
        </w:tc>
        <w:tc>
          <w:tcPr>
            <w:tcW w:w="1263" w:type="dxa"/>
            <w:tcBorders>
              <w:top w:val="nil"/>
              <w:left w:val="nil"/>
              <w:bottom w:val="single" w:sz="4" w:space="0" w:color="auto"/>
              <w:right w:val="single" w:sz="4" w:space="0" w:color="auto"/>
            </w:tcBorders>
            <w:shd w:val="clear" w:color="auto" w:fill="auto"/>
            <w:hideMark/>
          </w:tcPr>
          <w:p w14:paraId="49923BCB"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26,7</w:t>
            </w:r>
          </w:p>
        </w:tc>
        <w:tc>
          <w:tcPr>
            <w:tcW w:w="1196" w:type="dxa"/>
            <w:tcBorders>
              <w:top w:val="nil"/>
              <w:left w:val="nil"/>
              <w:bottom w:val="single" w:sz="4" w:space="0" w:color="auto"/>
              <w:right w:val="single" w:sz="4" w:space="0" w:color="auto"/>
            </w:tcBorders>
            <w:shd w:val="clear" w:color="auto" w:fill="auto"/>
            <w:noWrap/>
            <w:vAlign w:val="bottom"/>
            <w:hideMark/>
          </w:tcPr>
          <w:p w14:paraId="0A0CC39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26B7964D"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1.962,0</w:t>
            </w:r>
          </w:p>
        </w:tc>
        <w:tc>
          <w:tcPr>
            <w:tcW w:w="761" w:type="dxa"/>
            <w:tcBorders>
              <w:top w:val="nil"/>
              <w:left w:val="nil"/>
              <w:bottom w:val="single" w:sz="4" w:space="0" w:color="auto"/>
              <w:right w:val="single" w:sz="4" w:space="0" w:color="auto"/>
            </w:tcBorders>
            <w:shd w:val="clear" w:color="auto" w:fill="auto"/>
            <w:hideMark/>
          </w:tcPr>
          <w:p w14:paraId="6C0DCEC7"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488,0</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68C29B15"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98,9</w:t>
            </w:r>
          </w:p>
        </w:tc>
        <w:tc>
          <w:tcPr>
            <w:tcW w:w="853" w:type="dxa"/>
            <w:tcBorders>
              <w:top w:val="nil"/>
              <w:left w:val="nil"/>
              <w:bottom w:val="single" w:sz="4" w:space="0" w:color="auto"/>
              <w:right w:val="single" w:sz="4" w:space="0" w:color="auto"/>
            </w:tcBorders>
            <w:shd w:val="clear" w:color="auto" w:fill="auto"/>
            <w:hideMark/>
          </w:tcPr>
          <w:p w14:paraId="0CC458F6"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830,0</w:t>
            </w:r>
          </w:p>
        </w:tc>
      </w:tr>
      <w:tr w:rsidR="009371DC" w:rsidRPr="008860BA" w14:paraId="33F4487D"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7BEEA9C8" w14:textId="4E7823E2"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Indemniza</w:t>
            </w:r>
            <w:r w:rsidR="00B13B9A"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ie unică</w:t>
            </w:r>
          </w:p>
        </w:tc>
        <w:tc>
          <w:tcPr>
            <w:tcW w:w="673" w:type="dxa"/>
            <w:tcBorders>
              <w:top w:val="nil"/>
              <w:left w:val="nil"/>
              <w:bottom w:val="single" w:sz="4" w:space="0" w:color="auto"/>
              <w:right w:val="single" w:sz="4" w:space="0" w:color="auto"/>
            </w:tcBorders>
            <w:shd w:val="clear" w:color="auto" w:fill="auto"/>
            <w:noWrap/>
            <w:vAlign w:val="bottom"/>
            <w:hideMark/>
          </w:tcPr>
          <w:p w14:paraId="0DF46056"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73206E53"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220,0</w:t>
            </w:r>
          </w:p>
        </w:tc>
        <w:tc>
          <w:tcPr>
            <w:tcW w:w="1218" w:type="dxa"/>
            <w:tcBorders>
              <w:top w:val="nil"/>
              <w:left w:val="nil"/>
              <w:bottom w:val="single" w:sz="4" w:space="0" w:color="auto"/>
              <w:right w:val="single" w:sz="4" w:space="0" w:color="auto"/>
            </w:tcBorders>
            <w:shd w:val="clear" w:color="auto" w:fill="auto"/>
            <w:noWrap/>
            <w:vAlign w:val="bottom"/>
            <w:hideMark/>
          </w:tcPr>
          <w:p w14:paraId="3E355100"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220,0</w:t>
            </w:r>
          </w:p>
        </w:tc>
        <w:tc>
          <w:tcPr>
            <w:tcW w:w="1137" w:type="dxa"/>
            <w:tcBorders>
              <w:top w:val="nil"/>
              <w:left w:val="nil"/>
              <w:bottom w:val="single" w:sz="4" w:space="0" w:color="auto"/>
              <w:right w:val="single" w:sz="4" w:space="0" w:color="auto"/>
            </w:tcBorders>
            <w:shd w:val="clear" w:color="auto" w:fill="auto"/>
            <w:hideMark/>
          </w:tcPr>
          <w:p w14:paraId="1E7147BE"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63" w:type="dxa"/>
            <w:tcBorders>
              <w:top w:val="nil"/>
              <w:left w:val="nil"/>
              <w:bottom w:val="single" w:sz="4" w:space="0" w:color="auto"/>
              <w:right w:val="single" w:sz="4" w:space="0" w:color="auto"/>
            </w:tcBorders>
            <w:shd w:val="clear" w:color="auto" w:fill="auto"/>
            <w:hideMark/>
          </w:tcPr>
          <w:p w14:paraId="7AD9F639"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16C7DD6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0C845850"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761" w:type="dxa"/>
            <w:tcBorders>
              <w:top w:val="nil"/>
              <w:left w:val="nil"/>
              <w:bottom w:val="single" w:sz="4" w:space="0" w:color="auto"/>
              <w:right w:val="single" w:sz="4" w:space="0" w:color="auto"/>
            </w:tcBorders>
            <w:shd w:val="clear" w:color="auto" w:fill="auto"/>
            <w:hideMark/>
          </w:tcPr>
          <w:p w14:paraId="4C3C9D86"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4C73FAD1"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220,0</w:t>
            </w:r>
          </w:p>
        </w:tc>
        <w:tc>
          <w:tcPr>
            <w:tcW w:w="853" w:type="dxa"/>
            <w:tcBorders>
              <w:top w:val="nil"/>
              <w:left w:val="nil"/>
              <w:bottom w:val="single" w:sz="4" w:space="0" w:color="auto"/>
              <w:right w:val="single" w:sz="4" w:space="0" w:color="auto"/>
            </w:tcBorders>
            <w:shd w:val="clear" w:color="auto" w:fill="auto"/>
            <w:hideMark/>
          </w:tcPr>
          <w:p w14:paraId="1869F54D"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9371DC" w:rsidRPr="008860BA" w14:paraId="3CBD329E"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3D8DC21F"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Gaz</w:t>
            </w:r>
          </w:p>
        </w:tc>
        <w:tc>
          <w:tcPr>
            <w:tcW w:w="673" w:type="dxa"/>
            <w:tcBorders>
              <w:top w:val="nil"/>
              <w:left w:val="nil"/>
              <w:bottom w:val="single" w:sz="4" w:space="0" w:color="auto"/>
              <w:right w:val="single" w:sz="4" w:space="0" w:color="auto"/>
            </w:tcBorders>
            <w:shd w:val="clear" w:color="auto" w:fill="auto"/>
            <w:noWrap/>
            <w:vAlign w:val="bottom"/>
            <w:hideMark/>
          </w:tcPr>
          <w:p w14:paraId="025CE98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4177470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1.140,3</w:t>
            </w:r>
          </w:p>
        </w:tc>
        <w:tc>
          <w:tcPr>
            <w:tcW w:w="1218" w:type="dxa"/>
            <w:tcBorders>
              <w:top w:val="nil"/>
              <w:left w:val="nil"/>
              <w:bottom w:val="single" w:sz="4" w:space="0" w:color="auto"/>
              <w:right w:val="single" w:sz="4" w:space="0" w:color="auto"/>
            </w:tcBorders>
            <w:shd w:val="clear" w:color="auto" w:fill="auto"/>
            <w:noWrap/>
            <w:vAlign w:val="bottom"/>
            <w:hideMark/>
          </w:tcPr>
          <w:p w14:paraId="17EC4B09"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1.140,3</w:t>
            </w:r>
          </w:p>
        </w:tc>
        <w:tc>
          <w:tcPr>
            <w:tcW w:w="1137" w:type="dxa"/>
            <w:tcBorders>
              <w:top w:val="nil"/>
              <w:left w:val="nil"/>
              <w:bottom w:val="single" w:sz="4" w:space="0" w:color="auto"/>
              <w:right w:val="single" w:sz="4" w:space="0" w:color="auto"/>
            </w:tcBorders>
            <w:shd w:val="clear" w:color="auto" w:fill="auto"/>
            <w:hideMark/>
          </w:tcPr>
          <w:p w14:paraId="5F0755EF"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854,6</w:t>
            </w:r>
          </w:p>
        </w:tc>
        <w:tc>
          <w:tcPr>
            <w:tcW w:w="1263" w:type="dxa"/>
            <w:tcBorders>
              <w:top w:val="nil"/>
              <w:left w:val="nil"/>
              <w:bottom w:val="single" w:sz="4" w:space="0" w:color="auto"/>
              <w:right w:val="single" w:sz="4" w:space="0" w:color="auto"/>
            </w:tcBorders>
            <w:shd w:val="clear" w:color="auto" w:fill="auto"/>
            <w:noWrap/>
            <w:vAlign w:val="bottom"/>
            <w:hideMark/>
          </w:tcPr>
          <w:p w14:paraId="37789E7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296449F8"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077689E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699568D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nil"/>
              <w:right w:val="nil"/>
            </w:tcBorders>
            <w:shd w:val="clear" w:color="auto" w:fill="auto"/>
            <w:noWrap/>
            <w:vAlign w:val="bottom"/>
            <w:hideMark/>
          </w:tcPr>
          <w:p w14:paraId="23E2E41B"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31,7</w:t>
            </w:r>
          </w:p>
        </w:tc>
        <w:tc>
          <w:tcPr>
            <w:tcW w:w="853" w:type="dxa"/>
            <w:tcBorders>
              <w:top w:val="nil"/>
              <w:left w:val="single" w:sz="4" w:space="0" w:color="auto"/>
              <w:bottom w:val="single" w:sz="4" w:space="0" w:color="auto"/>
              <w:right w:val="single" w:sz="4" w:space="0" w:color="auto"/>
            </w:tcBorders>
            <w:shd w:val="clear" w:color="auto" w:fill="auto"/>
            <w:hideMark/>
          </w:tcPr>
          <w:p w14:paraId="5255B2E7"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254,0</w:t>
            </w:r>
          </w:p>
        </w:tc>
      </w:tr>
      <w:tr w:rsidR="009371DC" w:rsidRPr="008860BA" w14:paraId="7FAA007B"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414BA40D" w14:textId="54F9AB2C"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Materiale de construc</w:t>
            </w:r>
            <w:r w:rsidR="00B13B9A"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ie</w:t>
            </w:r>
          </w:p>
        </w:tc>
        <w:tc>
          <w:tcPr>
            <w:tcW w:w="673" w:type="dxa"/>
            <w:tcBorders>
              <w:top w:val="nil"/>
              <w:left w:val="nil"/>
              <w:bottom w:val="single" w:sz="4" w:space="0" w:color="auto"/>
              <w:right w:val="single" w:sz="4" w:space="0" w:color="auto"/>
            </w:tcBorders>
            <w:shd w:val="clear" w:color="auto" w:fill="auto"/>
            <w:noWrap/>
            <w:vAlign w:val="bottom"/>
            <w:hideMark/>
          </w:tcPr>
          <w:p w14:paraId="0DE1599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1936F20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113,3</w:t>
            </w:r>
          </w:p>
        </w:tc>
        <w:tc>
          <w:tcPr>
            <w:tcW w:w="1218" w:type="dxa"/>
            <w:tcBorders>
              <w:top w:val="nil"/>
              <w:left w:val="nil"/>
              <w:bottom w:val="single" w:sz="4" w:space="0" w:color="auto"/>
              <w:right w:val="single" w:sz="4" w:space="0" w:color="auto"/>
            </w:tcBorders>
            <w:shd w:val="clear" w:color="auto" w:fill="auto"/>
            <w:noWrap/>
            <w:vAlign w:val="bottom"/>
            <w:hideMark/>
          </w:tcPr>
          <w:p w14:paraId="6BEF361A"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113,3</w:t>
            </w:r>
          </w:p>
        </w:tc>
        <w:tc>
          <w:tcPr>
            <w:tcW w:w="1137" w:type="dxa"/>
            <w:tcBorders>
              <w:top w:val="nil"/>
              <w:left w:val="nil"/>
              <w:bottom w:val="single" w:sz="4" w:space="0" w:color="auto"/>
              <w:right w:val="single" w:sz="4" w:space="0" w:color="auto"/>
            </w:tcBorders>
            <w:shd w:val="clear" w:color="auto" w:fill="auto"/>
            <w:hideMark/>
          </w:tcPr>
          <w:p w14:paraId="52FB7B8E"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98,6</w:t>
            </w:r>
          </w:p>
        </w:tc>
        <w:tc>
          <w:tcPr>
            <w:tcW w:w="1263" w:type="dxa"/>
            <w:tcBorders>
              <w:top w:val="nil"/>
              <w:left w:val="nil"/>
              <w:bottom w:val="single" w:sz="4" w:space="0" w:color="auto"/>
              <w:right w:val="single" w:sz="4" w:space="0" w:color="auto"/>
            </w:tcBorders>
            <w:shd w:val="clear" w:color="auto" w:fill="auto"/>
            <w:noWrap/>
            <w:vAlign w:val="bottom"/>
            <w:hideMark/>
          </w:tcPr>
          <w:p w14:paraId="14BFD706"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1EA8ABE4"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47D711D6"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20D4079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01335B29"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10,1</w:t>
            </w:r>
          </w:p>
        </w:tc>
        <w:tc>
          <w:tcPr>
            <w:tcW w:w="853" w:type="dxa"/>
            <w:tcBorders>
              <w:top w:val="nil"/>
              <w:left w:val="nil"/>
              <w:bottom w:val="single" w:sz="4" w:space="0" w:color="auto"/>
              <w:right w:val="single" w:sz="4" w:space="0" w:color="auto"/>
            </w:tcBorders>
            <w:shd w:val="clear" w:color="auto" w:fill="auto"/>
            <w:hideMark/>
          </w:tcPr>
          <w:p w14:paraId="2A3CF5AF"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4,6</w:t>
            </w:r>
          </w:p>
        </w:tc>
      </w:tr>
      <w:tr w:rsidR="009371DC" w:rsidRPr="008860BA" w14:paraId="07A7FBE7"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37E16615"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Materiale de uz gospodăresc</w:t>
            </w:r>
          </w:p>
        </w:tc>
        <w:tc>
          <w:tcPr>
            <w:tcW w:w="673" w:type="dxa"/>
            <w:tcBorders>
              <w:top w:val="nil"/>
              <w:left w:val="nil"/>
              <w:bottom w:val="single" w:sz="4" w:space="0" w:color="auto"/>
              <w:right w:val="single" w:sz="4" w:space="0" w:color="auto"/>
            </w:tcBorders>
            <w:shd w:val="clear" w:color="auto" w:fill="auto"/>
            <w:noWrap/>
            <w:vAlign w:val="bottom"/>
            <w:hideMark/>
          </w:tcPr>
          <w:p w14:paraId="5D160B5E"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31BF09E3"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400,7</w:t>
            </w:r>
          </w:p>
        </w:tc>
        <w:tc>
          <w:tcPr>
            <w:tcW w:w="1218" w:type="dxa"/>
            <w:tcBorders>
              <w:top w:val="nil"/>
              <w:left w:val="nil"/>
              <w:bottom w:val="single" w:sz="4" w:space="0" w:color="auto"/>
              <w:right w:val="single" w:sz="4" w:space="0" w:color="auto"/>
            </w:tcBorders>
            <w:shd w:val="clear" w:color="auto" w:fill="auto"/>
            <w:noWrap/>
            <w:vAlign w:val="bottom"/>
            <w:hideMark/>
          </w:tcPr>
          <w:p w14:paraId="08EB2328"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400,7</w:t>
            </w:r>
          </w:p>
        </w:tc>
        <w:tc>
          <w:tcPr>
            <w:tcW w:w="1137" w:type="dxa"/>
            <w:tcBorders>
              <w:top w:val="nil"/>
              <w:left w:val="nil"/>
              <w:bottom w:val="single" w:sz="4" w:space="0" w:color="auto"/>
              <w:right w:val="single" w:sz="4" w:space="0" w:color="auto"/>
            </w:tcBorders>
            <w:shd w:val="clear" w:color="auto" w:fill="auto"/>
            <w:hideMark/>
          </w:tcPr>
          <w:p w14:paraId="3FB0794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343,5</w:t>
            </w:r>
          </w:p>
        </w:tc>
        <w:tc>
          <w:tcPr>
            <w:tcW w:w="1263" w:type="dxa"/>
            <w:tcBorders>
              <w:top w:val="nil"/>
              <w:left w:val="nil"/>
              <w:bottom w:val="single" w:sz="4" w:space="0" w:color="auto"/>
              <w:right w:val="single" w:sz="4" w:space="0" w:color="auto"/>
            </w:tcBorders>
            <w:shd w:val="clear" w:color="auto" w:fill="auto"/>
            <w:hideMark/>
          </w:tcPr>
          <w:p w14:paraId="70290755"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0,3</w:t>
            </w:r>
          </w:p>
        </w:tc>
        <w:tc>
          <w:tcPr>
            <w:tcW w:w="1196" w:type="dxa"/>
            <w:tcBorders>
              <w:top w:val="nil"/>
              <w:left w:val="nil"/>
              <w:bottom w:val="single" w:sz="4" w:space="0" w:color="auto"/>
              <w:right w:val="single" w:sz="4" w:space="0" w:color="auto"/>
            </w:tcBorders>
            <w:shd w:val="clear" w:color="auto" w:fill="auto"/>
            <w:noWrap/>
            <w:vAlign w:val="bottom"/>
            <w:hideMark/>
          </w:tcPr>
          <w:p w14:paraId="710B3BB7"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56FED4CA"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12,0</w:t>
            </w:r>
          </w:p>
        </w:tc>
        <w:tc>
          <w:tcPr>
            <w:tcW w:w="761" w:type="dxa"/>
            <w:tcBorders>
              <w:top w:val="nil"/>
              <w:left w:val="nil"/>
              <w:bottom w:val="single" w:sz="4" w:space="0" w:color="auto"/>
              <w:right w:val="single" w:sz="4" w:space="0" w:color="auto"/>
            </w:tcBorders>
            <w:shd w:val="clear" w:color="auto" w:fill="auto"/>
            <w:noWrap/>
            <w:vAlign w:val="bottom"/>
            <w:hideMark/>
          </w:tcPr>
          <w:p w14:paraId="0936263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7D650E34"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31,7</w:t>
            </w:r>
          </w:p>
        </w:tc>
        <w:tc>
          <w:tcPr>
            <w:tcW w:w="853" w:type="dxa"/>
            <w:tcBorders>
              <w:top w:val="nil"/>
              <w:left w:val="nil"/>
              <w:bottom w:val="single" w:sz="4" w:space="0" w:color="auto"/>
              <w:right w:val="single" w:sz="4" w:space="0" w:color="auto"/>
            </w:tcBorders>
            <w:shd w:val="clear" w:color="auto" w:fill="auto"/>
            <w:hideMark/>
          </w:tcPr>
          <w:p w14:paraId="28DED542"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13,3</w:t>
            </w:r>
          </w:p>
        </w:tc>
      </w:tr>
      <w:tr w:rsidR="009371DC" w:rsidRPr="008860BA" w14:paraId="50ACE10E"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527785DD"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xml:space="preserve">Medicamente </w:t>
            </w:r>
          </w:p>
        </w:tc>
        <w:tc>
          <w:tcPr>
            <w:tcW w:w="673" w:type="dxa"/>
            <w:tcBorders>
              <w:top w:val="nil"/>
              <w:left w:val="nil"/>
              <w:bottom w:val="single" w:sz="4" w:space="0" w:color="auto"/>
              <w:right w:val="single" w:sz="4" w:space="0" w:color="auto"/>
            </w:tcBorders>
            <w:shd w:val="clear" w:color="auto" w:fill="auto"/>
            <w:noWrap/>
            <w:vAlign w:val="bottom"/>
            <w:hideMark/>
          </w:tcPr>
          <w:p w14:paraId="4E574AEC"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05E21F32"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23.489,6</w:t>
            </w:r>
          </w:p>
        </w:tc>
        <w:tc>
          <w:tcPr>
            <w:tcW w:w="1218" w:type="dxa"/>
            <w:tcBorders>
              <w:top w:val="nil"/>
              <w:left w:val="nil"/>
              <w:bottom w:val="single" w:sz="4" w:space="0" w:color="auto"/>
              <w:right w:val="single" w:sz="4" w:space="0" w:color="auto"/>
            </w:tcBorders>
            <w:shd w:val="clear" w:color="auto" w:fill="auto"/>
            <w:noWrap/>
            <w:vAlign w:val="bottom"/>
            <w:hideMark/>
          </w:tcPr>
          <w:p w14:paraId="4ED38460"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23.489,6</w:t>
            </w:r>
          </w:p>
        </w:tc>
        <w:tc>
          <w:tcPr>
            <w:tcW w:w="1137" w:type="dxa"/>
            <w:tcBorders>
              <w:top w:val="nil"/>
              <w:left w:val="nil"/>
              <w:bottom w:val="single" w:sz="4" w:space="0" w:color="auto"/>
              <w:right w:val="single" w:sz="4" w:space="0" w:color="auto"/>
            </w:tcBorders>
            <w:shd w:val="clear" w:color="auto" w:fill="auto"/>
            <w:hideMark/>
          </w:tcPr>
          <w:p w14:paraId="238A2E18"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4.851,0</w:t>
            </w:r>
          </w:p>
        </w:tc>
        <w:tc>
          <w:tcPr>
            <w:tcW w:w="1263" w:type="dxa"/>
            <w:tcBorders>
              <w:top w:val="nil"/>
              <w:left w:val="nil"/>
              <w:bottom w:val="single" w:sz="4" w:space="0" w:color="auto"/>
              <w:right w:val="single" w:sz="4" w:space="0" w:color="auto"/>
            </w:tcBorders>
            <w:shd w:val="clear" w:color="auto" w:fill="auto"/>
            <w:noWrap/>
            <w:vAlign w:val="bottom"/>
            <w:hideMark/>
          </w:tcPr>
          <w:p w14:paraId="071712AF"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1B346D6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4555301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67,4</w:t>
            </w:r>
          </w:p>
        </w:tc>
        <w:tc>
          <w:tcPr>
            <w:tcW w:w="761" w:type="dxa"/>
            <w:tcBorders>
              <w:top w:val="nil"/>
              <w:left w:val="nil"/>
              <w:bottom w:val="single" w:sz="4" w:space="0" w:color="auto"/>
              <w:right w:val="single" w:sz="4" w:space="0" w:color="auto"/>
            </w:tcBorders>
            <w:shd w:val="clear" w:color="auto" w:fill="auto"/>
            <w:noWrap/>
            <w:vAlign w:val="bottom"/>
            <w:hideMark/>
          </w:tcPr>
          <w:p w14:paraId="7022432F"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6D784CB2"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196,9</w:t>
            </w:r>
          </w:p>
        </w:tc>
        <w:tc>
          <w:tcPr>
            <w:tcW w:w="853" w:type="dxa"/>
            <w:tcBorders>
              <w:top w:val="nil"/>
              <w:left w:val="nil"/>
              <w:bottom w:val="single" w:sz="4" w:space="0" w:color="auto"/>
              <w:right w:val="single" w:sz="4" w:space="0" w:color="auto"/>
            </w:tcBorders>
            <w:shd w:val="clear" w:color="auto" w:fill="auto"/>
            <w:hideMark/>
          </w:tcPr>
          <w:p w14:paraId="3B2334C9"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18.374,4</w:t>
            </w:r>
          </w:p>
        </w:tc>
      </w:tr>
      <w:tr w:rsidR="009371DC" w:rsidRPr="008860BA" w14:paraId="1A28D0A7"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1342AE5B"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Paza</w:t>
            </w:r>
          </w:p>
        </w:tc>
        <w:tc>
          <w:tcPr>
            <w:tcW w:w="673" w:type="dxa"/>
            <w:tcBorders>
              <w:top w:val="nil"/>
              <w:left w:val="nil"/>
              <w:bottom w:val="single" w:sz="4" w:space="0" w:color="auto"/>
              <w:right w:val="single" w:sz="4" w:space="0" w:color="auto"/>
            </w:tcBorders>
            <w:shd w:val="clear" w:color="auto" w:fill="auto"/>
            <w:noWrap/>
            <w:vAlign w:val="bottom"/>
            <w:hideMark/>
          </w:tcPr>
          <w:p w14:paraId="00278B7D"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081EF741"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496,7</w:t>
            </w:r>
          </w:p>
        </w:tc>
        <w:tc>
          <w:tcPr>
            <w:tcW w:w="1218" w:type="dxa"/>
            <w:tcBorders>
              <w:top w:val="nil"/>
              <w:left w:val="nil"/>
              <w:bottom w:val="single" w:sz="4" w:space="0" w:color="auto"/>
              <w:right w:val="single" w:sz="4" w:space="0" w:color="auto"/>
            </w:tcBorders>
            <w:shd w:val="clear" w:color="auto" w:fill="auto"/>
            <w:noWrap/>
            <w:vAlign w:val="bottom"/>
            <w:hideMark/>
          </w:tcPr>
          <w:p w14:paraId="27003EF9"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496,7</w:t>
            </w:r>
          </w:p>
        </w:tc>
        <w:tc>
          <w:tcPr>
            <w:tcW w:w="1137" w:type="dxa"/>
            <w:tcBorders>
              <w:top w:val="nil"/>
              <w:left w:val="nil"/>
              <w:bottom w:val="single" w:sz="4" w:space="0" w:color="auto"/>
              <w:right w:val="single" w:sz="4" w:space="0" w:color="auto"/>
            </w:tcBorders>
            <w:shd w:val="clear" w:color="auto" w:fill="auto"/>
            <w:hideMark/>
          </w:tcPr>
          <w:p w14:paraId="4F7CADD0"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496,7</w:t>
            </w:r>
          </w:p>
        </w:tc>
        <w:tc>
          <w:tcPr>
            <w:tcW w:w="1263" w:type="dxa"/>
            <w:tcBorders>
              <w:top w:val="nil"/>
              <w:left w:val="nil"/>
              <w:bottom w:val="single" w:sz="4" w:space="0" w:color="auto"/>
              <w:right w:val="single" w:sz="4" w:space="0" w:color="auto"/>
            </w:tcBorders>
            <w:shd w:val="clear" w:color="auto" w:fill="auto"/>
            <w:noWrap/>
            <w:vAlign w:val="bottom"/>
            <w:hideMark/>
          </w:tcPr>
          <w:p w14:paraId="7D24ED92"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0CBAFCDE"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7C8389D1"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5D4B0777"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nil"/>
              <w:right w:val="nil"/>
            </w:tcBorders>
            <w:shd w:val="clear" w:color="auto" w:fill="auto"/>
            <w:noWrap/>
            <w:vAlign w:val="bottom"/>
            <w:hideMark/>
          </w:tcPr>
          <w:p w14:paraId="226A59D7"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0,0</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5055F6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1D5EA7F7"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2AD943ED"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Penalitate</w:t>
            </w:r>
          </w:p>
        </w:tc>
        <w:tc>
          <w:tcPr>
            <w:tcW w:w="673" w:type="dxa"/>
            <w:tcBorders>
              <w:top w:val="nil"/>
              <w:left w:val="nil"/>
              <w:bottom w:val="single" w:sz="4" w:space="0" w:color="auto"/>
              <w:right w:val="single" w:sz="4" w:space="0" w:color="auto"/>
            </w:tcBorders>
            <w:shd w:val="clear" w:color="auto" w:fill="auto"/>
            <w:noWrap/>
            <w:vAlign w:val="bottom"/>
            <w:hideMark/>
          </w:tcPr>
          <w:p w14:paraId="6C0FA9D8"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2FF3C000"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8,5</w:t>
            </w:r>
          </w:p>
        </w:tc>
        <w:tc>
          <w:tcPr>
            <w:tcW w:w="1218" w:type="dxa"/>
            <w:tcBorders>
              <w:top w:val="nil"/>
              <w:left w:val="nil"/>
              <w:bottom w:val="single" w:sz="4" w:space="0" w:color="auto"/>
              <w:right w:val="single" w:sz="4" w:space="0" w:color="auto"/>
            </w:tcBorders>
            <w:shd w:val="clear" w:color="auto" w:fill="auto"/>
            <w:noWrap/>
            <w:vAlign w:val="bottom"/>
            <w:hideMark/>
          </w:tcPr>
          <w:p w14:paraId="351995A5"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8,5</w:t>
            </w:r>
          </w:p>
        </w:tc>
        <w:tc>
          <w:tcPr>
            <w:tcW w:w="1137" w:type="dxa"/>
            <w:tcBorders>
              <w:top w:val="nil"/>
              <w:left w:val="nil"/>
              <w:bottom w:val="single" w:sz="4" w:space="0" w:color="auto"/>
              <w:right w:val="single" w:sz="4" w:space="0" w:color="auto"/>
            </w:tcBorders>
            <w:shd w:val="clear" w:color="auto" w:fill="auto"/>
            <w:hideMark/>
          </w:tcPr>
          <w:p w14:paraId="318EA605"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63" w:type="dxa"/>
            <w:tcBorders>
              <w:top w:val="nil"/>
              <w:left w:val="nil"/>
              <w:bottom w:val="single" w:sz="4" w:space="0" w:color="auto"/>
              <w:right w:val="single" w:sz="4" w:space="0" w:color="auto"/>
            </w:tcBorders>
            <w:shd w:val="clear" w:color="auto" w:fill="auto"/>
            <w:noWrap/>
            <w:vAlign w:val="bottom"/>
            <w:hideMark/>
          </w:tcPr>
          <w:p w14:paraId="4883E7CE"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0760A97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22514B9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23CCA24A"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7C7AB597"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8,5</w:t>
            </w:r>
          </w:p>
        </w:tc>
        <w:tc>
          <w:tcPr>
            <w:tcW w:w="853" w:type="dxa"/>
            <w:tcBorders>
              <w:top w:val="nil"/>
              <w:left w:val="nil"/>
              <w:bottom w:val="single" w:sz="4" w:space="0" w:color="auto"/>
              <w:right w:val="single" w:sz="4" w:space="0" w:color="auto"/>
            </w:tcBorders>
            <w:shd w:val="clear" w:color="auto" w:fill="auto"/>
            <w:noWrap/>
            <w:vAlign w:val="bottom"/>
            <w:hideMark/>
          </w:tcPr>
          <w:p w14:paraId="0A95515A"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09062DD0"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535E6008" w14:textId="2EC0BCA9" w:rsidR="009371DC" w:rsidRPr="008860BA" w:rsidRDefault="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Perfec</w:t>
            </w:r>
            <w:r w:rsidR="00E10604"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ionarea cadrelor</w:t>
            </w:r>
          </w:p>
        </w:tc>
        <w:tc>
          <w:tcPr>
            <w:tcW w:w="673" w:type="dxa"/>
            <w:tcBorders>
              <w:top w:val="nil"/>
              <w:left w:val="nil"/>
              <w:bottom w:val="single" w:sz="4" w:space="0" w:color="auto"/>
              <w:right w:val="single" w:sz="4" w:space="0" w:color="auto"/>
            </w:tcBorders>
            <w:shd w:val="clear" w:color="auto" w:fill="auto"/>
            <w:noWrap/>
            <w:vAlign w:val="bottom"/>
            <w:hideMark/>
          </w:tcPr>
          <w:p w14:paraId="669700AD"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4A01CAA8"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123,7</w:t>
            </w:r>
          </w:p>
        </w:tc>
        <w:tc>
          <w:tcPr>
            <w:tcW w:w="1218" w:type="dxa"/>
            <w:tcBorders>
              <w:top w:val="nil"/>
              <w:left w:val="nil"/>
              <w:bottom w:val="single" w:sz="4" w:space="0" w:color="auto"/>
              <w:right w:val="single" w:sz="4" w:space="0" w:color="auto"/>
            </w:tcBorders>
            <w:shd w:val="clear" w:color="auto" w:fill="auto"/>
            <w:noWrap/>
            <w:vAlign w:val="bottom"/>
            <w:hideMark/>
          </w:tcPr>
          <w:p w14:paraId="41C878C1"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123,7</w:t>
            </w:r>
          </w:p>
        </w:tc>
        <w:tc>
          <w:tcPr>
            <w:tcW w:w="1137" w:type="dxa"/>
            <w:tcBorders>
              <w:top w:val="nil"/>
              <w:left w:val="nil"/>
              <w:bottom w:val="single" w:sz="4" w:space="0" w:color="auto"/>
              <w:right w:val="single" w:sz="4" w:space="0" w:color="auto"/>
            </w:tcBorders>
            <w:shd w:val="clear" w:color="auto" w:fill="auto"/>
            <w:hideMark/>
          </w:tcPr>
          <w:p w14:paraId="42CD694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123,7</w:t>
            </w:r>
          </w:p>
        </w:tc>
        <w:tc>
          <w:tcPr>
            <w:tcW w:w="1263" w:type="dxa"/>
            <w:tcBorders>
              <w:top w:val="nil"/>
              <w:left w:val="nil"/>
              <w:bottom w:val="single" w:sz="4" w:space="0" w:color="auto"/>
              <w:right w:val="single" w:sz="4" w:space="0" w:color="auto"/>
            </w:tcBorders>
            <w:shd w:val="clear" w:color="auto" w:fill="auto"/>
            <w:noWrap/>
            <w:vAlign w:val="bottom"/>
            <w:hideMark/>
          </w:tcPr>
          <w:p w14:paraId="5D4C37C8"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5004EAF1"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67B5FFF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4C2A379E"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nil"/>
              <w:right w:val="nil"/>
            </w:tcBorders>
            <w:shd w:val="clear" w:color="auto" w:fill="auto"/>
            <w:noWrap/>
            <w:vAlign w:val="bottom"/>
            <w:hideMark/>
          </w:tcPr>
          <w:p w14:paraId="0AA496C5"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0,0</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738CC6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28E67665"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4D184659"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Piese de schimb</w:t>
            </w:r>
          </w:p>
        </w:tc>
        <w:tc>
          <w:tcPr>
            <w:tcW w:w="673" w:type="dxa"/>
            <w:tcBorders>
              <w:top w:val="nil"/>
              <w:left w:val="nil"/>
              <w:bottom w:val="single" w:sz="4" w:space="0" w:color="auto"/>
              <w:right w:val="single" w:sz="4" w:space="0" w:color="auto"/>
            </w:tcBorders>
            <w:shd w:val="clear" w:color="auto" w:fill="auto"/>
            <w:noWrap/>
            <w:vAlign w:val="bottom"/>
            <w:hideMark/>
          </w:tcPr>
          <w:p w14:paraId="374FB09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0736EFD9"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46,7</w:t>
            </w:r>
          </w:p>
        </w:tc>
        <w:tc>
          <w:tcPr>
            <w:tcW w:w="1218" w:type="dxa"/>
            <w:tcBorders>
              <w:top w:val="nil"/>
              <w:left w:val="nil"/>
              <w:bottom w:val="single" w:sz="4" w:space="0" w:color="auto"/>
              <w:right w:val="single" w:sz="4" w:space="0" w:color="auto"/>
            </w:tcBorders>
            <w:shd w:val="clear" w:color="auto" w:fill="auto"/>
            <w:noWrap/>
            <w:vAlign w:val="bottom"/>
            <w:hideMark/>
          </w:tcPr>
          <w:p w14:paraId="619BFA86"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46,7</w:t>
            </w:r>
          </w:p>
        </w:tc>
        <w:tc>
          <w:tcPr>
            <w:tcW w:w="1137" w:type="dxa"/>
            <w:tcBorders>
              <w:top w:val="nil"/>
              <w:left w:val="nil"/>
              <w:bottom w:val="single" w:sz="4" w:space="0" w:color="auto"/>
              <w:right w:val="single" w:sz="4" w:space="0" w:color="auto"/>
            </w:tcBorders>
            <w:shd w:val="clear" w:color="auto" w:fill="auto"/>
            <w:hideMark/>
          </w:tcPr>
          <w:p w14:paraId="37E6C457"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12,5</w:t>
            </w:r>
          </w:p>
        </w:tc>
        <w:tc>
          <w:tcPr>
            <w:tcW w:w="1263" w:type="dxa"/>
            <w:tcBorders>
              <w:top w:val="nil"/>
              <w:left w:val="nil"/>
              <w:bottom w:val="single" w:sz="4" w:space="0" w:color="auto"/>
              <w:right w:val="single" w:sz="4" w:space="0" w:color="auto"/>
            </w:tcBorders>
            <w:shd w:val="clear" w:color="auto" w:fill="auto"/>
            <w:hideMark/>
          </w:tcPr>
          <w:p w14:paraId="2B071965"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5,6</w:t>
            </w:r>
          </w:p>
        </w:tc>
        <w:tc>
          <w:tcPr>
            <w:tcW w:w="1196" w:type="dxa"/>
            <w:tcBorders>
              <w:top w:val="nil"/>
              <w:left w:val="nil"/>
              <w:bottom w:val="single" w:sz="4" w:space="0" w:color="auto"/>
              <w:right w:val="single" w:sz="4" w:space="0" w:color="auto"/>
            </w:tcBorders>
            <w:shd w:val="clear" w:color="auto" w:fill="auto"/>
            <w:noWrap/>
            <w:vAlign w:val="bottom"/>
            <w:hideMark/>
          </w:tcPr>
          <w:p w14:paraId="4A65FEB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45E9E08A"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3857E61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1F23305D"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7,1</w:t>
            </w:r>
          </w:p>
        </w:tc>
        <w:tc>
          <w:tcPr>
            <w:tcW w:w="853" w:type="dxa"/>
            <w:tcBorders>
              <w:top w:val="nil"/>
              <w:left w:val="nil"/>
              <w:bottom w:val="single" w:sz="4" w:space="0" w:color="auto"/>
              <w:right w:val="single" w:sz="4" w:space="0" w:color="auto"/>
            </w:tcBorders>
            <w:shd w:val="clear" w:color="auto" w:fill="auto"/>
            <w:hideMark/>
          </w:tcPr>
          <w:p w14:paraId="24032D1D"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21,6</w:t>
            </w:r>
          </w:p>
        </w:tc>
      </w:tr>
      <w:tr w:rsidR="009371DC" w:rsidRPr="008860BA" w14:paraId="71D2433F"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2C58D7C2"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Produse petroliere</w:t>
            </w:r>
          </w:p>
        </w:tc>
        <w:tc>
          <w:tcPr>
            <w:tcW w:w="673" w:type="dxa"/>
            <w:tcBorders>
              <w:top w:val="nil"/>
              <w:left w:val="nil"/>
              <w:bottom w:val="single" w:sz="4" w:space="0" w:color="auto"/>
              <w:right w:val="single" w:sz="4" w:space="0" w:color="auto"/>
            </w:tcBorders>
            <w:shd w:val="clear" w:color="auto" w:fill="auto"/>
            <w:noWrap/>
            <w:vAlign w:val="bottom"/>
            <w:hideMark/>
          </w:tcPr>
          <w:p w14:paraId="675A09DC"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04393BB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693,7</w:t>
            </w:r>
          </w:p>
        </w:tc>
        <w:tc>
          <w:tcPr>
            <w:tcW w:w="1218" w:type="dxa"/>
            <w:tcBorders>
              <w:top w:val="nil"/>
              <w:left w:val="nil"/>
              <w:bottom w:val="single" w:sz="4" w:space="0" w:color="auto"/>
              <w:right w:val="single" w:sz="4" w:space="0" w:color="auto"/>
            </w:tcBorders>
            <w:shd w:val="clear" w:color="auto" w:fill="auto"/>
            <w:noWrap/>
            <w:vAlign w:val="bottom"/>
            <w:hideMark/>
          </w:tcPr>
          <w:p w14:paraId="22B428C2"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693,7</w:t>
            </w:r>
          </w:p>
        </w:tc>
        <w:tc>
          <w:tcPr>
            <w:tcW w:w="1137" w:type="dxa"/>
            <w:tcBorders>
              <w:top w:val="nil"/>
              <w:left w:val="nil"/>
              <w:bottom w:val="single" w:sz="4" w:space="0" w:color="auto"/>
              <w:right w:val="single" w:sz="4" w:space="0" w:color="auto"/>
            </w:tcBorders>
            <w:shd w:val="clear" w:color="auto" w:fill="auto"/>
            <w:hideMark/>
          </w:tcPr>
          <w:p w14:paraId="748C4F13"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105,7</w:t>
            </w:r>
          </w:p>
        </w:tc>
        <w:tc>
          <w:tcPr>
            <w:tcW w:w="1263" w:type="dxa"/>
            <w:tcBorders>
              <w:top w:val="nil"/>
              <w:left w:val="nil"/>
              <w:bottom w:val="single" w:sz="4" w:space="0" w:color="auto"/>
              <w:right w:val="single" w:sz="4" w:space="0" w:color="auto"/>
            </w:tcBorders>
            <w:shd w:val="clear" w:color="auto" w:fill="auto"/>
            <w:hideMark/>
          </w:tcPr>
          <w:p w14:paraId="45C2795F"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169,8</w:t>
            </w:r>
          </w:p>
        </w:tc>
        <w:tc>
          <w:tcPr>
            <w:tcW w:w="1196" w:type="dxa"/>
            <w:tcBorders>
              <w:top w:val="nil"/>
              <w:left w:val="nil"/>
              <w:bottom w:val="single" w:sz="4" w:space="0" w:color="auto"/>
              <w:right w:val="single" w:sz="4" w:space="0" w:color="auto"/>
            </w:tcBorders>
            <w:shd w:val="clear" w:color="auto" w:fill="auto"/>
            <w:noWrap/>
            <w:vAlign w:val="bottom"/>
            <w:hideMark/>
          </w:tcPr>
          <w:p w14:paraId="50B719E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1B68F448"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24702754"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7DA18BB1"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77,9</w:t>
            </w:r>
          </w:p>
        </w:tc>
        <w:tc>
          <w:tcPr>
            <w:tcW w:w="853" w:type="dxa"/>
            <w:tcBorders>
              <w:top w:val="nil"/>
              <w:left w:val="nil"/>
              <w:bottom w:val="single" w:sz="4" w:space="0" w:color="auto"/>
              <w:right w:val="single" w:sz="4" w:space="0" w:color="auto"/>
            </w:tcBorders>
            <w:shd w:val="clear" w:color="auto" w:fill="auto"/>
            <w:hideMark/>
          </w:tcPr>
          <w:p w14:paraId="3978FEC3"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340,3</w:t>
            </w:r>
          </w:p>
        </w:tc>
      </w:tr>
      <w:tr w:rsidR="009371DC" w:rsidRPr="008860BA" w14:paraId="5A799343"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2A6AC1DF"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Produse sanguine</w:t>
            </w:r>
          </w:p>
        </w:tc>
        <w:tc>
          <w:tcPr>
            <w:tcW w:w="673" w:type="dxa"/>
            <w:tcBorders>
              <w:top w:val="nil"/>
              <w:left w:val="nil"/>
              <w:bottom w:val="single" w:sz="4" w:space="0" w:color="auto"/>
              <w:right w:val="single" w:sz="4" w:space="0" w:color="auto"/>
            </w:tcBorders>
            <w:shd w:val="clear" w:color="auto" w:fill="auto"/>
            <w:noWrap/>
            <w:vAlign w:val="bottom"/>
            <w:hideMark/>
          </w:tcPr>
          <w:p w14:paraId="5C9C56C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74B94D01"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56,7</w:t>
            </w:r>
          </w:p>
        </w:tc>
        <w:tc>
          <w:tcPr>
            <w:tcW w:w="1218" w:type="dxa"/>
            <w:tcBorders>
              <w:top w:val="nil"/>
              <w:left w:val="nil"/>
              <w:bottom w:val="single" w:sz="4" w:space="0" w:color="auto"/>
              <w:right w:val="single" w:sz="4" w:space="0" w:color="auto"/>
            </w:tcBorders>
            <w:shd w:val="clear" w:color="auto" w:fill="auto"/>
            <w:noWrap/>
            <w:vAlign w:val="bottom"/>
            <w:hideMark/>
          </w:tcPr>
          <w:p w14:paraId="03CC1B39"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56,7</w:t>
            </w:r>
          </w:p>
        </w:tc>
        <w:tc>
          <w:tcPr>
            <w:tcW w:w="1137" w:type="dxa"/>
            <w:tcBorders>
              <w:top w:val="nil"/>
              <w:left w:val="nil"/>
              <w:bottom w:val="single" w:sz="4" w:space="0" w:color="auto"/>
              <w:right w:val="single" w:sz="4" w:space="0" w:color="auto"/>
            </w:tcBorders>
            <w:shd w:val="clear" w:color="auto" w:fill="auto"/>
            <w:hideMark/>
          </w:tcPr>
          <w:p w14:paraId="483D16EC"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63" w:type="dxa"/>
            <w:tcBorders>
              <w:top w:val="nil"/>
              <w:left w:val="nil"/>
              <w:bottom w:val="single" w:sz="4" w:space="0" w:color="auto"/>
              <w:right w:val="single" w:sz="4" w:space="0" w:color="auto"/>
            </w:tcBorders>
            <w:shd w:val="clear" w:color="auto" w:fill="auto"/>
            <w:noWrap/>
            <w:vAlign w:val="bottom"/>
            <w:hideMark/>
          </w:tcPr>
          <w:p w14:paraId="6AA544EE"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61525F9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3028EFE1"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2D87590A"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3C6FA75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hideMark/>
          </w:tcPr>
          <w:p w14:paraId="227415EB"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56,7</w:t>
            </w:r>
          </w:p>
        </w:tc>
      </w:tr>
      <w:tr w:rsidR="009371DC" w:rsidRPr="008860BA" w14:paraId="06110994"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051368B4" w14:textId="32D94333" w:rsidR="009371DC" w:rsidRPr="008860BA" w:rsidRDefault="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Protec</w:t>
            </w:r>
            <w:r w:rsidR="00E10604"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ia muncii (produse alimentare)</w:t>
            </w:r>
          </w:p>
        </w:tc>
        <w:tc>
          <w:tcPr>
            <w:tcW w:w="673" w:type="dxa"/>
            <w:tcBorders>
              <w:top w:val="nil"/>
              <w:left w:val="nil"/>
              <w:bottom w:val="single" w:sz="4" w:space="0" w:color="auto"/>
              <w:right w:val="single" w:sz="4" w:space="0" w:color="auto"/>
            </w:tcBorders>
            <w:shd w:val="clear" w:color="auto" w:fill="auto"/>
            <w:noWrap/>
            <w:vAlign w:val="bottom"/>
            <w:hideMark/>
          </w:tcPr>
          <w:p w14:paraId="54A4826D"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462C82EA"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232,9</w:t>
            </w:r>
          </w:p>
        </w:tc>
        <w:tc>
          <w:tcPr>
            <w:tcW w:w="1218" w:type="dxa"/>
            <w:tcBorders>
              <w:top w:val="nil"/>
              <w:left w:val="nil"/>
              <w:bottom w:val="single" w:sz="4" w:space="0" w:color="auto"/>
              <w:right w:val="single" w:sz="4" w:space="0" w:color="auto"/>
            </w:tcBorders>
            <w:shd w:val="clear" w:color="auto" w:fill="auto"/>
            <w:noWrap/>
            <w:vAlign w:val="bottom"/>
            <w:hideMark/>
          </w:tcPr>
          <w:p w14:paraId="34A71364"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232,9</w:t>
            </w:r>
          </w:p>
        </w:tc>
        <w:tc>
          <w:tcPr>
            <w:tcW w:w="1137" w:type="dxa"/>
            <w:tcBorders>
              <w:top w:val="nil"/>
              <w:left w:val="nil"/>
              <w:bottom w:val="single" w:sz="4" w:space="0" w:color="auto"/>
              <w:right w:val="single" w:sz="4" w:space="0" w:color="auto"/>
            </w:tcBorders>
            <w:shd w:val="clear" w:color="auto" w:fill="auto"/>
            <w:hideMark/>
          </w:tcPr>
          <w:p w14:paraId="089FA8A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213,0</w:t>
            </w:r>
          </w:p>
        </w:tc>
        <w:tc>
          <w:tcPr>
            <w:tcW w:w="1263" w:type="dxa"/>
            <w:tcBorders>
              <w:top w:val="nil"/>
              <w:left w:val="nil"/>
              <w:bottom w:val="single" w:sz="4" w:space="0" w:color="auto"/>
              <w:right w:val="single" w:sz="4" w:space="0" w:color="auto"/>
            </w:tcBorders>
            <w:shd w:val="clear" w:color="auto" w:fill="auto"/>
            <w:noWrap/>
            <w:vAlign w:val="bottom"/>
            <w:hideMark/>
          </w:tcPr>
          <w:p w14:paraId="70154FBA"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7CA07C97"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33D8ADF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1A9668A6"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17395736"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hideMark/>
          </w:tcPr>
          <w:p w14:paraId="0DD38138"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20,0</w:t>
            </w:r>
          </w:p>
        </w:tc>
      </w:tr>
      <w:tr w:rsidR="009371DC" w:rsidRPr="008860BA" w14:paraId="28908884"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56A92A23"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Rechizite de birou</w:t>
            </w:r>
          </w:p>
        </w:tc>
        <w:tc>
          <w:tcPr>
            <w:tcW w:w="673" w:type="dxa"/>
            <w:tcBorders>
              <w:top w:val="nil"/>
              <w:left w:val="nil"/>
              <w:bottom w:val="single" w:sz="4" w:space="0" w:color="auto"/>
              <w:right w:val="single" w:sz="4" w:space="0" w:color="auto"/>
            </w:tcBorders>
            <w:shd w:val="clear" w:color="auto" w:fill="auto"/>
            <w:noWrap/>
            <w:vAlign w:val="bottom"/>
            <w:hideMark/>
          </w:tcPr>
          <w:p w14:paraId="32C2637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666EDBDE"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196,8</w:t>
            </w:r>
          </w:p>
        </w:tc>
        <w:tc>
          <w:tcPr>
            <w:tcW w:w="1218" w:type="dxa"/>
            <w:tcBorders>
              <w:top w:val="nil"/>
              <w:left w:val="nil"/>
              <w:bottom w:val="single" w:sz="4" w:space="0" w:color="auto"/>
              <w:right w:val="single" w:sz="4" w:space="0" w:color="auto"/>
            </w:tcBorders>
            <w:shd w:val="clear" w:color="auto" w:fill="auto"/>
            <w:noWrap/>
            <w:vAlign w:val="bottom"/>
            <w:hideMark/>
          </w:tcPr>
          <w:p w14:paraId="45F5B55B"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196,8</w:t>
            </w:r>
          </w:p>
        </w:tc>
        <w:tc>
          <w:tcPr>
            <w:tcW w:w="1137" w:type="dxa"/>
            <w:tcBorders>
              <w:top w:val="nil"/>
              <w:left w:val="nil"/>
              <w:bottom w:val="single" w:sz="4" w:space="0" w:color="auto"/>
              <w:right w:val="single" w:sz="4" w:space="0" w:color="auto"/>
            </w:tcBorders>
            <w:shd w:val="clear" w:color="auto" w:fill="auto"/>
            <w:hideMark/>
          </w:tcPr>
          <w:p w14:paraId="7E3B3880"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30,2</w:t>
            </w:r>
          </w:p>
        </w:tc>
        <w:tc>
          <w:tcPr>
            <w:tcW w:w="1263" w:type="dxa"/>
            <w:tcBorders>
              <w:top w:val="nil"/>
              <w:left w:val="nil"/>
              <w:bottom w:val="single" w:sz="4" w:space="0" w:color="auto"/>
              <w:right w:val="single" w:sz="4" w:space="0" w:color="auto"/>
            </w:tcBorders>
            <w:shd w:val="clear" w:color="auto" w:fill="auto"/>
            <w:noWrap/>
            <w:vAlign w:val="bottom"/>
            <w:hideMark/>
          </w:tcPr>
          <w:p w14:paraId="40F37B8A"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57D72C7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74D2523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43A9A2AF"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5DD2FA26"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14,2</w:t>
            </w:r>
          </w:p>
        </w:tc>
        <w:tc>
          <w:tcPr>
            <w:tcW w:w="853" w:type="dxa"/>
            <w:tcBorders>
              <w:top w:val="nil"/>
              <w:left w:val="nil"/>
              <w:bottom w:val="single" w:sz="4" w:space="0" w:color="auto"/>
              <w:right w:val="single" w:sz="4" w:space="0" w:color="auto"/>
            </w:tcBorders>
            <w:shd w:val="clear" w:color="auto" w:fill="auto"/>
            <w:hideMark/>
          </w:tcPr>
          <w:p w14:paraId="01D37733"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152,5</w:t>
            </w:r>
          </w:p>
        </w:tc>
      </w:tr>
      <w:tr w:rsidR="009371DC" w:rsidRPr="008860BA" w14:paraId="36F4E7C1"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4BD1F125"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Remunerarea muncii</w:t>
            </w:r>
          </w:p>
        </w:tc>
        <w:tc>
          <w:tcPr>
            <w:tcW w:w="673" w:type="dxa"/>
            <w:tcBorders>
              <w:top w:val="nil"/>
              <w:left w:val="nil"/>
              <w:bottom w:val="single" w:sz="4" w:space="0" w:color="auto"/>
              <w:right w:val="single" w:sz="4" w:space="0" w:color="auto"/>
            </w:tcBorders>
            <w:shd w:val="clear" w:color="auto" w:fill="auto"/>
            <w:noWrap/>
            <w:vAlign w:val="bottom"/>
            <w:hideMark/>
          </w:tcPr>
          <w:p w14:paraId="501CE3F8"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7F627E87"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76.643,2</w:t>
            </w:r>
          </w:p>
        </w:tc>
        <w:tc>
          <w:tcPr>
            <w:tcW w:w="1218" w:type="dxa"/>
            <w:tcBorders>
              <w:top w:val="nil"/>
              <w:left w:val="nil"/>
              <w:bottom w:val="single" w:sz="4" w:space="0" w:color="auto"/>
              <w:right w:val="single" w:sz="4" w:space="0" w:color="auto"/>
            </w:tcBorders>
            <w:shd w:val="clear" w:color="auto" w:fill="auto"/>
            <w:noWrap/>
            <w:vAlign w:val="bottom"/>
            <w:hideMark/>
          </w:tcPr>
          <w:p w14:paraId="009CEE4B"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76.643,2</w:t>
            </w:r>
          </w:p>
        </w:tc>
        <w:tc>
          <w:tcPr>
            <w:tcW w:w="1137" w:type="dxa"/>
            <w:tcBorders>
              <w:top w:val="nil"/>
              <w:left w:val="nil"/>
              <w:bottom w:val="single" w:sz="4" w:space="0" w:color="auto"/>
              <w:right w:val="single" w:sz="4" w:space="0" w:color="auto"/>
            </w:tcBorders>
            <w:shd w:val="clear" w:color="auto" w:fill="auto"/>
            <w:hideMark/>
          </w:tcPr>
          <w:p w14:paraId="1F6E606E"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62.453,3</w:t>
            </w:r>
          </w:p>
        </w:tc>
        <w:tc>
          <w:tcPr>
            <w:tcW w:w="1263" w:type="dxa"/>
            <w:tcBorders>
              <w:top w:val="nil"/>
              <w:left w:val="nil"/>
              <w:bottom w:val="single" w:sz="4" w:space="0" w:color="auto"/>
              <w:right w:val="single" w:sz="4" w:space="0" w:color="auto"/>
            </w:tcBorders>
            <w:shd w:val="clear" w:color="auto" w:fill="auto"/>
            <w:hideMark/>
          </w:tcPr>
          <w:p w14:paraId="687623BE"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111,2</w:t>
            </w:r>
          </w:p>
        </w:tc>
        <w:tc>
          <w:tcPr>
            <w:tcW w:w="1196" w:type="dxa"/>
            <w:tcBorders>
              <w:top w:val="nil"/>
              <w:left w:val="nil"/>
              <w:bottom w:val="single" w:sz="4" w:space="0" w:color="auto"/>
              <w:right w:val="single" w:sz="4" w:space="0" w:color="auto"/>
            </w:tcBorders>
            <w:shd w:val="clear" w:color="auto" w:fill="auto"/>
            <w:noWrap/>
            <w:vAlign w:val="bottom"/>
            <w:hideMark/>
          </w:tcPr>
          <w:p w14:paraId="174615D1"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76BFB05D"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8.175,0</w:t>
            </w:r>
          </w:p>
        </w:tc>
        <w:tc>
          <w:tcPr>
            <w:tcW w:w="761" w:type="dxa"/>
            <w:tcBorders>
              <w:top w:val="nil"/>
              <w:left w:val="nil"/>
              <w:bottom w:val="single" w:sz="4" w:space="0" w:color="auto"/>
              <w:right w:val="single" w:sz="4" w:space="0" w:color="auto"/>
            </w:tcBorders>
            <w:shd w:val="clear" w:color="auto" w:fill="auto"/>
            <w:hideMark/>
          </w:tcPr>
          <w:p w14:paraId="32DDDDE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2.033,5</w:t>
            </w:r>
          </w:p>
        </w:tc>
        <w:tc>
          <w:tcPr>
            <w:tcW w:w="880" w:type="dxa"/>
            <w:tcBorders>
              <w:top w:val="nil"/>
              <w:left w:val="nil"/>
              <w:bottom w:val="single" w:sz="4" w:space="0" w:color="auto"/>
              <w:right w:val="single" w:sz="4" w:space="0" w:color="auto"/>
            </w:tcBorders>
            <w:shd w:val="clear" w:color="auto" w:fill="auto"/>
            <w:hideMark/>
          </w:tcPr>
          <w:p w14:paraId="04964248"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411,9</w:t>
            </w:r>
          </w:p>
        </w:tc>
        <w:tc>
          <w:tcPr>
            <w:tcW w:w="853" w:type="dxa"/>
            <w:tcBorders>
              <w:top w:val="nil"/>
              <w:left w:val="nil"/>
              <w:bottom w:val="single" w:sz="4" w:space="0" w:color="auto"/>
              <w:right w:val="single" w:sz="4" w:space="0" w:color="auto"/>
            </w:tcBorders>
            <w:shd w:val="clear" w:color="auto" w:fill="auto"/>
            <w:hideMark/>
          </w:tcPr>
          <w:p w14:paraId="13797E7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3.458,3</w:t>
            </w:r>
          </w:p>
        </w:tc>
      </w:tr>
      <w:tr w:rsidR="009371DC" w:rsidRPr="008860BA" w14:paraId="7655D478"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6C6BB91E" w14:textId="53F3BF69" w:rsidR="009371DC" w:rsidRPr="008860BA" w:rsidRDefault="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Repara</w:t>
            </w:r>
            <w:r w:rsidR="00E10604"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ia curenta si deservirea MF</w:t>
            </w:r>
          </w:p>
        </w:tc>
        <w:tc>
          <w:tcPr>
            <w:tcW w:w="673" w:type="dxa"/>
            <w:tcBorders>
              <w:top w:val="nil"/>
              <w:left w:val="nil"/>
              <w:bottom w:val="single" w:sz="4" w:space="0" w:color="auto"/>
              <w:right w:val="single" w:sz="4" w:space="0" w:color="auto"/>
            </w:tcBorders>
            <w:shd w:val="clear" w:color="auto" w:fill="auto"/>
            <w:noWrap/>
            <w:vAlign w:val="bottom"/>
            <w:hideMark/>
          </w:tcPr>
          <w:p w14:paraId="7BA9A436"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360DB69C"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847,1</w:t>
            </w:r>
          </w:p>
        </w:tc>
        <w:tc>
          <w:tcPr>
            <w:tcW w:w="1218" w:type="dxa"/>
            <w:tcBorders>
              <w:top w:val="nil"/>
              <w:left w:val="nil"/>
              <w:bottom w:val="single" w:sz="4" w:space="0" w:color="auto"/>
              <w:right w:val="single" w:sz="4" w:space="0" w:color="auto"/>
            </w:tcBorders>
            <w:shd w:val="clear" w:color="auto" w:fill="auto"/>
            <w:noWrap/>
            <w:vAlign w:val="bottom"/>
            <w:hideMark/>
          </w:tcPr>
          <w:p w14:paraId="4723566A"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847,1</w:t>
            </w:r>
          </w:p>
        </w:tc>
        <w:tc>
          <w:tcPr>
            <w:tcW w:w="1137" w:type="dxa"/>
            <w:tcBorders>
              <w:top w:val="nil"/>
              <w:left w:val="nil"/>
              <w:bottom w:val="single" w:sz="4" w:space="0" w:color="auto"/>
              <w:right w:val="single" w:sz="4" w:space="0" w:color="auto"/>
            </w:tcBorders>
            <w:shd w:val="clear" w:color="auto" w:fill="auto"/>
            <w:hideMark/>
          </w:tcPr>
          <w:p w14:paraId="31B6EEE2"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608,1</w:t>
            </w:r>
          </w:p>
        </w:tc>
        <w:tc>
          <w:tcPr>
            <w:tcW w:w="1263" w:type="dxa"/>
            <w:tcBorders>
              <w:top w:val="nil"/>
              <w:left w:val="nil"/>
              <w:bottom w:val="single" w:sz="4" w:space="0" w:color="auto"/>
              <w:right w:val="single" w:sz="4" w:space="0" w:color="auto"/>
            </w:tcBorders>
            <w:shd w:val="clear" w:color="auto" w:fill="auto"/>
            <w:hideMark/>
          </w:tcPr>
          <w:p w14:paraId="51F72DCA"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61,0</w:t>
            </w:r>
          </w:p>
        </w:tc>
        <w:tc>
          <w:tcPr>
            <w:tcW w:w="1196" w:type="dxa"/>
            <w:tcBorders>
              <w:top w:val="nil"/>
              <w:left w:val="nil"/>
              <w:bottom w:val="single" w:sz="4" w:space="0" w:color="auto"/>
              <w:right w:val="single" w:sz="4" w:space="0" w:color="auto"/>
            </w:tcBorders>
            <w:shd w:val="clear" w:color="auto" w:fill="auto"/>
            <w:noWrap/>
            <w:vAlign w:val="bottom"/>
            <w:hideMark/>
          </w:tcPr>
          <w:p w14:paraId="12A4887C"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4D14B851"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93,8</w:t>
            </w:r>
          </w:p>
        </w:tc>
        <w:tc>
          <w:tcPr>
            <w:tcW w:w="761" w:type="dxa"/>
            <w:tcBorders>
              <w:top w:val="nil"/>
              <w:left w:val="nil"/>
              <w:bottom w:val="single" w:sz="4" w:space="0" w:color="auto"/>
              <w:right w:val="single" w:sz="4" w:space="0" w:color="auto"/>
            </w:tcBorders>
            <w:shd w:val="clear" w:color="auto" w:fill="auto"/>
            <w:noWrap/>
            <w:vAlign w:val="bottom"/>
            <w:hideMark/>
          </w:tcPr>
          <w:p w14:paraId="2EEFC8E7"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3FFB18B7"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66,8</w:t>
            </w:r>
          </w:p>
        </w:tc>
        <w:tc>
          <w:tcPr>
            <w:tcW w:w="853" w:type="dxa"/>
            <w:tcBorders>
              <w:top w:val="nil"/>
              <w:left w:val="nil"/>
              <w:bottom w:val="single" w:sz="4" w:space="0" w:color="auto"/>
              <w:right w:val="single" w:sz="4" w:space="0" w:color="auto"/>
            </w:tcBorders>
            <w:shd w:val="clear" w:color="auto" w:fill="auto"/>
            <w:hideMark/>
          </w:tcPr>
          <w:p w14:paraId="1EEFF34F"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17,4</w:t>
            </w:r>
          </w:p>
        </w:tc>
      </w:tr>
      <w:tr w:rsidR="009371DC" w:rsidRPr="008860BA" w14:paraId="2579B0F3"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55C4F754"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xml:space="preserve">Salubritatea, evacuarea deseurilor </w:t>
            </w:r>
          </w:p>
        </w:tc>
        <w:tc>
          <w:tcPr>
            <w:tcW w:w="673" w:type="dxa"/>
            <w:tcBorders>
              <w:top w:val="nil"/>
              <w:left w:val="nil"/>
              <w:bottom w:val="single" w:sz="4" w:space="0" w:color="auto"/>
              <w:right w:val="single" w:sz="4" w:space="0" w:color="auto"/>
            </w:tcBorders>
            <w:shd w:val="clear" w:color="auto" w:fill="auto"/>
            <w:noWrap/>
            <w:vAlign w:val="bottom"/>
            <w:hideMark/>
          </w:tcPr>
          <w:p w14:paraId="0051358D"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4680022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617,9</w:t>
            </w:r>
          </w:p>
        </w:tc>
        <w:tc>
          <w:tcPr>
            <w:tcW w:w="1218" w:type="dxa"/>
            <w:tcBorders>
              <w:top w:val="nil"/>
              <w:left w:val="nil"/>
              <w:bottom w:val="single" w:sz="4" w:space="0" w:color="auto"/>
              <w:right w:val="single" w:sz="4" w:space="0" w:color="auto"/>
            </w:tcBorders>
            <w:shd w:val="clear" w:color="auto" w:fill="auto"/>
            <w:noWrap/>
            <w:vAlign w:val="bottom"/>
            <w:hideMark/>
          </w:tcPr>
          <w:p w14:paraId="37DF0775"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617,9</w:t>
            </w:r>
          </w:p>
        </w:tc>
        <w:tc>
          <w:tcPr>
            <w:tcW w:w="1137" w:type="dxa"/>
            <w:tcBorders>
              <w:top w:val="nil"/>
              <w:left w:val="nil"/>
              <w:bottom w:val="single" w:sz="4" w:space="0" w:color="auto"/>
              <w:right w:val="single" w:sz="4" w:space="0" w:color="auto"/>
            </w:tcBorders>
            <w:shd w:val="clear" w:color="auto" w:fill="auto"/>
            <w:hideMark/>
          </w:tcPr>
          <w:p w14:paraId="022DD658"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364,2</w:t>
            </w:r>
          </w:p>
        </w:tc>
        <w:tc>
          <w:tcPr>
            <w:tcW w:w="1263" w:type="dxa"/>
            <w:tcBorders>
              <w:top w:val="nil"/>
              <w:left w:val="nil"/>
              <w:bottom w:val="single" w:sz="4" w:space="0" w:color="auto"/>
              <w:right w:val="single" w:sz="4" w:space="0" w:color="auto"/>
            </w:tcBorders>
            <w:shd w:val="clear" w:color="auto" w:fill="auto"/>
            <w:noWrap/>
            <w:vAlign w:val="bottom"/>
            <w:hideMark/>
          </w:tcPr>
          <w:p w14:paraId="3384A258"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0254E28A"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0D838713"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162,3</w:t>
            </w:r>
          </w:p>
        </w:tc>
        <w:tc>
          <w:tcPr>
            <w:tcW w:w="761" w:type="dxa"/>
            <w:tcBorders>
              <w:top w:val="nil"/>
              <w:left w:val="nil"/>
              <w:bottom w:val="single" w:sz="4" w:space="0" w:color="auto"/>
              <w:right w:val="single" w:sz="4" w:space="0" w:color="auto"/>
            </w:tcBorders>
            <w:shd w:val="clear" w:color="auto" w:fill="auto"/>
            <w:noWrap/>
            <w:vAlign w:val="bottom"/>
            <w:hideMark/>
          </w:tcPr>
          <w:p w14:paraId="09E1AD9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31CC26A2"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91,4</w:t>
            </w:r>
          </w:p>
        </w:tc>
        <w:tc>
          <w:tcPr>
            <w:tcW w:w="853" w:type="dxa"/>
            <w:tcBorders>
              <w:top w:val="nil"/>
              <w:left w:val="nil"/>
              <w:bottom w:val="single" w:sz="4" w:space="0" w:color="auto"/>
              <w:right w:val="single" w:sz="4" w:space="0" w:color="auto"/>
            </w:tcBorders>
            <w:shd w:val="clear" w:color="auto" w:fill="auto"/>
            <w:noWrap/>
            <w:vAlign w:val="bottom"/>
            <w:hideMark/>
          </w:tcPr>
          <w:p w14:paraId="7FF2ECF7"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1F780A1F"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48861F70"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xml:space="preserve">Servicii medicale </w:t>
            </w:r>
          </w:p>
        </w:tc>
        <w:tc>
          <w:tcPr>
            <w:tcW w:w="673" w:type="dxa"/>
            <w:tcBorders>
              <w:top w:val="nil"/>
              <w:left w:val="nil"/>
              <w:bottom w:val="single" w:sz="4" w:space="0" w:color="auto"/>
              <w:right w:val="single" w:sz="4" w:space="0" w:color="auto"/>
            </w:tcBorders>
            <w:shd w:val="clear" w:color="auto" w:fill="auto"/>
            <w:noWrap/>
            <w:vAlign w:val="bottom"/>
            <w:hideMark/>
          </w:tcPr>
          <w:p w14:paraId="5C70D84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7025749A"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420,2</w:t>
            </w:r>
          </w:p>
        </w:tc>
        <w:tc>
          <w:tcPr>
            <w:tcW w:w="1218" w:type="dxa"/>
            <w:tcBorders>
              <w:top w:val="nil"/>
              <w:left w:val="nil"/>
              <w:bottom w:val="single" w:sz="4" w:space="0" w:color="auto"/>
              <w:right w:val="single" w:sz="4" w:space="0" w:color="auto"/>
            </w:tcBorders>
            <w:shd w:val="clear" w:color="auto" w:fill="auto"/>
            <w:noWrap/>
            <w:vAlign w:val="bottom"/>
            <w:hideMark/>
          </w:tcPr>
          <w:p w14:paraId="67F73838"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420,2</w:t>
            </w:r>
          </w:p>
        </w:tc>
        <w:tc>
          <w:tcPr>
            <w:tcW w:w="1137" w:type="dxa"/>
            <w:tcBorders>
              <w:top w:val="nil"/>
              <w:left w:val="nil"/>
              <w:bottom w:val="single" w:sz="4" w:space="0" w:color="auto"/>
              <w:right w:val="single" w:sz="4" w:space="0" w:color="auto"/>
            </w:tcBorders>
            <w:shd w:val="clear" w:color="auto" w:fill="auto"/>
            <w:hideMark/>
          </w:tcPr>
          <w:p w14:paraId="1234BB5A"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401,8</w:t>
            </w:r>
          </w:p>
        </w:tc>
        <w:tc>
          <w:tcPr>
            <w:tcW w:w="1263" w:type="dxa"/>
            <w:tcBorders>
              <w:top w:val="nil"/>
              <w:left w:val="nil"/>
              <w:bottom w:val="single" w:sz="4" w:space="0" w:color="auto"/>
              <w:right w:val="single" w:sz="4" w:space="0" w:color="auto"/>
            </w:tcBorders>
            <w:shd w:val="clear" w:color="auto" w:fill="auto"/>
            <w:noWrap/>
            <w:vAlign w:val="bottom"/>
            <w:hideMark/>
          </w:tcPr>
          <w:p w14:paraId="0C041A9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147D548C"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27214718"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42B11B17"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1F69241D"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0,0</w:t>
            </w:r>
          </w:p>
        </w:tc>
        <w:tc>
          <w:tcPr>
            <w:tcW w:w="853" w:type="dxa"/>
            <w:tcBorders>
              <w:top w:val="nil"/>
              <w:left w:val="nil"/>
              <w:bottom w:val="single" w:sz="4" w:space="0" w:color="auto"/>
              <w:right w:val="single" w:sz="4" w:space="0" w:color="auto"/>
            </w:tcBorders>
            <w:shd w:val="clear" w:color="auto" w:fill="auto"/>
            <w:hideMark/>
          </w:tcPr>
          <w:p w14:paraId="1F9B2F73"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18,4</w:t>
            </w:r>
          </w:p>
        </w:tc>
      </w:tr>
      <w:tr w:rsidR="009371DC" w:rsidRPr="008860BA" w14:paraId="69930B43"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5B291BB4" w14:textId="49030EB6" w:rsidR="009371DC" w:rsidRPr="008860BA" w:rsidRDefault="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Suport sistem informa</w:t>
            </w:r>
            <w:r w:rsidR="00E10604"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ional</w:t>
            </w:r>
          </w:p>
        </w:tc>
        <w:tc>
          <w:tcPr>
            <w:tcW w:w="673" w:type="dxa"/>
            <w:tcBorders>
              <w:top w:val="nil"/>
              <w:left w:val="nil"/>
              <w:bottom w:val="single" w:sz="4" w:space="0" w:color="auto"/>
              <w:right w:val="single" w:sz="4" w:space="0" w:color="auto"/>
            </w:tcBorders>
            <w:shd w:val="clear" w:color="auto" w:fill="auto"/>
            <w:noWrap/>
            <w:vAlign w:val="bottom"/>
            <w:hideMark/>
          </w:tcPr>
          <w:p w14:paraId="5318BD6E"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7727F428"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518,6</w:t>
            </w:r>
          </w:p>
        </w:tc>
        <w:tc>
          <w:tcPr>
            <w:tcW w:w="1218" w:type="dxa"/>
            <w:tcBorders>
              <w:top w:val="nil"/>
              <w:left w:val="nil"/>
              <w:bottom w:val="single" w:sz="4" w:space="0" w:color="auto"/>
              <w:right w:val="single" w:sz="4" w:space="0" w:color="auto"/>
            </w:tcBorders>
            <w:shd w:val="clear" w:color="auto" w:fill="auto"/>
            <w:noWrap/>
            <w:vAlign w:val="bottom"/>
            <w:hideMark/>
          </w:tcPr>
          <w:p w14:paraId="52CEA282"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518,6</w:t>
            </w:r>
          </w:p>
        </w:tc>
        <w:tc>
          <w:tcPr>
            <w:tcW w:w="1137" w:type="dxa"/>
            <w:tcBorders>
              <w:top w:val="nil"/>
              <w:left w:val="nil"/>
              <w:bottom w:val="single" w:sz="4" w:space="0" w:color="auto"/>
              <w:right w:val="single" w:sz="4" w:space="0" w:color="auto"/>
            </w:tcBorders>
            <w:shd w:val="clear" w:color="auto" w:fill="auto"/>
            <w:hideMark/>
          </w:tcPr>
          <w:p w14:paraId="5C3D385B"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509,2</w:t>
            </w:r>
          </w:p>
        </w:tc>
        <w:tc>
          <w:tcPr>
            <w:tcW w:w="1263" w:type="dxa"/>
            <w:tcBorders>
              <w:top w:val="nil"/>
              <w:left w:val="nil"/>
              <w:bottom w:val="single" w:sz="4" w:space="0" w:color="auto"/>
              <w:right w:val="single" w:sz="4" w:space="0" w:color="auto"/>
            </w:tcBorders>
            <w:shd w:val="clear" w:color="auto" w:fill="auto"/>
            <w:noWrap/>
            <w:vAlign w:val="bottom"/>
            <w:hideMark/>
          </w:tcPr>
          <w:p w14:paraId="33A7E0D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4A6858AA"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201E4814"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44BFE45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hideMark/>
          </w:tcPr>
          <w:p w14:paraId="10A76C25"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9,4</w:t>
            </w:r>
          </w:p>
        </w:tc>
        <w:tc>
          <w:tcPr>
            <w:tcW w:w="853" w:type="dxa"/>
            <w:tcBorders>
              <w:top w:val="nil"/>
              <w:left w:val="nil"/>
              <w:bottom w:val="single" w:sz="4" w:space="0" w:color="auto"/>
              <w:right w:val="single" w:sz="4" w:space="0" w:color="auto"/>
            </w:tcBorders>
            <w:shd w:val="clear" w:color="auto" w:fill="auto"/>
            <w:noWrap/>
            <w:vAlign w:val="bottom"/>
            <w:hideMark/>
          </w:tcPr>
          <w:p w14:paraId="01EC841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4118834A"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4924050C" w14:textId="155847B8" w:rsidR="009371DC" w:rsidRPr="008860BA" w:rsidRDefault="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Taxa pentru drepturile de import</w:t>
            </w:r>
            <w:r w:rsidR="00E10604" w:rsidRPr="008860BA">
              <w:rPr>
                <w:rFonts w:asciiTheme="majorHAnsi" w:eastAsia="Times New Roman" w:hAnsiTheme="majorHAnsi" w:cstheme="majorHAnsi"/>
                <w:sz w:val="18"/>
                <w:szCs w:val="18"/>
                <w:lang w:val="ro-MD"/>
              </w:rPr>
              <w:t>-</w:t>
            </w:r>
            <w:r w:rsidRPr="008860BA">
              <w:rPr>
                <w:rFonts w:asciiTheme="majorHAnsi" w:eastAsia="Times New Roman" w:hAnsiTheme="majorHAnsi" w:cstheme="majorHAnsi"/>
                <w:sz w:val="18"/>
                <w:szCs w:val="18"/>
                <w:lang w:val="ro-MD"/>
              </w:rPr>
              <w:t>export</w:t>
            </w:r>
          </w:p>
        </w:tc>
        <w:tc>
          <w:tcPr>
            <w:tcW w:w="673" w:type="dxa"/>
            <w:tcBorders>
              <w:top w:val="nil"/>
              <w:left w:val="nil"/>
              <w:bottom w:val="single" w:sz="4" w:space="0" w:color="auto"/>
              <w:right w:val="single" w:sz="4" w:space="0" w:color="auto"/>
            </w:tcBorders>
            <w:shd w:val="clear" w:color="auto" w:fill="auto"/>
            <w:noWrap/>
            <w:vAlign w:val="bottom"/>
            <w:hideMark/>
          </w:tcPr>
          <w:p w14:paraId="05E289EF"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5ED250DE"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3,2</w:t>
            </w:r>
          </w:p>
        </w:tc>
        <w:tc>
          <w:tcPr>
            <w:tcW w:w="1218" w:type="dxa"/>
            <w:tcBorders>
              <w:top w:val="nil"/>
              <w:left w:val="nil"/>
              <w:bottom w:val="single" w:sz="4" w:space="0" w:color="auto"/>
              <w:right w:val="single" w:sz="4" w:space="0" w:color="auto"/>
            </w:tcBorders>
            <w:shd w:val="clear" w:color="auto" w:fill="auto"/>
            <w:noWrap/>
            <w:vAlign w:val="bottom"/>
            <w:hideMark/>
          </w:tcPr>
          <w:p w14:paraId="45753395"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3,2</w:t>
            </w:r>
          </w:p>
        </w:tc>
        <w:tc>
          <w:tcPr>
            <w:tcW w:w="1137" w:type="dxa"/>
            <w:tcBorders>
              <w:top w:val="nil"/>
              <w:left w:val="nil"/>
              <w:bottom w:val="single" w:sz="4" w:space="0" w:color="auto"/>
              <w:right w:val="single" w:sz="4" w:space="0" w:color="auto"/>
            </w:tcBorders>
            <w:shd w:val="clear" w:color="auto" w:fill="auto"/>
            <w:hideMark/>
          </w:tcPr>
          <w:p w14:paraId="3C48BA4A"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63" w:type="dxa"/>
            <w:tcBorders>
              <w:top w:val="nil"/>
              <w:left w:val="nil"/>
              <w:bottom w:val="single" w:sz="4" w:space="0" w:color="auto"/>
              <w:right w:val="single" w:sz="4" w:space="0" w:color="auto"/>
            </w:tcBorders>
            <w:shd w:val="clear" w:color="auto" w:fill="auto"/>
            <w:noWrap/>
            <w:vAlign w:val="bottom"/>
            <w:hideMark/>
          </w:tcPr>
          <w:p w14:paraId="4D1F769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4B1519D4"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038CC2D8"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4A1B905D"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hideMark/>
          </w:tcPr>
          <w:p w14:paraId="1E7E2CF5"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53" w:type="dxa"/>
            <w:tcBorders>
              <w:top w:val="nil"/>
              <w:left w:val="nil"/>
              <w:bottom w:val="single" w:sz="4" w:space="0" w:color="auto"/>
              <w:right w:val="single" w:sz="4" w:space="0" w:color="auto"/>
            </w:tcBorders>
            <w:shd w:val="clear" w:color="auto" w:fill="auto"/>
            <w:hideMark/>
          </w:tcPr>
          <w:p w14:paraId="698F7F6E"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3,2</w:t>
            </w:r>
          </w:p>
        </w:tc>
      </w:tr>
      <w:tr w:rsidR="009371DC" w:rsidRPr="008860BA" w14:paraId="27581E9E"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64719009" w14:textId="76C40B06" w:rsidR="009371DC" w:rsidRPr="008860BA" w:rsidRDefault="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Taxa pentru achizi</w:t>
            </w:r>
            <w:r w:rsidR="00E10604"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ii publice</w:t>
            </w:r>
          </w:p>
        </w:tc>
        <w:tc>
          <w:tcPr>
            <w:tcW w:w="673" w:type="dxa"/>
            <w:tcBorders>
              <w:top w:val="nil"/>
              <w:left w:val="nil"/>
              <w:bottom w:val="single" w:sz="4" w:space="0" w:color="auto"/>
              <w:right w:val="single" w:sz="4" w:space="0" w:color="auto"/>
            </w:tcBorders>
            <w:shd w:val="clear" w:color="auto" w:fill="auto"/>
            <w:noWrap/>
            <w:vAlign w:val="bottom"/>
            <w:hideMark/>
          </w:tcPr>
          <w:p w14:paraId="73AFA78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34BA9BFE"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46,9</w:t>
            </w:r>
          </w:p>
        </w:tc>
        <w:tc>
          <w:tcPr>
            <w:tcW w:w="1218" w:type="dxa"/>
            <w:tcBorders>
              <w:top w:val="nil"/>
              <w:left w:val="nil"/>
              <w:bottom w:val="single" w:sz="4" w:space="0" w:color="auto"/>
              <w:right w:val="single" w:sz="4" w:space="0" w:color="auto"/>
            </w:tcBorders>
            <w:shd w:val="clear" w:color="auto" w:fill="auto"/>
            <w:noWrap/>
            <w:vAlign w:val="bottom"/>
            <w:hideMark/>
          </w:tcPr>
          <w:p w14:paraId="75FF30B8"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46,9</w:t>
            </w:r>
          </w:p>
        </w:tc>
        <w:tc>
          <w:tcPr>
            <w:tcW w:w="1137" w:type="dxa"/>
            <w:tcBorders>
              <w:top w:val="nil"/>
              <w:left w:val="nil"/>
              <w:bottom w:val="single" w:sz="4" w:space="0" w:color="auto"/>
              <w:right w:val="single" w:sz="4" w:space="0" w:color="auto"/>
            </w:tcBorders>
            <w:shd w:val="clear" w:color="auto" w:fill="auto"/>
            <w:hideMark/>
          </w:tcPr>
          <w:p w14:paraId="59FCEDB1"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32,5</w:t>
            </w:r>
          </w:p>
        </w:tc>
        <w:tc>
          <w:tcPr>
            <w:tcW w:w="1263" w:type="dxa"/>
            <w:tcBorders>
              <w:top w:val="nil"/>
              <w:left w:val="nil"/>
              <w:bottom w:val="single" w:sz="4" w:space="0" w:color="auto"/>
              <w:right w:val="single" w:sz="4" w:space="0" w:color="auto"/>
            </w:tcBorders>
            <w:shd w:val="clear" w:color="auto" w:fill="auto"/>
            <w:noWrap/>
            <w:vAlign w:val="bottom"/>
            <w:hideMark/>
          </w:tcPr>
          <w:p w14:paraId="57377A0A"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0651AA34"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05FB34D5"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14,4</w:t>
            </w:r>
          </w:p>
        </w:tc>
        <w:tc>
          <w:tcPr>
            <w:tcW w:w="761" w:type="dxa"/>
            <w:tcBorders>
              <w:top w:val="nil"/>
              <w:left w:val="nil"/>
              <w:bottom w:val="single" w:sz="4" w:space="0" w:color="auto"/>
              <w:right w:val="single" w:sz="4" w:space="0" w:color="auto"/>
            </w:tcBorders>
            <w:shd w:val="clear" w:color="auto" w:fill="auto"/>
            <w:noWrap/>
            <w:vAlign w:val="bottom"/>
            <w:hideMark/>
          </w:tcPr>
          <w:p w14:paraId="11267BBD"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0C65C98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37F0AE36"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74239678"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7A9B546F"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Transfer intern</w:t>
            </w:r>
          </w:p>
        </w:tc>
        <w:tc>
          <w:tcPr>
            <w:tcW w:w="673" w:type="dxa"/>
            <w:tcBorders>
              <w:top w:val="nil"/>
              <w:left w:val="nil"/>
              <w:bottom w:val="single" w:sz="4" w:space="0" w:color="auto"/>
              <w:right w:val="single" w:sz="4" w:space="0" w:color="auto"/>
            </w:tcBorders>
            <w:shd w:val="clear" w:color="auto" w:fill="auto"/>
            <w:noWrap/>
            <w:vAlign w:val="bottom"/>
            <w:hideMark/>
          </w:tcPr>
          <w:p w14:paraId="340319A4"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75FB7108"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1,4</w:t>
            </w:r>
          </w:p>
        </w:tc>
        <w:tc>
          <w:tcPr>
            <w:tcW w:w="1218" w:type="dxa"/>
            <w:tcBorders>
              <w:top w:val="nil"/>
              <w:left w:val="nil"/>
              <w:bottom w:val="single" w:sz="4" w:space="0" w:color="auto"/>
              <w:right w:val="single" w:sz="4" w:space="0" w:color="auto"/>
            </w:tcBorders>
            <w:shd w:val="clear" w:color="auto" w:fill="auto"/>
            <w:noWrap/>
            <w:vAlign w:val="bottom"/>
            <w:hideMark/>
          </w:tcPr>
          <w:p w14:paraId="4A2C328C"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1,4</w:t>
            </w:r>
          </w:p>
        </w:tc>
        <w:tc>
          <w:tcPr>
            <w:tcW w:w="1137" w:type="dxa"/>
            <w:tcBorders>
              <w:top w:val="nil"/>
              <w:left w:val="nil"/>
              <w:bottom w:val="single" w:sz="4" w:space="0" w:color="auto"/>
              <w:right w:val="single" w:sz="4" w:space="0" w:color="auto"/>
            </w:tcBorders>
            <w:shd w:val="clear" w:color="auto" w:fill="auto"/>
            <w:hideMark/>
          </w:tcPr>
          <w:p w14:paraId="1C9BFB67"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63" w:type="dxa"/>
            <w:tcBorders>
              <w:top w:val="nil"/>
              <w:left w:val="nil"/>
              <w:bottom w:val="single" w:sz="4" w:space="0" w:color="auto"/>
              <w:right w:val="single" w:sz="4" w:space="0" w:color="auto"/>
            </w:tcBorders>
            <w:shd w:val="clear" w:color="auto" w:fill="auto"/>
            <w:noWrap/>
            <w:vAlign w:val="bottom"/>
            <w:hideMark/>
          </w:tcPr>
          <w:p w14:paraId="27087064"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09CC7B3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04A0442E"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13643F9A"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hideMark/>
          </w:tcPr>
          <w:p w14:paraId="07E8B4D7"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1,4</w:t>
            </w:r>
          </w:p>
        </w:tc>
        <w:tc>
          <w:tcPr>
            <w:tcW w:w="853" w:type="dxa"/>
            <w:tcBorders>
              <w:top w:val="nil"/>
              <w:left w:val="nil"/>
              <w:bottom w:val="single" w:sz="4" w:space="0" w:color="auto"/>
              <w:right w:val="single" w:sz="4" w:space="0" w:color="auto"/>
            </w:tcBorders>
            <w:shd w:val="clear" w:color="auto" w:fill="auto"/>
            <w:hideMark/>
          </w:tcPr>
          <w:p w14:paraId="056E50EF"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9371DC" w:rsidRPr="008860BA" w14:paraId="588ADB52"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14507BE6"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Uzura OMVSD</w:t>
            </w:r>
          </w:p>
        </w:tc>
        <w:tc>
          <w:tcPr>
            <w:tcW w:w="673" w:type="dxa"/>
            <w:tcBorders>
              <w:top w:val="nil"/>
              <w:left w:val="nil"/>
              <w:bottom w:val="single" w:sz="4" w:space="0" w:color="auto"/>
              <w:right w:val="single" w:sz="4" w:space="0" w:color="auto"/>
            </w:tcBorders>
            <w:shd w:val="clear" w:color="auto" w:fill="auto"/>
            <w:noWrap/>
            <w:vAlign w:val="bottom"/>
            <w:hideMark/>
          </w:tcPr>
          <w:p w14:paraId="6EADD53C"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1DDA3EDB"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937,1</w:t>
            </w:r>
          </w:p>
        </w:tc>
        <w:tc>
          <w:tcPr>
            <w:tcW w:w="1218" w:type="dxa"/>
            <w:tcBorders>
              <w:top w:val="nil"/>
              <w:left w:val="nil"/>
              <w:bottom w:val="single" w:sz="4" w:space="0" w:color="auto"/>
              <w:right w:val="single" w:sz="4" w:space="0" w:color="auto"/>
            </w:tcBorders>
            <w:shd w:val="clear" w:color="auto" w:fill="auto"/>
            <w:noWrap/>
            <w:vAlign w:val="bottom"/>
            <w:hideMark/>
          </w:tcPr>
          <w:p w14:paraId="58AA2C4D"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937,1</w:t>
            </w:r>
          </w:p>
        </w:tc>
        <w:tc>
          <w:tcPr>
            <w:tcW w:w="1137" w:type="dxa"/>
            <w:tcBorders>
              <w:top w:val="nil"/>
              <w:left w:val="nil"/>
              <w:bottom w:val="single" w:sz="4" w:space="0" w:color="auto"/>
              <w:right w:val="single" w:sz="4" w:space="0" w:color="auto"/>
            </w:tcBorders>
            <w:shd w:val="clear" w:color="auto" w:fill="auto"/>
            <w:hideMark/>
          </w:tcPr>
          <w:p w14:paraId="13727086"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82,6</w:t>
            </w:r>
          </w:p>
        </w:tc>
        <w:tc>
          <w:tcPr>
            <w:tcW w:w="1263" w:type="dxa"/>
            <w:tcBorders>
              <w:top w:val="nil"/>
              <w:left w:val="nil"/>
              <w:bottom w:val="nil"/>
              <w:right w:val="single" w:sz="4" w:space="0" w:color="auto"/>
            </w:tcBorders>
            <w:shd w:val="clear" w:color="auto" w:fill="auto"/>
            <w:hideMark/>
          </w:tcPr>
          <w:p w14:paraId="28538365"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7,9</w:t>
            </w:r>
          </w:p>
        </w:tc>
        <w:tc>
          <w:tcPr>
            <w:tcW w:w="1196" w:type="dxa"/>
            <w:tcBorders>
              <w:top w:val="nil"/>
              <w:left w:val="nil"/>
              <w:bottom w:val="single" w:sz="4" w:space="0" w:color="auto"/>
              <w:right w:val="single" w:sz="4" w:space="0" w:color="auto"/>
            </w:tcBorders>
            <w:shd w:val="clear" w:color="auto" w:fill="auto"/>
            <w:noWrap/>
            <w:vAlign w:val="bottom"/>
            <w:hideMark/>
          </w:tcPr>
          <w:p w14:paraId="26E494CE"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2A2D77E2"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2D5CD2CC"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hideMark/>
          </w:tcPr>
          <w:p w14:paraId="5D0FB0B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9,4</w:t>
            </w:r>
          </w:p>
        </w:tc>
        <w:tc>
          <w:tcPr>
            <w:tcW w:w="853" w:type="dxa"/>
            <w:tcBorders>
              <w:top w:val="nil"/>
              <w:left w:val="nil"/>
              <w:bottom w:val="single" w:sz="4" w:space="0" w:color="auto"/>
              <w:right w:val="single" w:sz="4" w:space="0" w:color="auto"/>
            </w:tcBorders>
            <w:shd w:val="clear" w:color="auto" w:fill="auto"/>
            <w:hideMark/>
          </w:tcPr>
          <w:p w14:paraId="3DFAC601"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837,1</w:t>
            </w:r>
          </w:p>
        </w:tc>
      </w:tr>
      <w:tr w:rsidR="009371DC" w:rsidRPr="008860BA" w14:paraId="11F654A0"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20CB327" w14:textId="77777777" w:rsidR="009371DC" w:rsidRPr="008860BA" w:rsidRDefault="009371DC" w:rsidP="009371DC">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Cheltuieli administrative</w:t>
            </w:r>
          </w:p>
        </w:tc>
        <w:tc>
          <w:tcPr>
            <w:tcW w:w="673" w:type="dxa"/>
            <w:tcBorders>
              <w:top w:val="nil"/>
              <w:left w:val="nil"/>
              <w:bottom w:val="single" w:sz="4" w:space="0" w:color="auto"/>
              <w:right w:val="single" w:sz="4" w:space="0" w:color="auto"/>
            </w:tcBorders>
            <w:shd w:val="clear" w:color="auto" w:fill="auto"/>
            <w:noWrap/>
            <w:vAlign w:val="bottom"/>
            <w:hideMark/>
          </w:tcPr>
          <w:p w14:paraId="1C41BB42"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713</w:t>
            </w:r>
          </w:p>
        </w:tc>
        <w:tc>
          <w:tcPr>
            <w:tcW w:w="1170" w:type="dxa"/>
            <w:tcBorders>
              <w:top w:val="nil"/>
              <w:left w:val="nil"/>
              <w:bottom w:val="single" w:sz="4" w:space="0" w:color="auto"/>
              <w:right w:val="single" w:sz="4" w:space="0" w:color="auto"/>
            </w:tcBorders>
            <w:shd w:val="clear" w:color="auto" w:fill="auto"/>
            <w:noWrap/>
            <w:vAlign w:val="bottom"/>
            <w:hideMark/>
          </w:tcPr>
          <w:p w14:paraId="20B98F85"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12.852,5</w:t>
            </w:r>
          </w:p>
        </w:tc>
        <w:tc>
          <w:tcPr>
            <w:tcW w:w="1218" w:type="dxa"/>
            <w:tcBorders>
              <w:top w:val="nil"/>
              <w:left w:val="nil"/>
              <w:bottom w:val="single" w:sz="4" w:space="0" w:color="auto"/>
              <w:right w:val="single" w:sz="4" w:space="0" w:color="auto"/>
            </w:tcBorders>
            <w:shd w:val="clear" w:color="auto" w:fill="auto"/>
            <w:noWrap/>
            <w:vAlign w:val="bottom"/>
            <w:hideMark/>
          </w:tcPr>
          <w:p w14:paraId="09C3B22B"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12.852,5</w:t>
            </w:r>
          </w:p>
        </w:tc>
        <w:tc>
          <w:tcPr>
            <w:tcW w:w="1137" w:type="dxa"/>
            <w:tcBorders>
              <w:top w:val="nil"/>
              <w:left w:val="nil"/>
              <w:bottom w:val="single" w:sz="4" w:space="0" w:color="auto"/>
              <w:right w:val="single" w:sz="4" w:space="0" w:color="auto"/>
            </w:tcBorders>
            <w:shd w:val="clear" w:color="auto" w:fill="auto"/>
            <w:noWrap/>
            <w:vAlign w:val="bottom"/>
            <w:hideMark/>
          </w:tcPr>
          <w:p w14:paraId="3396CEB9"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12.764,1</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14:paraId="3B856467" w14:textId="77777777" w:rsidR="009371DC" w:rsidRPr="008860BA" w:rsidRDefault="009371DC" w:rsidP="009371DC">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07698B0E" w14:textId="77777777" w:rsidR="009371DC" w:rsidRPr="008860BA" w:rsidRDefault="009371DC" w:rsidP="009371DC">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77083E12"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43,0</w:t>
            </w:r>
          </w:p>
        </w:tc>
        <w:tc>
          <w:tcPr>
            <w:tcW w:w="761" w:type="dxa"/>
            <w:tcBorders>
              <w:top w:val="nil"/>
              <w:left w:val="nil"/>
              <w:bottom w:val="single" w:sz="4" w:space="0" w:color="auto"/>
              <w:right w:val="single" w:sz="4" w:space="0" w:color="auto"/>
            </w:tcBorders>
            <w:shd w:val="clear" w:color="auto" w:fill="auto"/>
            <w:noWrap/>
            <w:vAlign w:val="bottom"/>
            <w:hideMark/>
          </w:tcPr>
          <w:p w14:paraId="12423C44"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7,2</w:t>
            </w:r>
          </w:p>
        </w:tc>
        <w:tc>
          <w:tcPr>
            <w:tcW w:w="880" w:type="dxa"/>
            <w:tcBorders>
              <w:top w:val="nil"/>
              <w:left w:val="nil"/>
              <w:bottom w:val="single" w:sz="4" w:space="0" w:color="auto"/>
              <w:right w:val="single" w:sz="4" w:space="0" w:color="auto"/>
            </w:tcBorders>
            <w:shd w:val="clear" w:color="auto" w:fill="auto"/>
            <w:noWrap/>
            <w:vAlign w:val="bottom"/>
            <w:hideMark/>
          </w:tcPr>
          <w:p w14:paraId="120EBCC5"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37,2</w:t>
            </w:r>
          </w:p>
        </w:tc>
        <w:tc>
          <w:tcPr>
            <w:tcW w:w="853" w:type="dxa"/>
            <w:tcBorders>
              <w:top w:val="nil"/>
              <w:left w:val="nil"/>
              <w:bottom w:val="single" w:sz="4" w:space="0" w:color="auto"/>
              <w:right w:val="single" w:sz="4" w:space="0" w:color="auto"/>
            </w:tcBorders>
            <w:shd w:val="clear" w:color="auto" w:fill="auto"/>
            <w:noWrap/>
            <w:vAlign w:val="bottom"/>
            <w:hideMark/>
          </w:tcPr>
          <w:p w14:paraId="5A6C90A8"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1,0</w:t>
            </w:r>
          </w:p>
        </w:tc>
      </w:tr>
      <w:tr w:rsidR="009371DC" w:rsidRPr="008860BA" w14:paraId="0D518305"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2193E91"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Fondul social ( 24 %)</w:t>
            </w:r>
          </w:p>
        </w:tc>
        <w:tc>
          <w:tcPr>
            <w:tcW w:w="673" w:type="dxa"/>
            <w:tcBorders>
              <w:top w:val="nil"/>
              <w:left w:val="nil"/>
              <w:bottom w:val="single" w:sz="4" w:space="0" w:color="auto"/>
              <w:right w:val="single" w:sz="4" w:space="0" w:color="auto"/>
            </w:tcBorders>
            <w:shd w:val="clear" w:color="auto" w:fill="auto"/>
            <w:noWrap/>
            <w:vAlign w:val="bottom"/>
            <w:hideMark/>
          </w:tcPr>
          <w:p w14:paraId="0D81FC3F"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noWrap/>
            <w:vAlign w:val="bottom"/>
            <w:hideMark/>
          </w:tcPr>
          <w:p w14:paraId="4EB6BFDF"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2.372,6</w:t>
            </w:r>
          </w:p>
        </w:tc>
        <w:tc>
          <w:tcPr>
            <w:tcW w:w="1218" w:type="dxa"/>
            <w:tcBorders>
              <w:top w:val="nil"/>
              <w:left w:val="nil"/>
              <w:bottom w:val="single" w:sz="4" w:space="0" w:color="auto"/>
              <w:right w:val="single" w:sz="4" w:space="0" w:color="auto"/>
            </w:tcBorders>
            <w:shd w:val="clear" w:color="auto" w:fill="auto"/>
            <w:noWrap/>
            <w:vAlign w:val="bottom"/>
            <w:hideMark/>
          </w:tcPr>
          <w:p w14:paraId="53EBB6B0"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2.372,6</w:t>
            </w:r>
          </w:p>
        </w:tc>
        <w:tc>
          <w:tcPr>
            <w:tcW w:w="1137" w:type="dxa"/>
            <w:tcBorders>
              <w:top w:val="nil"/>
              <w:left w:val="nil"/>
              <w:bottom w:val="single" w:sz="4" w:space="0" w:color="auto"/>
              <w:right w:val="single" w:sz="4" w:space="0" w:color="auto"/>
            </w:tcBorders>
            <w:shd w:val="clear" w:color="auto" w:fill="auto"/>
            <w:noWrap/>
            <w:vAlign w:val="bottom"/>
            <w:hideMark/>
          </w:tcPr>
          <w:p w14:paraId="14CC4E43"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2.372,6</w:t>
            </w:r>
          </w:p>
        </w:tc>
        <w:tc>
          <w:tcPr>
            <w:tcW w:w="1263" w:type="dxa"/>
            <w:tcBorders>
              <w:top w:val="nil"/>
              <w:left w:val="nil"/>
              <w:bottom w:val="single" w:sz="4" w:space="0" w:color="auto"/>
              <w:right w:val="single" w:sz="4" w:space="0" w:color="auto"/>
            </w:tcBorders>
            <w:shd w:val="clear" w:color="auto" w:fill="auto"/>
            <w:noWrap/>
            <w:vAlign w:val="bottom"/>
            <w:hideMark/>
          </w:tcPr>
          <w:p w14:paraId="7CE32F6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329DDB02"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6CE7A0E2"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0D13F10C"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5112FF0C"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60CF573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43B8EAEF"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B1C067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Remunerarea muncii</w:t>
            </w:r>
          </w:p>
        </w:tc>
        <w:tc>
          <w:tcPr>
            <w:tcW w:w="673" w:type="dxa"/>
            <w:tcBorders>
              <w:top w:val="nil"/>
              <w:left w:val="nil"/>
              <w:bottom w:val="single" w:sz="4" w:space="0" w:color="auto"/>
              <w:right w:val="single" w:sz="4" w:space="0" w:color="auto"/>
            </w:tcBorders>
            <w:shd w:val="clear" w:color="auto" w:fill="auto"/>
            <w:noWrap/>
            <w:vAlign w:val="bottom"/>
            <w:hideMark/>
          </w:tcPr>
          <w:p w14:paraId="4D31178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noWrap/>
            <w:vAlign w:val="bottom"/>
            <w:hideMark/>
          </w:tcPr>
          <w:p w14:paraId="6F5FE856"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9.885,8</w:t>
            </w:r>
          </w:p>
        </w:tc>
        <w:tc>
          <w:tcPr>
            <w:tcW w:w="1218" w:type="dxa"/>
            <w:tcBorders>
              <w:top w:val="nil"/>
              <w:left w:val="nil"/>
              <w:bottom w:val="single" w:sz="4" w:space="0" w:color="auto"/>
              <w:right w:val="single" w:sz="4" w:space="0" w:color="auto"/>
            </w:tcBorders>
            <w:shd w:val="clear" w:color="auto" w:fill="auto"/>
            <w:noWrap/>
            <w:vAlign w:val="bottom"/>
            <w:hideMark/>
          </w:tcPr>
          <w:p w14:paraId="4D610CB9"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9.885,8</w:t>
            </w:r>
          </w:p>
        </w:tc>
        <w:tc>
          <w:tcPr>
            <w:tcW w:w="1137" w:type="dxa"/>
            <w:tcBorders>
              <w:top w:val="nil"/>
              <w:left w:val="nil"/>
              <w:bottom w:val="single" w:sz="4" w:space="0" w:color="auto"/>
              <w:right w:val="single" w:sz="4" w:space="0" w:color="auto"/>
            </w:tcBorders>
            <w:shd w:val="clear" w:color="auto" w:fill="auto"/>
            <w:noWrap/>
            <w:vAlign w:val="bottom"/>
            <w:hideMark/>
          </w:tcPr>
          <w:p w14:paraId="1F31FB30"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9.885,8</w:t>
            </w:r>
          </w:p>
        </w:tc>
        <w:tc>
          <w:tcPr>
            <w:tcW w:w="1263" w:type="dxa"/>
            <w:tcBorders>
              <w:top w:val="nil"/>
              <w:left w:val="nil"/>
              <w:bottom w:val="single" w:sz="4" w:space="0" w:color="auto"/>
              <w:right w:val="single" w:sz="4" w:space="0" w:color="auto"/>
            </w:tcBorders>
            <w:shd w:val="clear" w:color="auto" w:fill="auto"/>
            <w:noWrap/>
            <w:vAlign w:val="bottom"/>
            <w:hideMark/>
          </w:tcPr>
          <w:p w14:paraId="5B7E1C14"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10081B96"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221707AF"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688E954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410169F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6E4AB97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0213FD39"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819A65F" w14:textId="6A20502D" w:rsidR="009371DC" w:rsidRPr="008860BA" w:rsidRDefault="002101A1"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Incapacitate temporară de muncă</w:t>
            </w:r>
          </w:p>
        </w:tc>
        <w:tc>
          <w:tcPr>
            <w:tcW w:w="673" w:type="dxa"/>
            <w:tcBorders>
              <w:top w:val="nil"/>
              <w:left w:val="nil"/>
              <w:bottom w:val="single" w:sz="4" w:space="0" w:color="auto"/>
              <w:right w:val="single" w:sz="4" w:space="0" w:color="auto"/>
            </w:tcBorders>
            <w:shd w:val="clear" w:color="auto" w:fill="auto"/>
            <w:noWrap/>
            <w:vAlign w:val="bottom"/>
            <w:hideMark/>
          </w:tcPr>
          <w:p w14:paraId="7B10524A"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noWrap/>
            <w:vAlign w:val="bottom"/>
            <w:hideMark/>
          </w:tcPr>
          <w:p w14:paraId="3C31E189"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558,3</w:t>
            </w:r>
          </w:p>
        </w:tc>
        <w:tc>
          <w:tcPr>
            <w:tcW w:w="1218" w:type="dxa"/>
            <w:tcBorders>
              <w:top w:val="nil"/>
              <w:left w:val="nil"/>
              <w:bottom w:val="single" w:sz="4" w:space="0" w:color="auto"/>
              <w:right w:val="single" w:sz="4" w:space="0" w:color="auto"/>
            </w:tcBorders>
            <w:shd w:val="clear" w:color="auto" w:fill="auto"/>
            <w:noWrap/>
            <w:vAlign w:val="bottom"/>
            <w:hideMark/>
          </w:tcPr>
          <w:p w14:paraId="60A619F6"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558,3</w:t>
            </w:r>
          </w:p>
        </w:tc>
        <w:tc>
          <w:tcPr>
            <w:tcW w:w="1137" w:type="dxa"/>
            <w:tcBorders>
              <w:top w:val="nil"/>
              <w:left w:val="nil"/>
              <w:bottom w:val="single" w:sz="4" w:space="0" w:color="auto"/>
              <w:right w:val="single" w:sz="4" w:space="0" w:color="auto"/>
            </w:tcBorders>
            <w:shd w:val="clear" w:color="auto" w:fill="auto"/>
            <w:noWrap/>
            <w:vAlign w:val="bottom"/>
            <w:hideMark/>
          </w:tcPr>
          <w:p w14:paraId="5F3EE05C"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505,8</w:t>
            </w:r>
          </w:p>
        </w:tc>
        <w:tc>
          <w:tcPr>
            <w:tcW w:w="1263" w:type="dxa"/>
            <w:tcBorders>
              <w:top w:val="nil"/>
              <w:left w:val="nil"/>
              <w:bottom w:val="single" w:sz="4" w:space="0" w:color="auto"/>
              <w:right w:val="single" w:sz="4" w:space="0" w:color="auto"/>
            </w:tcBorders>
            <w:shd w:val="clear" w:color="auto" w:fill="auto"/>
            <w:noWrap/>
            <w:vAlign w:val="bottom"/>
            <w:hideMark/>
          </w:tcPr>
          <w:p w14:paraId="0A321C24"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3F6E481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04CFE72F"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43,0</w:t>
            </w:r>
          </w:p>
        </w:tc>
        <w:tc>
          <w:tcPr>
            <w:tcW w:w="761" w:type="dxa"/>
            <w:tcBorders>
              <w:top w:val="nil"/>
              <w:left w:val="nil"/>
              <w:bottom w:val="single" w:sz="4" w:space="0" w:color="auto"/>
              <w:right w:val="single" w:sz="4" w:space="0" w:color="auto"/>
            </w:tcBorders>
            <w:shd w:val="clear" w:color="auto" w:fill="auto"/>
            <w:noWrap/>
            <w:vAlign w:val="bottom"/>
            <w:hideMark/>
          </w:tcPr>
          <w:p w14:paraId="36E4A73A"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7,2</w:t>
            </w:r>
          </w:p>
        </w:tc>
        <w:tc>
          <w:tcPr>
            <w:tcW w:w="880" w:type="dxa"/>
            <w:tcBorders>
              <w:top w:val="nil"/>
              <w:left w:val="nil"/>
              <w:bottom w:val="single" w:sz="4" w:space="0" w:color="auto"/>
              <w:right w:val="single" w:sz="4" w:space="0" w:color="auto"/>
            </w:tcBorders>
            <w:shd w:val="clear" w:color="auto" w:fill="auto"/>
            <w:noWrap/>
            <w:vAlign w:val="bottom"/>
            <w:hideMark/>
          </w:tcPr>
          <w:p w14:paraId="7CF03BE6"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2,3</w:t>
            </w:r>
          </w:p>
        </w:tc>
        <w:tc>
          <w:tcPr>
            <w:tcW w:w="853" w:type="dxa"/>
            <w:tcBorders>
              <w:top w:val="nil"/>
              <w:left w:val="nil"/>
              <w:bottom w:val="single" w:sz="4" w:space="0" w:color="auto"/>
              <w:right w:val="single" w:sz="4" w:space="0" w:color="auto"/>
            </w:tcBorders>
            <w:shd w:val="clear" w:color="auto" w:fill="auto"/>
            <w:noWrap/>
            <w:vAlign w:val="bottom"/>
            <w:hideMark/>
          </w:tcPr>
          <w:p w14:paraId="2736F2F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57A3AF49"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3E6211D"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Taxa pentru drum</w:t>
            </w:r>
          </w:p>
        </w:tc>
        <w:tc>
          <w:tcPr>
            <w:tcW w:w="673" w:type="dxa"/>
            <w:tcBorders>
              <w:top w:val="nil"/>
              <w:left w:val="nil"/>
              <w:bottom w:val="single" w:sz="4" w:space="0" w:color="auto"/>
              <w:right w:val="single" w:sz="4" w:space="0" w:color="auto"/>
            </w:tcBorders>
            <w:shd w:val="clear" w:color="auto" w:fill="auto"/>
            <w:noWrap/>
            <w:vAlign w:val="bottom"/>
            <w:hideMark/>
          </w:tcPr>
          <w:p w14:paraId="3E91323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noWrap/>
            <w:vAlign w:val="bottom"/>
            <w:hideMark/>
          </w:tcPr>
          <w:p w14:paraId="634099A2"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35,9</w:t>
            </w:r>
          </w:p>
        </w:tc>
        <w:tc>
          <w:tcPr>
            <w:tcW w:w="1218" w:type="dxa"/>
            <w:tcBorders>
              <w:top w:val="nil"/>
              <w:left w:val="nil"/>
              <w:bottom w:val="single" w:sz="4" w:space="0" w:color="auto"/>
              <w:right w:val="single" w:sz="4" w:space="0" w:color="auto"/>
            </w:tcBorders>
            <w:shd w:val="clear" w:color="auto" w:fill="auto"/>
            <w:noWrap/>
            <w:vAlign w:val="bottom"/>
            <w:hideMark/>
          </w:tcPr>
          <w:p w14:paraId="4052CF64"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35,9</w:t>
            </w:r>
          </w:p>
        </w:tc>
        <w:tc>
          <w:tcPr>
            <w:tcW w:w="1137" w:type="dxa"/>
            <w:tcBorders>
              <w:top w:val="nil"/>
              <w:left w:val="nil"/>
              <w:bottom w:val="single" w:sz="4" w:space="0" w:color="auto"/>
              <w:right w:val="single" w:sz="4" w:space="0" w:color="auto"/>
            </w:tcBorders>
            <w:shd w:val="clear" w:color="auto" w:fill="auto"/>
            <w:noWrap/>
            <w:vAlign w:val="bottom"/>
            <w:hideMark/>
          </w:tcPr>
          <w:p w14:paraId="43EB0C9D"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63" w:type="dxa"/>
            <w:tcBorders>
              <w:top w:val="nil"/>
              <w:left w:val="nil"/>
              <w:bottom w:val="single" w:sz="4" w:space="0" w:color="auto"/>
              <w:right w:val="single" w:sz="4" w:space="0" w:color="auto"/>
            </w:tcBorders>
            <w:shd w:val="clear" w:color="auto" w:fill="auto"/>
            <w:noWrap/>
            <w:vAlign w:val="bottom"/>
            <w:hideMark/>
          </w:tcPr>
          <w:p w14:paraId="2B4FC258"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2DDF859C"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73156AC4"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17ADCAC8"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hideMark/>
          </w:tcPr>
          <w:p w14:paraId="01490B97"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34,9</w:t>
            </w:r>
          </w:p>
        </w:tc>
        <w:tc>
          <w:tcPr>
            <w:tcW w:w="853" w:type="dxa"/>
            <w:tcBorders>
              <w:top w:val="nil"/>
              <w:left w:val="nil"/>
              <w:bottom w:val="single" w:sz="4" w:space="0" w:color="auto"/>
              <w:right w:val="single" w:sz="4" w:space="0" w:color="auto"/>
            </w:tcBorders>
            <w:shd w:val="clear" w:color="auto" w:fill="auto"/>
            <w:hideMark/>
          </w:tcPr>
          <w:p w14:paraId="6A4E446B"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1,0</w:t>
            </w:r>
          </w:p>
        </w:tc>
      </w:tr>
      <w:tr w:rsidR="009371DC" w:rsidRPr="008860BA" w14:paraId="68E7CBB6"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3D8876D6" w14:textId="77777777" w:rsidR="009371DC" w:rsidRPr="008860BA" w:rsidRDefault="009371DC" w:rsidP="009371DC">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Alte cheltuieli</w:t>
            </w:r>
          </w:p>
        </w:tc>
        <w:tc>
          <w:tcPr>
            <w:tcW w:w="673" w:type="dxa"/>
            <w:tcBorders>
              <w:top w:val="nil"/>
              <w:left w:val="nil"/>
              <w:bottom w:val="single" w:sz="4" w:space="0" w:color="auto"/>
              <w:right w:val="single" w:sz="4" w:space="0" w:color="auto"/>
            </w:tcBorders>
            <w:shd w:val="clear" w:color="auto" w:fill="auto"/>
            <w:vAlign w:val="bottom"/>
            <w:hideMark/>
          </w:tcPr>
          <w:p w14:paraId="3743B820"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714</w:t>
            </w:r>
          </w:p>
        </w:tc>
        <w:tc>
          <w:tcPr>
            <w:tcW w:w="1170" w:type="dxa"/>
            <w:tcBorders>
              <w:top w:val="nil"/>
              <w:left w:val="nil"/>
              <w:bottom w:val="single" w:sz="4" w:space="0" w:color="auto"/>
              <w:right w:val="single" w:sz="4" w:space="0" w:color="auto"/>
            </w:tcBorders>
            <w:shd w:val="clear" w:color="auto" w:fill="auto"/>
            <w:vAlign w:val="bottom"/>
            <w:hideMark/>
          </w:tcPr>
          <w:p w14:paraId="3BFB68EF"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106,1</w:t>
            </w:r>
          </w:p>
        </w:tc>
        <w:tc>
          <w:tcPr>
            <w:tcW w:w="1218" w:type="dxa"/>
            <w:tcBorders>
              <w:top w:val="nil"/>
              <w:left w:val="nil"/>
              <w:bottom w:val="single" w:sz="4" w:space="0" w:color="auto"/>
              <w:right w:val="single" w:sz="4" w:space="0" w:color="auto"/>
            </w:tcBorders>
            <w:shd w:val="clear" w:color="auto" w:fill="auto"/>
            <w:noWrap/>
            <w:vAlign w:val="bottom"/>
            <w:hideMark/>
          </w:tcPr>
          <w:p w14:paraId="36F57357"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106,1</w:t>
            </w:r>
          </w:p>
        </w:tc>
        <w:tc>
          <w:tcPr>
            <w:tcW w:w="1137" w:type="dxa"/>
            <w:tcBorders>
              <w:top w:val="nil"/>
              <w:left w:val="nil"/>
              <w:bottom w:val="single" w:sz="4" w:space="0" w:color="auto"/>
              <w:right w:val="single" w:sz="4" w:space="0" w:color="auto"/>
            </w:tcBorders>
            <w:shd w:val="clear" w:color="auto" w:fill="auto"/>
            <w:vAlign w:val="bottom"/>
            <w:hideMark/>
          </w:tcPr>
          <w:p w14:paraId="01569445"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0,2</w:t>
            </w:r>
          </w:p>
        </w:tc>
        <w:tc>
          <w:tcPr>
            <w:tcW w:w="1263" w:type="dxa"/>
            <w:tcBorders>
              <w:top w:val="nil"/>
              <w:left w:val="nil"/>
              <w:bottom w:val="single" w:sz="4" w:space="0" w:color="auto"/>
              <w:right w:val="single" w:sz="4" w:space="0" w:color="auto"/>
            </w:tcBorders>
            <w:shd w:val="clear" w:color="auto" w:fill="auto"/>
            <w:vAlign w:val="bottom"/>
            <w:hideMark/>
          </w:tcPr>
          <w:p w14:paraId="7182CF5D" w14:textId="77777777" w:rsidR="009371DC" w:rsidRPr="008860BA" w:rsidRDefault="009371DC" w:rsidP="009371DC">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vAlign w:val="bottom"/>
            <w:hideMark/>
          </w:tcPr>
          <w:p w14:paraId="425A1ABF" w14:textId="77777777" w:rsidR="009371DC" w:rsidRPr="008860BA" w:rsidRDefault="009371DC" w:rsidP="009371DC">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vAlign w:val="bottom"/>
            <w:hideMark/>
          </w:tcPr>
          <w:p w14:paraId="15C0EF6D" w14:textId="77777777" w:rsidR="009371DC" w:rsidRPr="008860BA" w:rsidRDefault="009371DC" w:rsidP="009371DC">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vAlign w:val="bottom"/>
            <w:hideMark/>
          </w:tcPr>
          <w:p w14:paraId="25ADDA80" w14:textId="77777777" w:rsidR="009371DC" w:rsidRPr="008860BA" w:rsidRDefault="009371DC" w:rsidP="009371DC">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vAlign w:val="bottom"/>
            <w:hideMark/>
          </w:tcPr>
          <w:p w14:paraId="19A4394B"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86,1</w:t>
            </w:r>
          </w:p>
        </w:tc>
        <w:tc>
          <w:tcPr>
            <w:tcW w:w="853" w:type="dxa"/>
            <w:tcBorders>
              <w:top w:val="nil"/>
              <w:left w:val="nil"/>
              <w:bottom w:val="single" w:sz="4" w:space="0" w:color="auto"/>
              <w:right w:val="single" w:sz="4" w:space="0" w:color="auto"/>
            </w:tcBorders>
            <w:shd w:val="clear" w:color="auto" w:fill="auto"/>
            <w:vAlign w:val="bottom"/>
            <w:hideMark/>
          </w:tcPr>
          <w:p w14:paraId="4C36AF16"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19,8</w:t>
            </w:r>
          </w:p>
        </w:tc>
      </w:tr>
      <w:tr w:rsidR="009371DC" w:rsidRPr="008860BA" w14:paraId="0383ECA2"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F7EF477"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Materiale de uz gospodăresc</w:t>
            </w:r>
          </w:p>
        </w:tc>
        <w:tc>
          <w:tcPr>
            <w:tcW w:w="673" w:type="dxa"/>
            <w:tcBorders>
              <w:top w:val="nil"/>
              <w:left w:val="nil"/>
              <w:bottom w:val="single" w:sz="4" w:space="0" w:color="auto"/>
              <w:right w:val="single" w:sz="4" w:space="0" w:color="auto"/>
            </w:tcBorders>
            <w:shd w:val="clear" w:color="auto" w:fill="auto"/>
            <w:noWrap/>
            <w:vAlign w:val="bottom"/>
            <w:hideMark/>
          </w:tcPr>
          <w:p w14:paraId="6475298F"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noWrap/>
            <w:vAlign w:val="bottom"/>
            <w:hideMark/>
          </w:tcPr>
          <w:p w14:paraId="7DC832DB"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0,3</w:t>
            </w:r>
          </w:p>
        </w:tc>
        <w:tc>
          <w:tcPr>
            <w:tcW w:w="1218" w:type="dxa"/>
            <w:tcBorders>
              <w:top w:val="nil"/>
              <w:left w:val="nil"/>
              <w:bottom w:val="single" w:sz="4" w:space="0" w:color="auto"/>
              <w:right w:val="single" w:sz="4" w:space="0" w:color="auto"/>
            </w:tcBorders>
            <w:shd w:val="clear" w:color="auto" w:fill="auto"/>
            <w:noWrap/>
            <w:vAlign w:val="bottom"/>
            <w:hideMark/>
          </w:tcPr>
          <w:p w14:paraId="0453E895"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0,3</w:t>
            </w:r>
          </w:p>
        </w:tc>
        <w:tc>
          <w:tcPr>
            <w:tcW w:w="1137" w:type="dxa"/>
            <w:tcBorders>
              <w:top w:val="nil"/>
              <w:left w:val="nil"/>
              <w:bottom w:val="single" w:sz="4" w:space="0" w:color="auto"/>
              <w:right w:val="single" w:sz="4" w:space="0" w:color="auto"/>
            </w:tcBorders>
            <w:shd w:val="clear" w:color="auto" w:fill="auto"/>
            <w:noWrap/>
            <w:vAlign w:val="bottom"/>
            <w:hideMark/>
          </w:tcPr>
          <w:p w14:paraId="220E5AB2"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0,2</w:t>
            </w:r>
          </w:p>
        </w:tc>
        <w:tc>
          <w:tcPr>
            <w:tcW w:w="1263" w:type="dxa"/>
            <w:tcBorders>
              <w:top w:val="nil"/>
              <w:left w:val="nil"/>
              <w:bottom w:val="single" w:sz="4" w:space="0" w:color="auto"/>
              <w:right w:val="single" w:sz="4" w:space="0" w:color="auto"/>
            </w:tcBorders>
            <w:shd w:val="clear" w:color="auto" w:fill="auto"/>
            <w:noWrap/>
            <w:vAlign w:val="bottom"/>
            <w:hideMark/>
          </w:tcPr>
          <w:p w14:paraId="1BBA2BD8"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5030B464"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77853FA2"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4DE72BDA"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388A29B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276FB51D"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08BB7218"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719C72F" w14:textId="59E7D353" w:rsidR="009371DC" w:rsidRPr="008860BA" w:rsidRDefault="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Deplas</w:t>
            </w:r>
            <w:r w:rsidR="00E10604" w:rsidRPr="008860BA">
              <w:rPr>
                <w:rFonts w:asciiTheme="majorHAnsi" w:eastAsia="Times New Roman" w:hAnsiTheme="majorHAnsi" w:cstheme="majorHAnsi"/>
                <w:color w:val="000000"/>
                <w:sz w:val="18"/>
                <w:szCs w:val="18"/>
                <w:lang w:val="ro-MD"/>
              </w:rPr>
              <w:t>ă</w:t>
            </w:r>
            <w:r w:rsidRPr="008860BA">
              <w:rPr>
                <w:rFonts w:asciiTheme="majorHAnsi" w:eastAsia="Times New Roman" w:hAnsiTheme="majorHAnsi" w:cstheme="majorHAnsi"/>
                <w:color w:val="000000"/>
                <w:sz w:val="18"/>
                <w:szCs w:val="18"/>
                <w:lang w:val="ro-MD"/>
              </w:rPr>
              <w:t xml:space="preserve">ri </w:t>
            </w:r>
          </w:p>
        </w:tc>
        <w:tc>
          <w:tcPr>
            <w:tcW w:w="673" w:type="dxa"/>
            <w:tcBorders>
              <w:top w:val="nil"/>
              <w:left w:val="nil"/>
              <w:bottom w:val="single" w:sz="4" w:space="0" w:color="auto"/>
              <w:right w:val="single" w:sz="4" w:space="0" w:color="auto"/>
            </w:tcBorders>
            <w:shd w:val="clear" w:color="auto" w:fill="auto"/>
            <w:noWrap/>
            <w:vAlign w:val="bottom"/>
            <w:hideMark/>
          </w:tcPr>
          <w:p w14:paraId="32FB4917"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noWrap/>
            <w:vAlign w:val="bottom"/>
            <w:hideMark/>
          </w:tcPr>
          <w:p w14:paraId="6D2FCA4C"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105,8</w:t>
            </w:r>
          </w:p>
        </w:tc>
        <w:tc>
          <w:tcPr>
            <w:tcW w:w="1218" w:type="dxa"/>
            <w:tcBorders>
              <w:top w:val="nil"/>
              <w:left w:val="nil"/>
              <w:bottom w:val="single" w:sz="4" w:space="0" w:color="auto"/>
              <w:right w:val="single" w:sz="4" w:space="0" w:color="auto"/>
            </w:tcBorders>
            <w:shd w:val="clear" w:color="auto" w:fill="auto"/>
            <w:noWrap/>
            <w:vAlign w:val="bottom"/>
            <w:hideMark/>
          </w:tcPr>
          <w:p w14:paraId="5D70C8BC"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105,8</w:t>
            </w:r>
          </w:p>
        </w:tc>
        <w:tc>
          <w:tcPr>
            <w:tcW w:w="1137" w:type="dxa"/>
            <w:tcBorders>
              <w:top w:val="nil"/>
              <w:left w:val="nil"/>
              <w:bottom w:val="single" w:sz="4" w:space="0" w:color="auto"/>
              <w:right w:val="single" w:sz="4" w:space="0" w:color="auto"/>
            </w:tcBorders>
            <w:shd w:val="clear" w:color="auto" w:fill="auto"/>
            <w:noWrap/>
            <w:vAlign w:val="bottom"/>
            <w:hideMark/>
          </w:tcPr>
          <w:p w14:paraId="4AD1A957"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63" w:type="dxa"/>
            <w:tcBorders>
              <w:top w:val="nil"/>
              <w:left w:val="nil"/>
              <w:bottom w:val="single" w:sz="4" w:space="0" w:color="auto"/>
              <w:right w:val="single" w:sz="4" w:space="0" w:color="auto"/>
            </w:tcBorders>
            <w:shd w:val="clear" w:color="auto" w:fill="auto"/>
            <w:noWrap/>
            <w:vAlign w:val="bottom"/>
            <w:hideMark/>
          </w:tcPr>
          <w:p w14:paraId="685A4EA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6B88A45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7415ED4E"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083DB6A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42952578"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86,1</w:t>
            </w:r>
          </w:p>
        </w:tc>
        <w:tc>
          <w:tcPr>
            <w:tcW w:w="853" w:type="dxa"/>
            <w:tcBorders>
              <w:top w:val="nil"/>
              <w:left w:val="nil"/>
              <w:bottom w:val="single" w:sz="4" w:space="0" w:color="auto"/>
              <w:right w:val="single" w:sz="4" w:space="0" w:color="auto"/>
            </w:tcBorders>
            <w:shd w:val="clear" w:color="auto" w:fill="auto"/>
            <w:noWrap/>
            <w:vAlign w:val="bottom"/>
            <w:hideMark/>
          </w:tcPr>
          <w:p w14:paraId="6ECB4FA5"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19,8</w:t>
            </w:r>
          </w:p>
        </w:tc>
      </w:tr>
      <w:tr w:rsidR="009371DC" w:rsidRPr="008860BA" w14:paraId="373936A9"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A14ADA8" w14:textId="77777777" w:rsidR="009371DC" w:rsidRPr="008860BA" w:rsidRDefault="009371DC" w:rsidP="009371DC">
            <w:pPr>
              <w:spacing w:after="0" w:line="240" w:lineRule="auto"/>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Cheltuieli financiare</w:t>
            </w:r>
          </w:p>
        </w:tc>
        <w:tc>
          <w:tcPr>
            <w:tcW w:w="673" w:type="dxa"/>
            <w:tcBorders>
              <w:top w:val="nil"/>
              <w:left w:val="nil"/>
              <w:bottom w:val="single" w:sz="4" w:space="0" w:color="auto"/>
              <w:right w:val="single" w:sz="4" w:space="0" w:color="auto"/>
            </w:tcBorders>
            <w:shd w:val="clear" w:color="auto" w:fill="auto"/>
            <w:vAlign w:val="bottom"/>
            <w:hideMark/>
          </w:tcPr>
          <w:p w14:paraId="2656BC95" w14:textId="77777777" w:rsidR="009371DC" w:rsidRPr="008860BA" w:rsidRDefault="009371DC" w:rsidP="009371DC">
            <w:pPr>
              <w:spacing w:after="0" w:line="240" w:lineRule="auto"/>
              <w:jc w:val="right"/>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722</w:t>
            </w:r>
          </w:p>
        </w:tc>
        <w:tc>
          <w:tcPr>
            <w:tcW w:w="1170" w:type="dxa"/>
            <w:tcBorders>
              <w:top w:val="nil"/>
              <w:left w:val="nil"/>
              <w:bottom w:val="single" w:sz="4" w:space="0" w:color="auto"/>
              <w:right w:val="single" w:sz="4" w:space="0" w:color="auto"/>
            </w:tcBorders>
            <w:shd w:val="clear" w:color="auto" w:fill="auto"/>
            <w:noWrap/>
            <w:vAlign w:val="bottom"/>
            <w:hideMark/>
          </w:tcPr>
          <w:p w14:paraId="688D5C98" w14:textId="77777777" w:rsidR="009371DC" w:rsidRPr="008860BA" w:rsidRDefault="009371DC" w:rsidP="009371DC">
            <w:pPr>
              <w:spacing w:after="0" w:line="240" w:lineRule="auto"/>
              <w:jc w:val="right"/>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297,7</w:t>
            </w:r>
          </w:p>
        </w:tc>
        <w:tc>
          <w:tcPr>
            <w:tcW w:w="1218" w:type="dxa"/>
            <w:tcBorders>
              <w:top w:val="nil"/>
              <w:left w:val="nil"/>
              <w:bottom w:val="single" w:sz="4" w:space="0" w:color="auto"/>
              <w:right w:val="single" w:sz="4" w:space="0" w:color="auto"/>
            </w:tcBorders>
            <w:shd w:val="clear" w:color="auto" w:fill="auto"/>
            <w:noWrap/>
            <w:vAlign w:val="bottom"/>
            <w:hideMark/>
          </w:tcPr>
          <w:p w14:paraId="12262377" w14:textId="77777777" w:rsidR="009371DC" w:rsidRPr="008860BA" w:rsidRDefault="009371DC" w:rsidP="009371DC">
            <w:pPr>
              <w:spacing w:after="0" w:line="240" w:lineRule="auto"/>
              <w:jc w:val="right"/>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297,7</w:t>
            </w:r>
          </w:p>
        </w:tc>
        <w:tc>
          <w:tcPr>
            <w:tcW w:w="1137" w:type="dxa"/>
            <w:tcBorders>
              <w:top w:val="nil"/>
              <w:left w:val="nil"/>
              <w:bottom w:val="single" w:sz="4" w:space="0" w:color="auto"/>
              <w:right w:val="single" w:sz="4" w:space="0" w:color="auto"/>
            </w:tcBorders>
            <w:shd w:val="clear" w:color="auto" w:fill="auto"/>
            <w:noWrap/>
            <w:vAlign w:val="bottom"/>
            <w:hideMark/>
          </w:tcPr>
          <w:p w14:paraId="5C2B4374"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63" w:type="dxa"/>
            <w:tcBorders>
              <w:top w:val="nil"/>
              <w:left w:val="nil"/>
              <w:bottom w:val="single" w:sz="4" w:space="0" w:color="auto"/>
              <w:right w:val="single" w:sz="4" w:space="0" w:color="auto"/>
            </w:tcBorders>
            <w:shd w:val="clear" w:color="auto" w:fill="auto"/>
            <w:noWrap/>
            <w:vAlign w:val="bottom"/>
            <w:hideMark/>
          </w:tcPr>
          <w:p w14:paraId="02C78DF7"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3C9DE18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0FE18C47"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5ACF4BE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5DA0653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6D56D51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58BB5725"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8F2B582" w14:textId="2DA2F198" w:rsidR="009371DC" w:rsidRPr="008860BA" w:rsidRDefault="009371DC">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xml:space="preserve">Total </w:t>
            </w:r>
            <w:r w:rsidR="00E10604" w:rsidRPr="008860BA">
              <w:rPr>
                <w:rFonts w:asciiTheme="majorHAnsi" w:eastAsia="Times New Roman" w:hAnsiTheme="majorHAnsi" w:cstheme="majorHAnsi"/>
                <w:b/>
                <w:bCs/>
                <w:color w:val="000000"/>
                <w:sz w:val="18"/>
                <w:szCs w:val="18"/>
                <w:lang w:val="ro-MD"/>
              </w:rPr>
              <w:t>c</w:t>
            </w:r>
            <w:r w:rsidRPr="008860BA">
              <w:rPr>
                <w:rFonts w:asciiTheme="majorHAnsi" w:eastAsia="Times New Roman" w:hAnsiTheme="majorHAnsi" w:cstheme="majorHAnsi"/>
                <w:b/>
                <w:bCs/>
                <w:color w:val="000000"/>
                <w:sz w:val="18"/>
                <w:szCs w:val="18"/>
                <w:lang w:val="ro-MD"/>
              </w:rPr>
              <w:t>heltuieli</w:t>
            </w:r>
          </w:p>
        </w:tc>
        <w:tc>
          <w:tcPr>
            <w:tcW w:w="673" w:type="dxa"/>
            <w:tcBorders>
              <w:top w:val="nil"/>
              <w:left w:val="nil"/>
              <w:bottom w:val="single" w:sz="4" w:space="0" w:color="auto"/>
              <w:right w:val="single" w:sz="4" w:space="0" w:color="auto"/>
            </w:tcBorders>
            <w:shd w:val="clear" w:color="auto" w:fill="auto"/>
            <w:noWrap/>
            <w:vAlign w:val="bottom"/>
            <w:hideMark/>
          </w:tcPr>
          <w:p w14:paraId="0229F3FA" w14:textId="77777777" w:rsidR="009371DC" w:rsidRPr="008860BA" w:rsidRDefault="009371DC" w:rsidP="009371DC">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noWrap/>
            <w:vAlign w:val="bottom"/>
            <w:hideMark/>
          </w:tcPr>
          <w:p w14:paraId="1E8176B1"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157.401,2</w:t>
            </w:r>
          </w:p>
        </w:tc>
        <w:tc>
          <w:tcPr>
            <w:tcW w:w="1218" w:type="dxa"/>
            <w:tcBorders>
              <w:top w:val="nil"/>
              <w:left w:val="nil"/>
              <w:bottom w:val="single" w:sz="4" w:space="0" w:color="auto"/>
              <w:right w:val="single" w:sz="4" w:space="0" w:color="auto"/>
            </w:tcBorders>
            <w:shd w:val="clear" w:color="auto" w:fill="auto"/>
            <w:noWrap/>
            <w:vAlign w:val="bottom"/>
            <w:hideMark/>
          </w:tcPr>
          <w:p w14:paraId="67B338F8"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157.401,2</w:t>
            </w:r>
          </w:p>
        </w:tc>
        <w:tc>
          <w:tcPr>
            <w:tcW w:w="1137" w:type="dxa"/>
            <w:tcBorders>
              <w:top w:val="nil"/>
              <w:left w:val="nil"/>
              <w:bottom w:val="single" w:sz="4" w:space="0" w:color="auto"/>
              <w:right w:val="single" w:sz="4" w:space="0" w:color="auto"/>
            </w:tcBorders>
            <w:shd w:val="clear" w:color="auto" w:fill="auto"/>
            <w:noWrap/>
            <w:vAlign w:val="bottom"/>
            <w:hideMark/>
          </w:tcPr>
          <w:p w14:paraId="619D7CAD"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107.728,1</w:t>
            </w:r>
          </w:p>
        </w:tc>
        <w:tc>
          <w:tcPr>
            <w:tcW w:w="1263" w:type="dxa"/>
            <w:tcBorders>
              <w:top w:val="nil"/>
              <w:left w:val="nil"/>
              <w:bottom w:val="single" w:sz="4" w:space="0" w:color="auto"/>
              <w:right w:val="single" w:sz="4" w:space="0" w:color="auto"/>
            </w:tcBorders>
            <w:shd w:val="clear" w:color="auto" w:fill="auto"/>
            <w:noWrap/>
            <w:vAlign w:val="bottom"/>
            <w:hideMark/>
          </w:tcPr>
          <w:p w14:paraId="71C4D8FA"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466,5</w:t>
            </w:r>
          </w:p>
        </w:tc>
        <w:tc>
          <w:tcPr>
            <w:tcW w:w="1196" w:type="dxa"/>
            <w:tcBorders>
              <w:top w:val="nil"/>
              <w:left w:val="nil"/>
              <w:bottom w:val="single" w:sz="4" w:space="0" w:color="auto"/>
              <w:right w:val="single" w:sz="4" w:space="0" w:color="auto"/>
            </w:tcBorders>
            <w:shd w:val="clear" w:color="auto" w:fill="auto"/>
            <w:noWrap/>
            <w:vAlign w:val="bottom"/>
            <w:hideMark/>
          </w:tcPr>
          <w:p w14:paraId="27C4F0BF" w14:textId="77777777" w:rsidR="009371DC" w:rsidRPr="008860BA" w:rsidRDefault="009371DC" w:rsidP="009371DC">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4954A807"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12.349,3</w:t>
            </w:r>
          </w:p>
        </w:tc>
        <w:tc>
          <w:tcPr>
            <w:tcW w:w="761" w:type="dxa"/>
            <w:tcBorders>
              <w:top w:val="nil"/>
              <w:left w:val="nil"/>
              <w:bottom w:val="single" w:sz="4" w:space="0" w:color="auto"/>
              <w:right w:val="single" w:sz="4" w:space="0" w:color="auto"/>
            </w:tcBorders>
            <w:shd w:val="clear" w:color="auto" w:fill="auto"/>
            <w:noWrap/>
            <w:vAlign w:val="bottom"/>
            <w:hideMark/>
          </w:tcPr>
          <w:p w14:paraId="4FBEE9D0"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2.646,0</w:t>
            </w:r>
          </w:p>
        </w:tc>
        <w:tc>
          <w:tcPr>
            <w:tcW w:w="880" w:type="dxa"/>
            <w:tcBorders>
              <w:top w:val="nil"/>
              <w:left w:val="nil"/>
              <w:bottom w:val="single" w:sz="4" w:space="0" w:color="auto"/>
              <w:right w:val="single" w:sz="4" w:space="0" w:color="auto"/>
            </w:tcBorders>
            <w:shd w:val="clear" w:color="auto" w:fill="auto"/>
            <w:noWrap/>
            <w:vAlign w:val="bottom"/>
            <w:hideMark/>
          </w:tcPr>
          <w:p w14:paraId="6A1C9F29"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2.489,9</w:t>
            </w:r>
          </w:p>
        </w:tc>
        <w:tc>
          <w:tcPr>
            <w:tcW w:w="853" w:type="dxa"/>
            <w:tcBorders>
              <w:top w:val="nil"/>
              <w:left w:val="nil"/>
              <w:bottom w:val="single" w:sz="4" w:space="0" w:color="auto"/>
              <w:right w:val="single" w:sz="4" w:space="0" w:color="auto"/>
            </w:tcBorders>
            <w:shd w:val="clear" w:color="auto" w:fill="auto"/>
            <w:noWrap/>
            <w:vAlign w:val="bottom"/>
            <w:hideMark/>
          </w:tcPr>
          <w:p w14:paraId="6712D67D"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31.423,9</w:t>
            </w:r>
          </w:p>
        </w:tc>
      </w:tr>
      <w:tr w:rsidR="009371DC" w:rsidRPr="008860BA" w14:paraId="09AE164C"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60B0933" w14:textId="77777777" w:rsidR="009371DC" w:rsidRPr="008860BA" w:rsidRDefault="009371DC" w:rsidP="009371DC">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Rezultat financiar</w:t>
            </w:r>
          </w:p>
        </w:tc>
        <w:tc>
          <w:tcPr>
            <w:tcW w:w="673" w:type="dxa"/>
            <w:tcBorders>
              <w:top w:val="nil"/>
              <w:left w:val="nil"/>
              <w:bottom w:val="single" w:sz="4" w:space="0" w:color="auto"/>
              <w:right w:val="single" w:sz="4" w:space="0" w:color="auto"/>
            </w:tcBorders>
            <w:shd w:val="clear" w:color="auto" w:fill="auto"/>
            <w:noWrap/>
            <w:vAlign w:val="bottom"/>
            <w:hideMark/>
          </w:tcPr>
          <w:p w14:paraId="106CAC71" w14:textId="77777777" w:rsidR="009371DC" w:rsidRPr="008860BA" w:rsidRDefault="009371DC" w:rsidP="009371DC">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noWrap/>
            <w:vAlign w:val="bottom"/>
            <w:hideMark/>
          </w:tcPr>
          <w:p w14:paraId="34202665"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0,0</w:t>
            </w:r>
          </w:p>
        </w:tc>
        <w:tc>
          <w:tcPr>
            <w:tcW w:w="1218" w:type="dxa"/>
            <w:tcBorders>
              <w:top w:val="nil"/>
              <w:left w:val="nil"/>
              <w:bottom w:val="single" w:sz="4" w:space="0" w:color="auto"/>
              <w:right w:val="single" w:sz="4" w:space="0" w:color="auto"/>
            </w:tcBorders>
            <w:shd w:val="clear" w:color="auto" w:fill="auto"/>
            <w:noWrap/>
            <w:vAlign w:val="bottom"/>
            <w:hideMark/>
          </w:tcPr>
          <w:p w14:paraId="506DC523"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0,0</w:t>
            </w:r>
          </w:p>
        </w:tc>
        <w:tc>
          <w:tcPr>
            <w:tcW w:w="1137" w:type="dxa"/>
            <w:tcBorders>
              <w:top w:val="nil"/>
              <w:left w:val="nil"/>
              <w:bottom w:val="single" w:sz="4" w:space="0" w:color="auto"/>
              <w:right w:val="single" w:sz="4" w:space="0" w:color="auto"/>
            </w:tcBorders>
            <w:shd w:val="clear" w:color="auto" w:fill="auto"/>
            <w:noWrap/>
            <w:vAlign w:val="bottom"/>
            <w:hideMark/>
          </w:tcPr>
          <w:p w14:paraId="1E309E64"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-6.499,9</w:t>
            </w:r>
          </w:p>
        </w:tc>
        <w:tc>
          <w:tcPr>
            <w:tcW w:w="1263" w:type="dxa"/>
            <w:tcBorders>
              <w:top w:val="nil"/>
              <w:left w:val="nil"/>
              <w:bottom w:val="single" w:sz="4" w:space="0" w:color="auto"/>
              <w:right w:val="single" w:sz="4" w:space="0" w:color="auto"/>
            </w:tcBorders>
            <w:shd w:val="clear" w:color="auto" w:fill="auto"/>
            <w:noWrap/>
            <w:vAlign w:val="bottom"/>
            <w:hideMark/>
          </w:tcPr>
          <w:p w14:paraId="4A393187"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-65,5</w:t>
            </w:r>
          </w:p>
        </w:tc>
        <w:tc>
          <w:tcPr>
            <w:tcW w:w="1196" w:type="dxa"/>
            <w:tcBorders>
              <w:top w:val="nil"/>
              <w:left w:val="nil"/>
              <w:bottom w:val="single" w:sz="4" w:space="0" w:color="auto"/>
              <w:right w:val="single" w:sz="4" w:space="0" w:color="auto"/>
            </w:tcBorders>
            <w:shd w:val="clear" w:color="auto" w:fill="auto"/>
            <w:noWrap/>
            <w:vAlign w:val="bottom"/>
            <w:hideMark/>
          </w:tcPr>
          <w:p w14:paraId="0F2DE1A9"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1.576,6</w:t>
            </w:r>
          </w:p>
        </w:tc>
        <w:tc>
          <w:tcPr>
            <w:tcW w:w="1111" w:type="dxa"/>
            <w:tcBorders>
              <w:top w:val="nil"/>
              <w:left w:val="nil"/>
              <w:bottom w:val="single" w:sz="4" w:space="0" w:color="auto"/>
              <w:right w:val="single" w:sz="4" w:space="0" w:color="auto"/>
            </w:tcBorders>
            <w:shd w:val="clear" w:color="auto" w:fill="auto"/>
            <w:noWrap/>
            <w:vAlign w:val="bottom"/>
            <w:hideMark/>
          </w:tcPr>
          <w:p w14:paraId="6E36CD29"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102,6</w:t>
            </w:r>
          </w:p>
        </w:tc>
        <w:tc>
          <w:tcPr>
            <w:tcW w:w="761" w:type="dxa"/>
            <w:tcBorders>
              <w:top w:val="nil"/>
              <w:left w:val="nil"/>
              <w:bottom w:val="single" w:sz="4" w:space="0" w:color="auto"/>
              <w:right w:val="single" w:sz="4" w:space="0" w:color="auto"/>
            </w:tcBorders>
            <w:shd w:val="clear" w:color="auto" w:fill="auto"/>
            <w:noWrap/>
            <w:vAlign w:val="bottom"/>
            <w:hideMark/>
          </w:tcPr>
          <w:p w14:paraId="476983A6"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437,4</w:t>
            </w:r>
          </w:p>
        </w:tc>
        <w:tc>
          <w:tcPr>
            <w:tcW w:w="880" w:type="dxa"/>
            <w:tcBorders>
              <w:top w:val="nil"/>
              <w:left w:val="nil"/>
              <w:bottom w:val="single" w:sz="4" w:space="0" w:color="auto"/>
              <w:right w:val="single" w:sz="4" w:space="0" w:color="auto"/>
            </w:tcBorders>
            <w:shd w:val="clear" w:color="auto" w:fill="auto"/>
            <w:noWrap/>
            <w:vAlign w:val="bottom"/>
            <w:hideMark/>
          </w:tcPr>
          <w:p w14:paraId="35EC448F"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-1.152,4</w:t>
            </w:r>
          </w:p>
        </w:tc>
        <w:tc>
          <w:tcPr>
            <w:tcW w:w="853" w:type="dxa"/>
            <w:tcBorders>
              <w:top w:val="nil"/>
              <w:left w:val="nil"/>
              <w:bottom w:val="single" w:sz="4" w:space="0" w:color="auto"/>
              <w:right w:val="single" w:sz="4" w:space="0" w:color="auto"/>
            </w:tcBorders>
            <w:shd w:val="clear" w:color="auto" w:fill="auto"/>
            <w:noWrap/>
            <w:vAlign w:val="bottom"/>
            <w:hideMark/>
          </w:tcPr>
          <w:p w14:paraId="440EDFD7"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5.625,8</w:t>
            </w:r>
          </w:p>
        </w:tc>
      </w:tr>
    </w:tbl>
    <w:p w14:paraId="5E4D8D3F" w14:textId="3698A269" w:rsidR="009371DC" w:rsidRPr="008860BA" w:rsidRDefault="0023258A" w:rsidP="009371DC">
      <w:pPr>
        <w:rPr>
          <w:rFonts w:asciiTheme="majorHAnsi" w:hAnsiTheme="majorHAnsi" w:cstheme="majorHAnsi"/>
          <w:lang w:val="ro-MD"/>
        </w:rPr>
      </w:pPr>
      <w:r w:rsidRPr="008860BA">
        <w:rPr>
          <w:rFonts w:asciiTheme="majorHAnsi" w:hAnsiTheme="majorHAnsi" w:cstheme="majorHAnsi"/>
          <w:lang w:val="ro-MD"/>
        </w:rPr>
        <w:t>Sursa: Eviden</w:t>
      </w:r>
      <w:r w:rsidR="00B13B9A" w:rsidRPr="008860BA">
        <w:rPr>
          <w:rFonts w:asciiTheme="majorHAnsi" w:hAnsiTheme="majorHAnsi" w:cstheme="majorHAnsi"/>
          <w:lang w:val="ro-MD"/>
        </w:rPr>
        <w:t>ț</w:t>
      </w:r>
      <w:r w:rsidRPr="008860BA">
        <w:rPr>
          <w:rFonts w:asciiTheme="majorHAnsi" w:hAnsiTheme="majorHAnsi" w:cstheme="majorHAnsi"/>
          <w:lang w:val="ro-MD"/>
        </w:rPr>
        <w:t>a contabilă a IMSP</w:t>
      </w:r>
      <w:r w:rsidR="00E10604" w:rsidRPr="008860BA">
        <w:rPr>
          <w:rFonts w:asciiTheme="majorHAnsi" w:hAnsiTheme="majorHAnsi" w:cstheme="majorHAnsi"/>
          <w:lang w:val="ro-MD"/>
        </w:rPr>
        <w:t xml:space="preserve"> IFP</w:t>
      </w:r>
      <w:r w:rsidR="00885EE0" w:rsidRPr="008860BA">
        <w:rPr>
          <w:rFonts w:asciiTheme="majorHAnsi" w:hAnsiTheme="majorHAnsi" w:cstheme="majorHAnsi"/>
          <w:lang w:val="ro-MD"/>
        </w:rPr>
        <w:t xml:space="preserve"> </w:t>
      </w:r>
      <w:r w:rsidR="00885EE0" w:rsidRPr="008860BA">
        <w:rPr>
          <w:rFonts w:asciiTheme="majorHAnsi" w:hAnsiTheme="majorHAnsi" w:cstheme="majorHAnsi"/>
          <w:i/>
          <w:lang w:val="ro-MD"/>
        </w:rPr>
        <w:t>„Chiril Draganiuc”</w:t>
      </w:r>
      <w:r w:rsidR="00E10604" w:rsidRPr="008860BA">
        <w:rPr>
          <w:rFonts w:asciiTheme="majorHAnsi" w:hAnsiTheme="majorHAnsi" w:cstheme="majorHAnsi"/>
          <w:lang w:val="ro-MD"/>
        </w:rPr>
        <w:t>.</w:t>
      </w:r>
    </w:p>
    <w:p w14:paraId="3B0E1E63" w14:textId="1388D210" w:rsidR="0023258A" w:rsidRPr="008860BA" w:rsidRDefault="0023258A" w:rsidP="0023258A">
      <w:pPr>
        <w:pStyle w:val="3"/>
        <w:jc w:val="right"/>
        <w:rPr>
          <w:rFonts w:cstheme="majorHAnsi"/>
          <w:b/>
          <w:color w:val="auto"/>
        </w:rPr>
      </w:pPr>
      <w:bookmarkStart w:id="74" w:name="_Toc158317275"/>
      <w:r w:rsidRPr="008860BA">
        <w:rPr>
          <w:rFonts w:cstheme="majorHAnsi"/>
          <w:b/>
          <w:color w:val="auto"/>
        </w:rPr>
        <w:t>Anexa nr.21</w:t>
      </w:r>
      <w:bookmarkEnd w:id="74"/>
    </w:p>
    <w:p w14:paraId="02EF6DB5" w14:textId="63D4DEA5" w:rsidR="006A0356" w:rsidRPr="008860BA" w:rsidRDefault="006A0356" w:rsidP="006A0356">
      <w:pPr>
        <w:jc w:val="center"/>
        <w:rPr>
          <w:rFonts w:asciiTheme="majorHAnsi" w:hAnsiTheme="majorHAnsi" w:cstheme="majorHAnsi"/>
          <w:b/>
          <w:sz w:val="24"/>
          <w:lang w:val="ro-MD"/>
        </w:rPr>
      </w:pPr>
      <w:r w:rsidRPr="008860BA">
        <w:rPr>
          <w:rFonts w:asciiTheme="majorHAnsi" w:hAnsiTheme="majorHAnsi" w:cstheme="majorHAnsi"/>
          <w:b/>
          <w:sz w:val="24"/>
          <w:lang w:val="ro-MD"/>
        </w:rPr>
        <w:t>Analiza repartizării cheltuielilor pe tipuri de servicii în anul 2022</w:t>
      </w:r>
    </w:p>
    <w:tbl>
      <w:tblPr>
        <w:tblW w:w="14104" w:type="dxa"/>
        <w:tblLook w:val="04A0" w:firstRow="1" w:lastRow="0" w:firstColumn="1" w:lastColumn="0" w:noHBand="0" w:noVBand="1"/>
      </w:tblPr>
      <w:tblGrid>
        <w:gridCol w:w="3681"/>
        <w:gridCol w:w="693"/>
        <w:gridCol w:w="1170"/>
        <w:gridCol w:w="1275"/>
        <w:gridCol w:w="1137"/>
        <w:gridCol w:w="1273"/>
        <w:gridCol w:w="1134"/>
        <w:gridCol w:w="1111"/>
        <w:gridCol w:w="853"/>
        <w:gridCol w:w="853"/>
        <w:gridCol w:w="944"/>
      </w:tblGrid>
      <w:tr w:rsidR="006A0356" w:rsidRPr="008860BA" w14:paraId="1DA84066" w14:textId="77777777" w:rsidTr="006A0356">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B0A84" w14:textId="77777777" w:rsidR="006A0356" w:rsidRPr="008860BA" w:rsidRDefault="006A0356" w:rsidP="006A0356">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Anul 2021</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14:paraId="43DF6104" w14:textId="5F1B10E9" w:rsidR="006A0356" w:rsidRPr="008860BA" w:rsidRDefault="00E10604" w:rsidP="006A0356">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C</w:t>
            </w:r>
            <w:r w:rsidR="006A0356" w:rsidRPr="008860BA">
              <w:rPr>
                <w:rFonts w:asciiTheme="majorHAnsi" w:eastAsia="Times New Roman" w:hAnsiTheme="majorHAnsi" w:cstheme="majorHAnsi"/>
                <w:b/>
                <w:bCs/>
                <w:color w:val="000000"/>
                <w:sz w:val="18"/>
                <w:szCs w:val="18"/>
                <w:lang w:val="ro-MD"/>
              </w:rPr>
              <w:t>ontul</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B99A20E" w14:textId="004AA080" w:rsidR="006A0356" w:rsidRPr="008860BA" w:rsidRDefault="006A0356" w:rsidP="006A0356">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Suma totală conform situa</w:t>
            </w:r>
            <w:r w:rsidR="00B13B9A" w:rsidRPr="008860BA">
              <w:rPr>
                <w:rFonts w:asciiTheme="majorHAnsi" w:eastAsia="Times New Roman" w:hAnsiTheme="majorHAnsi" w:cstheme="majorHAnsi"/>
                <w:b/>
                <w:bCs/>
                <w:color w:val="000000"/>
                <w:sz w:val="18"/>
                <w:szCs w:val="18"/>
                <w:lang w:val="ro-MD"/>
              </w:rPr>
              <w:t>ț</w:t>
            </w:r>
            <w:r w:rsidRPr="008860BA">
              <w:rPr>
                <w:rFonts w:asciiTheme="majorHAnsi" w:eastAsia="Times New Roman" w:hAnsiTheme="majorHAnsi" w:cstheme="majorHAnsi"/>
                <w:b/>
                <w:bCs/>
                <w:color w:val="000000"/>
                <w:sz w:val="18"/>
                <w:szCs w:val="18"/>
                <w:lang w:val="ro-MD"/>
              </w:rPr>
              <w:t>iei financiare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FEAD77C" w14:textId="77777777" w:rsidR="006A0356" w:rsidRPr="008860BA" w:rsidRDefault="006A0356" w:rsidP="006A0356">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Total, inclusiv</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6F59BF88" w14:textId="77777777" w:rsidR="006A0356" w:rsidRPr="008860BA" w:rsidRDefault="006A0356" w:rsidP="006A0356">
            <w:pPr>
              <w:spacing w:after="0" w:line="240" w:lineRule="auto"/>
              <w:jc w:val="center"/>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 xml:space="preserve">Spitaliceasca </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14:paraId="6115BE9D" w14:textId="77777777" w:rsidR="006A0356" w:rsidRPr="008860BA" w:rsidRDefault="006A0356" w:rsidP="006A0356">
            <w:pPr>
              <w:spacing w:after="0" w:line="240" w:lineRule="auto"/>
              <w:jc w:val="center"/>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 xml:space="preserve">CNAM examinări profilactice (radiografie mobila)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3E70C4" w14:textId="2A5EE22F" w:rsidR="006A0356" w:rsidRPr="008860BA" w:rsidRDefault="006A0356">
            <w:pPr>
              <w:spacing w:after="0" w:line="240" w:lineRule="auto"/>
              <w:jc w:val="center"/>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Aloca</w:t>
            </w:r>
            <w:r w:rsidR="00E10604" w:rsidRPr="008860BA">
              <w:rPr>
                <w:rFonts w:asciiTheme="majorHAnsi" w:eastAsia="Times New Roman" w:hAnsiTheme="majorHAnsi" w:cstheme="majorHAnsi"/>
                <w:b/>
                <w:bCs/>
                <w:sz w:val="18"/>
                <w:szCs w:val="18"/>
                <w:lang w:val="ro-MD"/>
              </w:rPr>
              <w:t>ț</w:t>
            </w:r>
            <w:r w:rsidRPr="008860BA">
              <w:rPr>
                <w:rFonts w:asciiTheme="majorHAnsi" w:eastAsia="Times New Roman" w:hAnsiTheme="majorHAnsi" w:cstheme="majorHAnsi"/>
                <w:b/>
                <w:bCs/>
                <w:sz w:val="18"/>
                <w:szCs w:val="18"/>
                <w:lang w:val="ro-MD"/>
              </w:rPr>
              <w:t>ii CNAM    reziden</w:t>
            </w:r>
            <w:r w:rsidR="00E10604" w:rsidRPr="008860BA">
              <w:rPr>
                <w:rFonts w:asciiTheme="majorHAnsi" w:eastAsia="Times New Roman" w:hAnsiTheme="majorHAnsi" w:cstheme="majorHAnsi"/>
                <w:b/>
                <w:bCs/>
                <w:sz w:val="18"/>
                <w:szCs w:val="18"/>
                <w:lang w:val="ro-MD"/>
              </w:rPr>
              <w:t>ț</w:t>
            </w:r>
            <w:r w:rsidRPr="008860BA">
              <w:rPr>
                <w:rFonts w:asciiTheme="majorHAnsi" w:eastAsia="Times New Roman" w:hAnsiTheme="majorHAnsi" w:cstheme="majorHAnsi"/>
                <w:b/>
                <w:bCs/>
                <w:sz w:val="18"/>
                <w:szCs w:val="18"/>
                <w:lang w:val="ro-MD"/>
              </w:rPr>
              <w:t>i</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6878DFF9" w14:textId="77777777" w:rsidR="006A0356" w:rsidRPr="008860BA" w:rsidRDefault="006A0356" w:rsidP="006A0356">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Consultativă +LNR</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0354C52" w14:textId="1517FB05" w:rsidR="006A0356" w:rsidRPr="008860BA" w:rsidRDefault="00E10604" w:rsidP="006A0356">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Ș</w:t>
            </w:r>
            <w:r w:rsidR="006A0356" w:rsidRPr="008860BA">
              <w:rPr>
                <w:rFonts w:asciiTheme="majorHAnsi" w:eastAsia="Times New Roman" w:hAnsiTheme="majorHAnsi" w:cstheme="majorHAnsi"/>
                <w:b/>
                <w:bCs/>
                <w:color w:val="000000"/>
                <w:sz w:val="18"/>
                <w:szCs w:val="18"/>
                <w:lang w:val="ro-MD"/>
              </w:rPr>
              <w:t>tiin</w:t>
            </w:r>
            <w:r w:rsidR="00B13B9A" w:rsidRPr="008860BA">
              <w:rPr>
                <w:rFonts w:asciiTheme="majorHAnsi" w:eastAsia="Times New Roman" w:hAnsiTheme="majorHAnsi" w:cstheme="majorHAnsi"/>
                <w:b/>
                <w:bCs/>
                <w:color w:val="000000"/>
                <w:sz w:val="18"/>
                <w:szCs w:val="18"/>
                <w:lang w:val="ro-MD"/>
              </w:rPr>
              <w:t>ț</w:t>
            </w:r>
            <w:r w:rsidR="006A0356" w:rsidRPr="008860BA">
              <w:rPr>
                <w:rFonts w:asciiTheme="majorHAnsi" w:eastAsia="Times New Roman" w:hAnsiTheme="majorHAnsi" w:cstheme="majorHAnsi"/>
                <w:b/>
                <w:bCs/>
                <w:color w:val="000000"/>
                <w:sz w:val="18"/>
                <w:szCs w:val="18"/>
                <w:lang w:val="ro-MD"/>
              </w:rPr>
              <w:t xml:space="preserve">ă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17BD98BE" w14:textId="77777777" w:rsidR="006A0356" w:rsidRPr="008860BA" w:rsidRDefault="006A0356" w:rsidP="006A0356">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xml:space="preserve">Servicii contra plată </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5F997848" w14:textId="77777777" w:rsidR="006A0356" w:rsidRPr="008860BA" w:rsidRDefault="006A0356" w:rsidP="006A0356">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xml:space="preserve">Proiect </w:t>
            </w:r>
          </w:p>
        </w:tc>
      </w:tr>
      <w:tr w:rsidR="006A0356" w:rsidRPr="008860BA" w14:paraId="0E0CE61A"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ABB57BA" w14:textId="5405AF67" w:rsidR="006A0356" w:rsidRPr="008860BA" w:rsidRDefault="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Venituri din v</w:t>
            </w:r>
            <w:r w:rsidR="00E10604" w:rsidRPr="008860BA">
              <w:rPr>
                <w:rFonts w:asciiTheme="majorHAnsi" w:eastAsia="Times New Roman" w:hAnsiTheme="majorHAnsi" w:cstheme="majorHAnsi"/>
                <w:color w:val="000000"/>
                <w:sz w:val="18"/>
                <w:szCs w:val="18"/>
                <w:lang w:val="ro-MD"/>
              </w:rPr>
              <w:t>â</w:t>
            </w:r>
            <w:r w:rsidRPr="008860BA">
              <w:rPr>
                <w:rFonts w:asciiTheme="majorHAnsi" w:eastAsia="Times New Roman" w:hAnsiTheme="majorHAnsi" w:cstheme="majorHAnsi"/>
                <w:color w:val="000000"/>
                <w:sz w:val="18"/>
                <w:szCs w:val="18"/>
                <w:lang w:val="ro-MD"/>
              </w:rPr>
              <w:t>nzări</w:t>
            </w:r>
          </w:p>
        </w:tc>
        <w:tc>
          <w:tcPr>
            <w:tcW w:w="673" w:type="dxa"/>
            <w:tcBorders>
              <w:top w:val="nil"/>
              <w:left w:val="nil"/>
              <w:bottom w:val="single" w:sz="4" w:space="0" w:color="auto"/>
              <w:right w:val="single" w:sz="4" w:space="0" w:color="auto"/>
            </w:tcBorders>
            <w:shd w:val="clear" w:color="auto" w:fill="auto"/>
            <w:noWrap/>
            <w:vAlign w:val="bottom"/>
            <w:hideMark/>
          </w:tcPr>
          <w:p w14:paraId="60217022"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611</w:t>
            </w:r>
          </w:p>
        </w:tc>
        <w:tc>
          <w:tcPr>
            <w:tcW w:w="1170" w:type="dxa"/>
            <w:tcBorders>
              <w:top w:val="nil"/>
              <w:left w:val="nil"/>
              <w:bottom w:val="single" w:sz="4" w:space="0" w:color="auto"/>
              <w:right w:val="single" w:sz="4" w:space="0" w:color="auto"/>
            </w:tcBorders>
            <w:shd w:val="clear" w:color="auto" w:fill="auto"/>
            <w:noWrap/>
            <w:vAlign w:val="bottom"/>
            <w:hideMark/>
          </w:tcPr>
          <w:p w14:paraId="7DD7A1F6"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159.964,28</w:t>
            </w:r>
          </w:p>
        </w:tc>
        <w:tc>
          <w:tcPr>
            <w:tcW w:w="1275" w:type="dxa"/>
            <w:tcBorders>
              <w:top w:val="nil"/>
              <w:left w:val="nil"/>
              <w:bottom w:val="single" w:sz="4" w:space="0" w:color="auto"/>
              <w:right w:val="single" w:sz="4" w:space="0" w:color="auto"/>
            </w:tcBorders>
            <w:shd w:val="clear" w:color="auto" w:fill="auto"/>
            <w:noWrap/>
            <w:vAlign w:val="bottom"/>
            <w:hideMark/>
          </w:tcPr>
          <w:p w14:paraId="546D63DC"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159.964,28</w:t>
            </w:r>
          </w:p>
        </w:tc>
        <w:tc>
          <w:tcPr>
            <w:tcW w:w="1137" w:type="dxa"/>
            <w:tcBorders>
              <w:top w:val="single" w:sz="8" w:space="0" w:color="auto"/>
              <w:left w:val="nil"/>
              <w:bottom w:val="nil"/>
              <w:right w:val="single" w:sz="4" w:space="0" w:color="auto"/>
            </w:tcBorders>
            <w:shd w:val="clear" w:color="auto" w:fill="auto"/>
            <w:hideMark/>
          </w:tcPr>
          <w:p w14:paraId="039CD4C1" w14:textId="77777777" w:rsidR="006A0356" w:rsidRPr="008860BA" w:rsidRDefault="006A0356" w:rsidP="006A0356">
            <w:pPr>
              <w:spacing w:after="0" w:line="240" w:lineRule="auto"/>
              <w:jc w:val="right"/>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102.177,97</w:t>
            </w:r>
          </w:p>
        </w:tc>
        <w:tc>
          <w:tcPr>
            <w:tcW w:w="1273" w:type="dxa"/>
            <w:tcBorders>
              <w:top w:val="single" w:sz="8" w:space="0" w:color="auto"/>
              <w:left w:val="nil"/>
              <w:bottom w:val="nil"/>
              <w:right w:val="single" w:sz="4" w:space="0" w:color="auto"/>
            </w:tcBorders>
            <w:shd w:val="clear" w:color="auto" w:fill="auto"/>
            <w:hideMark/>
          </w:tcPr>
          <w:p w14:paraId="329A9DD2" w14:textId="77777777" w:rsidR="006A0356" w:rsidRPr="008860BA" w:rsidRDefault="006A0356" w:rsidP="006A0356">
            <w:pPr>
              <w:spacing w:after="0" w:line="240" w:lineRule="auto"/>
              <w:jc w:val="right"/>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1.153,20</w:t>
            </w:r>
          </w:p>
        </w:tc>
        <w:tc>
          <w:tcPr>
            <w:tcW w:w="1134" w:type="dxa"/>
            <w:tcBorders>
              <w:top w:val="single" w:sz="8" w:space="0" w:color="auto"/>
              <w:left w:val="nil"/>
              <w:bottom w:val="nil"/>
              <w:right w:val="single" w:sz="4" w:space="0" w:color="auto"/>
            </w:tcBorders>
            <w:shd w:val="clear" w:color="auto" w:fill="auto"/>
            <w:hideMark/>
          </w:tcPr>
          <w:p w14:paraId="70A5537C" w14:textId="77777777" w:rsidR="006A0356" w:rsidRPr="008860BA" w:rsidRDefault="006A0356" w:rsidP="006A0356">
            <w:pPr>
              <w:spacing w:after="0" w:line="240" w:lineRule="auto"/>
              <w:jc w:val="right"/>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1.049,15</w:t>
            </w:r>
          </w:p>
        </w:tc>
        <w:tc>
          <w:tcPr>
            <w:tcW w:w="1111" w:type="dxa"/>
            <w:tcBorders>
              <w:top w:val="single" w:sz="8" w:space="0" w:color="auto"/>
              <w:left w:val="nil"/>
              <w:bottom w:val="nil"/>
              <w:right w:val="single" w:sz="4" w:space="0" w:color="auto"/>
            </w:tcBorders>
            <w:shd w:val="clear" w:color="auto" w:fill="auto"/>
            <w:hideMark/>
          </w:tcPr>
          <w:p w14:paraId="11809FDB" w14:textId="77777777" w:rsidR="006A0356" w:rsidRPr="008860BA" w:rsidRDefault="006A0356" w:rsidP="006A0356">
            <w:pPr>
              <w:spacing w:after="0" w:line="240" w:lineRule="auto"/>
              <w:jc w:val="right"/>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13.510,11</w:t>
            </w:r>
          </w:p>
        </w:tc>
        <w:tc>
          <w:tcPr>
            <w:tcW w:w="853" w:type="dxa"/>
            <w:tcBorders>
              <w:top w:val="single" w:sz="8" w:space="0" w:color="auto"/>
              <w:left w:val="nil"/>
              <w:bottom w:val="nil"/>
              <w:right w:val="single" w:sz="4" w:space="0" w:color="auto"/>
            </w:tcBorders>
            <w:shd w:val="clear" w:color="auto" w:fill="auto"/>
            <w:hideMark/>
          </w:tcPr>
          <w:p w14:paraId="0E8145F1" w14:textId="77777777" w:rsidR="006A0356" w:rsidRPr="008860BA" w:rsidRDefault="006A0356" w:rsidP="006A0356">
            <w:pPr>
              <w:spacing w:after="0" w:line="240" w:lineRule="auto"/>
              <w:jc w:val="right"/>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1.729,00</w:t>
            </w:r>
          </w:p>
        </w:tc>
        <w:tc>
          <w:tcPr>
            <w:tcW w:w="853" w:type="dxa"/>
            <w:tcBorders>
              <w:top w:val="single" w:sz="8" w:space="0" w:color="auto"/>
              <w:left w:val="nil"/>
              <w:bottom w:val="nil"/>
              <w:right w:val="single" w:sz="4" w:space="0" w:color="auto"/>
            </w:tcBorders>
            <w:shd w:val="clear" w:color="auto" w:fill="auto"/>
            <w:hideMark/>
          </w:tcPr>
          <w:p w14:paraId="1064D691" w14:textId="77777777" w:rsidR="006A0356" w:rsidRPr="008860BA" w:rsidRDefault="006A0356" w:rsidP="006A0356">
            <w:pPr>
              <w:spacing w:after="0" w:line="240" w:lineRule="auto"/>
              <w:jc w:val="right"/>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1.959,72</w:t>
            </w:r>
          </w:p>
        </w:tc>
        <w:tc>
          <w:tcPr>
            <w:tcW w:w="944" w:type="dxa"/>
            <w:tcBorders>
              <w:top w:val="single" w:sz="8" w:space="0" w:color="auto"/>
              <w:left w:val="nil"/>
              <w:bottom w:val="nil"/>
              <w:right w:val="single" w:sz="4" w:space="0" w:color="auto"/>
            </w:tcBorders>
            <w:shd w:val="clear" w:color="auto" w:fill="auto"/>
            <w:hideMark/>
          </w:tcPr>
          <w:p w14:paraId="07882C01" w14:textId="77777777" w:rsidR="006A0356" w:rsidRPr="008860BA" w:rsidRDefault="006A0356" w:rsidP="006A0356">
            <w:pPr>
              <w:spacing w:after="0" w:line="240" w:lineRule="auto"/>
              <w:jc w:val="right"/>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38.385,14</w:t>
            </w:r>
          </w:p>
        </w:tc>
      </w:tr>
      <w:tr w:rsidR="006A0356" w:rsidRPr="008860BA" w14:paraId="1A0A0033"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1FE42EB7" w14:textId="4E099905"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Alte venituri din activitatea opera</w:t>
            </w:r>
            <w:r w:rsidR="00B13B9A" w:rsidRPr="008860BA">
              <w:rPr>
                <w:rFonts w:asciiTheme="majorHAnsi" w:eastAsia="Times New Roman" w:hAnsiTheme="majorHAnsi" w:cstheme="majorHAnsi"/>
                <w:color w:val="000000"/>
                <w:sz w:val="18"/>
                <w:szCs w:val="18"/>
                <w:lang w:val="ro-MD"/>
              </w:rPr>
              <w:t>ț</w:t>
            </w:r>
            <w:r w:rsidRPr="008860BA">
              <w:rPr>
                <w:rFonts w:asciiTheme="majorHAnsi" w:eastAsia="Times New Roman" w:hAnsiTheme="majorHAnsi" w:cstheme="majorHAnsi"/>
                <w:color w:val="000000"/>
                <w:sz w:val="18"/>
                <w:szCs w:val="18"/>
                <w:lang w:val="ro-MD"/>
              </w:rPr>
              <w:t>ională</w:t>
            </w:r>
          </w:p>
        </w:tc>
        <w:tc>
          <w:tcPr>
            <w:tcW w:w="673" w:type="dxa"/>
            <w:tcBorders>
              <w:top w:val="nil"/>
              <w:left w:val="nil"/>
              <w:bottom w:val="single" w:sz="4" w:space="0" w:color="auto"/>
              <w:right w:val="single" w:sz="4" w:space="0" w:color="auto"/>
            </w:tcBorders>
            <w:shd w:val="clear" w:color="auto" w:fill="auto"/>
            <w:noWrap/>
            <w:vAlign w:val="bottom"/>
            <w:hideMark/>
          </w:tcPr>
          <w:p w14:paraId="0FE0EFF6"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612</w:t>
            </w:r>
          </w:p>
        </w:tc>
        <w:tc>
          <w:tcPr>
            <w:tcW w:w="1170" w:type="dxa"/>
            <w:tcBorders>
              <w:top w:val="nil"/>
              <w:left w:val="nil"/>
              <w:bottom w:val="single" w:sz="4" w:space="0" w:color="auto"/>
              <w:right w:val="single" w:sz="4" w:space="0" w:color="auto"/>
            </w:tcBorders>
            <w:shd w:val="clear" w:color="auto" w:fill="auto"/>
            <w:noWrap/>
            <w:vAlign w:val="bottom"/>
            <w:hideMark/>
          </w:tcPr>
          <w:p w14:paraId="43625CCD"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87,18</w:t>
            </w:r>
          </w:p>
        </w:tc>
        <w:tc>
          <w:tcPr>
            <w:tcW w:w="1275" w:type="dxa"/>
            <w:tcBorders>
              <w:top w:val="nil"/>
              <w:left w:val="nil"/>
              <w:bottom w:val="single" w:sz="4" w:space="0" w:color="auto"/>
              <w:right w:val="single" w:sz="4" w:space="0" w:color="auto"/>
            </w:tcBorders>
            <w:shd w:val="clear" w:color="auto" w:fill="auto"/>
            <w:noWrap/>
            <w:vAlign w:val="bottom"/>
            <w:hideMark/>
          </w:tcPr>
          <w:p w14:paraId="2F8EF34C"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87,18</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14:paraId="1A1887BF"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3A1C7BC2"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1C4A55A"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14:paraId="200872C5"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7F27B9D1"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single" w:sz="4" w:space="0" w:color="auto"/>
              <w:left w:val="nil"/>
              <w:bottom w:val="nil"/>
              <w:right w:val="single" w:sz="4" w:space="0" w:color="auto"/>
            </w:tcBorders>
            <w:shd w:val="clear" w:color="auto" w:fill="auto"/>
            <w:hideMark/>
          </w:tcPr>
          <w:p w14:paraId="3210875B" w14:textId="77777777" w:rsidR="006A0356" w:rsidRPr="008860BA" w:rsidRDefault="006A0356" w:rsidP="006A0356">
            <w:pPr>
              <w:spacing w:after="0" w:line="240" w:lineRule="auto"/>
              <w:jc w:val="right"/>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 </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14:paraId="3F256E6C"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A0356" w:rsidRPr="008860BA" w14:paraId="2B894191"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0CB66BA3" w14:textId="7926F248" w:rsidR="006A0356" w:rsidRPr="008860BA" w:rsidRDefault="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Dob</w:t>
            </w:r>
            <w:r w:rsidR="00E10604" w:rsidRPr="008860BA">
              <w:rPr>
                <w:rFonts w:asciiTheme="majorHAnsi" w:eastAsia="Times New Roman" w:hAnsiTheme="majorHAnsi" w:cstheme="majorHAnsi"/>
                <w:color w:val="000000"/>
                <w:sz w:val="18"/>
                <w:szCs w:val="18"/>
                <w:lang w:val="ro-MD"/>
              </w:rPr>
              <w:t>â</w:t>
            </w:r>
            <w:r w:rsidRPr="008860BA">
              <w:rPr>
                <w:rFonts w:asciiTheme="majorHAnsi" w:eastAsia="Times New Roman" w:hAnsiTheme="majorHAnsi" w:cstheme="majorHAnsi"/>
                <w:color w:val="000000"/>
                <w:sz w:val="18"/>
                <w:szCs w:val="18"/>
                <w:lang w:val="ro-MD"/>
              </w:rPr>
              <w:t>nda bancară</w:t>
            </w:r>
          </w:p>
        </w:tc>
        <w:tc>
          <w:tcPr>
            <w:tcW w:w="673" w:type="dxa"/>
            <w:tcBorders>
              <w:top w:val="nil"/>
              <w:left w:val="nil"/>
              <w:bottom w:val="single" w:sz="4" w:space="0" w:color="auto"/>
              <w:right w:val="single" w:sz="4" w:space="0" w:color="auto"/>
            </w:tcBorders>
            <w:shd w:val="clear" w:color="auto" w:fill="auto"/>
            <w:vAlign w:val="bottom"/>
            <w:hideMark/>
          </w:tcPr>
          <w:p w14:paraId="4D4C0E27"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621</w:t>
            </w:r>
          </w:p>
        </w:tc>
        <w:tc>
          <w:tcPr>
            <w:tcW w:w="1170" w:type="dxa"/>
            <w:tcBorders>
              <w:top w:val="nil"/>
              <w:left w:val="nil"/>
              <w:bottom w:val="single" w:sz="4" w:space="0" w:color="auto"/>
              <w:right w:val="single" w:sz="4" w:space="0" w:color="auto"/>
            </w:tcBorders>
            <w:shd w:val="clear" w:color="auto" w:fill="auto"/>
            <w:noWrap/>
            <w:vAlign w:val="bottom"/>
            <w:hideMark/>
          </w:tcPr>
          <w:p w14:paraId="79C7C202"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14,28</w:t>
            </w:r>
          </w:p>
        </w:tc>
        <w:tc>
          <w:tcPr>
            <w:tcW w:w="1275" w:type="dxa"/>
            <w:tcBorders>
              <w:top w:val="nil"/>
              <w:left w:val="nil"/>
              <w:bottom w:val="single" w:sz="4" w:space="0" w:color="auto"/>
              <w:right w:val="single" w:sz="4" w:space="0" w:color="auto"/>
            </w:tcBorders>
            <w:shd w:val="clear" w:color="auto" w:fill="auto"/>
            <w:noWrap/>
            <w:vAlign w:val="bottom"/>
            <w:hideMark/>
          </w:tcPr>
          <w:p w14:paraId="7F6AD0BE"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14,28</w:t>
            </w:r>
          </w:p>
        </w:tc>
        <w:tc>
          <w:tcPr>
            <w:tcW w:w="1137" w:type="dxa"/>
            <w:tcBorders>
              <w:top w:val="nil"/>
              <w:left w:val="nil"/>
              <w:bottom w:val="single" w:sz="4" w:space="0" w:color="auto"/>
              <w:right w:val="single" w:sz="4" w:space="0" w:color="auto"/>
            </w:tcBorders>
            <w:shd w:val="clear" w:color="auto" w:fill="auto"/>
            <w:vAlign w:val="bottom"/>
            <w:hideMark/>
          </w:tcPr>
          <w:p w14:paraId="3FD6F95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73" w:type="dxa"/>
            <w:tcBorders>
              <w:top w:val="nil"/>
              <w:left w:val="nil"/>
              <w:bottom w:val="single" w:sz="4" w:space="0" w:color="auto"/>
              <w:right w:val="single" w:sz="4" w:space="0" w:color="auto"/>
            </w:tcBorders>
            <w:shd w:val="clear" w:color="auto" w:fill="auto"/>
            <w:vAlign w:val="bottom"/>
            <w:hideMark/>
          </w:tcPr>
          <w:p w14:paraId="3528633C"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vAlign w:val="bottom"/>
            <w:hideMark/>
          </w:tcPr>
          <w:p w14:paraId="6973CC76"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vAlign w:val="bottom"/>
            <w:hideMark/>
          </w:tcPr>
          <w:p w14:paraId="1A77B8A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vAlign w:val="bottom"/>
            <w:hideMark/>
          </w:tcPr>
          <w:p w14:paraId="7DF32306"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single" w:sz="4" w:space="0" w:color="auto"/>
              <w:left w:val="nil"/>
              <w:bottom w:val="single" w:sz="4" w:space="0" w:color="auto"/>
              <w:right w:val="single" w:sz="4" w:space="0" w:color="auto"/>
            </w:tcBorders>
            <w:shd w:val="clear" w:color="auto" w:fill="auto"/>
            <w:vAlign w:val="bottom"/>
            <w:hideMark/>
          </w:tcPr>
          <w:p w14:paraId="739386E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44" w:type="dxa"/>
            <w:tcBorders>
              <w:top w:val="nil"/>
              <w:left w:val="nil"/>
              <w:bottom w:val="single" w:sz="4" w:space="0" w:color="auto"/>
              <w:right w:val="single" w:sz="4" w:space="0" w:color="auto"/>
            </w:tcBorders>
            <w:shd w:val="clear" w:color="auto" w:fill="auto"/>
            <w:vAlign w:val="bottom"/>
            <w:hideMark/>
          </w:tcPr>
          <w:p w14:paraId="7DAB3125"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A0356" w:rsidRPr="008860BA" w14:paraId="4CC367CF"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4BA52B85" w14:textId="78A379AC"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Diferen</w:t>
            </w:r>
            <w:r w:rsidR="00B13B9A" w:rsidRPr="008860BA">
              <w:rPr>
                <w:rFonts w:asciiTheme="majorHAnsi" w:eastAsia="Times New Roman" w:hAnsiTheme="majorHAnsi" w:cstheme="majorHAnsi"/>
                <w:color w:val="000000"/>
                <w:sz w:val="18"/>
                <w:szCs w:val="18"/>
                <w:lang w:val="ro-MD"/>
              </w:rPr>
              <w:t>ț</w:t>
            </w:r>
            <w:r w:rsidRPr="008860BA">
              <w:rPr>
                <w:rFonts w:asciiTheme="majorHAnsi" w:eastAsia="Times New Roman" w:hAnsiTheme="majorHAnsi" w:cstheme="majorHAnsi"/>
                <w:color w:val="000000"/>
                <w:sz w:val="18"/>
                <w:szCs w:val="18"/>
                <w:lang w:val="ro-MD"/>
              </w:rPr>
              <w:t>a de curs valutar</w:t>
            </w:r>
          </w:p>
        </w:tc>
        <w:tc>
          <w:tcPr>
            <w:tcW w:w="673" w:type="dxa"/>
            <w:tcBorders>
              <w:top w:val="nil"/>
              <w:left w:val="nil"/>
              <w:bottom w:val="single" w:sz="4" w:space="0" w:color="auto"/>
              <w:right w:val="single" w:sz="4" w:space="0" w:color="auto"/>
            </w:tcBorders>
            <w:shd w:val="clear" w:color="auto" w:fill="auto"/>
            <w:vAlign w:val="bottom"/>
            <w:hideMark/>
          </w:tcPr>
          <w:p w14:paraId="1A8370F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622</w:t>
            </w:r>
          </w:p>
        </w:tc>
        <w:tc>
          <w:tcPr>
            <w:tcW w:w="1170" w:type="dxa"/>
            <w:tcBorders>
              <w:top w:val="nil"/>
              <w:left w:val="nil"/>
              <w:bottom w:val="single" w:sz="4" w:space="0" w:color="auto"/>
              <w:right w:val="single" w:sz="4" w:space="0" w:color="auto"/>
            </w:tcBorders>
            <w:shd w:val="clear" w:color="auto" w:fill="auto"/>
            <w:noWrap/>
            <w:vAlign w:val="bottom"/>
            <w:hideMark/>
          </w:tcPr>
          <w:p w14:paraId="3F91CA43"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534,61</w:t>
            </w:r>
          </w:p>
        </w:tc>
        <w:tc>
          <w:tcPr>
            <w:tcW w:w="1275" w:type="dxa"/>
            <w:tcBorders>
              <w:top w:val="nil"/>
              <w:left w:val="nil"/>
              <w:bottom w:val="single" w:sz="4" w:space="0" w:color="auto"/>
              <w:right w:val="single" w:sz="4" w:space="0" w:color="auto"/>
            </w:tcBorders>
            <w:shd w:val="clear" w:color="auto" w:fill="auto"/>
            <w:noWrap/>
            <w:vAlign w:val="bottom"/>
            <w:hideMark/>
          </w:tcPr>
          <w:p w14:paraId="570942F5"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534,61</w:t>
            </w:r>
          </w:p>
        </w:tc>
        <w:tc>
          <w:tcPr>
            <w:tcW w:w="1137" w:type="dxa"/>
            <w:tcBorders>
              <w:top w:val="nil"/>
              <w:left w:val="nil"/>
              <w:bottom w:val="single" w:sz="4" w:space="0" w:color="auto"/>
              <w:right w:val="single" w:sz="4" w:space="0" w:color="auto"/>
            </w:tcBorders>
            <w:shd w:val="clear" w:color="auto" w:fill="auto"/>
            <w:vAlign w:val="bottom"/>
            <w:hideMark/>
          </w:tcPr>
          <w:p w14:paraId="195A89F2"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73" w:type="dxa"/>
            <w:tcBorders>
              <w:top w:val="nil"/>
              <w:left w:val="nil"/>
              <w:bottom w:val="single" w:sz="4" w:space="0" w:color="auto"/>
              <w:right w:val="single" w:sz="4" w:space="0" w:color="auto"/>
            </w:tcBorders>
            <w:shd w:val="clear" w:color="auto" w:fill="auto"/>
            <w:vAlign w:val="bottom"/>
            <w:hideMark/>
          </w:tcPr>
          <w:p w14:paraId="416AD3B1"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vAlign w:val="bottom"/>
            <w:hideMark/>
          </w:tcPr>
          <w:p w14:paraId="3A4811C8"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vAlign w:val="bottom"/>
            <w:hideMark/>
          </w:tcPr>
          <w:p w14:paraId="79DEEF62"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vAlign w:val="bottom"/>
            <w:hideMark/>
          </w:tcPr>
          <w:p w14:paraId="7892789C"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vAlign w:val="bottom"/>
            <w:hideMark/>
          </w:tcPr>
          <w:p w14:paraId="2629FC2C"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44" w:type="dxa"/>
            <w:tcBorders>
              <w:top w:val="nil"/>
              <w:left w:val="nil"/>
              <w:bottom w:val="single" w:sz="4" w:space="0" w:color="auto"/>
              <w:right w:val="single" w:sz="4" w:space="0" w:color="auto"/>
            </w:tcBorders>
            <w:shd w:val="clear" w:color="auto" w:fill="auto"/>
            <w:vAlign w:val="bottom"/>
            <w:hideMark/>
          </w:tcPr>
          <w:p w14:paraId="33BBF56F"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A0356" w:rsidRPr="008860BA" w14:paraId="601A2956"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F724AC9" w14:textId="74531225"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Total Venit</w:t>
            </w:r>
          </w:p>
        </w:tc>
        <w:tc>
          <w:tcPr>
            <w:tcW w:w="673" w:type="dxa"/>
            <w:tcBorders>
              <w:top w:val="nil"/>
              <w:left w:val="nil"/>
              <w:bottom w:val="single" w:sz="4" w:space="0" w:color="auto"/>
              <w:right w:val="single" w:sz="4" w:space="0" w:color="auto"/>
            </w:tcBorders>
            <w:shd w:val="clear" w:color="auto" w:fill="auto"/>
            <w:noWrap/>
            <w:vAlign w:val="bottom"/>
            <w:hideMark/>
          </w:tcPr>
          <w:p w14:paraId="5EABF203"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noWrap/>
            <w:vAlign w:val="bottom"/>
            <w:hideMark/>
          </w:tcPr>
          <w:p w14:paraId="057033A3"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160.600,36</w:t>
            </w:r>
          </w:p>
        </w:tc>
        <w:tc>
          <w:tcPr>
            <w:tcW w:w="1275" w:type="dxa"/>
            <w:tcBorders>
              <w:top w:val="nil"/>
              <w:left w:val="nil"/>
              <w:bottom w:val="single" w:sz="4" w:space="0" w:color="auto"/>
              <w:right w:val="single" w:sz="4" w:space="0" w:color="auto"/>
            </w:tcBorders>
            <w:shd w:val="clear" w:color="auto" w:fill="auto"/>
            <w:noWrap/>
            <w:vAlign w:val="bottom"/>
            <w:hideMark/>
          </w:tcPr>
          <w:p w14:paraId="3C799FD3"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160.600,36</w:t>
            </w:r>
          </w:p>
        </w:tc>
        <w:tc>
          <w:tcPr>
            <w:tcW w:w="1137" w:type="dxa"/>
            <w:tcBorders>
              <w:top w:val="nil"/>
              <w:left w:val="nil"/>
              <w:bottom w:val="single" w:sz="4" w:space="0" w:color="auto"/>
              <w:right w:val="single" w:sz="4" w:space="0" w:color="auto"/>
            </w:tcBorders>
            <w:shd w:val="clear" w:color="auto" w:fill="auto"/>
            <w:noWrap/>
            <w:vAlign w:val="bottom"/>
            <w:hideMark/>
          </w:tcPr>
          <w:p w14:paraId="20F5308E"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102.177,97</w:t>
            </w:r>
          </w:p>
        </w:tc>
        <w:tc>
          <w:tcPr>
            <w:tcW w:w="1273" w:type="dxa"/>
            <w:tcBorders>
              <w:top w:val="nil"/>
              <w:left w:val="nil"/>
              <w:bottom w:val="single" w:sz="4" w:space="0" w:color="auto"/>
              <w:right w:val="single" w:sz="4" w:space="0" w:color="auto"/>
            </w:tcBorders>
            <w:shd w:val="clear" w:color="auto" w:fill="auto"/>
            <w:noWrap/>
            <w:vAlign w:val="bottom"/>
            <w:hideMark/>
          </w:tcPr>
          <w:p w14:paraId="79547553"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1.153,20</w:t>
            </w:r>
          </w:p>
        </w:tc>
        <w:tc>
          <w:tcPr>
            <w:tcW w:w="1134" w:type="dxa"/>
            <w:tcBorders>
              <w:top w:val="nil"/>
              <w:left w:val="nil"/>
              <w:bottom w:val="single" w:sz="4" w:space="0" w:color="auto"/>
              <w:right w:val="single" w:sz="4" w:space="0" w:color="auto"/>
            </w:tcBorders>
            <w:shd w:val="clear" w:color="auto" w:fill="auto"/>
            <w:noWrap/>
            <w:vAlign w:val="bottom"/>
            <w:hideMark/>
          </w:tcPr>
          <w:p w14:paraId="3825E4C4"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1.049,15</w:t>
            </w:r>
          </w:p>
        </w:tc>
        <w:tc>
          <w:tcPr>
            <w:tcW w:w="1111" w:type="dxa"/>
            <w:tcBorders>
              <w:top w:val="nil"/>
              <w:left w:val="nil"/>
              <w:bottom w:val="single" w:sz="4" w:space="0" w:color="auto"/>
              <w:right w:val="single" w:sz="4" w:space="0" w:color="auto"/>
            </w:tcBorders>
            <w:shd w:val="clear" w:color="auto" w:fill="auto"/>
            <w:noWrap/>
            <w:vAlign w:val="bottom"/>
            <w:hideMark/>
          </w:tcPr>
          <w:p w14:paraId="20C61789"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13.510,11</w:t>
            </w:r>
          </w:p>
        </w:tc>
        <w:tc>
          <w:tcPr>
            <w:tcW w:w="853" w:type="dxa"/>
            <w:tcBorders>
              <w:top w:val="nil"/>
              <w:left w:val="nil"/>
              <w:bottom w:val="single" w:sz="4" w:space="0" w:color="auto"/>
              <w:right w:val="single" w:sz="4" w:space="0" w:color="auto"/>
            </w:tcBorders>
            <w:shd w:val="clear" w:color="auto" w:fill="auto"/>
            <w:noWrap/>
            <w:vAlign w:val="bottom"/>
            <w:hideMark/>
          </w:tcPr>
          <w:p w14:paraId="6A819E8F"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1.729,00</w:t>
            </w:r>
          </w:p>
        </w:tc>
        <w:tc>
          <w:tcPr>
            <w:tcW w:w="853" w:type="dxa"/>
            <w:tcBorders>
              <w:top w:val="nil"/>
              <w:left w:val="nil"/>
              <w:bottom w:val="single" w:sz="4" w:space="0" w:color="auto"/>
              <w:right w:val="single" w:sz="4" w:space="0" w:color="auto"/>
            </w:tcBorders>
            <w:shd w:val="clear" w:color="auto" w:fill="auto"/>
            <w:noWrap/>
            <w:vAlign w:val="bottom"/>
            <w:hideMark/>
          </w:tcPr>
          <w:p w14:paraId="09ACD235"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1.959,72</w:t>
            </w:r>
          </w:p>
        </w:tc>
        <w:tc>
          <w:tcPr>
            <w:tcW w:w="944" w:type="dxa"/>
            <w:tcBorders>
              <w:top w:val="nil"/>
              <w:left w:val="nil"/>
              <w:bottom w:val="single" w:sz="4" w:space="0" w:color="auto"/>
              <w:right w:val="single" w:sz="4" w:space="0" w:color="auto"/>
            </w:tcBorders>
            <w:shd w:val="clear" w:color="auto" w:fill="auto"/>
            <w:noWrap/>
            <w:vAlign w:val="bottom"/>
            <w:hideMark/>
          </w:tcPr>
          <w:p w14:paraId="4608F134"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38.385,14</w:t>
            </w:r>
          </w:p>
        </w:tc>
      </w:tr>
      <w:tr w:rsidR="006A0356" w:rsidRPr="008860BA" w14:paraId="1D0A0768"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6B0B317" w14:textId="6629BBA0" w:rsidR="006A0356" w:rsidRPr="008860BA" w:rsidRDefault="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Costul v</w:t>
            </w:r>
            <w:r w:rsidR="00E10604" w:rsidRPr="008860BA">
              <w:rPr>
                <w:rFonts w:asciiTheme="majorHAnsi" w:eastAsia="Times New Roman" w:hAnsiTheme="majorHAnsi" w:cstheme="majorHAnsi"/>
                <w:color w:val="000000"/>
                <w:sz w:val="18"/>
                <w:szCs w:val="18"/>
                <w:lang w:val="ro-MD"/>
              </w:rPr>
              <w:t>â</w:t>
            </w:r>
            <w:r w:rsidRPr="008860BA">
              <w:rPr>
                <w:rFonts w:asciiTheme="majorHAnsi" w:eastAsia="Times New Roman" w:hAnsiTheme="majorHAnsi" w:cstheme="majorHAnsi"/>
                <w:color w:val="000000"/>
                <w:sz w:val="18"/>
                <w:szCs w:val="18"/>
                <w:lang w:val="ro-MD"/>
              </w:rPr>
              <w:t>nzărilor, inclusiv:</w:t>
            </w:r>
          </w:p>
        </w:tc>
        <w:tc>
          <w:tcPr>
            <w:tcW w:w="673" w:type="dxa"/>
            <w:tcBorders>
              <w:top w:val="nil"/>
              <w:left w:val="nil"/>
              <w:bottom w:val="single" w:sz="4" w:space="0" w:color="auto"/>
              <w:right w:val="single" w:sz="4" w:space="0" w:color="auto"/>
            </w:tcBorders>
            <w:shd w:val="clear" w:color="auto" w:fill="auto"/>
            <w:noWrap/>
            <w:vAlign w:val="bottom"/>
            <w:hideMark/>
          </w:tcPr>
          <w:p w14:paraId="23D353F2"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711</w:t>
            </w:r>
          </w:p>
        </w:tc>
        <w:tc>
          <w:tcPr>
            <w:tcW w:w="1170" w:type="dxa"/>
            <w:tcBorders>
              <w:top w:val="nil"/>
              <w:left w:val="nil"/>
              <w:bottom w:val="single" w:sz="4" w:space="0" w:color="auto"/>
              <w:right w:val="single" w:sz="4" w:space="0" w:color="auto"/>
            </w:tcBorders>
            <w:shd w:val="clear" w:color="auto" w:fill="auto"/>
            <w:noWrap/>
            <w:vAlign w:val="bottom"/>
            <w:hideMark/>
          </w:tcPr>
          <w:p w14:paraId="7D48358A"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142.743,09</w:t>
            </w:r>
          </w:p>
        </w:tc>
        <w:tc>
          <w:tcPr>
            <w:tcW w:w="1275" w:type="dxa"/>
            <w:tcBorders>
              <w:top w:val="nil"/>
              <w:left w:val="nil"/>
              <w:bottom w:val="single" w:sz="4" w:space="0" w:color="auto"/>
              <w:right w:val="single" w:sz="4" w:space="0" w:color="auto"/>
            </w:tcBorders>
            <w:shd w:val="clear" w:color="auto" w:fill="auto"/>
            <w:noWrap/>
            <w:vAlign w:val="bottom"/>
            <w:hideMark/>
          </w:tcPr>
          <w:p w14:paraId="563AEC0A"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142.743,09</w:t>
            </w:r>
          </w:p>
        </w:tc>
        <w:tc>
          <w:tcPr>
            <w:tcW w:w="1137" w:type="dxa"/>
            <w:tcBorders>
              <w:top w:val="nil"/>
              <w:left w:val="nil"/>
              <w:bottom w:val="single" w:sz="4" w:space="0" w:color="auto"/>
              <w:right w:val="single" w:sz="4" w:space="0" w:color="auto"/>
            </w:tcBorders>
            <w:shd w:val="clear" w:color="auto" w:fill="auto"/>
            <w:noWrap/>
            <w:vAlign w:val="bottom"/>
            <w:hideMark/>
          </w:tcPr>
          <w:p w14:paraId="2D7E0DAE"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85.003,02</w:t>
            </w:r>
          </w:p>
        </w:tc>
        <w:tc>
          <w:tcPr>
            <w:tcW w:w="1273" w:type="dxa"/>
            <w:tcBorders>
              <w:top w:val="nil"/>
              <w:left w:val="nil"/>
              <w:bottom w:val="single" w:sz="4" w:space="0" w:color="auto"/>
              <w:right w:val="single" w:sz="4" w:space="0" w:color="auto"/>
            </w:tcBorders>
            <w:shd w:val="clear" w:color="auto" w:fill="auto"/>
            <w:noWrap/>
            <w:vAlign w:val="bottom"/>
            <w:hideMark/>
          </w:tcPr>
          <w:p w14:paraId="57DFA214"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450,57</w:t>
            </w:r>
          </w:p>
        </w:tc>
        <w:tc>
          <w:tcPr>
            <w:tcW w:w="1134" w:type="dxa"/>
            <w:tcBorders>
              <w:top w:val="nil"/>
              <w:left w:val="nil"/>
              <w:bottom w:val="single" w:sz="4" w:space="0" w:color="auto"/>
              <w:right w:val="single" w:sz="4" w:space="0" w:color="auto"/>
            </w:tcBorders>
            <w:shd w:val="clear" w:color="auto" w:fill="auto"/>
            <w:noWrap/>
            <w:vAlign w:val="bottom"/>
            <w:hideMark/>
          </w:tcPr>
          <w:p w14:paraId="3959B940"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422499E0"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13.014,86</w:t>
            </w:r>
          </w:p>
        </w:tc>
        <w:tc>
          <w:tcPr>
            <w:tcW w:w="853" w:type="dxa"/>
            <w:tcBorders>
              <w:top w:val="nil"/>
              <w:left w:val="nil"/>
              <w:bottom w:val="single" w:sz="4" w:space="0" w:color="auto"/>
              <w:right w:val="single" w:sz="4" w:space="0" w:color="auto"/>
            </w:tcBorders>
            <w:shd w:val="clear" w:color="auto" w:fill="auto"/>
            <w:noWrap/>
            <w:vAlign w:val="bottom"/>
            <w:hideMark/>
          </w:tcPr>
          <w:p w14:paraId="1130071C"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2.495,34</w:t>
            </w:r>
          </w:p>
        </w:tc>
        <w:tc>
          <w:tcPr>
            <w:tcW w:w="853" w:type="dxa"/>
            <w:tcBorders>
              <w:top w:val="nil"/>
              <w:left w:val="nil"/>
              <w:bottom w:val="single" w:sz="4" w:space="0" w:color="auto"/>
              <w:right w:val="single" w:sz="4" w:space="0" w:color="auto"/>
            </w:tcBorders>
            <w:shd w:val="clear" w:color="auto" w:fill="auto"/>
            <w:noWrap/>
            <w:vAlign w:val="bottom"/>
            <w:hideMark/>
          </w:tcPr>
          <w:p w14:paraId="7A8D83C0"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1.867,58</w:t>
            </w:r>
          </w:p>
        </w:tc>
        <w:tc>
          <w:tcPr>
            <w:tcW w:w="944" w:type="dxa"/>
            <w:tcBorders>
              <w:top w:val="nil"/>
              <w:left w:val="nil"/>
              <w:bottom w:val="single" w:sz="4" w:space="0" w:color="auto"/>
              <w:right w:val="single" w:sz="4" w:space="0" w:color="auto"/>
            </w:tcBorders>
            <w:shd w:val="clear" w:color="auto" w:fill="auto"/>
            <w:noWrap/>
            <w:vAlign w:val="bottom"/>
            <w:hideMark/>
          </w:tcPr>
          <w:p w14:paraId="22046100"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39.911,71</w:t>
            </w:r>
          </w:p>
        </w:tc>
      </w:tr>
      <w:tr w:rsidR="006A0356" w:rsidRPr="008860BA" w14:paraId="15A895E1"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24CAE26C" w14:textId="6A0FD28C" w:rsidR="006A0356" w:rsidRPr="008860BA" w:rsidRDefault="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Alimenta</w:t>
            </w:r>
            <w:r w:rsidR="00E10604"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ia</w:t>
            </w:r>
          </w:p>
        </w:tc>
        <w:tc>
          <w:tcPr>
            <w:tcW w:w="673" w:type="dxa"/>
            <w:tcBorders>
              <w:top w:val="nil"/>
              <w:left w:val="nil"/>
              <w:bottom w:val="single" w:sz="4" w:space="0" w:color="auto"/>
              <w:right w:val="single" w:sz="4" w:space="0" w:color="auto"/>
            </w:tcBorders>
            <w:shd w:val="clear" w:color="auto" w:fill="auto"/>
            <w:noWrap/>
            <w:vAlign w:val="bottom"/>
            <w:hideMark/>
          </w:tcPr>
          <w:p w14:paraId="165D0135"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09041C08"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4.677,17</w:t>
            </w:r>
          </w:p>
        </w:tc>
        <w:tc>
          <w:tcPr>
            <w:tcW w:w="1275" w:type="dxa"/>
            <w:tcBorders>
              <w:top w:val="nil"/>
              <w:left w:val="nil"/>
              <w:bottom w:val="single" w:sz="4" w:space="0" w:color="auto"/>
              <w:right w:val="single" w:sz="4" w:space="0" w:color="auto"/>
            </w:tcBorders>
            <w:shd w:val="clear" w:color="auto" w:fill="auto"/>
            <w:noWrap/>
            <w:vAlign w:val="bottom"/>
            <w:hideMark/>
          </w:tcPr>
          <w:p w14:paraId="7DB4273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4.677,17</w:t>
            </w:r>
          </w:p>
        </w:tc>
        <w:tc>
          <w:tcPr>
            <w:tcW w:w="1137" w:type="dxa"/>
            <w:tcBorders>
              <w:top w:val="nil"/>
              <w:left w:val="nil"/>
              <w:bottom w:val="single" w:sz="4" w:space="0" w:color="auto"/>
              <w:right w:val="single" w:sz="4" w:space="0" w:color="auto"/>
            </w:tcBorders>
            <w:shd w:val="clear" w:color="auto" w:fill="auto"/>
            <w:hideMark/>
          </w:tcPr>
          <w:p w14:paraId="03512753"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4.661,68</w:t>
            </w:r>
          </w:p>
        </w:tc>
        <w:tc>
          <w:tcPr>
            <w:tcW w:w="1273" w:type="dxa"/>
            <w:tcBorders>
              <w:top w:val="nil"/>
              <w:left w:val="nil"/>
              <w:bottom w:val="single" w:sz="4" w:space="0" w:color="auto"/>
              <w:right w:val="single" w:sz="4" w:space="0" w:color="auto"/>
            </w:tcBorders>
            <w:shd w:val="clear" w:color="auto" w:fill="auto"/>
            <w:noWrap/>
            <w:vAlign w:val="bottom"/>
            <w:hideMark/>
          </w:tcPr>
          <w:p w14:paraId="5B5E536C"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CB33FE3"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13A6B64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7DAC1204"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0,00</w:t>
            </w:r>
          </w:p>
        </w:tc>
        <w:tc>
          <w:tcPr>
            <w:tcW w:w="853" w:type="dxa"/>
            <w:tcBorders>
              <w:top w:val="nil"/>
              <w:left w:val="nil"/>
              <w:bottom w:val="single" w:sz="4" w:space="0" w:color="auto"/>
              <w:right w:val="single" w:sz="4" w:space="0" w:color="auto"/>
            </w:tcBorders>
            <w:shd w:val="clear" w:color="auto" w:fill="auto"/>
            <w:noWrap/>
            <w:vAlign w:val="bottom"/>
            <w:hideMark/>
          </w:tcPr>
          <w:p w14:paraId="4D3C1B30"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0,00</w:t>
            </w:r>
          </w:p>
        </w:tc>
        <w:tc>
          <w:tcPr>
            <w:tcW w:w="944" w:type="dxa"/>
            <w:tcBorders>
              <w:top w:val="nil"/>
              <w:left w:val="nil"/>
              <w:bottom w:val="single" w:sz="4" w:space="0" w:color="auto"/>
              <w:right w:val="single" w:sz="4" w:space="0" w:color="auto"/>
            </w:tcBorders>
            <w:shd w:val="clear" w:color="auto" w:fill="auto"/>
            <w:noWrap/>
            <w:vAlign w:val="bottom"/>
            <w:hideMark/>
          </w:tcPr>
          <w:p w14:paraId="15EBE478"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15,49</w:t>
            </w:r>
          </w:p>
        </w:tc>
      </w:tr>
      <w:tr w:rsidR="006A0356" w:rsidRPr="008860BA" w14:paraId="564BDBD9"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7F8A9ABF"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Alte cheltuieli</w:t>
            </w:r>
          </w:p>
        </w:tc>
        <w:tc>
          <w:tcPr>
            <w:tcW w:w="673" w:type="dxa"/>
            <w:tcBorders>
              <w:top w:val="nil"/>
              <w:left w:val="nil"/>
              <w:bottom w:val="single" w:sz="4" w:space="0" w:color="auto"/>
              <w:right w:val="single" w:sz="4" w:space="0" w:color="auto"/>
            </w:tcBorders>
            <w:shd w:val="clear" w:color="auto" w:fill="auto"/>
            <w:noWrap/>
            <w:vAlign w:val="bottom"/>
            <w:hideMark/>
          </w:tcPr>
          <w:p w14:paraId="035F9291"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04867DDA"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1.136,33</w:t>
            </w:r>
          </w:p>
        </w:tc>
        <w:tc>
          <w:tcPr>
            <w:tcW w:w="1275" w:type="dxa"/>
            <w:tcBorders>
              <w:top w:val="nil"/>
              <w:left w:val="nil"/>
              <w:bottom w:val="single" w:sz="4" w:space="0" w:color="auto"/>
              <w:right w:val="single" w:sz="4" w:space="0" w:color="auto"/>
            </w:tcBorders>
            <w:shd w:val="clear" w:color="auto" w:fill="auto"/>
            <w:noWrap/>
            <w:vAlign w:val="bottom"/>
            <w:hideMark/>
          </w:tcPr>
          <w:p w14:paraId="3696B803"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1.136,33</w:t>
            </w:r>
          </w:p>
        </w:tc>
        <w:tc>
          <w:tcPr>
            <w:tcW w:w="1137" w:type="dxa"/>
            <w:tcBorders>
              <w:top w:val="nil"/>
              <w:left w:val="nil"/>
              <w:bottom w:val="single" w:sz="4" w:space="0" w:color="auto"/>
              <w:right w:val="single" w:sz="4" w:space="0" w:color="auto"/>
            </w:tcBorders>
            <w:shd w:val="clear" w:color="auto" w:fill="auto"/>
            <w:noWrap/>
            <w:vAlign w:val="bottom"/>
            <w:hideMark/>
          </w:tcPr>
          <w:p w14:paraId="4F1E1E2F"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42,28</w:t>
            </w:r>
          </w:p>
        </w:tc>
        <w:tc>
          <w:tcPr>
            <w:tcW w:w="1273" w:type="dxa"/>
            <w:tcBorders>
              <w:top w:val="nil"/>
              <w:left w:val="nil"/>
              <w:bottom w:val="single" w:sz="4" w:space="0" w:color="auto"/>
              <w:right w:val="single" w:sz="4" w:space="0" w:color="auto"/>
            </w:tcBorders>
            <w:shd w:val="clear" w:color="auto" w:fill="auto"/>
            <w:noWrap/>
            <w:vAlign w:val="bottom"/>
            <w:hideMark/>
          </w:tcPr>
          <w:p w14:paraId="5178DBC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24940795"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5DF3B200"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69007FCA"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9,34</w:t>
            </w:r>
          </w:p>
        </w:tc>
        <w:tc>
          <w:tcPr>
            <w:tcW w:w="853" w:type="dxa"/>
            <w:tcBorders>
              <w:top w:val="nil"/>
              <w:left w:val="nil"/>
              <w:bottom w:val="single" w:sz="4" w:space="0" w:color="auto"/>
              <w:right w:val="single" w:sz="4" w:space="0" w:color="auto"/>
            </w:tcBorders>
            <w:shd w:val="clear" w:color="auto" w:fill="auto"/>
            <w:noWrap/>
            <w:vAlign w:val="bottom"/>
            <w:hideMark/>
          </w:tcPr>
          <w:p w14:paraId="533367C3"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488,52</w:t>
            </w:r>
          </w:p>
        </w:tc>
        <w:tc>
          <w:tcPr>
            <w:tcW w:w="944" w:type="dxa"/>
            <w:tcBorders>
              <w:top w:val="nil"/>
              <w:left w:val="nil"/>
              <w:bottom w:val="single" w:sz="4" w:space="0" w:color="auto"/>
              <w:right w:val="single" w:sz="4" w:space="0" w:color="auto"/>
            </w:tcBorders>
            <w:shd w:val="clear" w:color="auto" w:fill="auto"/>
            <w:noWrap/>
            <w:vAlign w:val="bottom"/>
            <w:hideMark/>
          </w:tcPr>
          <w:p w14:paraId="7620759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594,19</w:t>
            </w:r>
          </w:p>
        </w:tc>
      </w:tr>
      <w:tr w:rsidR="006A0356" w:rsidRPr="008860BA" w14:paraId="495E39F5"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373E0473"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Alte cheltuieli stream</w:t>
            </w:r>
          </w:p>
        </w:tc>
        <w:tc>
          <w:tcPr>
            <w:tcW w:w="673" w:type="dxa"/>
            <w:tcBorders>
              <w:top w:val="nil"/>
              <w:left w:val="nil"/>
              <w:bottom w:val="single" w:sz="4" w:space="0" w:color="auto"/>
              <w:right w:val="single" w:sz="4" w:space="0" w:color="auto"/>
            </w:tcBorders>
            <w:shd w:val="clear" w:color="auto" w:fill="auto"/>
            <w:noWrap/>
            <w:vAlign w:val="bottom"/>
            <w:hideMark/>
          </w:tcPr>
          <w:p w14:paraId="613D89D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10DDE3AF"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17,29</w:t>
            </w:r>
          </w:p>
        </w:tc>
        <w:tc>
          <w:tcPr>
            <w:tcW w:w="1275" w:type="dxa"/>
            <w:tcBorders>
              <w:top w:val="nil"/>
              <w:left w:val="nil"/>
              <w:bottom w:val="single" w:sz="4" w:space="0" w:color="auto"/>
              <w:right w:val="single" w:sz="4" w:space="0" w:color="auto"/>
            </w:tcBorders>
            <w:shd w:val="clear" w:color="auto" w:fill="auto"/>
            <w:noWrap/>
            <w:vAlign w:val="bottom"/>
            <w:hideMark/>
          </w:tcPr>
          <w:p w14:paraId="2B747D9A"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17,29</w:t>
            </w:r>
          </w:p>
        </w:tc>
        <w:tc>
          <w:tcPr>
            <w:tcW w:w="1137" w:type="dxa"/>
            <w:tcBorders>
              <w:top w:val="nil"/>
              <w:left w:val="nil"/>
              <w:bottom w:val="single" w:sz="4" w:space="0" w:color="auto"/>
              <w:right w:val="single" w:sz="4" w:space="0" w:color="auto"/>
            </w:tcBorders>
            <w:shd w:val="clear" w:color="auto" w:fill="auto"/>
            <w:hideMark/>
          </w:tcPr>
          <w:p w14:paraId="2F034C4C"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73" w:type="dxa"/>
            <w:tcBorders>
              <w:top w:val="nil"/>
              <w:left w:val="nil"/>
              <w:bottom w:val="single" w:sz="4" w:space="0" w:color="auto"/>
              <w:right w:val="single" w:sz="4" w:space="0" w:color="auto"/>
            </w:tcBorders>
            <w:shd w:val="clear" w:color="auto" w:fill="auto"/>
            <w:noWrap/>
            <w:vAlign w:val="bottom"/>
            <w:hideMark/>
          </w:tcPr>
          <w:p w14:paraId="2C92C0CC"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FB2D00"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02FA1925"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hideMark/>
          </w:tcPr>
          <w:p w14:paraId="4FA34023"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53" w:type="dxa"/>
            <w:tcBorders>
              <w:top w:val="nil"/>
              <w:left w:val="nil"/>
              <w:bottom w:val="single" w:sz="4" w:space="0" w:color="auto"/>
              <w:right w:val="single" w:sz="4" w:space="0" w:color="auto"/>
            </w:tcBorders>
            <w:shd w:val="clear" w:color="auto" w:fill="auto"/>
            <w:hideMark/>
          </w:tcPr>
          <w:p w14:paraId="44E05230"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944" w:type="dxa"/>
            <w:tcBorders>
              <w:top w:val="nil"/>
              <w:left w:val="nil"/>
              <w:bottom w:val="single" w:sz="4" w:space="0" w:color="auto"/>
              <w:right w:val="single" w:sz="4" w:space="0" w:color="auto"/>
            </w:tcBorders>
            <w:shd w:val="clear" w:color="auto" w:fill="auto"/>
            <w:noWrap/>
            <w:vAlign w:val="bottom"/>
            <w:hideMark/>
          </w:tcPr>
          <w:p w14:paraId="6CBDD340"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17,29</w:t>
            </w:r>
          </w:p>
        </w:tc>
      </w:tr>
      <w:tr w:rsidR="006A0356" w:rsidRPr="008860BA" w14:paraId="0BCB9982"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3EE241A6"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Alte produse alimentare</w:t>
            </w:r>
          </w:p>
        </w:tc>
        <w:tc>
          <w:tcPr>
            <w:tcW w:w="673" w:type="dxa"/>
            <w:tcBorders>
              <w:top w:val="nil"/>
              <w:left w:val="nil"/>
              <w:bottom w:val="single" w:sz="4" w:space="0" w:color="auto"/>
              <w:right w:val="single" w:sz="4" w:space="0" w:color="auto"/>
            </w:tcBorders>
            <w:shd w:val="clear" w:color="auto" w:fill="auto"/>
            <w:noWrap/>
            <w:vAlign w:val="bottom"/>
            <w:hideMark/>
          </w:tcPr>
          <w:p w14:paraId="08FD4863"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77CEB196"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23,36</w:t>
            </w:r>
          </w:p>
        </w:tc>
        <w:tc>
          <w:tcPr>
            <w:tcW w:w="1275" w:type="dxa"/>
            <w:tcBorders>
              <w:top w:val="nil"/>
              <w:left w:val="nil"/>
              <w:bottom w:val="single" w:sz="4" w:space="0" w:color="auto"/>
              <w:right w:val="single" w:sz="4" w:space="0" w:color="auto"/>
            </w:tcBorders>
            <w:shd w:val="clear" w:color="auto" w:fill="auto"/>
            <w:noWrap/>
            <w:vAlign w:val="bottom"/>
            <w:hideMark/>
          </w:tcPr>
          <w:p w14:paraId="4F7FCD77"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23,36</w:t>
            </w:r>
          </w:p>
        </w:tc>
        <w:tc>
          <w:tcPr>
            <w:tcW w:w="1137" w:type="dxa"/>
            <w:tcBorders>
              <w:top w:val="nil"/>
              <w:left w:val="nil"/>
              <w:bottom w:val="single" w:sz="4" w:space="0" w:color="auto"/>
              <w:right w:val="single" w:sz="4" w:space="0" w:color="auto"/>
            </w:tcBorders>
            <w:shd w:val="clear" w:color="auto" w:fill="auto"/>
            <w:hideMark/>
          </w:tcPr>
          <w:p w14:paraId="74FA1F60"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23,36</w:t>
            </w:r>
          </w:p>
        </w:tc>
        <w:tc>
          <w:tcPr>
            <w:tcW w:w="1273" w:type="dxa"/>
            <w:tcBorders>
              <w:top w:val="nil"/>
              <w:left w:val="nil"/>
              <w:bottom w:val="single" w:sz="4" w:space="0" w:color="auto"/>
              <w:right w:val="single" w:sz="4" w:space="0" w:color="auto"/>
            </w:tcBorders>
            <w:shd w:val="clear" w:color="auto" w:fill="auto"/>
            <w:noWrap/>
            <w:vAlign w:val="bottom"/>
            <w:hideMark/>
          </w:tcPr>
          <w:p w14:paraId="3A929B3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5951D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6EA57C2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5D99805F"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64DE9500"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44" w:type="dxa"/>
            <w:tcBorders>
              <w:top w:val="nil"/>
              <w:left w:val="nil"/>
              <w:bottom w:val="single" w:sz="4" w:space="0" w:color="auto"/>
              <w:right w:val="single" w:sz="4" w:space="0" w:color="auto"/>
            </w:tcBorders>
            <w:shd w:val="clear" w:color="auto" w:fill="auto"/>
            <w:hideMark/>
          </w:tcPr>
          <w:p w14:paraId="4A070EB2"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A0356" w:rsidRPr="008860BA" w14:paraId="359CC814"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1CCCD7B6"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Ambalaj</w:t>
            </w:r>
          </w:p>
        </w:tc>
        <w:tc>
          <w:tcPr>
            <w:tcW w:w="673" w:type="dxa"/>
            <w:tcBorders>
              <w:top w:val="nil"/>
              <w:left w:val="nil"/>
              <w:bottom w:val="single" w:sz="4" w:space="0" w:color="auto"/>
              <w:right w:val="single" w:sz="4" w:space="0" w:color="auto"/>
            </w:tcBorders>
            <w:shd w:val="clear" w:color="auto" w:fill="auto"/>
            <w:noWrap/>
            <w:vAlign w:val="bottom"/>
            <w:hideMark/>
          </w:tcPr>
          <w:p w14:paraId="797C1F8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29D28A03"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58,50</w:t>
            </w:r>
          </w:p>
        </w:tc>
        <w:tc>
          <w:tcPr>
            <w:tcW w:w="1275" w:type="dxa"/>
            <w:tcBorders>
              <w:top w:val="nil"/>
              <w:left w:val="nil"/>
              <w:bottom w:val="single" w:sz="4" w:space="0" w:color="auto"/>
              <w:right w:val="single" w:sz="4" w:space="0" w:color="auto"/>
            </w:tcBorders>
            <w:shd w:val="clear" w:color="auto" w:fill="auto"/>
            <w:noWrap/>
            <w:vAlign w:val="bottom"/>
            <w:hideMark/>
          </w:tcPr>
          <w:p w14:paraId="0D055442"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58,50</w:t>
            </w:r>
          </w:p>
        </w:tc>
        <w:tc>
          <w:tcPr>
            <w:tcW w:w="1137" w:type="dxa"/>
            <w:tcBorders>
              <w:top w:val="nil"/>
              <w:left w:val="nil"/>
              <w:bottom w:val="single" w:sz="4" w:space="0" w:color="auto"/>
              <w:right w:val="single" w:sz="4" w:space="0" w:color="auto"/>
            </w:tcBorders>
            <w:shd w:val="clear" w:color="auto" w:fill="auto"/>
            <w:hideMark/>
          </w:tcPr>
          <w:p w14:paraId="207E202D"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4,48</w:t>
            </w:r>
          </w:p>
        </w:tc>
        <w:tc>
          <w:tcPr>
            <w:tcW w:w="1273" w:type="dxa"/>
            <w:tcBorders>
              <w:top w:val="nil"/>
              <w:left w:val="nil"/>
              <w:bottom w:val="single" w:sz="4" w:space="0" w:color="auto"/>
              <w:right w:val="single" w:sz="4" w:space="0" w:color="auto"/>
            </w:tcBorders>
            <w:shd w:val="clear" w:color="auto" w:fill="auto"/>
            <w:noWrap/>
            <w:vAlign w:val="bottom"/>
            <w:hideMark/>
          </w:tcPr>
          <w:p w14:paraId="21A51AA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FCCE10"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5E7A21A3"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23,95</w:t>
            </w:r>
          </w:p>
        </w:tc>
        <w:tc>
          <w:tcPr>
            <w:tcW w:w="853" w:type="dxa"/>
            <w:tcBorders>
              <w:top w:val="nil"/>
              <w:left w:val="nil"/>
              <w:bottom w:val="single" w:sz="4" w:space="0" w:color="auto"/>
              <w:right w:val="single" w:sz="4" w:space="0" w:color="auto"/>
            </w:tcBorders>
            <w:shd w:val="clear" w:color="auto" w:fill="auto"/>
            <w:noWrap/>
            <w:vAlign w:val="bottom"/>
            <w:hideMark/>
          </w:tcPr>
          <w:p w14:paraId="0E6964A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7C47067F"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27,11</w:t>
            </w:r>
          </w:p>
        </w:tc>
        <w:tc>
          <w:tcPr>
            <w:tcW w:w="944" w:type="dxa"/>
            <w:tcBorders>
              <w:top w:val="nil"/>
              <w:left w:val="nil"/>
              <w:bottom w:val="single" w:sz="4" w:space="0" w:color="auto"/>
              <w:right w:val="single" w:sz="4" w:space="0" w:color="auto"/>
            </w:tcBorders>
            <w:shd w:val="clear" w:color="auto" w:fill="auto"/>
            <w:noWrap/>
            <w:vAlign w:val="bottom"/>
            <w:hideMark/>
          </w:tcPr>
          <w:p w14:paraId="4BD1404E"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2,96</w:t>
            </w:r>
          </w:p>
        </w:tc>
      </w:tr>
      <w:tr w:rsidR="006A0356" w:rsidRPr="008860BA" w14:paraId="42E16C02"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5AB475A4"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Amortizarea IN</w:t>
            </w:r>
          </w:p>
        </w:tc>
        <w:tc>
          <w:tcPr>
            <w:tcW w:w="673" w:type="dxa"/>
            <w:tcBorders>
              <w:top w:val="nil"/>
              <w:left w:val="nil"/>
              <w:bottom w:val="single" w:sz="4" w:space="0" w:color="auto"/>
              <w:right w:val="single" w:sz="4" w:space="0" w:color="auto"/>
            </w:tcBorders>
            <w:shd w:val="clear" w:color="auto" w:fill="auto"/>
            <w:noWrap/>
            <w:vAlign w:val="bottom"/>
            <w:hideMark/>
          </w:tcPr>
          <w:p w14:paraId="5811EE4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42EE90CD"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37,40</w:t>
            </w:r>
          </w:p>
        </w:tc>
        <w:tc>
          <w:tcPr>
            <w:tcW w:w="1275" w:type="dxa"/>
            <w:tcBorders>
              <w:top w:val="nil"/>
              <w:left w:val="nil"/>
              <w:bottom w:val="single" w:sz="4" w:space="0" w:color="auto"/>
              <w:right w:val="single" w:sz="4" w:space="0" w:color="auto"/>
            </w:tcBorders>
            <w:shd w:val="clear" w:color="auto" w:fill="auto"/>
            <w:noWrap/>
            <w:vAlign w:val="bottom"/>
            <w:hideMark/>
          </w:tcPr>
          <w:p w14:paraId="5535EA1A"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37,40</w:t>
            </w:r>
          </w:p>
        </w:tc>
        <w:tc>
          <w:tcPr>
            <w:tcW w:w="1137" w:type="dxa"/>
            <w:tcBorders>
              <w:top w:val="nil"/>
              <w:left w:val="nil"/>
              <w:bottom w:val="single" w:sz="4" w:space="0" w:color="auto"/>
              <w:right w:val="single" w:sz="4" w:space="0" w:color="auto"/>
            </w:tcBorders>
            <w:shd w:val="clear" w:color="auto" w:fill="auto"/>
            <w:hideMark/>
          </w:tcPr>
          <w:p w14:paraId="1062DB4A"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73" w:type="dxa"/>
            <w:tcBorders>
              <w:top w:val="nil"/>
              <w:left w:val="nil"/>
              <w:bottom w:val="single" w:sz="4" w:space="0" w:color="auto"/>
              <w:right w:val="single" w:sz="4" w:space="0" w:color="auto"/>
            </w:tcBorders>
            <w:shd w:val="clear" w:color="auto" w:fill="auto"/>
            <w:noWrap/>
            <w:vAlign w:val="bottom"/>
            <w:hideMark/>
          </w:tcPr>
          <w:p w14:paraId="3B835251"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F9BC40"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02B7C064"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0,00</w:t>
            </w:r>
          </w:p>
        </w:tc>
        <w:tc>
          <w:tcPr>
            <w:tcW w:w="853" w:type="dxa"/>
            <w:tcBorders>
              <w:top w:val="nil"/>
              <w:left w:val="nil"/>
              <w:bottom w:val="single" w:sz="4" w:space="0" w:color="auto"/>
              <w:right w:val="single" w:sz="4" w:space="0" w:color="auto"/>
            </w:tcBorders>
            <w:shd w:val="clear" w:color="auto" w:fill="auto"/>
            <w:noWrap/>
            <w:vAlign w:val="bottom"/>
            <w:hideMark/>
          </w:tcPr>
          <w:p w14:paraId="5E5C6756"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19F53220"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7,90</w:t>
            </w:r>
          </w:p>
        </w:tc>
        <w:tc>
          <w:tcPr>
            <w:tcW w:w="944" w:type="dxa"/>
            <w:tcBorders>
              <w:top w:val="nil"/>
              <w:left w:val="nil"/>
              <w:bottom w:val="single" w:sz="4" w:space="0" w:color="auto"/>
              <w:right w:val="single" w:sz="4" w:space="0" w:color="auto"/>
            </w:tcBorders>
            <w:shd w:val="clear" w:color="auto" w:fill="auto"/>
            <w:noWrap/>
            <w:vAlign w:val="bottom"/>
            <w:hideMark/>
          </w:tcPr>
          <w:p w14:paraId="6E90C4F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29,50</w:t>
            </w:r>
          </w:p>
        </w:tc>
      </w:tr>
      <w:tr w:rsidR="006A0356" w:rsidRPr="008860BA" w14:paraId="09256033"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5CF963C3"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Amortizarea MF</w:t>
            </w:r>
          </w:p>
        </w:tc>
        <w:tc>
          <w:tcPr>
            <w:tcW w:w="673" w:type="dxa"/>
            <w:tcBorders>
              <w:top w:val="nil"/>
              <w:left w:val="nil"/>
              <w:bottom w:val="single" w:sz="4" w:space="0" w:color="auto"/>
              <w:right w:val="single" w:sz="4" w:space="0" w:color="auto"/>
            </w:tcBorders>
            <w:shd w:val="clear" w:color="auto" w:fill="auto"/>
            <w:noWrap/>
            <w:vAlign w:val="bottom"/>
            <w:hideMark/>
          </w:tcPr>
          <w:p w14:paraId="6675244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36FD9BF9"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8.198,67</w:t>
            </w:r>
          </w:p>
        </w:tc>
        <w:tc>
          <w:tcPr>
            <w:tcW w:w="1275" w:type="dxa"/>
            <w:tcBorders>
              <w:top w:val="nil"/>
              <w:left w:val="nil"/>
              <w:bottom w:val="single" w:sz="4" w:space="0" w:color="auto"/>
              <w:right w:val="single" w:sz="4" w:space="0" w:color="auto"/>
            </w:tcBorders>
            <w:shd w:val="clear" w:color="auto" w:fill="auto"/>
            <w:noWrap/>
            <w:vAlign w:val="bottom"/>
            <w:hideMark/>
          </w:tcPr>
          <w:p w14:paraId="3A5573A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8.198,67</w:t>
            </w:r>
          </w:p>
        </w:tc>
        <w:tc>
          <w:tcPr>
            <w:tcW w:w="1137" w:type="dxa"/>
            <w:tcBorders>
              <w:top w:val="nil"/>
              <w:left w:val="nil"/>
              <w:bottom w:val="single" w:sz="4" w:space="0" w:color="auto"/>
              <w:right w:val="single" w:sz="4" w:space="0" w:color="auto"/>
            </w:tcBorders>
            <w:shd w:val="clear" w:color="auto" w:fill="auto"/>
            <w:hideMark/>
          </w:tcPr>
          <w:p w14:paraId="7B4393FA"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2.163,40</w:t>
            </w:r>
          </w:p>
        </w:tc>
        <w:tc>
          <w:tcPr>
            <w:tcW w:w="1273" w:type="dxa"/>
            <w:tcBorders>
              <w:top w:val="nil"/>
              <w:left w:val="nil"/>
              <w:bottom w:val="single" w:sz="4" w:space="0" w:color="auto"/>
              <w:right w:val="single" w:sz="4" w:space="0" w:color="auto"/>
            </w:tcBorders>
            <w:shd w:val="clear" w:color="auto" w:fill="auto"/>
            <w:noWrap/>
            <w:vAlign w:val="bottom"/>
            <w:hideMark/>
          </w:tcPr>
          <w:p w14:paraId="6A90DFBE"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0,48</w:t>
            </w:r>
          </w:p>
        </w:tc>
        <w:tc>
          <w:tcPr>
            <w:tcW w:w="1134" w:type="dxa"/>
            <w:tcBorders>
              <w:top w:val="nil"/>
              <w:left w:val="nil"/>
              <w:bottom w:val="single" w:sz="4" w:space="0" w:color="auto"/>
              <w:right w:val="single" w:sz="4" w:space="0" w:color="auto"/>
            </w:tcBorders>
            <w:shd w:val="clear" w:color="auto" w:fill="auto"/>
            <w:noWrap/>
            <w:vAlign w:val="bottom"/>
            <w:hideMark/>
          </w:tcPr>
          <w:p w14:paraId="52E47B0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225090D0"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0,79</w:t>
            </w:r>
          </w:p>
        </w:tc>
        <w:tc>
          <w:tcPr>
            <w:tcW w:w="853" w:type="dxa"/>
            <w:tcBorders>
              <w:top w:val="nil"/>
              <w:left w:val="nil"/>
              <w:bottom w:val="single" w:sz="4" w:space="0" w:color="auto"/>
              <w:right w:val="single" w:sz="4" w:space="0" w:color="auto"/>
            </w:tcBorders>
            <w:shd w:val="clear" w:color="auto" w:fill="auto"/>
            <w:noWrap/>
            <w:vAlign w:val="bottom"/>
            <w:hideMark/>
          </w:tcPr>
          <w:p w14:paraId="07D04A2B"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108,28</w:t>
            </w:r>
          </w:p>
        </w:tc>
        <w:tc>
          <w:tcPr>
            <w:tcW w:w="853" w:type="dxa"/>
            <w:tcBorders>
              <w:top w:val="nil"/>
              <w:left w:val="nil"/>
              <w:bottom w:val="single" w:sz="4" w:space="0" w:color="auto"/>
              <w:right w:val="single" w:sz="4" w:space="0" w:color="auto"/>
            </w:tcBorders>
            <w:shd w:val="clear" w:color="auto" w:fill="auto"/>
            <w:noWrap/>
            <w:vAlign w:val="bottom"/>
            <w:hideMark/>
          </w:tcPr>
          <w:p w14:paraId="5CB9F57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68,11</w:t>
            </w:r>
          </w:p>
        </w:tc>
        <w:tc>
          <w:tcPr>
            <w:tcW w:w="944" w:type="dxa"/>
            <w:tcBorders>
              <w:top w:val="nil"/>
              <w:left w:val="nil"/>
              <w:bottom w:val="single" w:sz="4" w:space="0" w:color="auto"/>
              <w:right w:val="single" w:sz="4" w:space="0" w:color="auto"/>
            </w:tcBorders>
            <w:shd w:val="clear" w:color="auto" w:fill="auto"/>
            <w:noWrap/>
            <w:vAlign w:val="bottom"/>
            <w:hideMark/>
          </w:tcPr>
          <w:p w14:paraId="650B9A2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5.857,62</w:t>
            </w:r>
          </w:p>
        </w:tc>
      </w:tr>
      <w:tr w:rsidR="006A0356" w:rsidRPr="008860BA" w14:paraId="647C6A38"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79E8476F"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Apa potabilă</w:t>
            </w:r>
          </w:p>
        </w:tc>
        <w:tc>
          <w:tcPr>
            <w:tcW w:w="673" w:type="dxa"/>
            <w:tcBorders>
              <w:top w:val="nil"/>
              <w:left w:val="nil"/>
              <w:bottom w:val="single" w:sz="4" w:space="0" w:color="auto"/>
              <w:right w:val="single" w:sz="4" w:space="0" w:color="auto"/>
            </w:tcBorders>
            <w:shd w:val="clear" w:color="auto" w:fill="auto"/>
            <w:noWrap/>
            <w:vAlign w:val="bottom"/>
            <w:hideMark/>
          </w:tcPr>
          <w:p w14:paraId="5F09756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08E97824"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13,88</w:t>
            </w:r>
          </w:p>
        </w:tc>
        <w:tc>
          <w:tcPr>
            <w:tcW w:w="1275" w:type="dxa"/>
            <w:tcBorders>
              <w:top w:val="nil"/>
              <w:left w:val="nil"/>
              <w:bottom w:val="single" w:sz="4" w:space="0" w:color="auto"/>
              <w:right w:val="single" w:sz="4" w:space="0" w:color="auto"/>
            </w:tcBorders>
            <w:shd w:val="clear" w:color="auto" w:fill="auto"/>
            <w:noWrap/>
            <w:vAlign w:val="bottom"/>
            <w:hideMark/>
          </w:tcPr>
          <w:p w14:paraId="7FB2A563"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13,88</w:t>
            </w:r>
          </w:p>
        </w:tc>
        <w:tc>
          <w:tcPr>
            <w:tcW w:w="1137" w:type="dxa"/>
            <w:tcBorders>
              <w:top w:val="nil"/>
              <w:left w:val="nil"/>
              <w:bottom w:val="single" w:sz="4" w:space="0" w:color="auto"/>
              <w:right w:val="single" w:sz="4" w:space="0" w:color="auto"/>
            </w:tcBorders>
            <w:shd w:val="clear" w:color="auto" w:fill="auto"/>
            <w:noWrap/>
            <w:vAlign w:val="bottom"/>
            <w:hideMark/>
          </w:tcPr>
          <w:p w14:paraId="037FBC88"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73" w:type="dxa"/>
            <w:tcBorders>
              <w:top w:val="nil"/>
              <w:left w:val="nil"/>
              <w:bottom w:val="single" w:sz="4" w:space="0" w:color="auto"/>
              <w:right w:val="single" w:sz="4" w:space="0" w:color="auto"/>
            </w:tcBorders>
            <w:shd w:val="clear" w:color="auto" w:fill="auto"/>
            <w:noWrap/>
            <w:vAlign w:val="bottom"/>
            <w:hideMark/>
          </w:tcPr>
          <w:p w14:paraId="567060B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3BD009"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01A8A48B"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53" w:type="dxa"/>
            <w:tcBorders>
              <w:top w:val="nil"/>
              <w:left w:val="nil"/>
              <w:bottom w:val="single" w:sz="4" w:space="0" w:color="auto"/>
              <w:right w:val="single" w:sz="4" w:space="0" w:color="auto"/>
            </w:tcBorders>
            <w:shd w:val="clear" w:color="auto" w:fill="auto"/>
            <w:hideMark/>
          </w:tcPr>
          <w:p w14:paraId="3DBD0F9C"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190CA67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13,88</w:t>
            </w:r>
          </w:p>
        </w:tc>
        <w:tc>
          <w:tcPr>
            <w:tcW w:w="944" w:type="dxa"/>
            <w:tcBorders>
              <w:top w:val="nil"/>
              <w:left w:val="nil"/>
              <w:bottom w:val="single" w:sz="4" w:space="0" w:color="auto"/>
              <w:right w:val="single" w:sz="4" w:space="0" w:color="auto"/>
            </w:tcBorders>
            <w:shd w:val="clear" w:color="auto" w:fill="auto"/>
            <w:noWrap/>
            <w:vAlign w:val="bottom"/>
            <w:hideMark/>
          </w:tcPr>
          <w:p w14:paraId="155B23E3"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A0356" w:rsidRPr="008860BA" w14:paraId="05B4A1C8"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1403CD60" w14:textId="7C0D3480" w:rsidR="006A0356" w:rsidRPr="008860BA" w:rsidRDefault="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xml:space="preserve">Apa </w:t>
            </w:r>
            <w:r w:rsidR="00E10604" w:rsidRPr="008860BA">
              <w:rPr>
                <w:rFonts w:asciiTheme="majorHAnsi" w:eastAsia="Times New Roman" w:hAnsiTheme="majorHAnsi" w:cstheme="majorHAnsi"/>
                <w:sz w:val="18"/>
                <w:szCs w:val="18"/>
                <w:lang w:val="ro-MD"/>
              </w:rPr>
              <w:t>ș</w:t>
            </w:r>
            <w:r w:rsidRPr="008860BA">
              <w:rPr>
                <w:rFonts w:asciiTheme="majorHAnsi" w:eastAsia="Times New Roman" w:hAnsiTheme="majorHAnsi" w:cstheme="majorHAnsi"/>
                <w:sz w:val="18"/>
                <w:szCs w:val="18"/>
                <w:lang w:val="ro-MD"/>
              </w:rPr>
              <w:t>i canalizarea</w:t>
            </w:r>
          </w:p>
        </w:tc>
        <w:tc>
          <w:tcPr>
            <w:tcW w:w="673" w:type="dxa"/>
            <w:tcBorders>
              <w:top w:val="nil"/>
              <w:left w:val="nil"/>
              <w:bottom w:val="single" w:sz="4" w:space="0" w:color="auto"/>
              <w:right w:val="single" w:sz="4" w:space="0" w:color="auto"/>
            </w:tcBorders>
            <w:shd w:val="clear" w:color="auto" w:fill="auto"/>
            <w:noWrap/>
            <w:vAlign w:val="bottom"/>
            <w:hideMark/>
          </w:tcPr>
          <w:p w14:paraId="70EA85F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7022F188"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628,72</w:t>
            </w:r>
          </w:p>
        </w:tc>
        <w:tc>
          <w:tcPr>
            <w:tcW w:w="1275" w:type="dxa"/>
            <w:tcBorders>
              <w:top w:val="nil"/>
              <w:left w:val="nil"/>
              <w:bottom w:val="single" w:sz="4" w:space="0" w:color="auto"/>
              <w:right w:val="single" w:sz="4" w:space="0" w:color="auto"/>
            </w:tcBorders>
            <w:shd w:val="clear" w:color="auto" w:fill="auto"/>
            <w:noWrap/>
            <w:vAlign w:val="bottom"/>
            <w:hideMark/>
          </w:tcPr>
          <w:p w14:paraId="0798D84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628,72</w:t>
            </w:r>
          </w:p>
        </w:tc>
        <w:tc>
          <w:tcPr>
            <w:tcW w:w="1137" w:type="dxa"/>
            <w:tcBorders>
              <w:top w:val="nil"/>
              <w:left w:val="nil"/>
              <w:bottom w:val="single" w:sz="4" w:space="0" w:color="auto"/>
              <w:right w:val="single" w:sz="4" w:space="0" w:color="auto"/>
            </w:tcBorders>
            <w:shd w:val="clear" w:color="auto" w:fill="auto"/>
            <w:hideMark/>
          </w:tcPr>
          <w:p w14:paraId="0DAE0EF6"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500,28</w:t>
            </w:r>
          </w:p>
        </w:tc>
        <w:tc>
          <w:tcPr>
            <w:tcW w:w="1273" w:type="dxa"/>
            <w:tcBorders>
              <w:top w:val="nil"/>
              <w:left w:val="nil"/>
              <w:bottom w:val="single" w:sz="4" w:space="0" w:color="auto"/>
              <w:right w:val="single" w:sz="4" w:space="0" w:color="auto"/>
            </w:tcBorders>
            <w:shd w:val="clear" w:color="auto" w:fill="auto"/>
            <w:noWrap/>
            <w:vAlign w:val="bottom"/>
            <w:hideMark/>
          </w:tcPr>
          <w:p w14:paraId="6980ADCF"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98D21E"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69C17C4C"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127,97</w:t>
            </w:r>
          </w:p>
        </w:tc>
        <w:tc>
          <w:tcPr>
            <w:tcW w:w="853" w:type="dxa"/>
            <w:tcBorders>
              <w:top w:val="nil"/>
              <w:left w:val="nil"/>
              <w:bottom w:val="single" w:sz="4" w:space="0" w:color="auto"/>
              <w:right w:val="single" w:sz="4" w:space="0" w:color="auto"/>
            </w:tcBorders>
            <w:shd w:val="clear" w:color="auto" w:fill="auto"/>
            <w:noWrap/>
            <w:vAlign w:val="bottom"/>
            <w:hideMark/>
          </w:tcPr>
          <w:p w14:paraId="3ECA60AD"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74EBAA5B"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0,47</w:t>
            </w:r>
          </w:p>
        </w:tc>
        <w:tc>
          <w:tcPr>
            <w:tcW w:w="944" w:type="dxa"/>
            <w:tcBorders>
              <w:top w:val="nil"/>
              <w:left w:val="nil"/>
              <w:bottom w:val="single" w:sz="4" w:space="0" w:color="auto"/>
              <w:right w:val="single" w:sz="4" w:space="0" w:color="auto"/>
            </w:tcBorders>
            <w:shd w:val="clear" w:color="auto" w:fill="auto"/>
            <w:noWrap/>
            <w:vAlign w:val="bottom"/>
            <w:hideMark/>
          </w:tcPr>
          <w:p w14:paraId="0FF3594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A0356" w:rsidRPr="008860BA" w14:paraId="5E3E98F4"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7DAF36D7" w14:textId="02402C0C"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Che</w:t>
            </w:r>
            <w:r w:rsidR="00E10604" w:rsidRPr="008860BA">
              <w:rPr>
                <w:rFonts w:asciiTheme="majorHAnsi" w:eastAsia="Times New Roman" w:hAnsiTheme="majorHAnsi" w:cstheme="majorHAnsi"/>
                <w:sz w:val="18"/>
                <w:szCs w:val="18"/>
                <w:lang w:val="ro-MD"/>
              </w:rPr>
              <w:t>l</w:t>
            </w:r>
            <w:r w:rsidRPr="008860BA">
              <w:rPr>
                <w:rFonts w:asciiTheme="majorHAnsi" w:eastAsia="Times New Roman" w:hAnsiTheme="majorHAnsi" w:cstheme="majorHAnsi"/>
                <w:sz w:val="18"/>
                <w:szCs w:val="18"/>
                <w:lang w:val="ro-MD"/>
              </w:rPr>
              <w:t>tuieli de reprezentare</w:t>
            </w:r>
          </w:p>
        </w:tc>
        <w:tc>
          <w:tcPr>
            <w:tcW w:w="673" w:type="dxa"/>
            <w:tcBorders>
              <w:top w:val="nil"/>
              <w:left w:val="nil"/>
              <w:bottom w:val="single" w:sz="4" w:space="0" w:color="auto"/>
              <w:right w:val="single" w:sz="4" w:space="0" w:color="auto"/>
            </w:tcBorders>
            <w:shd w:val="clear" w:color="auto" w:fill="auto"/>
            <w:noWrap/>
            <w:vAlign w:val="bottom"/>
            <w:hideMark/>
          </w:tcPr>
          <w:p w14:paraId="45D7D75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046DA4A4"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7D51CE3D"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7" w:type="dxa"/>
            <w:tcBorders>
              <w:top w:val="nil"/>
              <w:left w:val="nil"/>
              <w:bottom w:val="single" w:sz="4" w:space="0" w:color="auto"/>
              <w:right w:val="single" w:sz="4" w:space="0" w:color="auto"/>
            </w:tcBorders>
            <w:shd w:val="clear" w:color="auto" w:fill="auto"/>
            <w:hideMark/>
          </w:tcPr>
          <w:p w14:paraId="4661EFDF"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73" w:type="dxa"/>
            <w:tcBorders>
              <w:top w:val="nil"/>
              <w:left w:val="nil"/>
              <w:bottom w:val="single" w:sz="4" w:space="0" w:color="auto"/>
              <w:right w:val="single" w:sz="4" w:space="0" w:color="auto"/>
            </w:tcBorders>
            <w:shd w:val="clear" w:color="auto" w:fill="auto"/>
            <w:noWrap/>
            <w:vAlign w:val="bottom"/>
            <w:hideMark/>
          </w:tcPr>
          <w:p w14:paraId="363C25A3"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7CC012"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18E154EC"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1783A82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30D74992"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44" w:type="dxa"/>
            <w:tcBorders>
              <w:top w:val="nil"/>
              <w:left w:val="nil"/>
              <w:bottom w:val="single" w:sz="4" w:space="0" w:color="auto"/>
              <w:right w:val="single" w:sz="4" w:space="0" w:color="auto"/>
            </w:tcBorders>
            <w:shd w:val="clear" w:color="auto" w:fill="auto"/>
            <w:noWrap/>
            <w:vAlign w:val="bottom"/>
            <w:hideMark/>
          </w:tcPr>
          <w:p w14:paraId="4E2E389C"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A0356" w:rsidRPr="008860BA" w14:paraId="74D32F08"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227EB224"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Cheltuieli de transport</w:t>
            </w:r>
          </w:p>
        </w:tc>
        <w:tc>
          <w:tcPr>
            <w:tcW w:w="673" w:type="dxa"/>
            <w:tcBorders>
              <w:top w:val="nil"/>
              <w:left w:val="nil"/>
              <w:bottom w:val="single" w:sz="4" w:space="0" w:color="auto"/>
              <w:right w:val="single" w:sz="4" w:space="0" w:color="auto"/>
            </w:tcBorders>
            <w:shd w:val="clear" w:color="auto" w:fill="auto"/>
            <w:noWrap/>
            <w:vAlign w:val="bottom"/>
            <w:hideMark/>
          </w:tcPr>
          <w:p w14:paraId="7184DF53"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1178619A"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112,33</w:t>
            </w:r>
          </w:p>
        </w:tc>
        <w:tc>
          <w:tcPr>
            <w:tcW w:w="1275" w:type="dxa"/>
            <w:tcBorders>
              <w:top w:val="nil"/>
              <w:left w:val="nil"/>
              <w:bottom w:val="single" w:sz="4" w:space="0" w:color="auto"/>
              <w:right w:val="single" w:sz="4" w:space="0" w:color="auto"/>
            </w:tcBorders>
            <w:shd w:val="clear" w:color="auto" w:fill="auto"/>
            <w:noWrap/>
            <w:vAlign w:val="bottom"/>
            <w:hideMark/>
          </w:tcPr>
          <w:p w14:paraId="5244FA88"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112,33</w:t>
            </w:r>
          </w:p>
        </w:tc>
        <w:tc>
          <w:tcPr>
            <w:tcW w:w="1137" w:type="dxa"/>
            <w:tcBorders>
              <w:top w:val="nil"/>
              <w:left w:val="nil"/>
              <w:bottom w:val="single" w:sz="4" w:space="0" w:color="auto"/>
              <w:right w:val="single" w:sz="4" w:space="0" w:color="auto"/>
            </w:tcBorders>
            <w:shd w:val="clear" w:color="auto" w:fill="auto"/>
            <w:noWrap/>
            <w:vAlign w:val="bottom"/>
            <w:hideMark/>
          </w:tcPr>
          <w:p w14:paraId="3B4C05FA"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39,95</w:t>
            </w:r>
          </w:p>
        </w:tc>
        <w:tc>
          <w:tcPr>
            <w:tcW w:w="1273" w:type="dxa"/>
            <w:tcBorders>
              <w:top w:val="nil"/>
              <w:left w:val="nil"/>
              <w:bottom w:val="single" w:sz="4" w:space="0" w:color="auto"/>
              <w:right w:val="single" w:sz="4" w:space="0" w:color="auto"/>
            </w:tcBorders>
            <w:shd w:val="clear" w:color="auto" w:fill="auto"/>
            <w:noWrap/>
            <w:vAlign w:val="bottom"/>
            <w:hideMark/>
          </w:tcPr>
          <w:p w14:paraId="6E8E281A"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7,56</w:t>
            </w:r>
          </w:p>
        </w:tc>
        <w:tc>
          <w:tcPr>
            <w:tcW w:w="1134" w:type="dxa"/>
            <w:tcBorders>
              <w:top w:val="nil"/>
              <w:left w:val="nil"/>
              <w:bottom w:val="single" w:sz="4" w:space="0" w:color="auto"/>
              <w:right w:val="single" w:sz="4" w:space="0" w:color="auto"/>
            </w:tcBorders>
            <w:shd w:val="clear" w:color="auto" w:fill="auto"/>
            <w:noWrap/>
            <w:vAlign w:val="bottom"/>
            <w:hideMark/>
          </w:tcPr>
          <w:p w14:paraId="5EA556F1"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0805522A"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4F2DDD5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2D912268"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51,89</w:t>
            </w:r>
          </w:p>
        </w:tc>
        <w:tc>
          <w:tcPr>
            <w:tcW w:w="944" w:type="dxa"/>
            <w:tcBorders>
              <w:top w:val="nil"/>
              <w:left w:val="nil"/>
              <w:bottom w:val="single" w:sz="4" w:space="0" w:color="auto"/>
              <w:right w:val="single" w:sz="4" w:space="0" w:color="auto"/>
            </w:tcBorders>
            <w:shd w:val="clear" w:color="auto" w:fill="auto"/>
            <w:noWrap/>
            <w:vAlign w:val="bottom"/>
            <w:hideMark/>
          </w:tcPr>
          <w:p w14:paraId="33E1B46B"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12,93</w:t>
            </w:r>
          </w:p>
        </w:tc>
      </w:tr>
      <w:tr w:rsidR="006A0356" w:rsidRPr="008860BA" w14:paraId="44800C63"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64C02EA7" w14:textId="21A40511" w:rsidR="006A0356" w:rsidRPr="008860BA" w:rsidRDefault="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Comunica</w:t>
            </w:r>
            <w:r w:rsidR="00E10604"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ii</w:t>
            </w:r>
          </w:p>
        </w:tc>
        <w:tc>
          <w:tcPr>
            <w:tcW w:w="673" w:type="dxa"/>
            <w:tcBorders>
              <w:top w:val="nil"/>
              <w:left w:val="nil"/>
              <w:bottom w:val="single" w:sz="4" w:space="0" w:color="auto"/>
              <w:right w:val="single" w:sz="4" w:space="0" w:color="auto"/>
            </w:tcBorders>
            <w:shd w:val="clear" w:color="auto" w:fill="auto"/>
            <w:noWrap/>
            <w:vAlign w:val="bottom"/>
            <w:hideMark/>
          </w:tcPr>
          <w:p w14:paraId="3BCABA79"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6B608CD2"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250,45</w:t>
            </w:r>
          </w:p>
        </w:tc>
        <w:tc>
          <w:tcPr>
            <w:tcW w:w="1275" w:type="dxa"/>
            <w:tcBorders>
              <w:top w:val="nil"/>
              <w:left w:val="nil"/>
              <w:bottom w:val="single" w:sz="4" w:space="0" w:color="auto"/>
              <w:right w:val="single" w:sz="4" w:space="0" w:color="auto"/>
            </w:tcBorders>
            <w:shd w:val="clear" w:color="auto" w:fill="auto"/>
            <w:noWrap/>
            <w:vAlign w:val="bottom"/>
            <w:hideMark/>
          </w:tcPr>
          <w:p w14:paraId="72073E76"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250,45</w:t>
            </w:r>
          </w:p>
        </w:tc>
        <w:tc>
          <w:tcPr>
            <w:tcW w:w="1137" w:type="dxa"/>
            <w:tcBorders>
              <w:top w:val="nil"/>
              <w:left w:val="nil"/>
              <w:bottom w:val="single" w:sz="4" w:space="0" w:color="auto"/>
              <w:right w:val="single" w:sz="4" w:space="0" w:color="auto"/>
            </w:tcBorders>
            <w:shd w:val="clear" w:color="auto" w:fill="auto"/>
            <w:noWrap/>
            <w:vAlign w:val="bottom"/>
            <w:hideMark/>
          </w:tcPr>
          <w:p w14:paraId="1AF41D8B"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117,71</w:t>
            </w:r>
          </w:p>
        </w:tc>
        <w:tc>
          <w:tcPr>
            <w:tcW w:w="1273" w:type="dxa"/>
            <w:tcBorders>
              <w:top w:val="nil"/>
              <w:left w:val="nil"/>
              <w:bottom w:val="single" w:sz="4" w:space="0" w:color="auto"/>
              <w:right w:val="single" w:sz="4" w:space="0" w:color="auto"/>
            </w:tcBorders>
            <w:shd w:val="clear" w:color="auto" w:fill="auto"/>
            <w:noWrap/>
            <w:vAlign w:val="bottom"/>
            <w:hideMark/>
          </w:tcPr>
          <w:p w14:paraId="221E2DE5"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D38035"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1EEA5F2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25,05</w:t>
            </w:r>
          </w:p>
        </w:tc>
        <w:tc>
          <w:tcPr>
            <w:tcW w:w="853" w:type="dxa"/>
            <w:tcBorders>
              <w:top w:val="nil"/>
              <w:left w:val="nil"/>
              <w:bottom w:val="single" w:sz="4" w:space="0" w:color="auto"/>
              <w:right w:val="single" w:sz="4" w:space="0" w:color="auto"/>
            </w:tcBorders>
            <w:shd w:val="clear" w:color="auto" w:fill="auto"/>
            <w:noWrap/>
            <w:vAlign w:val="bottom"/>
            <w:hideMark/>
          </w:tcPr>
          <w:p w14:paraId="205206CF"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05DBF54A"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21,15</w:t>
            </w:r>
          </w:p>
        </w:tc>
        <w:tc>
          <w:tcPr>
            <w:tcW w:w="944" w:type="dxa"/>
            <w:tcBorders>
              <w:top w:val="nil"/>
              <w:left w:val="nil"/>
              <w:bottom w:val="single" w:sz="4" w:space="0" w:color="auto"/>
              <w:right w:val="single" w:sz="4" w:space="0" w:color="auto"/>
            </w:tcBorders>
            <w:shd w:val="clear" w:color="auto" w:fill="auto"/>
            <w:noWrap/>
            <w:vAlign w:val="bottom"/>
            <w:hideMark/>
          </w:tcPr>
          <w:p w14:paraId="625DD34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86,54</w:t>
            </w:r>
          </w:p>
        </w:tc>
      </w:tr>
      <w:tr w:rsidR="006A0356" w:rsidRPr="008860BA" w14:paraId="320BBE5A"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7F67FC84" w14:textId="2C632CAD" w:rsidR="006A0356" w:rsidRPr="008860BA" w:rsidRDefault="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Deplas</w:t>
            </w:r>
            <w:r w:rsidR="00E10604" w:rsidRPr="008860BA">
              <w:rPr>
                <w:rFonts w:asciiTheme="majorHAnsi" w:eastAsia="Times New Roman" w:hAnsiTheme="majorHAnsi" w:cstheme="majorHAnsi"/>
                <w:sz w:val="18"/>
                <w:szCs w:val="18"/>
                <w:lang w:val="ro-MD"/>
              </w:rPr>
              <w:t>ă</w:t>
            </w:r>
            <w:r w:rsidRPr="008860BA">
              <w:rPr>
                <w:rFonts w:asciiTheme="majorHAnsi" w:eastAsia="Times New Roman" w:hAnsiTheme="majorHAnsi" w:cstheme="majorHAnsi"/>
                <w:sz w:val="18"/>
                <w:szCs w:val="18"/>
                <w:lang w:val="ro-MD"/>
              </w:rPr>
              <w:t>ri</w:t>
            </w:r>
          </w:p>
        </w:tc>
        <w:tc>
          <w:tcPr>
            <w:tcW w:w="673" w:type="dxa"/>
            <w:tcBorders>
              <w:top w:val="nil"/>
              <w:left w:val="nil"/>
              <w:bottom w:val="single" w:sz="4" w:space="0" w:color="auto"/>
              <w:right w:val="single" w:sz="4" w:space="0" w:color="auto"/>
            </w:tcBorders>
            <w:shd w:val="clear" w:color="auto" w:fill="auto"/>
            <w:noWrap/>
            <w:vAlign w:val="bottom"/>
            <w:hideMark/>
          </w:tcPr>
          <w:p w14:paraId="534F49E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23D28613"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32,63</w:t>
            </w:r>
          </w:p>
        </w:tc>
        <w:tc>
          <w:tcPr>
            <w:tcW w:w="1275" w:type="dxa"/>
            <w:tcBorders>
              <w:top w:val="nil"/>
              <w:left w:val="nil"/>
              <w:bottom w:val="single" w:sz="4" w:space="0" w:color="auto"/>
              <w:right w:val="single" w:sz="4" w:space="0" w:color="auto"/>
            </w:tcBorders>
            <w:shd w:val="clear" w:color="auto" w:fill="auto"/>
            <w:noWrap/>
            <w:vAlign w:val="bottom"/>
            <w:hideMark/>
          </w:tcPr>
          <w:p w14:paraId="5E6E3D00"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32,63</w:t>
            </w:r>
          </w:p>
        </w:tc>
        <w:tc>
          <w:tcPr>
            <w:tcW w:w="1137" w:type="dxa"/>
            <w:tcBorders>
              <w:top w:val="nil"/>
              <w:left w:val="nil"/>
              <w:bottom w:val="single" w:sz="4" w:space="0" w:color="auto"/>
              <w:right w:val="single" w:sz="4" w:space="0" w:color="auto"/>
            </w:tcBorders>
            <w:shd w:val="clear" w:color="auto" w:fill="auto"/>
            <w:hideMark/>
          </w:tcPr>
          <w:p w14:paraId="46270862"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73" w:type="dxa"/>
            <w:tcBorders>
              <w:top w:val="nil"/>
              <w:left w:val="nil"/>
              <w:bottom w:val="single" w:sz="4" w:space="0" w:color="auto"/>
              <w:right w:val="single" w:sz="4" w:space="0" w:color="auto"/>
            </w:tcBorders>
            <w:shd w:val="clear" w:color="auto" w:fill="auto"/>
            <w:noWrap/>
            <w:vAlign w:val="bottom"/>
            <w:hideMark/>
          </w:tcPr>
          <w:p w14:paraId="62797A3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9,40</w:t>
            </w:r>
          </w:p>
        </w:tc>
        <w:tc>
          <w:tcPr>
            <w:tcW w:w="1134" w:type="dxa"/>
            <w:tcBorders>
              <w:top w:val="nil"/>
              <w:left w:val="nil"/>
              <w:bottom w:val="single" w:sz="4" w:space="0" w:color="auto"/>
              <w:right w:val="single" w:sz="4" w:space="0" w:color="auto"/>
            </w:tcBorders>
            <w:shd w:val="clear" w:color="auto" w:fill="auto"/>
            <w:noWrap/>
            <w:vAlign w:val="bottom"/>
            <w:hideMark/>
          </w:tcPr>
          <w:p w14:paraId="69521E9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0E6C70CF"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7130628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6840D11F"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2,20</w:t>
            </w:r>
          </w:p>
        </w:tc>
        <w:tc>
          <w:tcPr>
            <w:tcW w:w="944" w:type="dxa"/>
            <w:tcBorders>
              <w:top w:val="nil"/>
              <w:left w:val="nil"/>
              <w:bottom w:val="single" w:sz="4" w:space="0" w:color="auto"/>
              <w:right w:val="single" w:sz="4" w:space="0" w:color="auto"/>
            </w:tcBorders>
            <w:shd w:val="clear" w:color="auto" w:fill="auto"/>
            <w:noWrap/>
            <w:vAlign w:val="bottom"/>
            <w:hideMark/>
          </w:tcPr>
          <w:p w14:paraId="19A38AA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21,03</w:t>
            </w:r>
          </w:p>
        </w:tc>
      </w:tr>
      <w:tr w:rsidR="006A0356" w:rsidRPr="008860BA" w14:paraId="2FC1C52D"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079262AF" w14:textId="66A6DF68"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Detergen</w:t>
            </w:r>
            <w:r w:rsidR="00B13B9A"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w:t>
            </w:r>
          </w:p>
        </w:tc>
        <w:tc>
          <w:tcPr>
            <w:tcW w:w="673" w:type="dxa"/>
            <w:tcBorders>
              <w:top w:val="nil"/>
              <w:left w:val="nil"/>
              <w:bottom w:val="single" w:sz="4" w:space="0" w:color="auto"/>
              <w:right w:val="single" w:sz="4" w:space="0" w:color="auto"/>
            </w:tcBorders>
            <w:shd w:val="clear" w:color="auto" w:fill="auto"/>
            <w:noWrap/>
            <w:vAlign w:val="bottom"/>
            <w:hideMark/>
          </w:tcPr>
          <w:p w14:paraId="15E07AD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5FD54479"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108,83</w:t>
            </w:r>
          </w:p>
        </w:tc>
        <w:tc>
          <w:tcPr>
            <w:tcW w:w="1275" w:type="dxa"/>
            <w:tcBorders>
              <w:top w:val="nil"/>
              <w:left w:val="nil"/>
              <w:bottom w:val="single" w:sz="4" w:space="0" w:color="auto"/>
              <w:right w:val="single" w:sz="4" w:space="0" w:color="auto"/>
            </w:tcBorders>
            <w:shd w:val="clear" w:color="auto" w:fill="auto"/>
            <w:noWrap/>
            <w:vAlign w:val="bottom"/>
            <w:hideMark/>
          </w:tcPr>
          <w:p w14:paraId="13B0C2E8"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108,83</w:t>
            </w:r>
          </w:p>
        </w:tc>
        <w:tc>
          <w:tcPr>
            <w:tcW w:w="1137" w:type="dxa"/>
            <w:tcBorders>
              <w:top w:val="nil"/>
              <w:left w:val="nil"/>
              <w:bottom w:val="single" w:sz="4" w:space="0" w:color="auto"/>
              <w:right w:val="single" w:sz="4" w:space="0" w:color="auto"/>
            </w:tcBorders>
            <w:shd w:val="clear" w:color="auto" w:fill="auto"/>
            <w:noWrap/>
            <w:vAlign w:val="bottom"/>
            <w:hideMark/>
          </w:tcPr>
          <w:p w14:paraId="7F31F5C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99,45</w:t>
            </w:r>
          </w:p>
        </w:tc>
        <w:tc>
          <w:tcPr>
            <w:tcW w:w="1273" w:type="dxa"/>
            <w:tcBorders>
              <w:top w:val="nil"/>
              <w:left w:val="nil"/>
              <w:bottom w:val="single" w:sz="4" w:space="0" w:color="auto"/>
              <w:right w:val="single" w:sz="4" w:space="0" w:color="auto"/>
            </w:tcBorders>
            <w:shd w:val="clear" w:color="auto" w:fill="auto"/>
            <w:noWrap/>
            <w:vAlign w:val="bottom"/>
            <w:hideMark/>
          </w:tcPr>
          <w:p w14:paraId="3AAFAA2A"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1FEE4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64056F56"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9,38</w:t>
            </w:r>
          </w:p>
        </w:tc>
        <w:tc>
          <w:tcPr>
            <w:tcW w:w="853" w:type="dxa"/>
            <w:tcBorders>
              <w:top w:val="nil"/>
              <w:left w:val="nil"/>
              <w:bottom w:val="single" w:sz="4" w:space="0" w:color="auto"/>
              <w:right w:val="single" w:sz="4" w:space="0" w:color="auto"/>
            </w:tcBorders>
            <w:shd w:val="clear" w:color="auto" w:fill="auto"/>
            <w:noWrap/>
            <w:vAlign w:val="bottom"/>
            <w:hideMark/>
          </w:tcPr>
          <w:p w14:paraId="3F8D2A02"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259168F1"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44" w:type="dxa"/>
            <w:tcBorders>
              <w:top w:val="nil"/>
              <w:left w:val="nil"/>
              <w:bottom w:val="single" w:sz="4" w:space="0" w:color="auto"/>
              <w:right w:val="single" w:sz="4" w:space="0" w:color="auto"/>
            </w:tcBorders>
            <w:shd w:val="clear" w:color="auto" w:fill="auto"/>
            <w:hideMark/>
          </w:tcPr>
          <w:p w14:paraId="5673B3B3"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A0356" w:rsidRPr="008860BA" w14:paraId="4A268C0B"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37B61F72" w14:textId="73B5B7F8"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Energie electric</w:t>
            </w:r>
            <w:r w:rsidR="00E10604" w:rsidRPr="008860BA">
              <w:rPr>
                <w:rFonts w:asciiTheme="majorHAnsi" w:eastAsia="Times New Roman" w:hAnsiTheme="majorHAnsi" w:cstheme="majorHAnsi"/>
                <w:sz w:val="18"/>
                <w:szCs w:val="18"/>
                <w:lang w:val="ro-MD"/>
              </w:rPr>
              <w:t>ă</w:t>
            </w:r>
          </w:p>
        </w:tc>
        <w:tc>
          <w:tcPr>
            <w:tcW w:w="673" w:type="dxa"/>
            <w:tcBorders>
              <w:top w:val="nil"/>
              <w:left w:val="nil"/>
              <w:bottom w:val="single" w:sz="4" w:space="0" w:color="auto"/>
              <w:right w:val="single" w:sz="4" w:space="0" w:color="auto"/>
            </w:tcBorders>
            <w:shd w:val="clear" w:color="auto" w:fill="auto"/>
            <w:noWrap/>
            <w:vAlign w:val="bottom"/>
            <w:hideMark/>
          </w:tcPr>
          <w:p w14:paraId="60E138EC"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3B518DC7"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2.993,71</w:t>
            </w:r>
          </w:p>
        </w:tc>
        <w:tc>
          <w:tcPr>
            <w:tcW w:w="1275" w:type="dxa"/>
            <w:tcBorders>
              <w:top w:val="nil"/>
              <w:left w:val="nil"/>
              <w:bottom w:val="single" w:sz="4" w:space="0" w:color="auto"/>
              <w:right w:val="single" w:sz="4" w:space="0" w:color="auto"/>
            </w:tcBorders>
            <w:shd w:val="clear" w:color="auto" w:fill="auto"/>
            <w:noWrap/>
            <w:vAlign w:val="bottom"/>
            <w:hideMark/>
          </w:tcPr>
          <w:p w14:paraId="42B8CF2E"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2.993,71</w:t>
            </w:r>
          </w:p>
        </w:tc>
        <w:tc>
          <w:tcPr>
            <w:tcW w:w="1137" w:type="dxa"/>
            <w:tcBorders>
              <w:top w:val="nil"/>
              <w:left w:val="nil"/>
              <w:bottom w:val="single" w:sz="4" w:space="0" w:color="auto"/>
              <w:right w:val="single" w:sz="4" w:space="0" w:color="auto"/>
            </w:tcBorders>
            <w:shd w:val="clear" w:color="auto" w:fill="auto"/>
            <w:noWrap/>
            <w:vAlign w:val="bottom"/>
            <w:hideMark/>
          </w:tcPr>
          <w:p w14:paraId="46F0E0EA"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2.497,44</w:t>
            </w:r>
          </w:p>
        </w:tc>
        <w:tc>
          <w:tcPr>
            <w:tcW w:w="1273" w:type="dxa"/>
            <w:tcBorders>
              <w:top w:val="nil"/>
              <w:left w:val="nil"/>
              <w:bottom w:val="single" w:sz="4" w:space="0" w:color="auto"/>
              <w:right w:val="single" w:sz="4" w:space="0" w:color="auto"/>
            </w:tcBorders>
            <w:shd w:val="clear" w:color="auto" w:fill="auto"/>
            <w:noWrap/>
            <w:vAlign w:val="bottom"/>
            <w:hideMark/>
          </w:tcPr>
          <w:p w14:paraId="21F15C9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7A79D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4CA18E57"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492,48</w:t>
            </w:r>
          </w:p>
        </w:tc>
        <w:tc>
          <w:tcPr>
            <w:tcW w:w="853" w:type="dxa"/>
            <w:tcBorders>
              <w:top w:val="nil"/>
              <w:left w:val="nil"/>
              <w:bottom w:val="single" w:sz="4" w:space="0" w:color="auto"/>
              <w:right w:val="single" w:sz="4" w:space="0" w:color="auto"/>
            </w:tcBorders>
            <w:shd w:val="clear" w:color="auto" w:fill="auto"/>
            <w:noWrap/>
            <w:vAlign w:val="bottom"/>
            <w:hideMark/>
          </w:tcPr>
          <w:p w14:paraId="6CDE79E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2DF71B50"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3,79</w:t>
            </w:r>
          </w:p>
        </w:tc>
        <w:tc>
          <w:tcPr>
            <w:tcW w:w="944" w:type="dxa"/>
            <w:tcBorders>
              <w:top w:val="nil"/>
              <w:left w:val="nil"/>
              <w:bottom w:val="single" w:sz="4" w:space="0" w:color="auto"/>
              <w:right w:val="single" w:sz="4" w:space="0" w:color="auto"/>
            </w:tcBorders>
            <w:shd w:val="clear" w:color="auto" w:fill="auto"/>
            <w:hideMark/>
          </w:tcPr>
          <w:p w14:paraId="7BDF8CB9"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A0356" w:rsidRPr="008860BA" w14:paraId="56D5FF21"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43D75F22" w14:textId="1D5F9E1B"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Energie termic</w:t>
            </w:r>
            <w:r w:rsidR="00E10604" w:rsidRPr="008860BA">
              <w:rPr>
                <w:rFonts w:asciiTheme="majorHAnsi" w:eastAsia="Times New Roman" w:hAnsiTheme="majorHAnsi" w:cstheme="majorHAnsi"/>
                <w:sz w:val="18"/>
                <w:szCs w:val="18"/>
                <w:lang w:val="ro-MD"/>
              </w:rPr>
              <w:t>ă</w:t>
            </w:r>
          </w:p>
        </w:tc>
        <w:tc>
          <w:tcPr>
            <w:tcW w:w="673" w:type="dxa"/>
            <w:tcBorders>
              <w:top w:val="nil"/>
              <w:left w:val="nil"/>
              <w:bottom w:val="single" w:sz="4" w:space="0" w:color="auto"/>
              <w:right w:val="single" w:sz="4" w:space="0" w:color="auto"/>
            </w:tcBorders>
            <w:shd w:val="clear" w:color="auto" w:fill="auto"/>
            <w:noWrap/>
            <w:vAlign w:val="bottom"/>
            <w:hideMark/>
          </w:tcPr>
          <w:p w14:paraId="38696CB9"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3F7CD916"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3.465,33</w:t>
            </w:r>
          </w:p>
        </w:tc>
        <w:tc>
          <w:tcPr>
            <w:tcW w:w="1275" w:type="dxa"/>
            <w:tcBorders>
              <w:top w:val="nil"/>
              <w:left w:val="nil"/>
              <w:bottom w:val="single" w:sz="4" w:space="0" w:color="auto"/>
              <w:right w:val="single" w:sz="4" w:space="0" w:color="auto"/>
            </w:tcBorders>
            <w:shd w:val="clear" w:color="auto" w:fill="auto"/>
            <w:noWrap/>
            <w:vAlign w:val="bottom"/>
            <w:hideMark/>
          </w:tcPr>
          <w:p w14:paraId="33A0FFB4"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3.465,33</w:t>
            </w:r>
          </w:p>
        </w:tc>
        <w:tc>
          <w:tcPr>
            <w:tcW w:w="1137" w:type="dxa"/>
            <w:tcBorders>
              <w:top w:val="nil"/>
              <w:left w:val="nil"/>
              <w:bottom w:val="single" w:sz="4" w:space="0" w:color="auto"/>
              <w:right w:val="single" w:sz="4" w:space="0" w:color="auto"/>
            </w:tcBorders>
            <w:shd w:val="clear" w:color="auto" w:fill="auto"/>
            <w:noWrap/>
            <w:vAlign w:val="bottom"/>
            <w:hideMark/>
          </w:tcPr>
          <w:p w14:paraId="427E66A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2.821,21</w:t>
            </w:r>
          </w:p>
        </w:tc>
        <w:tc>
          <w:tcPr>
            <w:tcW w:w="1273" w:type="dxa"/>
            <w:tcBorders>
              <w:top w:val="nil"/>
              <w:left w:val="nil"/>
              <w:bottom w:val="single" w:sz="4" w:space="0" w:color="auto"/>
              <w:right w:val="single" w:sz="4" w:space="0" w:color="auto"/>
            </w:tcBorders>
            <w:shd w:val="clear" w:color="auto" w:fill="auto"/>
            <w:noWrap/>
            <w:vAlign w:val="bottom"/>
            <w:hideMark/>
          </w:tcPr>
          <w:p w14:paraId="0634A202"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37E6F1"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77A37893"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644,12</w:t>
            </w:r>
          </w:p>
        </w:tc>
        <w:tc>
          <w:tcPr>
            <w:tcW w:w="853" w:type="dxa"/>
            <w:tcBorders>
              <w:top w:val="nil"/>
              <w:left w:val="nil"/>
              <w:bottom w:val="single" w:sz="4" w:space="0" w:color="auto"/>
              <w:right w:val="single" w:sz="4" w:space="0" w:color="auto"/>
            </w:tcBorders>
            <w:shd w:val="clear" w:color="auto" w:fill="auto"/>
            <w:noWrap/>
            <w:vAlign w:val="bottom"/>
            <w:hideMark/>
          </w:tcPr>
          <w:p w14:paraId="5555951D"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4F46612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0,00</w:t>
            </w:r>
          </w:p>
        </w:tc>
        <w:tc>
          <w:tcPr>
            <w:tcW w:w="944" w:type="dxa"/>
            <w:tcBorders>
              <w:top w:val="nil"/>
              <w:left w:val="nil"/>
              <w:bottom w:val="single" w:sz="4" w:space="0" w:color="auto"/>
              <w:right w:val="single" w:sz="4" w:space="0" w:color="auto"/>
            </w:tcBorders>
            <w:shd w:val="clear" w:color="auto" w:fill="auto"/>
            <w:hideMark/>
          </w:tcPr>
          <w:p w14:paraId="5A0A43C0"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A0356" w:rsidRPr="008860BA" w14:paraId="6DFB0812"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6AA981C8"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Fondul social ( 24 %)</w:t>
            </w:r>
          </w:p>
        </w:tc>
        <w:tc>
          <w:tcPr>
            <w:tcW w:w="673" w:type="dxa"/>
            <w:tcBorders>
              <w:top w:val="nil"/>
              <w:left w:val="nil"/>
              <w:bottom w:val="single" w:sz="4" w:space="0" w:color="auto"/>
              <w:right w:val="single" w:sz="4" w:space="0" w:color="auto"/>
            </w:tcBorders>
            <w:shd w:val="clear" w:color="auto" w:fill="auto"/>
            <w:noWrap/>
            <w:vAlign w:val="bottom"/>
            <w:hideMark/>
          </w:tcPr>
          <w:p w14:paraId="03E4CBF9"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7B71BBA9"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15.639,72</w:t>
            </w:r>
          </w:p>
        </w:tc>
        <w:tc>
          <w:tcPr>
            <w:tcW w:w="1275" w:type="dxa"/>
            <w:tcBorders>
              <w:top w:val="nil"/>
              <w:left w:val="nil"/>
              <w:bottom w:val="single" w:sz="4" w:space="0" w:color="auto"/>
              <w:right w:val="single" w:sz="4" w:space="0" w:color="auto"/>
            </w:tcBorders>
            <w:shd w:val="clear" w:color="auto" w:fill="auto"/>
            <w:noWrap/>
            <w:vAlign w:val="bottom"/>
            <w:hideMark/>
          </w:tcPr>
          <w:p w14:paraId="5539490A"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15.639,72</w:t>
            </w:r>
          </w:p>
        </w:tc>
        <w:tc>
          <w:tcPr>
            <w:tcW w:w="1137" w:type="dxa"/>
            <w:tcBorders>
              <w:top w:val="nil"/>
              <w:left w:val="nil"/>
              <w:bottom w:val="single" w:sz="4" w:space="0" w:color="auto"/>
              <w:right w:val="single" w:sz="4" w:space="0" w:color="auto"/>
            </w:tcBorders>
            <w:shd w:val="clear" w:color="auto" w:fill="auto"/>
            <w:noWrap/>
            <w:vAlign w:val="bottom"/>
            <w:hideMark/>
          </w:tcPr>
          <w:p w14:paraId="11B3EE36"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12.146,74</w:t>
            </w:r>
          </w:p>
        </w:tc>
        <w:tc>
          <w:tcPr>
            <w:tcW w:w="1273" w:type="dxa"/>
            <w:tcBorders>
              <w:top w:val="nil"/>
              <w:left w:val="nil"/>
              <w:bottom w:val="single" w:sz="4" w:space="0" w:color="auto"/>
              <w:right w:val="single" w:sz="4" w:space="0" w:color="auto"/>
            </w:tcBorders>
            <w:shd w:val="clear" w:color="auto" w:fill="auto"/>
            <w:noWrap/>
            <w:vAlign w:val="bottom"/>
            <w:hideMark/>
          </w:tcPr>
          <w:p w14:paraId="3EC63E7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30,20</w:t>
            </w:r>
          </w:p>
        </w:tc>
        <w:tc>
          <w:tcPr>
            <w:tcW w:w="1134" w:type="dxa"/>
            <w:tcBorders>
              <w:top w:val="nil"/>
              <w:left w:val="nil"/>
              <w:bottom w:val="single" w:sz="4" w:space="0" w:color="auto"/>
              <w:right w:val="single" w:sz="4" w:space="0" w:color="auto"/>
            </w:tcBorders>
            <w:shd w:val="clear" w:color="auto" w:fill="auto"/>
            <w:noWrap/>
            <w:vAlign w:val="bottom"/>
            <w:hideMark/>
          </w:tcPr>
          <w:p w14:paraId="56576BEA"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72D3E68B"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2.215,76</w:t>
            </w:r>
          </w:p>
        </w:tc>
        <w:tc>
          <w:tcPr>
            <w:tcW w:w="853" w:type="dxa"/>
            <w:tcBorders>
              <w:top w:val="nil"/>
              <w:left w:val="nil"/>
              <w:bottom w:val="single" w:sz="4" w:space="0" w:color="auto"/>
              <w:right w:val="single" w:sz="4" w:space="0" w:color="auto"/>
            </w:tcBorders>
            <w:shd w:val="clear" w:color="auto" w:fill="auto"/>
            <w:noWrap/>
            <w:vAlign w:val="bottom"/>
            <w:hideMark/>
          </w:tcPr>
          <w:p w14:paraId="464049F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434,12</w:t>
            </w:r>
          </w:p>
        </w:tc>
        <w:tc>
          <w:tcPr>
            <w:tcW w:w="853" w:type="dxa"/>
            <w:tcBorders>
              <w:top w:val="nil"/>
              <w:left w:val="nil"/>
              <w:bottom w:val="single" w:sz="4" w:space="0" w:color="auto"/>
              <w:right w:val="single" w:sz="4" w:space="0" w:color="auto"/>
            </w:tcBorders>
            <w:shd w:val="clear" w:color="auto" w:fill="auto"/>
            <w:noWrap/>
            <w:vAlign w:val="bottom"/>
            <w:hideMark/>
          </w:tcPr>
          <w:p w14:paraId="2B62A974"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110,30</w:t>
            </w:r>
          </w:p>
        </w:tc>
        <w:tc>
          <w:tcPr>
            <w:tcW w:w="944" w:type="dxa"/>
            <w:tcBorders>
              <w:top w:val="nil"/>
              <w:left w:val="nil"/>
              <w:bottom w:val="single" w:sz="4" w:space="0" w:color="auto"/>
              <w:right w:val="single" w:sz="4" w:space="0" w:color="auto"/>
            </w:tcBorders>
            <w:shd w:val="clear" w:color="auto" w:fill="auto"/>
            <w:noWrap/>
            <w:vAlign w:val="bottom"/>
            <w:hideMark/>
          </w:tcPr>
          <w:p w14:paraId="030B925F"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702,59</w:t>
            </w:r>
          </w:p>
        </w:tc>
      </w:tr>
      <w:tr w:rsidR="006A0356" w:rsidRPr="008860BA" w14:paraId="3C09C53C"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52719845"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Formulare statistice</w:t>
            </w:r>
          </w:p>
        </w:tc>
        <w:tc>
          <w:tcPr>
            <w:tcW w:w="673" w:type="dxa"/>
            <w:tcBorders>
              <w:top w:val="nil"/>
              <w:left w:val="nil"/>
              <w:bottom w:val="single" w:sz="4" w:space="0" w:color="auto"/>
              <w:right w:val="single" w:sz="4" w:space="0" w:color="auto"/>
            </w:tcBorders>
            <w:shd w:val="clear" w:color="auto" w:fill="auto"/>
            <w:noWrap/>
            <w:vAlign w:val="bottom"/>
            <w:hideMark/>
          </w:tcPr>
          <w:p w14:paraId="6AEB780A"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666903D4"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42,21</w:t>
            </w:r>
          </w:p>
        </w:tc>
        <w:tc>
          <w:tcPr>
            <w:tcW w:w="1275" w:type="dxa"/>
            <w:tcBorders>
              <w:top w:val="nil"/>
              <w:left w:val="nil"/>
              <w:bottom w:val="single" w:sz="4" w:space="0" w:color="auto"/>
              <w:right w:val="single" w:sz="4" w:space="0" w:color="auto"/>
            </w:tcBorders>
            <w:shd w:val="clear" w:color="auto" w:fill="auto"/>
            <w:noWrap/>
            <w:vAlign w:val="bottom"/>
            <w:hideMark/>
          </w:tcPr>
          <w:p w14:paraId="65C4C0F1"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42,21</w:t>
            </w:r>
          </w:p>
        </w:tc>
        <w:tc>
          <w:tcPr>
            <w:tcW w:w="1137" w:type="dxa"/>
            <w:tcBorders>
              <w:top w:val="nil"/>
              <w:left w:val="nil"/>
              <w:bottom w:val="single" w:sz="4" w:space="0" w:color="auto"/>
              <w:right w:val="single" w:sz="4" w:space="0" w:color="auto"/>
            </w:tcBorders>
            <w:shd w:val="clear" w:color="auto" w:fill="auto"/>
            <w:noWrap/>
            <w:vAlign w:val="bottom"/>
            <w:hideMark/>
          </w:tcPr>
          <w:p w14:paraId="482AD117"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42,21</w:t>
            </w:r>
          </w:p>
        </w:tc>
        <w:tc>
          <w:tcPr>
            <w:tcW w:w="1273" w:type="dxa"/>
            <w:tcBorders>
              <w:top w:val="nil"/>
              <w:left w:val="nil"/>
              <w:bottom w:val="single" w:sz="4" w:space="0" w:color="auto"/>
              <w:right w:val="single" w:sz="4" w:space="0" w:color="auto"/>
            </w:tcBorders>
            <w:shd w:val="clear" w:color="auto" w:fill="auto"/>
            <w:hideMark/>
          </w:tcPr>
          <w:p w14:paraId="2DA43CA5"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B73EE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60F4661A"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53" w:type="dxa"/>
            <w:tcBorders>
              <w:top w:val="nil"/>
              <w:left w:val="nil"/>
              <w:bottom w:val="single" w:sz="4" w:space="0" w:color="auto"/>
              <w:right w:val="single" w:sz="4" w:space="0" w:color="auto"/>
            </w:tcBorders>
            <w:shd w:val="clear" w:color="auto" w:fill="auto"/>
            <w:hideMark/>
          </w:tcPr>
          <w:p w14:paraId="1AFDD2E8"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1690D17F"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44" w:type="dxa"/>
            <w:tcBorders>
              <w:top w:val="nil"/>
              <w:left w:val="nil"/>
              <w:bottom w:val="single" w:sz="4" w:space="0" w:color="auto"/>
              <w:right w:val="single" w:sz="4" w:space="0" w:color="auto"/>
            </w:tcBorders>
            <w:shd w:val="clear" w:color="auto" w:fill="auto"/>
            <w:hideMark/>
          </w:tcPr>
          <w:p w14:paraId="4CC1A5FD"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A0356" w:rsidRPr="008860BA" w14:paraId="19D3A1FC"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5DE05EF8" w14:textId="5E43F9C3"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Indemniza</w:t>
            </w:r>
            <w:r w:rsidR="00B13B9A"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ie unică</w:t>
            </w:r>
          </w:p>
        </w:tc>
        <w:tc>
          <w:tcPr>
            <w:tcW w:w="673" w:type="dxa"/>
            <w:tcBorders>
              <w:top w:val="nil"/>
              <w:left w:val="nil"/>
              <w:bottom w:val="single" w:sz="4" w:space="0" w:color="auto"/>
              <w:right w:val="single" w:sz="4" w:space="0" w:color="auto"/>
            </w:tcBorders>
            <w:shd w:val="clear" w:color="auto" w:fill="auto"/>
            <w:noWrap/>
            <w:vAlign w:val="bottom"/>
            <w:hideMark/>
          </w:tcPr>
          <w:p w14:paraId="03A83793"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6768AFF5"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240,00</w:t>
            </w:r>
          </w:p>
        </w:tc>
        <w:tc>
          <w:tcPr>
            <w:tcW w:w="1275" w:type="dxa"/>
            <w:tcBorders>
              <w:top w:val="nil"/>
              <w:left w:val="nil"/>
              <w:bottom w:val="single" w:sz="4" w:space="0" w:color="auto"/>
              <w:right w:val="single" w:sz="4" w:space="0" w:color="auto"/>
            </w:tcBorders>
            <w:shd w:val="clear" w:color="auto" w:fill="auto"/>
            <w:noWrap/>
            <w:vAlign w:val="bottom"/>
            <w:hideMark/>
          </w:tcPr>
          <w:p w14:paraId="363334A1"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240,00</w:t>
            </w:r>
          </w:p>
        </w:tc>
        <w:tc>
          <w:tcPr>
            <w:tcW w:w="1137" w:type="dxa"/>
            <w:tcBorders>
              <w:top w:val="nil"/>
              <w:left w:val="nil"/>
              <w:bottom w:val="single" w:sz="4" w:space="0" w:color="auto"/>
              <w:right w:val="single" w:sz="4" w:space="0" w:color="auto"/>
            </w:tcBorders>
            <w:shd w:val="clear" w:color="auto" w:fill="auto"/>
            <w:hideMark/>
          </w:tcPr>
          <w:p w14:paraId="6576CA2B"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73" w:type="dxa"/>
            <w:tcBorders>
              <w:top w:val="nil"/>
              <w:left w:val="nil"/>
              <w:bottom w:val="single" w:sz="4" w:space="0" w:color="auto"/>
              <w:right w:val="single" w:sz="4" w:space="0" w:color="auto"/>
            </w:tcBorders>
            <w:shd w:val="clear" w:color="auto" w:fill="auto"/>
            <w:hideMark/>
          </w:tcPr>
          <w:p w14:paraId="1936D0FB"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FBDC3D"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673CECB2"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53" w:type="dxa"/>
            <w:tcBorders>
              <w:top w:val="nil"/>
              <w:left w:val="nil"/>
              <w:bottom w:val="single" w:sz="4" w:space="0" w:color="auto"/>
              <w:right w:val="single" w:sz="4" w:space="0" w:color="auto"/>
            </w:tcBorders>
            <w:shd w:val="clear" w:color="auto" w:fill="auto"/>
            <w:hideMark/>
          </w:tcPr>
          <w:p w14:paraId="27514F05"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75512AEF"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240,00</w:t>
            </w:r>
          </w:p>
        </w:tc>
        <w:tc>
          <w:tcPr>
            <w:tcW w:w="944" w:type="dxa"/>
            <w:tcBorders>
              <w:top w:val="nil"/>
              <w:left w:val="nil"/>
              <w:bottom w:val="single" w:sz="4" w:space="0" w:color="auto"/>
              <w:right w:val="single" w:sz="4" w:space="0" w:color="auto"/>
            </w:tcBorders>
            <w:shd w:val="clear" w:color="auto" w:fill="auto"/>
            <w:hideMark/>
          </w:tcPr>
          <w:p w14:paraId="45E914E6"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A0356" w:rsidRPr="008860BA" w14:paraId="19CA2666"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66F9FFA2"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Gaz</w:t>
            </w:r>
          </w:p>
        </w:tc>
        <w:tc>
          <w:tcPr>
            <w:tcW w:w="673" w:type="dxa"/>
            <w:tcBorders>
              <w:top w:val="nil"/>
              <w:left w:val="nil"/>
              <w:bottom w:val="single" w:sz="4" w:space="0" w:color="auto"/>
              <w:right w:val="single" w:sz="4" w:space="0" w:color="auto"/>
            </w:tcBorders>
            <w:shd w:val="clear" w:color="auto" w:fill="auto"/>
            <w:noWrap/>
            <w:vAlign w:val="bottom"/>
            <w:hideMark/>
          </w:tcPr>
          <w:p w14:paraId="1FD0E7CF"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2C59B0A4"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1.881,99</w:t>
            </w:r>
          </w:p>
        </w:tc>
        <w:tc>
          <w:tcPr>
            <w:tcW w:w="1275" w:type="dxa"/>
            <w:tcBorders>
              <w:top w:val="nil"/>
              <w:left w:val="nil"/>
              <w:bottom w:val="single" w:sz="4" w:space="0" w:color="auto"/>
              <w:right w:val="single" w:sz="4" w:space="0" w:color="auto"/>
            </w:tcBorders>
            <w:shd w:val="clear" w:color="auto" w:fill="auto"/>
            <w:noWrap/>
            <w:vAlign w:val="bottom"/>
            <w:hideMark/>
          </w:tcPr>
          <w:p w14:paraId="07DA3F26"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1.881,99</w:t>
            </w:r>
          </w:p>
        </w:tc>
        <w:tc>
          <w:tcPr>
            <w:tcW w:w="1137" w:type="dxa"/>
            <w:tcBorders>
              <w:top w:val="nil"/>
              <w:left w:val="nil"/>
              <w:bottom w:val="single" w:sz="4" w:space="0" w:color="auto"/>
              <w:right w:val="single" w:sz="4" w:space="0" w:color="auto"/>
            </w:tcBorders>
            <w:shd w:val="clear" w:color="auto" w:fill="auto"/>
            <w:noWrap/>
            <w:vAlign w:val="bottom"/>
            <w:hideMark/>
          </w:tcPr>
          <w:p w14:paraId="5AB557CA"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1.881,99</w:t>
            </w:r>
          </w:p>
        </w:tc>
        <w:tc>
          <w:tcPr>
            <w:tcW w:w="1273" w:type="dxa"/>
            <w:tcBorders>
              <w:top w:val="nil"/>
              <w:left w:val="nil"/>
              <w:bottom w:val="single" w:sz="4" w:space="0" w:color="auto"/>
              <w:right w:val="single" w:sz="4" w:space="0" w:color="auto"/>
            </w:tcBorders>
            <w:shd w:val="clear" w:color="auto" w:fill="auto"/>
            <w:noWrap/>
            <w:vAlign w:val="bottom"/>
            <w:hideMark/>
          </w:tcPr>
          <w:p w14:paraId="79F5C90E"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2F14C5"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5A3CBEFA"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67776EDC"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6BE4D94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44" w:type="dxa"/>
            <w:tcBorders>
              <w:top w:val="nil"/>
              <w:left w:val="nil"/>
              <w:bottom w:val="single" w:sz="4" w:space="0" w:color="auto"/>
              <w:right w:val="single" w:sz="4" w:space="0" w:color="auto"/>
            </w:tcBorders>
            <w:shd w:val="clear" w:color="auto" w:fill="auto"/>
            <w:hideMark/>
          </w:tcPr>
          <w:p w14:paraId="4570F740"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A0356" w:rsidRPr="008860BA" w14:paraId="0E70D419"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7B2FC9DA" w14:textId="33A7B4DB"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Materiale de construc</w:t>
            </w:r>
            <w:r w:rsidR="00B13B9A"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ie</w:t>
            </w:r>
          </w:p>
        </w:tc>
        <w:tc>
          <w:tcPr>
            <w:tcW w:w="673" w:type="dxa"/>
            <w:tcBorders>
              <w:top w:val="nil"/>
              <w:left w:val="nil"/>
              <w:bottom w:val="single" w:sz="4" w:space="0" w:color="auto"/>
              <w:right w:val="single" w:sz="4" w:space="0" w:color="auto"/>
            </w:tcBorders>
            <w:shd w:val="clear" w:color="auto" w:fill="auto"/>
            <w:noWrap/>
            <w:vAlign w:val="bottom"/>
            <w:hideMark/>
          </w:tcPr>
          <w:p w14:paraId="735FB63D"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39DF40B7"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225,59</w:t>
            </w:r>
          </w:p>
        </w:tc>
        <w:tc>
          <w:tcPr>
            <w:tcW w:w="1275" w:type="dxa"/>
            <w:tcBorders>
              <w:top w:val="nil"/>
              <w:left w:val="nil"/>
              <w:bottom w:val="single" w:sz="4" w:space="0" w:color="auto"/>
              <w:right w:val="single" w:sz="4" w:space="0" w:color="auto"/>
            </w:tcBorders>
            <w:shd w:val="clear" w:color="auto" w:fill="auto"/>
            <w:noWrap/>
            <w:vAlign w:val="bottom"/>
            <w:hideMark/>
          </w:tcPr>
          <w:p w14:paraId="44C27E61"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225,59</w:t>
            </w:r>
          </w:p>
        </w:tc>
        <w:tc>
          <w:tcPr>
            <w:tcW w:w="1137" w:type="dxa"/>
            <w:tcBorders>
              <w:top w:val="nil"/>
              <w:left w:val="nil"/>
              <w:bottom w:val="single" w:sz="4" w:space="0" w:color="auto"/>
              <w:right w:val="single" w:sz="4" w:space="0" w:color="auto"/>
            </w:tcBorders>
            <w:shd w:val="clear" w:color="auto" w:fill="auto"/>
            <w:noWrap/>
            <w:vAlign w:val="bottom"/>
            <w:hideMark/>
          </w:tcPr>
          <w:p w14:paraId="7477172B"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205,83</w:t>
            </w:r>
          </w:p>
        </w:tc>
        <w:tc>
          <w:tcPr>
            <w:tcW w:w="1273" w:type="dxa"/>
            <w:tcBorders>
              <w:top w:val="nil"/>
              <w:left w:val="nil"/>
              <w:bottom w:val="single" w:sz="4" w:space="0" w:color="auto"/>
              <w:right w:val="single" w:sz="4" w:space="0" w:color="auto"/>
            </w:tcBorders>
            <w:shd w:val="clear" w:color="auto" w:fill="auto"/>
            <w:noWrap/>
            <w:vAlign w:val="bottom"/>
            <w:hideMark/>
          </w:tcPr>
          <w:p w14:paraId="17C0B4D9"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E6B5C8"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6BD8A866"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0,88</w:t>
            </w:r>
          </w:p>
        </w:tc>
        <w:tc>
          <w:tcPr>
            <w:tcW w:w="853" w:type="dxa"/>
            <w:tcBorders>
              <w:top w:val="nil"/>
              <w:left w:val="nil"/>
              <w:bottom w:val="single" w:sz="4" w:space="0" w:color="auto"/>
              <w:right w:val="single" w:sz="4" w:space="0" w:color="auto"/>
            </w:tcBorders>
            <w:shd w:val="clear" w:color="auto" w:fill="auto"/>
            <w:noWrap/>
            <w:vAlign w:val="bottom"/>
            <w:hideMark/>
          </w:tcPr>
          <w:p w14:paraId="71C13CB9"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1D43862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18,77</w:t>
            </w:r>
          </w:p>
        </w:tc>
        <w:tc>
          <w:tcPr>
            <w:tcW w:w="944" w:type="dxa"/>
            <w:tcBorders>
              <w:top w:val="nil"/>
              <w:left w:val="nil"/>
              <w:bottom w:val="single" w:sz="4" w:space="0" w:color="auto"/>
              <w:right w:val="single" w:sz="4" w:space="0" w:color="auto"/>
            </w:tcBorders>
            <w:shd w:val="clear" w:color="auto" w:fill="auto"/>
            <w:noWrap/>
            <w:vAlign w:val="bottom"/>
            <w:hideMark/>
          </w:tcPr>
          <w:p w14:paraId="427E9D9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0,11</w:t>
            </w:r>
          </w:p>
        </w:tc>
      </w:tr>
      <w:tr w:rsidR="006A0356" w:rsidRPr="008860BA" w14:paraId="1A30906A"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19856A92"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Materiale de uz gospodăresc</w:t>
            </w:r>
          </w:p>
        </w:tc>
        <w:tc>
          <w:tcPr>
            <w:tcW w:w="673" w:type="dxa"/>
            <w:tcBorders>
              <w:top w:val="nil"/>
              <w:left w:val="nil"/>
              <w:bottom w:val="single" w:sz="4" w:space="0" w:color="auto"/>
              <w:right w:val="single" w:sz="4" w:space="0" w:color="auto"/>
            </w:tcBorders>
            <w:shd w:val="clear" w:color="auto" w:fill="auto"/>
            <w:noWrap/>
            <w:vAlign w:val="bottom"/>
            <w:hideMark/>
          </w:tcPr>
          <w:p w14:paraId="2E563251"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3BD507A5"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493,70</w:t>
            </w:r>
          </w:p>
        </w:tc>
        <w:tc>
          <w:tcPr>
            <w:tcW w:w="1275" w:type="dxa"/>
            <w:tcBorders>
              <w:top w:val="nil"/>
              <w:left w:val="nil"/>
              <w:bottom w:val="single" w:sz="4" w:space="0" w:color="auto"/>
              <w:right w:val="single" w:sz="4" w:space="0" w:color="auto"/>
            </w:tcBorders>
            <w:shd w:val="clear" w:color="auto" w:fill="auto"/>
            <w:noWrap/>
            <w:vAlign w:val="bottom"/>
            <w:hideMark/>
          </w:tcPr>
          <w:p w14:paraId="769323F3"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493,70</w:t>
            </w:r>
          </w:p>
        </w:tc>
        <w:tc>
          <w:tcPr>
            <w:tcW w:w="1137" w:type="dxa"/>
            <w:tcBorders>
              <w:top w:val="nil"/>
              <w:left w:val="nil"/>
              <w:bottom w:val="single" w:sz="4" w:space="0" w:color="auto"/>
              <w:right w:val="single" w:sz="4" w:space="0" w:color="auto"/>
            </w:tcBorders>
            <w:shd w:val="clear" w:color="auto" w:fill="auto"/>
            <w:noWrap/>
            <w:vAlign w:val="bottom"/>
            <w:hideMark/>
          </w:tcPr>
          <w:p w14:paraId="05D7076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414,67</w:t>
            </w:r>
          </w:p>
        </w:tc>
        <w:tc>
          <w:tcPr>
            <w:tcW w:w="1273" w:type="dxa"/>
            <w:tcBorders>
              <w:top w:val="nil"/>
              <w:left w:val="nil"/>
              <w:bottom w:val="single" w:sz="4" w:space="0" w:color="auto"/>
              <w:right w:val="single" w:sz="4" w:space="0" w:color="auto"/>
            </w:tcBorders>
            <w:shd w:val="clear" w:color="auto" w:fill="auto"/>
            <w:hideMark/>
          </w:tcPr>
          <w:p w14:paraId="2543EA70"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85935E"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54735E54"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19,45</w:t>
            </w:r>
          </w:p>
        </w:tc>
        <w:tc>
          <w:tcPr>
            <w:tcW w:w="853" w:type="dxa"/>
            <w:tcBorders>
              <w:top w:val="nil"/>
              <w:left w:val="nil"/>
              <w:bottom w:val="single" w:sz="4" w:space="0" w:color="auto"/>
              <w:right w:val="single" w:sz="4" w:space="0" w:color="auto"/>
            </w:tcBorders>
            <w:shd w:val="clear" w:color="auto" w:fill="auto"/>
            <w:noWrap/>
            <w:vAlign w:val="bottom"/>
            <w:hideMark/>
          </w:tcPr>
          <w:p w14:paraId="68F6ACE8"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5A542BC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59,23</w:t>
            </w:r>
          </w:p>
        </w:tc>
        <w:tc>
          <w:tcPr>
            <w:tcW w:w="944" w:type="dxa"/>
            <w:tcBorders>
              <w:top w:val="nil"/>
              <w:left w:val="nil"/>
              <w:bottom w:val="single" w:sz="4" w:space="0" w:color="auto"/>
              <w:right w:val="single" w:sz="4" w:space="0" w:color="auto"/>
            </w:tcBorders>
            <w:shd w:val="clear" w:color="auto" w:fill="auto"/>
            <w:noWrap/>
            <w:vAlign w:val="bottom"/>
            <w:hideMark/>
          </w:tcPr>
          <w:p w14:paraId="6A214A6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0,35</w:t>
            </w:r>
          </w:p>
        </w:tc>
      </w:tr>
      <w:tr w:rsidR="006A0356" w:rsidRPr="008860BA" w14:paraId="080AB05E"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5420E60F"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xml:space="preserve">Medicamente </w:t>
            </w:r>
          </w:p>
        </w:tc>
        <w:tc>
          <w:tcPr>
            <w:tcW w:w="673" w:type="dxa"/>
            <w:tcBorders>
              <w:top w:val="nil"/>
              <w:left w:val="nil"/>
              <w:bottom w:val="single" w:sz="4" w:space="0" w:color="auto"/>
              <w:right w:val="single" w:sz="4" w:space="0" w:color="auto"/>
            </w:tcBorders>
            <w:shd w:val="clear" w:color="auto" w:fill="auto"/>
            <w:noWrap/>
            <w:vAlign w:val="bottom"/>
            <w:hideMark/>
          </w:tcPr>
          <w:p w14:paraId="0D26A618"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1EBE95A0"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31.772,93</w:t>
            </w:r>
          </w:p>
        </w:tc>
        <w:tc>
          <w:tcPr>
            <w:tcW w:w="1275" w:type="dxa"/>
            <w:tcBorders>
              <w:top w:val="nil"/>
              <w:left w:val="nil"/>
              <w:bottom w:val="single" w:sz="4" w:space="0" w:color="auto"/>
              <w:right w:val="single" w:sz="4" w:space="0" w:color="auto"/>
            </w:tcBorders>
            <w:shd w:val="clear" w:color="auto" w:fill="auto"/>
            <w:noWrap/>
            <w:vAlign w:val="bottom"/>
            <w:hideMark/>
          </w:tcPr>
          <w:p w14:paraId="107EE9BA"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31.772,93</w:t>
            </w:r>
          </w:p>
        </w:tc>
        <w:tc>
          <w:tcPr>
            <w:tcW w:w="1137" w:type="dxa"/>
            <w:tcBorders>
              <w:top w:val="nil"/>
              <w:left w:val="nil"/>
              <w:bottom w:val="single" w:sz="4" w:space="0" w:color="auto"/>
              <w:right w:val="single" w:sz="4" w:space="0" w:color="auto"/>
            </w:tcBorders>
            <w:shd w:val="clear" w:color="auto" w:fill="auto"/>
            <w:noWrap/>
            <w:vAlign w:val="bottom"/>
            <w:hideMark/>
          </w:tcPr>
          <w:p w14:paraId="6FD94CCC"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3.108,77</w:t>
            </w:r>
          </w:p>
        </w:tc>
        <w:tc>
          <w:tcPr>
            <w:tcW w:w="1273" w:type="dxa"/>
            <w:tcBorders>
              <w:top w:val="nil"/>
              <w:left w:val="nil"/>
              <w:bottom w:val="single" w:sz="4" w:space="0" w:color="auto"/>
              <w:right w:val="single" w:sz="4" w:space="0" w:color="auto"/>
            </w:tcBorders>
            <w:shd w:val="clear" w:color="auto" w:fill="auto"/>
            <w:noWrap/>
            <w:vAlign w:val="bottom"/>
            <w:hideMark/>
          </w:tcPr>
          <w:p w14:paraId="7E64323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E6FE15"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0CAE5BF3"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80,99</w:t>
            </w:r>
          </w:p>
        </w:tc>
        <w:tc>
          <w:tcPr>
            <w:tcW w:w="853" w:type="dxa"/>
            <w:tcBorders>
              <w:top w:val="nil"/>
              <w:left w:val="nil"/>
              <w:bottom w:val="single" w:sz="4" w:space="0" w:color="auto"/>
              <w:right w:val="single" w:sz="4" w:space="0" w:color="auto"/>
            </w:tcBorders>
            <w:shd w:val="clear" w:color="auto" w:fill="auto"/>
            <w:noWrap/>
            <w:vAlign w:val="bottom"/>
            <w:hideMark/>
          </w:tcPr>
          <w:p w14:paraId="180A3778"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133,91</w:t>
            </w:r>
          </w:p>
        </w:tc>
        <w:tc>
          <w:tcPr>
            <w:tcW w:w="853" w:type="dxa"/>
            <w:tcBorders>
              <w:top w:val="nil"/>
              <w:left w:val="nil"/>
              <w:bottom w:val="single" w:sz="4" w:space="0" w:color="auto"/>
              <w:right w:val="single" w:sz="4" w:space="0" w:color="auto"/>
            </w:tcBorders>
            <w:shd w:val="clear" w:color="auto" w:fill="auto"/>
            <w:noWrap/>
            <w:vAlign w:val="bottom"/>
            <w:hideMark/>
          </w:tcPr>
          <w:p w14:paraId="5AFEC74A"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13,02</w:t>
            </w:r>
          </w:p>
        </w:tc>
        <w:tc>
          <w:tcPr>
            <w:tcW w:w="944" w:type="dxa"/>
            <w:tcBorders>
              <w:top w:val="nil"/>
              <w:left w:val="nil"/>
              <w:bottom w:val="single" w:sz="4" w:space="0" w:color="auto"/>
              <w:right w:val="single" w:sz="4" w:space="0" w:color="auto"/>
            </w:tcBorders>
            <w:shd w:val="clear" w:color="auto" w:fill="auto"/>
            <w:noWrap/>
            <w:vAlign w:val="bottom"/>
            <w:hideMark/>
          </w:tcPr>
          <w:p w14:paraId="7B3053C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28.436,23</w:t>
            </w:r>
          </w:p>
        </w:tc>
      </w:tr>
      <w:tr w:rsidR="006A0356" w:rsidRPr="008860BA" w14:paraId="457303C3"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1D1CCD1C"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Paza</w:t>
            </w:r>
          </w:p>
        </w:tc>
        <w:tc>
          <w:tcPr>
            <w:tcW w:w="673" w:type="dxa"/>
            <w:tcBorders>
              <w:top w:val="nil"/>
              <w:left w:val="nil"/>
              <w:bottom w:val="single" w:sz="4" w:space="0" w:color="auto"/>
              <w:right w:val="single" w:sz="4" w:space="0" w:color="auto"/>
            </w:tcBorders>
            <w:shd w:val="clear" w:color="auto" w:fill="auto"/>
            <w:noWrap/>
            <w:vAlign w:val="bottom"/>
            <w:hideMark/>
          </w:tcPr>
          <w:p w14:paraId="74F55F2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0450F713"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131,96</w:t>
            </w:r>
          </w:p>
        </w:tc>
        <w:tc>
          <w:tcPr>
            <w:tcW w:w="1275" w:type="dxa"/>
            <w:tcBorders>
              <w:top w:val="nil"/>
              <w:left w:val="nil"/>
              <w:bottom w:val="single" w:sz="4" w:space="0" w:color="auto"/>
              <w:right w:val="single" w:sz="4" w:space="0" w:color="auto"/>
            </w:tcBorders>
            <w:shd w:val="clear" w:color="auto" w:fill="auto"/>
            <w:noWrap/>
            <w:vAlign w:val="bottom"/>
            <w:hideMark/>
          </w:tcPr>
          <w:p w14:paraId="3123508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131,96</w:t>
            </w:r>
          </w:p>
        </w:tc>
        <w:tc>
          <w:tcPr>
            <w:tcW w:w="1137" w:type="dxa"/>
            <w:tcBorders>
              <w:top w:val="nil"/>
              <w:left w:val="nil"/>
              <w:bottom w:val="single" w:sz="4" w:space="0" w:color="auto"/>
              <w:right w:val="single" w:sz="4" w:space="0" w:color="auto"/>
            </w:tcBorders>
            <w:shd w:val="clear" w:color="auto" w:fill="auto"/>
            <w:noWrap/>
            <w:vAlign w:val="bottom"/>
            <w:hideMark/>
          </w:tcPr>
          <w:p w14:paraId="32D4D622"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131,96</w:t>
            </w:r>
          </w:p>
        </w:tc>
        <w:tc>
          <w:tcPr>
            <w:tcW w:w="1273" w:type="dxa"/>
            <w:tcBorders>
              <w:top w:val="nil"/>
              <w:left w:val="nil"/>
              <w:bottom w:val="single" w:sz="4" w:space="0" w:color="auto"/>
              <w:right w:val="single" w:sz="4" w:space="0" w:color="auto"/>
            </w:tcBorders>
            <w:shd w:val="clear" w:color="auto" w:fill="auto"/>
            <w:noWrap/>
            <w:vAlign w:val="bottom"/>
            <w:hideMark/>
          </w:tcPr>
          <w:p w14:paraId="2A27ABB2"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F2A13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4D203EE8"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691A286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2B8C6390"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44" w:type="dxa"/>
            <w:tcBorders>
              <w:top w:val="nil"/>
              <w:left w:val="nil"/>
              <w:bottom w:val="single" w:sz="4" w:space="0" w:color="auto"/>
              <w:right w:val="single" w:sz="4" w:space="0" w:color="auto"/>
            </w:tcBorders>
            <w:shd w:val="clear" w:color="auto" w:fill="auto"/>
            <w:noWrap/>
            <w:vAlign w:val="bottom"/>
            <w:hideMark/>
          </w:tcPr>
          <w:p w14:paraId="43D45FF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A0356" w:rsidRPr="008860BA" w14:paraId="6EDB4189"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68643909"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Penalitate</w:t>
            </w:r>
          </w:p>
        </w:tc>
        <w:tc>
          <w:tcPr>
            <w:tcW w:w="673" w:type="dxa"/>
            <w:tcBorders>
              <w:top w:val="nil"/>
              <w:left w:val="nil"/>
              <w:bottom w:val="single" w:sz="4" w:space="0" w:color="auto"/>
              <w:right w:val="single" w:sz="4" w:space="0" w:color="auto"/>
            </w:tcBorders>
            <w:shd w:val="clear" w:color="auto" w:fill="auto"/>
            <w:noWrap/>
            <w:vAlign w:val="bottom"/>
            <w:hideMark/>
          </w:tcPr>
          <w:p w14:paraId="67ED0F5E"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0C738815"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3,72</w:t>
            </w:r>
          </w:p>
        </w:tc>
        <w:tc>
          <w:tcPr>
            <w:tcW w:w="1275" w:type="dxa"/>
            <w:tcBorders>
              <w:top w:val="nil"/>
              <w:left w:val="nil"/>
              <w:bottom w:val="single" w:sz="4" w:space="0" w:color="auto"/>
              <w:right w:val="single" w:sz="4" w:space="0" w:color="auto"/>
            </w:tcBorders>
            <w:shd w:val="clear" w:color="auto" w:fill="auto"/>
            <w:noWrap/>
            <w:vAlign w:val="bottom"/>
            <w:hideMark/>
          </w:tcPr>
          <w:p w14:paraId="47383591"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3,72</w:t>
            </w:r>
          </w:p>
        </w:tc>
        <w:tc>
          <w:tcPr>
            <w:tcW w:w="1137" w:type="dxa"/>
            <w:tcBorders>
              <w:top w:val="nil"/>
              <w:left w:val="nil"/>
              <w:bottom w:val="single" w:sz="4" w:space="0" w:color="auto"/>
              <w:right w:val="single" w:sz="4" w:space="0" w:color="auto"/>
            </w:tcBorders>
            <w:shd w:val="clear" w:color="auto" w:fill="auto"/>
            <w:hideMark/>
          </w:tcPr>
          <w:p w14:paraId="526BCE65"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73" w:type="dxa"/>
            <w:tcBorders>
              <w:top w:val="nil"/>
              <w:left w:val="nil"/>
              <w:bottom w:val="single" w:sz="4" w:space="0" w:color="auto"/>
              <w:right w:val="single" w:sz="4" w:space="0" w:color="auto"/>
            </w:tcBorders>
            <w:shd w:val="clear" w:color="auto" w:fill="auto"/>
            <w:noWrap/>
            <w:vAlign w:val="bottom"/>
            <w:hideMark/>
          </w:tcPr>
          <w:p w14:paraId="0CD9E6EA"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7C59E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2391C3E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2A15CF69"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21C2BC1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3,72</w:t>
            </w:r>
          </w:p>
        </w:tc>
        <w:tc>
          <w:tcPr>
            <w:tcW w:w="944" w:type="dxa"/>
            <w:tcBorders>
              <w:top w:val="nil"/>
              <w:left w:val="nil"/>
              <w:bottom w:val="single" w:sz="4" w:space="0" w:color="auto"/>
              <w:right w:val="single" w:sz="4" w:space="0" w:color="auto"/>
            </w:tcBorders>
            <w:shd w:val="clear" w:color="auto" w:fill="auto"/>
            <w:noWrap/>
            <w:vAlign w:val="bottom"/>
            <w:hideMark/>
          </w:tcPr>
          <w:p w14:paraId="46B6D376"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A0356" w:rsidRPr="008860BA" w14:paraId="489CFEAB"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6C6E25A5" w14:textId="784132C5" w:rsidR="006A0356" w:rsidRPr="008860BA" w:rsidRDefault="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Perfec</w:t>
            </w:r>
            <w:r w:rsidR="00E10604"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ionarea cadrelor</w:t>
            </w:r>
          </w:p>
        </w:tc>
        <w:tc>
          <w:tcPr>
            <w:tcW w:w="673" w:type="dxa"/>
            <w:tcBorders>
              <w:top w:val="nil"/>
              <w:left w:val="nil"/>
              <w:bottom w:val="single" w:sz="4" w:space="0" w:color="auto"/>
              <w:right w:val="single" w:sz="4" w:space="0" w:color="auto"/>
            </w:tcBorders>
            <w:shd w:val="clear" w:color="auto" w:fill="auto"/>
            <w:noWrap/>
            <w:vAlign w:val="bottom"/>
            <w:hideMark/>
          </w:tcPr>
          <w:p w14:paraId="58A714F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1CDC2279"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244,86</w:t>
            </w:r>
          </w:p>
        </w:tc>
        <w:tc>
          <w:tcPr>
            <w:tcW w:w="1275" w:type="dxa"/>
            <w:tcBorders>
              <w:top w:val="nil"/>
              <w:left w:val="nil"/>
              <w:bottom w:val="single" w:sz="4" w:space="0" w:color="auto"/>
              <w:right w:val="single" w:sz="4" w:space="0" w:color="auto"/>
            </w:tcBorders>
            <w:shd w:val="clear" w:color="auto" w:fill="auto"/>
            <w:noWrap/>
            <w:vAlign w:val="bottom"/>
            <w:hideMark/>
          </w:tcPr>
          <w:p w14:paraId="44232E2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244,86</w:t>
            </w:r>
          </w:p>
        </w:tc>
        <w:tc>
          <w:tcPr>
            <w:tcW w:w="1137" w:type="dxa"/>
            <w:tcBorders>
              <w:top w:val="nil"/>
              <w:left w:val="nil"/>
              <w:bottom w:val="single" w:sz="4" w:space="0" w:color="auto"/>
              <w:right w:val="single" w:sz="4" w:space="0" w:color="auto"/>
            </w:tcBorders>
            <w:shd w:val="clear" w:color="auto" w:fill="auto"/>
            <w:noWrap/>
            <w:vAlign w:val="bottom"/>
            <w:hideMark/>
          </w:tcPr>
          <w:p w14:paraId="14AEA933"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213,14</w:t>
            </w:r>
          </w:p>
        </w:tc>
        <w:tc>
          <w:tcPr>
            <w:tcW w:w="1273" w:type="dxa"/>
            <w:tcBorders>
              <w:top w:val="nil"/>
              <w:left w:val="nil"/>
              <w:bottom w:val="single" w:sz="4" w:space="0" w:color="auto"/>
              <w:right w:val="single" w:sz="4" w:space="0" w:color="auto"/>
            </w:tcBorders>
            <w:shd w:val="clear" w:color="auto" w:fill="auto"/>
            <w:noWrap/>
            <w:vAlign w:val="bottom"/>
            <w:hideMark/>
          </w:tcPr>
          <w:p w14:paraId="0B9DB5E3"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578D52"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05D5640D"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666BF15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5617177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31,72</w:t>
            </w:r>
          </w:p>
        </w:tc>
        <w:tc>
          <w:tcPr>
            <w:tcW w:w="944" w:type="dxa"/>
            <w:tcBorders>
              <w:top w:val="nil"/>
              <w:left w:val="nil"/>
              <w:bottom w:val="single" w:sz="4" w:space="0" w:color="auto"/>
              <w:right w:val="single" w:sz="4" w:space="0" w:color="auto"/>
            </w:tcBorders>
            <w:shd w:val="clear" w:color="auto" w:fill="auto"/>
            <w:noWrap/>
            <w:vAlign w:val="bottom"/>
            <w:hideMark/>
          </w:tcPr>
          <w:p w14:paraId="4EEBD6D1"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A0356" w:rsidRPr="008860BA" w14:paraId="28898D6B"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49E2D1CB"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Piese de schimb</w:t>
            </w:r>
          </w:p>
        </w:tc>
        <w:tc>
          <w:tcPr>
            <w:tcW w:w="673" w:type="dxa"/>
            <w:tcBorders>
              <w:top w:val="nil"/>
              <w:left w:val="nil"/>
              <w:bottom w:val="single" w:sz="4" w:space="0" w:color="auto"/>
              <w:right w:val="single" w:sz="4" w:space="0" w:color="auto"/>
            </w:tcBorders>
            <w:shd w:val="clear" w:color="auto" w:fill="auto"/>
            <w:noWrap/>
            <w:vAlign w:val="bottom"/>
            <w:hideMark/>
          </w:tcPr>
          <w:p w14:paraId="1D973343"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4C965500"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19,86</w:t>
            </w:r>
          </w:p>
        </w:tc>
        <w:tc>
          <w:tcPr>
            <w:tcW w:w="1275" w:type="dxa"/>
            <w:tcBorders>
              <w:top w:val="nil"/>
              <w:left w:val="nil"/>
              <w:bottom w:val="single" w:sz="4" w:space="0" w:color="auto"/>
              <w:right w:val="single" w:sz="4" w:space="0" w:color="auto"/>
            </w:tcBorders>
            <w:shd w:val="clear" w:color="auto" w:fill="auto"/>
            <w:noWrap/>
            <w:vAlign w:val="bottom"/>
            <w:hideMark/>
          </w:tcPr>
          <w:p w14:paraId="3E47BBAA"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19,86</w:t>
            </w:r>
          </w:p>
        </w:tc>
        <w:tc>
          <w:tcPr>
            <w:tcW w:w="1137" w:type="dxa"/>
            <w:tcBorders>
              <w:top w:val="nil"/>
              <w:left w:val="nil"/>
              <w:bottom w:val="single" w:sz="4" w:space="0" w:color="auto"/>
              <w:right w:val="single" w:sz="4" w:space="0" w:color="auto"/>
            </w:tcBorders>
            <w:shd w:val="clear" w:color="auto" w:fill="auto"/>
            <w:noWrap/>
            <w:vAlign w:val="bottom"/>
            <w:hideMark/>
          </w:tcPr>
          <w:p w14:paraId="60F73A5A"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4,67</w:t>
            </w:r>
          </w:p>
        </w:tc>
        <w:tc>
          <w:tcPr>
            <w:tcW w:w="1273" w:type="dxa"/>
            <w:tcBorders>
              <w:top w:val="nil"/>
              <w:left w:val="nil"/>
              <w:bottom w:val="single" w:sz="4" w:space="0" w:color="auto"/>
              <w:right w:val="single" w:sz="4" w:space="0" w:color="auto"/>
            </w:tcBorders>
            <w:shd w:val="clear" w:color="auto" w:fill="auto"/>
            <w:noWrap/>
            <w:vAlign w:val="bottom"/>
            <w:hideMark/>
          </w:tcPr>
          <w:p w14:paraId="0786877C"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2,75</w:t>
            </w:r>
          </w:p>
        </w:tc>
        <w:tc>
          <w:tcPr>
            <w:tcW w:w="1134" w:type="dxa"/>
            <w:tcBorders>
              <w:top w:val="nil"/>
              <w:left w:val="nil"/>
              <w:bottom w:val="single" w:sz="4" w:space="0" w:color="auto"/>
              <w:right w:val="single" w:sz="4" w:space="0" w:color="auto"/>
            </w:tcBorders>
            <w:shd w:val="clear" w:color="auto" w:fill="auto"/>
            <w:noWrap/>
            <w:vAlign w:val="bottom"/>
            <w:hideMark/>
          </w:tcPr>
          <w:p w14:paraId="4F084C0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0C599A4A"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6480B20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383A38F1"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5,76</w:t>
            </w:r>
          </w:p>
        </w:tc>
        <w:tc>
          <w:tcPr>
            <w:tcW w:w="944" w:type="dxa"/>
            <w:tcBorders>
              <w:top w:val="nil"/>
              <w:left w:val="nil"/>
              <w:bottom w:val="single" w:sz="4" w:space="0" w:color="auto"/>
              <w:right w:val="single" w:sz="4" w:space="0" w:color="auto"/>
            </w:tcBorders>
            <w:shd w:val="clear" w:color="auto" w:fill="auto"/>
            <w:noWrap/>
            <w:vAlign w:val="bottom"/>
            <w:hideMark/>
          </w:tcPr>
          <w:p w14:paraId="2CA74833"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6,69</w:t>
            </w:r>
          </w:p>
        </w:tc>
      </w:tr>
      <w:tr w:rsidR="006A0356" w:rsidRPr="008860BA" w14:paraId="33F3BF13"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400300E3"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Produse petroliere</w:t>
            </w:r>
          </w:p>
        </w:tc>
        <w:tc>
          <w:tcPr>
            <w:tcW w:w="673" w:type="dxa"/>
            <w:tcBorders>
              <w:top w:val="nil"/>
              <w:left w:val="nil"/>
              <w:bottom w:val="single" w:sz="4" w:space="0" w:color="auto"/>
              <w:right w:val="single" w:sz="4" w:space="0" w:color="auto"/>
            </w:tcBorders>
            <w:shd w:val="clear" w:color="auto" w:fill="auto"/>
            <w:noWrap/>
            <w:vAlign w:val="bottom"/>
            <w:hideMark/>
          </w:tcPr>
          <w:p w14:paraId="4E45D516"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680C97EA"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885,53</w:t>
            </w:r>
          </w:p>
        </w:tc>
        <w:tc>
          <w:tcPr>
            <w:tcW w:w="1275" w:type="dxa"/>
            <w:tcBorders>
              <w:top w:val="nil"/>
              <w:left w:val="nil"/>
              <w:bottom w:val="single" w:sz="4" w:space="0" w:color="auto"/>
              <w:right w:val="single" w:sz="4" w:space="0" w:color="auto"/>
            </w:tcBorders>
            <w:shd w:val="clear" w:color="auto" w:fill="auto"/>
            <w:noWrap/>
            <w:vAlign w:val="bottom"/>
            <w:hideMark/>
          </w:tcPr>
          <w:p w14:paraId="462CCD90"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885,53</w:t>
            </w:r>
          </w:p>
        </w:tc>
        <w:tc>
          <w:tcPr>
            <w:tcW w:w="1137" w:type="dxa"/>
            <w:tcBorders>
              <w:top w:val="nil"/>
              <w:left w:val="nil"/>
              <w:bottom w:val="single" w:sz="4" w:space="0" w:color="auto"/>
              <w:right w:val="single" w:sz="4" w:space="0" w:color="auto"/>
            </w:tcBorders>
            <w:shd w:val="clear" w:color="auto" w:fill="auto"/>
            <w:noWrap/>
            <w:vAlign w:val="bottom"/>
            <w:hideMark/>
          </w:tcPr>
          <w:p w14:paraId="3FD6FA2F"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214,30</w:t>
            </w:r>
          </w:p>
        </w:tc>
        <w:tc>
          <w:tcPr>
            <w:tcW w:w="1273" w:type="dxa"/>
            <w:tcBorders>
              <w:top w:val="nil"/>
              <w:left w:val="nil"/>
              <w:bottom w:val="single" w:sz="4" w:space="0" w:color="auto"/>
              <w:right w:val="single" w:sz="4" w:space="0" w:color="auto"/>
            </w:tcBorders>
            <w:shd w:val="clear" w:color="auto" w:fill="auto"/>
            <w:noWrap/>
            <w:vAlign w:val="bottom"/>
            <w:hideMark/>
          </w:tcPr>
          <w:p w14:paraId="3548B3FE"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181,63</w:t>
            </w:r>
          </w:p>
        </w:tc>
        <w:tc>
          <w:tcPr>
            <w:tcW w:w="1134" w:type="dxa"/>
            <w:tcBorders>
              <w:top w:val="nil"/>
              <w:left w:val="nil"/>
              <w:bottom w:val="single" w:sz="4" w:space="0" w:color="auto"/>
              <w:right w:val="single" w:sz="4" w:space="0" w:color="auto"/>
            </w:tcBorders>
            <w:shd w:val="clear" w:color="auto" w:fill="auto"/>
            <w:noWrap/>
            <w:vAlign w:val="bottom"/>
            <w:hideMark/>
          </w:tcPr>
          <w:p w14:paraId="412DE5B9"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18D2CADE"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69BD6643"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2208FA5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4,72</w:t>
            </w:r>
          </w:p>
        </w:tc>
        <w:tc>
          <w:tcPr>
            <w:tcW w:w="944" w:type="dxa"/>
            <w:tcBorders>
              <w:top w:val="nil"/>
              <w:left w:val="nil"/>
              <w:bottom w:val="single" w:sz="4" w:space="0" w:color="auto"/>
              <w:right w:val="single" w:sz="4" w:space="0" w:color="auto"/>
            </w:tcBorders>
            <w:shd w:val="clear" w:color="auto" w:fill="auto"/>
            <w:noWrap/>
            <w:vAlign w:val="bottom"/>
            <w:hideMark/>
          </w:tcPr>
          <w:p w14:paraId="4D78F24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484,88</w:t>
            </w:r>
          </w:p>
        </w:tc>
      </w:tr>
      <w:tr w:rsidR="006A0356" w:rsidRPr="008860BA" w14:paraId="619E507F"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28F60C9A"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Produse sanguine</w:t>
            </w:r>
          </w:p>
        </w:tc>
        <w:tc>
          <w:tcPr>
            <w:tcW w:w="673" w:type="dxa"/>
            <w:tcBorders>
              <w:top w:val="nil"/>
              <w:left w:val="nil"/>
              <w:bottom w:val="single" w:sz="4" w:space="0" w:color="auto"/>
              <w:right w:val="single" w:sz="4" w:space="0" w:color="auto"/>
            </w:tcBorders>
            <w:shd w:val="clear" w:color="auto" w:fill="auto"/>
            <w:noWrap/>
            <w:vAlign w:val="bottom"/>
            <w:hideMark/>
          </w:tcPr>
          <w:p w14:paraId="024E3B7A"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0E4C6E65"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75" w:type="dxa"/>
            <w:tcBorders>
              <w:top w:val="nil"/>
              <w:left w:val="nil"/>
              <w:bottom w:val="single" w:sz="4" w:space="0" w:color="auto"/>
              <w:right w:val="single" w:sz="4" w:space="0" w:color="auto"/>
            </w:tcBorders>
            <w:shd w:val="clear" w:color="auto" w:fill="auto"/>
            <w:noWrap/>
            <w:vAlign w:val="bottom"/>
            <w:hideMark/>
          </w:tcPr>
          <w:p w14:paraId="2533DF9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7" w:type="dxa"/>
            <w:tcBorders>
              <w:top w:val="nil"/>
              <w:left w:val="nil"/>
              <w:bottom w:val="single" w:sz="4" w:space="0" w:color="auto"/>
              <w:right w:val="single" w:sz="4" w:space="0" w:color="auto"/>
            </w:tcBorders>
            <w:shd w:val="clear" w:color="auto" w:fill="auto"/>
            <w:hideMark/>
          </w:tcPr>
          <w:p w14:paraId="5214F4CD"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73" w:type="dxa"/>
            <w:tcBorders>
              <w:top w:val="nil"/>
              <w:left w:val="nil"/>
              <w:bottom w:val="single" w:sz="4" w:space="0" w:color="auto"/>
              <w:right w:val="single" w:sz="4" w:space="0" w:color="auto"/>
            </w:tcBorders>
            <w:shd w:val="clear" w:color="auto" w:fill="auto"/>
            <w:noWrap/>
            <w:vAlign w:val="bottom"/>
            <w:hideMark/>
          </w:tcPr>
          <w:p w14:paraId="0900339E"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C8F163"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22E15DA0"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3AD183DD"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12BC8CB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44" w:type="dxa"/>
            <w:tcBorders>
              <w:top w:val="nil"/>
              <w:left w:val="nil"/>
              <w:bottom w:val="single" w:sz="4" w:space="0" w:color="auto"/>
              <w:right w:val="single" w:sz="4" w:space="0" w:color="auto"/>
            </w:tcBorders>
            <w:shd w:val="clear" w:color="auto" w:fill="auto"/>
            <w:hideMark/>
          </w:tcPr>
          <w:p w14:paraId="666F946F"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A0356" w:rsidRPr="008860BA" w14:paraId="54254814"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118300BD" w14:textId="0D6D2258" w:rsidR="006A0356" w:rsidRPr="008860BA" w:rsidRDefault="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Protec</w:t>
            </w:r>
            <w:r w:rsidR="00E10604"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ia muncii (produse alimentare)</w:t>
            </w:r>
          </w:p>
        </w:tc>
        <w:tc>
          <w:tcPr>
            <w:tcW w:w="673" w:type="dxa"/>
            <w:tcBorders>
              <w:top w:val="nil"/>
              <w:left w:val="nil"/>
              <w:bottom w:val="single" w:sz="4" w:space="0" w:color="auto"/>
              <w:right w:val="single" w:sz="4" w:space="0" w:color="auto"/>
            </w:tcBorders>
            <w:shd w:val="clear" w:color="auto" w:fill="auto"/>
            <w:noWrap/>
            <w:vAlign w:val="bottom"/>
            <w:hideMark/>
          </w:tcPr>
          <w:p w14:paraId="69C01C03"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09FF98A1"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283,73</w:t>
            </w:r>
          </w:p>
        </w:tc>
        <w:tc>
          <w:tcPr>
            <w:tcW w:w="1275" w:type="dxa"/>
            <w:tcBorders>
              <w:top w:val="nil"/>
              <w:left w:val="nil"/>
              <w:bottom w:val="single" w:sz="4" w:space="0" w:color="auto"/>
              <w:right w:val="single" w:sz="4" w:space="0" w:color="auto"/>
            </w:tcBorders>
            <w:shd w:val="clear" w:color="auto" w:fill="auto"/>
            <w:noWrap/>
            <w:vAlign w:val="bottom"/>
            <w:hideMark/>
          </w:tcPr>
          <w:p w14:paraId="2D8EFD6E"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283,73</w:t>
            </w:r>
          </w:p>
        </w:tc>
        <w:tc>
          <w:tcPr>
            <w:tcW w:w="1137" w:type="dxa"/>
            <w:tcBorders>
              <w:top w:val="nil"/>
              <w:left w:val="nil"/>
              <w:bottom w:val="single" w:sz="4" w:space="0" w:color="auto"/>
              <w:right w:val="single" w:sz="4" w:space="0" w:color="auto"/>
            </w:tcBorders>
            <w:shd w:val="clear" w:color="auto" w:fill="auto"/>
            <w:noWrap/>
            <w:vAlign w:val="bottom"/>
            <w:hideMark/>
          </w:tcPr>
          <w:p w14:paraId="619D2D7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283,73</w:t>
            </w:r>
          </w:p>
        </w:tc>
        <w:tc>
          <w:tcPr>
            <w:tcW w:w="1273" w:type="dxa"/>
            <w:tcBorders>
              <w:top w:val="nil"/>
              <w:left w:val="nil"/>
              <w:bottom w:val="single" w:sz="4" w:space="0" w:color="auto"/>
              <w:right w:val="single" w:sz="4" w:space="0" w:color="auto"/>
            </w:tcBorders>
            <w:shd w:val="clear" w:color="auto" w:fill="auto"/>
            <w:noWrap/>
            <w:vAlign w:val="bottom"/>
            <w:hideMark/>
          </w:tcPr>
          <w:p w14:paraId="65E70E0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11A816"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7C6A3EC3"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12F6B8E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1E20255A"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44" w:type="dxa"/>
            <w:tcBorders>
              <w:top w:val="nil"/>
              <w:left w:val="nil"/>
              <w:bottom w:val="single" w:sz="4" w:space="0" w:color="auto"/>
              <w:right w:val="single" w:sz="4" w:space="0" w:color="auto"/>
            </w:tcBorders>
            <w:shd w:val="clear" w:color="auto" w:fill="auto"/>
            <w:hideMark/>
          </w:tcPr>
          <w:p w14:paraId="5245A059"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A0356" w:rsidRPr="008860BA" w14:paraId="2A67AFDB"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354B07A0" w14:textId="69FF2C3F"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Rambursarea garan</w:t>
            </w:r>
            <w:r w:rsidR="00B13B9A"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iei de ofertă</w:t>
            </w:r>
          </w:p>
        </w:tc>
        <w:tc>
          <w:tcPr>
            <w:tcW w:w="673" w:type="dxa"/>
            <w:tcBorders>
              <w:top w:val="nil"/>
              <w:left w:val="nil"/>
              <w:bottom w:val="single" w:sz="4" w:space="0" w:color="auto"/>
              <w:right w:val="single" w:sz="4" w:space="0" w:color="auto"/>
            </w:tcBorders>
            <w:shd w:val="clear" w:color="auto" w:fill="auto"/>
            <w:noWrap/>
            <w:vAlign w:val="bottom"/>
            <w:hideMark/>
          </w:tcPr>
          <w:p w14:paraId="1A704F3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619C568F"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35,40</w:t>
            </w:r>
          </w:p>
        </w:tc>
        <w:tc>
          <w:tcPr>
            <w:tcW w:w="1275" w:type="dxa"/>
            <w:tcBorders>
              <w:top w:val="nil"/>
              <w:left w:val="nil"/>
              <w:bottom w:val="single" w:sz="4" w:space="0" w:color="auto"/>
              <w:right w:val="single" w:sz="4" w:space="0" w:color="auto"/>
            </w:tcBorders>
            <w:shd w:val="clear" w:color="auto" w:fill="auto"/>
            <w:noWrap/>
            <w:vAlign w:val="bottom"/>
            <w:hideMark/>
          </w:tcPr>
          <w:p w14:paraId="45B19AC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35,40</w:t>
            </w:r>
          </w:p>
        </w:tc>
        <w:tc>
          <w:tcPr>
            <w:tcW w:w="1137" w:type="dxa"/>
            <w:tcBorders>
              <w:top w:val="nil"/>
              <w:left w:val="nil"/>
              <w:bottom w:val="single" w:sz="4" w:space="0" w:color="auto"/>
              <w:right w:val="single" w:sz="4" w:space="0" w:color="auto"/>
            </w:tcBorders>
            <w:shd w:val="clear" w:color="auto" w:fill="auto"/>
            <w:noWrap/>
            <w:vAlign w:val="bottom"/>
            <w:hideMark/>
          </w:tcPr>
          <w:p w14:paraId="498B43D8"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73" w:type="dxa"/>
            <w:tcBorders>
              <w:top w:val="nil"/>
              <w:left w:val="nil"/>
              <w:bottom w:val="single" w:sz="4" w:space="0" w:color="auto"/>
              <w:right w:val="single" w:sz="4" w:space="0" w:color="auto"/>
            </w:tcBorders>
            <w:shd w:val="clear" w:color="auto" w:fill="auto"/>
            <w:noWrap/>
            <w:vAlign w:val="bottom"/>
            <w:hideMark/>
          </w:tcPr>
          <w:p w14:paraId="7EB68BDC"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206152"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41425DEE"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2A1A56D1"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4F816438"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44" w:type="dxa"/>
            <w:tcBorders>
              <w:top w:val="nil"/>
              <w:left w:val="nil"/>
              <w:bottom w:val="single" w:sz="4" w:space="0" w:color="auto"/>
              <w:right w:val="single" w:sz="4" w:space="0" w:color="auto"/>
            </w:tcBorders>
            <w:shd w:val="clear" w:color="auto" w:fill="auto"/>
            <w:noWrap/>
            <w:vAlign w:val="bottom"/>
            <w:hideMark/>
          </w:tcPr>
          <w:p w14:paraId="31EE9F72"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35,40</w:t>
            </w:r>
          </w:p>
        </w:tc>
      </w:tr>
      <w:tr w:rsidR="006A0356" w:rsidRPr="008860BA" w14:paraId="2590F92C"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66D23D6C"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Rechizite de birou</w:t>
            </w:r>
          </w:p>
        </w:tc>
        <w:tc>
          <w:tcPr>
            <w:tcW w:w="673" w:type="dxa"/>
            <w:tcBorders>
              <w:top w:val="nil"/>
              <w:left w:val="nil"/>
              <w:bottom w:val="single" w:sz="4" w:space="0" w:color="auto"/>
              <w:right w:val="single" w:sz="4" w:space="0" w:color="auto"/>
            </w:tcBorders>
            <w:shd w:val="clear" w:color="auto" w:fill="auto"/>
            <w:noWrap/>
            <w:vAlign w:val="bottom"/>
            <w:hideMark/>
          </w:tcPr>
          <w:p w14:paraId="2A8B4269"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3B7F7862"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113,28</w:t>
            </w:r>
          </w:p>
        </w:tc>
        <w:tc>
          <w:tcPr>
            <w:tcW w:w="1275" w:type="dxa"/>
            <w:tcBorders>
              <w:top w:val="nil"/>
              <w:left w:val="nil"/>
              <w:bottom w:val="single" w:sz="4" w:space="0" w:color="auto"/>
              <w:right w:val="single" w:sz="4" w:space="0" w:color="auto"/>
            </w:tcBorders>
            <w:shd w:val="clear" w:color="auto" w:fill="auto"/>
            <w:noWrap/>
            <w:vAlign w:val="bottom"/>
            <w:hideMark/>
          </w:tcPr>
          <w:p w14:paraId="243A10F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113,28</w:t>
            </w:r>
          </w:p>
        </w:tc>
        <w:tc>
          <w:tcPr>
            <w:tcW w:w="1137" w:type="dxa"/>
            <w:tcBorders>
              <w:top w:val="nil"/>
              <w:left w:val="nil"/>
              <w:bottom w:val="single" w:sz="4" w:space="0" w:color="auto"/>
              <w:right w:val="single" w:sz="4" w:space="0" w:color="auto"/>
            </w:tcBorders>
            <w:shd w:val="clear" w:color="auto" w:fill="auto"/>
            <w:noWrap/>
            <w:vAlign w:val="bottom"/>
            <w:hideMark/>
          </w:tcPr>
          <w:p w14:paraId="62A95A2C"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112,98</w:t>
            </w:r>
          </w:p>
        </w:tc>
        <w:tc>
          <w:tcPr>
            <w:tcW w:w="1273" w:type="dxa"/>
            <w:tcBorders>
              <w:top w:val="nil"/>
              <w:left w:val="nil"/>
              <w:bottom w:val="single" w:sz="4" w:space="0" w:color="auto"/>
              <w:right w:val="single" w:sz="4" w:space="0" w:color="auto"/>
            </w:tcBorders>
            <w:shd w:val="clear" w:color="auto" w:fill="auto"/>
            <w:noWrap/>
            <w:vAlign w:val="bottom"/>
            <w:hideMark/>
          </w:tcPr>
          <w:p w14:paraId="15F53BA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FE3E32"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63A4FDC5"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4BA8674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168EDA2C"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0,30</w:t>
            </w:r>
          </w:p>
        </w:tc>
        <w:tc>
          <w:tcPr>
            <w:tcW w:w="944" w:type="dxa"/>
            <w:tcBorders>
              <w:top w:val="nil"/>
              <w:left w:val="nil"/>
              <w:bottom w:val="single" w:sz="4" w:space="0" w:color="auto"/>
              <w:right w:val="single" w:sz="4" w:space="0" w:color="auto"/>
            </w:tcBorders>
            <w:shd w:val="clear" w:color="auto" w:fill="auto"/>
            <w:hideMark/>
          </w:tcPr>
          <w:p w14:paraId="0154997D"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0,00</w:t>
            </w:r>
          </w:p>
        </w:tc>
      </w:tr>
      <w:tr w:rsidR="006A0356" w:rsidRPr="008860BA" w14:paraId="63916580"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45B3DFA2"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Remunerarea muncii</w:t>
            </w:r>
          </w:p>
        </w:tc>
        <w:tc>
          <w:tcPr>
            <w:tcW w:w="673" w:type="dxa"/>
            <w:tcBorders>
              <w:top w:val="nil"/>
              <w:left w:val="nil"/>
              <w:bottom w:val="single" w:sz="4" w:space="0" w:color="auto"/>
              <w:right w:val="single" w:sz="4" w:space="0" w:color="auto"/>
            </w:tcBorders>
            <w:shd w:val="clear" w:color="auto" w:fill="auto"/>
            <w:noWrap/>
            <w:vAlign w:val="bottom"/>
            <w:hideMark/>
          </w:tcPr>
          <w:p w14:paraId="2097163E"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5F3D1626"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65.165,48</w:t>
            </w:r>
          </w:p>
        </w:tc>
        <w:tc>
          <w:tcPr>
            <w:tcW w:w="1275" w:type="dxa"/>
            <w:tcBorders>
              <w:top w:val="nil"/>
              <w:left w:val="nil"/>
              <w:bottom w:val="single" w:sz="4" w:space="0" w:color="auto"/>
              <w:right w:val="single" w:sz="4" w:space="0" w:color="auto"/>
            </w:tcBorders>
            <w:shd w:val="clear" w:color="auto" w:fill="auto"/>
            <w:noWrap/>
            <w:vAlign w:val="bottom"/>
            <w:hideMark/>
          </w:tcPr>
          <w:p w14:paraId="4587908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65.165,48</w:t>
            </w:r>
          </w:p>
        </w:tc>
        <w:tc>
          <w:tcPr>
            <w:tcW w:w="1137" w:type="dxa"/>
            <w:tcBorders>
              <w:top w:val="nil"/>
              <w:left w:val="nil"/>
              <w:bottom w:val="single" w:sz="4" w:space="0" w:color="auto"/>
              <w:right w:val="single" w:sz="4" w:space="0" w:color="auto"/>
            </w:tcBorders>
            <w:shd w:val="clear" w:color="auto" w:fill="auto"/>
            <w:noWrap/>
            <w:vAlign w:val="bottom"/>
            <w:hideMark/>
          </w:tcPr>
          <w:p w14:paraId="7CC0C4B6"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50.569,32</w:t>
            </w:r>
          </w:p>
        </w:tc>
        <w:tc>
          <w:tcPr>
            <w:tcW w:w="1273" w:type="dxa"/>
            <w:tcBorders>
              <w:top w:val="nil"/>
              <w:left w:val="nil"/>
              <w:bottom w:val="single" w:sz="4" w:space="0" w:color="auto"/>
              <w:right w:val="single" w:sz="4" w:space="0" w:color="auto"/>
            </w:tcBorders>
            <w:shd w:val="clear" w:color="auto" w:fill="auto"/>
            <w:noWrap/>
            <w:vAlign w:val="bottom"/>
            <w:hideMark/>
          </w:tcPr>
          <w:p w14:paraId="0A477E5F"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125,85</w:t>
            </w:r>
          </w:p>
        </w:tc>
        <w:tc>
          <w:tcPr>
            <w:tcW w:w="1134" w:type="dxa"/>
            <w:tcBorders>
              <w:top w:val="nil"/>
              <w:left w:val="nil"/>
              <w:bottom w:val="single" w:sz="4" w:space="0" w:color="auto"/>
              <w:right w:val="single" w:sz="4" w:space="0" w:color="auto"/>
            </w:tcBorders>
            <w:shd w:val="clear" w:color="auto" w:fill="auto"/>
            <w:noWrap/>
            <w:vAlign w:val="bottom"/>
            <w:hideMark/>
          </w:tcPr>
          <w:p w14:paraId="73C7A68D"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4D4D573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9.274,46</w:t>
            </w:r>
          </w:p>
        </w:tc>
        <w:tc>
          <w:tcPr>
            <w:tcW w:w="853" w:type="dxa"/>
            <w:tcBorders>
              <w:top w:val="nil"/>
              <w:left w:val="nil"/>
              <w:bottom w:val="single" w:sz="4" w:space="0" w:color="auto"/>
              <w:right w:val="single" w:sz="4" w:space="0" w:color="auto"/>
            </w:tcBorders>
            <w:shd w:val="clear" w:color="auto" w:fill="auto"/>
            <w:noWrap/>
            <w:vAlign w:val="bottom"/>
            <w:hideMark/>
          </w:tcPr>
          <w:p w14:paraId="2B18040B"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1.808,85</w:t>
            </w:r>
          </w:p>
        </w:tc>
        <w:tc>
          <w:tcPr>
            <w:tcW w:w="853" w:type="dxa"/>
            <w:tcBorders>
              <w:top w:val="nil"/>
              <w:left w:val="nil"/>
              <w:bottom w:val="single" w:sz="4" w:space="0" w:color="auto"/>
              <w:right w:val="single" w:sz="4" w:space="0" w:color="auto"/>
            </w:tcBorders>
            <w:shd w:val="clear" w:color="auto" w:fill="auto"/>
            <w:noWrap/>
            <w:vAlign w:val="bottom"/>
            <w:hideMark/>
          </w:tcPr>
          <w:p w14:paraId="535FE7C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459,56</w:t>
            </w:r>
          </w:p>
        </w:tc>
        <w:tc>
          <w:tcPr>
            <w:tcW w:w="944" w:type="dxa"/>
            <w:tcBorders>
              <w:top w:val="nil"/>
              <w:left w:val="nil"/>
              <w:bottom w:val="single" w:sz="4" w:space="0" w:color="auto"/>
              <w:right w:val="single" w:sz="4" w:space="0" w:color="auto"/>
            </w:tcBorders>
            <w:shd w:val="clear" w:color="auto" w:fill="auto"/>
            <w:noWrap/>
            <w:vAlign w:val="bottom"/>
            <w:hideMark/>
          </w:tcPr>
          <w:p w14:paraId="214B5F3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2.927,44</w:t>
            </w:r>
          </w:p>
        </w:tc>
      </w:tr>
      <w:tr w:rsidR="006A0356" w:rsidRPr="008860BA" w14:paraId="582EF63B"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5BEFBE22" w14:textId="7E8D171D" w:rsidR="006A0356" w:rsidRPr="008860BA" w:rsidRDefault="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Repara</w:t>
            </w:r>
            <w:r w:rsidR="00E10604"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ia curent</w:t>
            </w:r>
            <w:r w:rsidR="00E10604" w:rsidRPr="008860BA">
              <w:rPr>
                <w:rFonts w:asciiTheme="majorHAnsi" w:eastAsia="Times New Roman" w:hAnsiTheme="majorHAnsi" w:cstheme="majorHAnsi"/>
                <w:sz w:val="18"/>
                <w:szCs w:val="18"/>
                <w:lang w:val="ro-MD"/>
              </w:rPr>
              <w:t>ă</w:t>
            </w:r>
            <w:r w:rsidRPr="008860BA">
              <w:rPr>
                <w:rFonts w:asciiTheme="majorHAnsi" w:eastAsia="Times New Roman" w:hAnsiTheme="majorHAnsi" w:cstheme="majorHAnsi"/>
                <w:sz w:val="18"/>
                <w:szCs w:val="18"/>
                <w:lang w:val="ro-MD"/>
              </w:rPr>
              <w:t xml:space="preserve"> </w:t>
            </w:r>
            <w:r w:rsidR="00E10604" w:rsidRPr="008860BA">
              <w:rPr>
                <w:rFonts w:asciiTheme="majorHAnsi" w:eastAsia="Times New Roman" w:hAnsiTheme="majorHAnsi" w:cstheme="majorHAnsi"/>
                <w:sz w:val="18"/>
                <w:szCs w:val="18"/>
                <w:lang w:val="ro-MD"/>
              </w:rPr>
              <w:t>ș</w:t>
            </w:r>
            <w:r w:rsidRPr="008860BA">
              <w:rPr>
                <w:rFonts w:asciiTheme="majorHAnsi" w:eastAsia="Times New Roman" w:hAnsiTheme="majorHAnsi" w:cstheme="majorHAnsi"/>
                <w:sz w:val="18"/>
                <w:szCs w:val="18"/>
                <w:lang w:val="ro-MD"/>
              </w:rPr>
              <w:t>i deservirea MF</w:t>
            </w:r>
          </w:p>
        </w:tc>
        <w:tc>
          <w:tcPr>
            <w:tcW w:w="673" w:type="dxa"/>
            <w:tcBorders>
              <w:top w:val="nil"/>
              <w:left w:val="nil"/>
              <w:bottom w:val="single" w:sz="4" w:space="0" w:color="auto"/>
              <w:right w:val="single" w:sz="4" w:space="0" w:color="auto"/>
            </w:tcBorders>
            <w:shd w:val="clear" w:color="auto" w:fill="auto"/>
            <w:noWrap/>
            <w:vAlign w:val="bottom"/>
            <w:hideMark/>
          </w:tcPr>
          <w:p w14:paraId="175E0801"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0D65C630"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892,50</w:t>
            </w:r>
          </w:p>
        </w:tc>
        <w:tc>
          <w:tcPr>
            <w:tcW w:w="1275" w:type="dxa"/>
            <w:tcBorders>
              <w:top w:val="nil"/>
              <w:left w:val="nil"/>
              <w:bottom w:val="single" w:sz="4" w:space="0" w:color="auto"/>
              <w:right w:val="single" w:sz="4" w:space="0" w:color="auto"/>
            </w:tcBorders>
            <w:shd w:val="clear" w:color="auto" w:fill="auto"/>
            <w:noWrap/>
            <w:vAlign w:val="bottom"/>
            <w:hideMark/>
          </w:tcPr>
          <w:p w14:paraId="1470DF48"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892,50</w:t>
            </w:r>
          </w:p>
        </w:tc>
        <w:tc>
          <w:tcPr>
            <w:tcW w:w="1137" w:type="dxa"/>
            <w:tcBorders>
              <w:top w:val="nil"/>
              <w:left w:val="nil"/>
              <w:bottom w:val="single" w:sz="4" w:space="0" w:color="auto"/>
              <w:right w:val="single" w:sz="4" w:space="0" w:color="auto"/>
            </w:tcBorders>
            <w:shd w:val="clear" w:color="auto" w:fill="auto"/>
            <w:noWrap/>
            <w:vAlign w:val="bottom"/>
            <w:hideMark/>
          </w:tcPr>
          <w:p w14:paraId="49327757"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757,72</w:t>
            </w:r>
          </w:p>
        </w:tc>
        <w:tc>
          <w:tcPr>
            <w:tcW w:w="1273" w:type="dxa"/>
            <w:tcBorders>
              <w:top w:val="nil"/>
              <w:left w:val="nil"/>
              <w:bottom w:val="single" w:sz="4" w:space="0" w:color="auto"/>
              <w:right w:val="single" w:sz="4" w:space="0" w:color="auto"/>
            </w:tcBorders>
            <w:shd w:val="clear" w:color="auto" w:fill="auto"/>
            <w:noWrap/>
            <w:vAlign w:val="bottom"/>
            <w:hideMark/>
          </w:tcPr>
          <w:p w14:paraId="30192890"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86,04</w:t>
            </w:r>
          </w:p>
        </w:tc>
        <w:tc>
          <w:tcPr>
            <w:tcW w:w="1134" w:type="dxa"/>
            <w:tcBorders>
              <w:top w:val="nil"/>
              <w:left w:val="nil"/>
              <w:bottom w:val="single" w:sz="4" w:space="0" w:color="auto"/>
              <w:right w:val="single" w:sz="4" w:space="0" w:color="auto"/>
            </w:tcBorders>
            <w:shd w:val="clear" w:color="auto" w:fill="auto"/>
            <w:noWrap/>
            <w:vAlign w:val="bottom"/>
            <w:hideMark/>
          </w:tcPr>
          <w:p w14:paraId="5035DBA0"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3D37759F"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3,57</w:t>
            </w:r>
          </w:p>
        </w:tc>
        <w:tc>
          <w:tcPr>
            <w:tcW w:w="853" w:type="dxa"/>
            <w:tcBorders>
              <w:top w:val="nil"/>
              <w:left w:val="nil"/>
              <w:bottom w:val="single" w:sz="4" w:space="0" w:color="auto"/>
              <w:right w:val="single" w:sz="4" w:space="0" w:color="auto"/>
            </w:tcBorders>
            <w:shd w:val="clear" w:color="auto" w:fill="auto"/>
            <w:noWrap/>
            <w:vAlign w:val="bottom"/>
            <w:hideMark/>
          </w:tcPr>
          <w:p w14:paraId="13A82F3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36279A9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29,01</w:t>
            </w:r>
          </w:p>
        </w:tc>
        <w:tc>
          <w:tcPr>
            <w:tcW w:w="944" w:type="dxa"/>
            <w:tcBorders>
              <w:top w:val="nil"/>
              <w:left w:val="nil"/>
              <w:bottom w:val="single" w:sz="4" w:space="0" w:color="auto"/>
              <w:right w:val="single" w:sz="4" w:space="0" w:color="auto"/>
            </w:tcBorders>
            <w:shd w:val="clear" w:color="auto" w:fill="auto"/>
            <w:noWrap/>
            <w:vAlign w:val="bottom"/>
            <w:hideMark/>
          </w:tcPr>
          <w:p w14:paraId="286224EA"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16,16</w:t>
            </w:r>
          </w:p>
        </w:tc>
      </w:tr>
      <w:tr w:rsidR="006A0356" w:rsidRPr="008860BA" w14:paraId="4B660D36"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1CA90B61" w14:textId="05BCB6BD" w:rsidR="006A0356" w:rsidRPr="008860BA" w:rsidRDefault="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Salubritatea, evacuarea de</w:t>
            </w:r>
            <w:r w:rsidR="00E10604" w:rsidRPr="008860BA">
              <w:rPr>
                <w:rFonts w:asciiTheme="majorHAnsi" w:eastAsia="Times New Roman" w:hAnsiTheme="majorHAnsi" w:cstheme="majorHAnsi"/>
                <w:sz w:val="18"/>
                <w:szCs w:val="18"/>
                <w:lang w:val="ro-MD"/>
              </w:rPr>
              <w:t>ș</w:t>
            </w:r>
            <w:r w:rsidRPr="008860BA">
              <w:rPr>
                <w:rFonts w:asciiTheme="majorHAnsi" w:eastAsia="Times New Roman" w:hAnsiTheme="majorHAnsi" w:cstheme="majorHAnsi"/>
                <w:sz w:val="18"/>
                <w:szCs w:val="18"/>
                <w:lang w:val="ro-MD"/>
              </w:rPr>
              <w:t xml:space="preserve">eurilor </w:t>
            </w:r>
          </w:p>
        </w:tc>
        <w:tc>
          <w:tcPr>
            <w:tcW w:w="673" w:type="dxa"/>
            <w:tcBorders>
              <w:top w:val="nil"/>
              <w:left w:val="nil"/>
              <w:bottom w:val="single" w:sz="4" w:space="0" w:color="auto"/>
              <w:right w:val="single" w:sz="4" w:space="0" w:color="auto"/>
            </w:tcBorders>
            <w:shd w:val="clear" w:color="auto" w:fill="auto"/>
            <w:noWrap/>
            <w:vAlign w:val="bottom"/>
            <w:hideMark/>
          </w:tcPr>
          <w:p w14:paraId="1C2648D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03C4B686"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299,50</w:t>
            </w:r>
          </w:p>
        </w:tc>
        <w:tc>
          <w:tcPr>
            <w:tcW w:w="1275" w:type="dxa"/>
            <w:tcBorders>
              <w:top w:val="nil"/>
              <w:left w:val="nil"/>
              <w:bottom w:val="single" w:sz="4" w:space="0" w:color="auto"/>
              <w:right w:val="single" w:sz="4" w:space="0" w:color="auto"/>
            </w:tcBorders>
            <w:shd w:val="clear" w:color="auto" w:fill="auto"/>
            <w:noWrap/>
            <w:vAlign w:val="bottom"/>
            <w:hideMark/>
          </w:tcPr>
          <w:p w14:paraId="2C9AED6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299,50</w:t>
            </w:r>
          </w:p>
        </w:tc>
        <w:tc>
          <w:tcPr>
            <w:tcW w:w="1137" w:type="dxa"/>
            <w:tcBorders>
              <w:top w:val="nil"/>
              <w:left w:val="nil"/>
              <w:bottom w:val="single" w:sz="4" w:space="0" w:color="auto"/>
              <w:right w:val="single" w:sz="4" w:space="0" w:color="auto"/>
            </w:tcBorders>
            <w:shd w:val="clear" w:color="auto" w:fill="auto"/>
            <w:noWrap/>
            <w:vAlign w:val="bottom"/>
            <w:hideMark/>
          </w:tcPr>
          <w:p w14:paraId="4E9331A8"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203,50</w:t>
            </w:r>
          </w:p>
        </w:tc>
        <w:tc>
          <w:tcPr>
            <w:tcW w:w="1273" w:type="dxa"/>
            <w:tcBorders>
              <w:top w:val="nil"/>
              <w:left w:val="nil"/>
              <w:bottom w:val="single" w:sz="4" w:space="0" w:color="auto"/>
              <w:right w:val="single" w:sz="4" w:space="0" w:color="auto"/>
            </w:tcBorders>
            <w:shd w:val="clear" w:color="auto" w:fill="auto"/>
            <w:noWrap/>
            <w:vAlign w:val="bottom"/>
            <w:hideMark/>
          </w:tcPr>
          <w:p w14:paraId="7FE4E9AC"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E55E0E"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7955E838"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96,00</w:t>
            </w:r>
          </w:p>
        </w:tc>
        <w:tc>
          <w:tcPr>
            <w:tcW w:w="853" w:type="dxa"/>
            <w:tcBorders>
              <w:top w:val="nil"/>
              <w:left w:val="nil"/>
              <w:bottom w:val="single" w:sz="4" w:space="0" w:color="auto"/>
              <w:right w:val="single" w:sz="4" w:space="0" w:color="auto"/>
            </w:tcBorders>
            <w:shd w:val="clear" w:color="auto" w:fill="auto"/>
            <w:noWrap/>
            <w:vAlign w:val="bottom"/>
            <w:hideMark/>
          </w:tcPr>
          <w:p w14:paraId="6FBAA1D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65DF3B06"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44" w:type="dxa"/>
            <w:tcBorders>
              <w:top w:val="nil"/>
              <w:left w:val="nil"/>
              <w:bottom w:val="single" w:sz="4" w:space="0" w:color="auto"/>
              <w:right w:val="single" w:sz="4" w:space="0" w:color="auto"/>
            </w:tcBorders>
            <w:shd w:val="clear" w:color="auto" w:fill="auto"/>
            <w:noWrap/>
            <w:vAlign w:val="bottom"/>
            <w:hideMark/>
          </w:tcPr>
          <w:p w14:paraId="3FE83C82"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A0356" w:rsidRPr="008860BA" w14:paraId="2DE6CADD"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25159D1F"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xml:space="preserve">Servicii medicale </w:t>
            </w:r>
          </w:p>
        </w:tc>
        <w:tc>
          <w:tcPr>
            <w:tcW w:w="673" w:type="dxa"/>
            <w:tcBorders>
              <w:top w:val="nil"/>
              <w:left w:val="nil"/>
              <w:bottom w:val="single" w:sz="4" w:space="0" w:color="auto"/>
              <w:right w:val="single" w:sz="4" w:space="0" w:color="auto"/>
            </w:tcBorders>
            <w:shd w:val="clear" w:color="auto" w:fill="auto"/>
            <w:noWrap/>
            <w:vAlign w:val="bottom"/>
            <w:hideMark/>
          </w:tcPr>
          <w:p w14:paraId="49397332"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3C052333"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355,12</w:t>
            </w:r>
          </w:p>
        </w:tc>
        <w:tc>
          <w:tcPr>
            <w:tcW w:w="1275" w:type="dxa"/>
            <w:tcBorders>
              <w:top w:val="nil"/>
              <w:left w:val="nil"/>
              <w:bottom w:val="single" w:sz="4" w:space="0" w:color="auto"/>
              <w:right w:val="single" w:sz="4" w:space="0" w:color="auto"/>
            </w:tcBorders>
            <w:shd w:val="clear" w:color="auto" w:fill="auto"/>
            <w:noWrap/>
            <w:vAlign w:val="bottom"/>
            <w:hideMark/>
          </w:tcPr>
          <w:p w14:paraId="2C2433CB"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355,12</w:t>
            </w:r>
          </w:p>
        </w:tc>
        <w:tc>
          <w:tcPr>
            <w:tcW w:w="1137" w:type="dxa"/>
            <w:tcBorders>
              <w:top w:val="nil"/>
              <w:left w:val="nil"/>
              <w:bottom w:val="single" w:sz="4" w:space="0" w:color="auto"/>
              <w:right w:val="single" w:sz="4" w:space="0" w:color="auto"/>
            </w:tcBorders>
            <w:shd w:val="clear" w:color="auto" w:fill="auto"/>
            <w:noWrap/>
            <w:vAlign w:val="bottom"/>
            <w:hideMark/>
          </w:tcPr>
          <w:p w14:paraId="03E3CB8A"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335,85</w:t>
            </w:r>
          </w:p>
        </w:tc>
        <w:tc>
          <w:tcPr>
            <w:tcW w:w="1273" w:type="dxa"/>
            <w:tcBorders>
              <w:top w:val="nil"/>
              <w:left w:val="nil"/>
              <w:bottom w:val="single" w:sz="4" w:space="0" w:color="auto"/>
              <w:right w:val="single" w:sz="4" w:space="0" w:color="auto"/>
            </w:tcBorders>
            <w:shd w:val="clear" w:color="auto" w:fill="auto"/>
            <w:noWrap/>
            <w:vAlign w:val="bottom"/>
            <w:hideMark/>
          </w:tcPr>
          <w:p w14:paraId="550429F9"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CB222E"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5AEB07B1"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0592E7FF"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6FDADB2E"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10,77</w:t>
            </w:r>
          </w:p>
        </w:tc>
        <w:tc>
          <w:tcPr>
            <w:tcW w:w="944" w:type="dxa"/>
            <w:tcBorders>
              <w:top w:val="nil"/>
              <w:left w:val="nil"/>
              <w:bottom w:val="single" w:sz="4" w:space="0" w:color="auto"/>
              <w:right w:val="single" w:sz="4" w:space="0" w:color="auto"/>
            </w:tcBorders>
            <w:shd w:val="clear" w:color="auto" w:fill="auto"/>
            <w:noWrap/>
            <w:vAlign w:val="bottom"/>
            <w:hideMark/>
          </w:tcPr>
          <w:p w14:paraId="3A1760BB"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8,51</w:t>
            </w:r>
          </w:p>
        </w:tc>
      </w:tr>
      <w:tr w:rsidR="006A0356" w:rsidRPr="008860BA" w14:paraId="11B92B3B"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0A014D77" w14:textId="33BB263C" w:rsidR="006A0356" w:rsidRPr="008860BA" w:rsidRDefault="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Suport sistem informa</w:t>
            </w:r>
            <w:r w:rsidR="00E10604"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ional</w:t>
            </w:r>
          </w:p>
        </w:tc>
        <w:tc>
          <w:tcPr>
            <w:tcW w:w="673" w:type="dxa"/>
            <w:tcBorders>
              <w:top w:val="nil"/>
              <w:left w:val="nil"/>
              <w:bottom w:val="single" w:sz="4" w:space="0" w:color="auto"/>
              <w:right w:val="single" w:sz="4" w:space="0" w:color="auto"/>
            </w:tcBorders>
            <w:shd w:val="clear" w:color="auto" w:fill="auto"/>
            <w:noWrap/>
            <w:vAlign w:val="bottom"/>
            <w:hideMark/>
          </w:tcPr>
          <w:p w14:paraId="6F058526"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41D2087A"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261,60</w:t>
            </w:r>
          </w:p>
        </w:tc>
        <w:tc>
          <w:tcPr>
            <w:tcW w:w="1275" w:type="dxa"/>
            <w:tcBorders>
              <w:top w:val="nil"/>
              <w:left w:val="nil"/>
              <w:bottom w:val="single" w:sz="4" w:space="0" w:color="auto"/>
              <w:right w:val="single" w:sz="4" w:space="0" w:color="auto"/>
            </w:tcBorders>
            <w:shd w:val="clear" w:color="auto" w:fill="auto"/>
            <w:noWrap/>
            <w:vAlign w:val="bottom"/>
            <w:hideMark/>
          </w:tcPr>
          <w:p w14:paraId="319C0BF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261,60</w:t>
            </w:r>
          </w:p>
        </w:tc>
        <w:tc>
          <w:tcPr>
            <w:tcW w:w="1137" w:type="dxa"/>
            <w:tcBorders>
              <w:top w:val="nil"/>
              <w:left w:val="nil"/>
              <w:bottom w:val="single" w:sz="4" w:space="0" w:color="auto"/>
              <w:right w:val="single" w:sz="4" w:space="0" w:color="auto"/>
            </w:tcBorders>
            <w:shd w:val="clear" w:color="auto" w:fill="auto"/>
            <w:noWrap/>
            <w:vAlign w:val="bottom"/>
            <w:hideMark/>
          </w:tcPr>
          <w:p w14:paraId="4A839576"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261,60</w:t>
            </w:r>
          </w:p>
        </w:tc>
        <w:tc>
          <w:tcPr>
            <w:tcW w:w="1273" w:type="dxa"/>
            <w:tcBorders>
              <w:top w:val="nil"/>
              <w:left w:val="nil"/>
              <w:bottom w:val="single" w:sz="4" w:space="0" w:color="auto"/>
              <w:right w:val="single" w:sz="4" w:space="0" w:color="auto"/>
            </w:tcBorders>
            <w:shd w:val="clear" w:color="auto" w:fill="auto"/>
            <w:noWrap/>
            <w:vAlign w:val="bottom"/>
            <w:hideMark/>
          </w:tcPr>
          <w:p w14:paraId="3509B971"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1BFB4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39834A0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7CBBBEB6"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hideMark/>
          </w:tcPr>
          <w:p w14:paraId="499059F5"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944" w:type="dxa"/>
            <w:tcBorders>
              <w:top w:val="nil"/>
              <w:left w:val="nil"/>
              <w:bottom w:val="single" w:sz="4" w:space="0" w:color="auto"/>
              <w:right w:val="single" w:sz="4" w:space="0" w:color="auto"/>
            </w:tcBorders>
            <w:shd w:val="clear" w:color="auto" w:fill="auto"/>
            <w:noWrap/>
            <w:vAlign w:val="bottom"/>
            <w:hideMark/>
          </w:tcPr>
          <w:p w14:paraId="41D7E000"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A0356" w:rsidRPr="008860BA" w14:paraId="6D29BE90"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07BC3800"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Taxa pentru drepturile de import export</w:t>
            </w:r>
          </w:p>
        </w:tc>
        <w:tc>
          <w:tcPr>
            <w:tcW w:w="673" w:type="dxa"/>
            <w:tcBorders>
              <w:top w:val="nil"/>
              <w:left w:val="nil"/>
              <w:bottom w:val="single" w:sz="4" w:space="0" w:color="auto"/>
              <w:right w:val="single" w:sz="4" w:space="0" w:color="auto"/>
            </w:tcBorders>
            <w:shd w:val="clear" w:color="auto" w:fill="auto"/>
            <w:noWrap/>
            <w:vAlign w:val="bottom"/>
            <w:hideMark/>
          </w:tcPr>
          <w:p w14:paraId="5ABD0900"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210F3D43"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12,30</w:t>
            </w:r>
          </w:p>
        </w:tc>
        <w:tc>
          <w:tcPr>
            <w:tcW w:w="1275" w:type="dxa"/>
            <w:tcBorders>
              <w:top w:val="nil"/>
              <w:left w:val="nil"/>
              <w:bottom w:val="single" w:sz="4" w:space="0" w:color="auto"/>
              <w:right w:val="single" w:sz="4" w:space="0" w:color="auto"/>
            </w:tcBorders>
            <w:shd w:val="clear" w:color="auto" w:fill="auto"/>
            <w:noWrap/>
            <w:vAlign w:val="bottom"/>
            <w:hideMark/>
          </w:tcPr>
          <w:p w14:paraId="60ADFB4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12,30</w:t>
            </w:r>
          </w:p>
        </w:tc>
        <w:tc>
          <w:tcPr>
            <w:tcW w:w="1137" w:type="dxa"/>
            <w:tcBorders>
              <w:top w:val="nil"/>
              <w:left w:val="nil"/>
              <w:bottom w:val="single" w:sz="4" w:space="0" w:color="auto"/>
              <w:right w:val="single" w:sz="4" w:space="0" w:color="auto"/>
            </w:tcBorders>
            <w:shd w:val="clear" w:color="auto" w:fill="auto"/>
            <w:hideMark/>
          </w:tcPr>
          <w:p w14:paraId="0D8D6E4C"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73" w:type="dxa"/>
            <w:tcBorders>
              <w:top w:val="nil"/>
              <w:left w:val="nil"/>
              <w:bottom w:val="single" w:sz="4" w:space="0" w:color="auto"/>
              <w:right w:val="single" w:sz="4" w:space="0" w:color="auto"/>
            </w:tcBorders>
            <w:shd w:val="clear" w:color="auto" w:fill="auto"/>
            <w:noWrap/>
            <w:vAlign w:val="bottom"/>
            <w:hideMark/>
          </w:tcPr>
          <w:p w14:paraId="05CD0020"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8A8D0A"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7251820F"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3BF779F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200E4CE6"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12,30</w:t>
            </w:r>
          </w:p>
        </w:tc>
        <w:tc>
          <w:tcPr>
            <w:tcW w:w="944" w:type="dxa"/>
            <w:tcBorders>
              <w:top w:val="nil"/>
              <w:left w:val="nil"/>
              <w:bottom w:val="single" w:sz="4" w:space="0" w:color="auto"/>
              <w:right w:val="single" w:sz="4" w:space="0" w:color="auto"/>
            </w:tcBorders>
            <w:shd w:val="clear" w:color="auto" w:fill="auto"/>
            <w:hideMark/>
          </w:tcPr>
          <w:p w14:paraId="5FA8E36D"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A0356" w:rsidRPr="008860BA" w14:paraId="136AE833"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75807EB7" w14:textId="2DB6A0C4" w:rsidR="006A0356" w:rsidRPr="008860BA" w:rsidRDefault="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Taxa pentru achizi</w:t>
            </w:r>
            <w:r w:rsidR="00E10604"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ii publice</w:t>
            </w:r>
          </w:p>
        </w:tc>
        <w:tc>
          <w:tcPr>
            <w:tcW w:w="673" w:type="dxa"/>
            <w:tcBorders>
              <w:top w:val="nil"/>
              <w:left w:val="nil"/>
              <w:bottom w:val="single" w:sz="4" w:space="0" w:color="auto"/>
              <w:right w:val="single" w:sz="4" w:space="0" w:color="auto"/>
            </w:tcBorders>
            <w:shd w:val="clear" w:color="auto" w:fill="auto"/>
            <w:noWrap/>
            <w:vAlign w:val="bottom"/>
            <w:hideMark/>
          </w:tcPr>
          <w:p w14:paraId="5D8A1B9A"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1651DD28"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46,65</w:t>
            </w:r>
          </w:p>
        </w:tc>
        <w:tc>
          <w:tcPr>
            <w:tcW w:w="1275" w:type="dxa"/>
            <w:tcBorders>
              <w:top w:val="nil"/>
              <w:left w:val="nil"/>
              <w:bottom w:val="single" w:sz="4" w:space="0" w:color="auto"/>
              <w:right w:val="single" w:sz="4" w:space="0" w:color="auto"/>
            </w:tcBorders>
            <w:shd w:val="clear" w:color="auto" w:fill="auto"/>
            <w:noWrap/>
            <w:vAlign w:val="bottom"/>
            <w:hideMark/>
          </w:tcPr>
          <w:p w14:paraId="5D9E04D2"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46,65</w:t>
            </w:r>
          </w:p>
        </w:tc>
        <w:tc>
          <w:tcPr>
            <w:tcW w:w="1137" w:type="dxa"/>
            <w:tcBorders>
              <w:top w:val="nil"/>
              <w:left w:val="nil"/>
              <w:bottom w:val="single" w:sz="4" w:space="0" w:color="auto"/>
              <w:right w:val="single" w:sz="4" w:space="0" w:color="auto"/>
            </w:tcBorders>
            <w:shd w:val="clear" w:color="auto" w:fill="auto"/>
            <w:noWrap/>
            <w:vAlign w:val="bottom"/>
            <w:hideMark/>
          </w:tcPr>
          <w:p w14:paraId="122BDC76"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46,65</w:t>
            </w:r>
          </w:p>
        </w:tc>
        <w:tc>
          <w:tcPr>
            <w:tcW w:w="1273" w:type="dxa"/>
            <w:tcBorders>
              <w:top w:val="nil"/>
              <w:left w:val="nil"/>
              <w:bottom w:val="single" w:sz="4" w:space="0" w:color="auto"/>
              <w:right w:val="single" w:sz="4" w:space="0" w:color="auto"/>
            </w:tcBorders>
            <w:shd w:val="clear" w:color="auto" w:fill="auto"/>
            <w:noWrap/>
            <w:vAlign w:val="bottom"/>
            <w:hideMark/>
          </w:tcPr>
          <w:p w14:paraId="37B54B1F"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0FBD3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13DA3EAC"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36A30A9A"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27DA7FAD"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44" w:type="dxa"/>
            <w:tcBorders>
              <w:top w:val="nil"/>
              <w:left w:val="nil"/>
              <w:bottom w:val="single" w:sz="4" w:space="0" w:color="auto"/>
              <w:right w:val="single" w:sz="4" w:space="0" w:color="auto"/>
            </w:tcBorders>
            <w:shd w:val="clear" w:color="auto" w:fill="auto"/>
            <w:noWrap/>
            <w:vAlign w:val="bottom"/>
            <w:hideMark/>
          </w:tcPr>
          <w:p w14:paraId="0460DF80"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A0356" w:rsidRPr="008860BA" w14:paraId="46FDA994"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075AB6EF"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Toner</w:t>
            </w:r>
          </w:p>
        </w:tc>
        <w:tc>
          <w:tcPr>
            <w:tcW w:w="673" w:type="dxa"/>
            <w:tcBorders>
              <w:top w:val="nil"/>
              <w:left w:val="nil"/>
              <w:bottom w:val="single" w:sz="4" w:space="0" w:color="auto"/>
              <w:right w:val="single" w:sz="4" w:space="0" w:color="auto"/>
            </w:tcBorders>
            <w:shd w:val="clear" w:color="auto" w:fill="auto"/>
            <w:noWrap/>
            <w:vAlign w:val="bottom"/>
            <w:hideMark/>
          </w:tcPr>
          <w:p w14:paraId="3E28B076"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3A067D34"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65,48</w:t>
            </w:r>
          </w:p>
        </w:tc>
        <w:tc>
          <w:tcPr>
            <w:tcW w:w="1275" w:type="dxa"/>
            <w:tcBorders>
              <w:top w:val="nil"/>
              <w:left w:val="nil"/>
              <w:bottom w:val="single" w:sz="4" w:space="0" w:color="auto"/>
              <w:right w:val="single" w:sz="4" w:space="0" w:color="auto"/>
            </w:tcBorders>
            <w:shd w:val="clear" w:color="auto" w:fill="auto"/>
            <w:noWrap/>
            <w:vAlign w:val="bottom"/>
            <w:hideMark/>
          </w:tcPr>
          <w:p w14:paraId="25FE01AB"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65,48</w:t>
            </w:r>
          </w:p>
        </w:tc>
        <w:tc>
          <w:tcPr>
            <w:tcW w:w="1137" w:type="dxa"/>
            <w:tcBorders>
              <w:top w:val="nil"/>
              <w:left w:val="nil"/>
              <w:bottom w:val="single" w:sz="4" w:space="0" w:color="auto"/>
              <w:right w:val="single" w:sz="4" w:space="0" w:color="auto"/>
            </w:tcBorders>
            <w:shd w:val="clear" w:color="auto" w:fill="auto"/>
            <w:noWrap/>
            <w:vAlign w:val="bottom"/>
            <w:hideMark/>
          </w:tcPr>
          <w:p w14:paraId="1C92C56E"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65,48</w:t>
            </w:r>
          </w:p>
        </w:tc>
        <w:tc>
          <w:tcPr>
            <w:tcW w:w="1273" w:type="dxa"/>
            <w:tcBorders>
              <w:top w:val="nil"/>
              <w:left w:val="nil"/>
              <w:bottom w:val="single" w:sz="4" w:space="0" w:color="auto"/>
              <w:right w:val="single" w:sz="4" w:space="0" w:color="auto"/>
            </w:tcBorders>
            <w:shd w:val="clear" w:color="auto" w:fill="auto"/>
            <w:noWrap/>
            <w:vAlign w:val="bottom"/>
            <w:hideMark/>
          </w:tcPr>
          <w:p w14:paraId="45ACCB4D"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00279C"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4DFC4EF5"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636DEB30"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0AE476A5"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44" w:type="dxa"/>
            <w:tcBorders>
              <w:top w:val="nil"/>
              <w:left w:val="nil"/>
              <w:bottom w:val="single" w:sz="4" w:space="0" w:color="auto"/>
              <w:right w:val="single" w:sz="4" w:space="0" w:color="auto"/>
            </w:tcBorders>
            <w:shd w:val="clear" w:color="auto" w:fill="auto"/>
            <w:noWrap/>
            <w:vAlign w:val="bottom"/>
            <w:hideMark/>
          </w:tcPr>
          <w:p w14:paraId="79A8421F"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A0356" w:rsidRPr="008860BA" w14:paraId="32E3C99E"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0C5F7899"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Uzura acumulatoare si anvelope</w:t>
            </w:r>
          </w:p>
        </w:tc>
        <w:tc>
          <w:tcPr>
            <w:tcW w:w="673" w:type="dxa"/>
            <w:tcBorders>
              <w:top w:val="nil"/>
              <w:left w:val="nil"/>
              <w:bottom w:val="single" w:sz="4" w:space="0" w:color="auto"/>
              <w:right w:val="single" w:sz="4" w:space="0" w:color="auto"/>
            </w:tcBorders>
            <w:shd w:val="clear" w:color="auto" w:fill="auto"/>
            <w:noWrap/>
            <w:vAlign w:val="bottom"/>
            <w:hideMark/>
          </w:tcPr>
          <w:p w14:paraId="45A2334A"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7A967013"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30,74</w:t>
            </w:r>
          </w:p>
        </w:tc>
        <w:tc>
          <w:tcPr>
            <w:tcW w:w="1275" w:type="dxa"/>
            <w:tcBorders>
              <w:top w:val="nil"/>
              <w:left w:val="nil"/>
              <w:bottom w:val="single" w:sz="4" w:space="0" w:color="auto"/>
              <w:right w:val="single" w:sz="4" w:space="0" w:color="auto"/>
            </w:tcBorders>
            <w:shd w:val="clear" w:color="auto" w:fill="auto"/>
            <w:noWrap/>
            <w:vAlign w:val="bottom"/>
            <w:hideMark/>
          </w:tcPr>
          <w:p w14:paraId="78569311"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30,74</w:t>
            </w:r>
          </w:p>
        </w:tc>
        <w:tc>
          <w:tcPr>
            <w:tcW w:w="1137" w:type="dxa"/>
            <w:tcBorders>
              <w:top w:val="nil"/>
              <w:left w:val="nil"/>
              <w:bottom w:val="single" w:sz="4" w:space="0" w:color="auto"/>
              <w:right w:val="single" w:sz="4" w:space="0" w:color="auto"/>
            </w:tcBorders>
            <w:shd w:val="clear" w:color="auto" w:fill="auto"/>
            <w:noWrap/>
            <w:vAlign w:val="bottom"/>
            <w:hideMark/>
          </w:tcPr>
          <w:p w14:paraId="2C54F148"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2,26</w:t>
            </w:r>
          </w:p>
        </w:tc>
        <w:tc>
          <w:tcPr>
            <w:tcW w:w="1273" w:type="dxa"/>
            <w:tcBorders>
              <w:top w:val="nil"/>
              <w:left w:val="nil"/>
              <w:bottom w:val="single" w:sz="4" w:space="0" w:color="auto"/>
              <w:right w:val="single" w:sz="4" w:space="0" w:color="auto"/>
            </w:tcBorders>
            <w:shd w:val="clear" w:color="auto" w:fill="auto"/>
            <w:noWrap/>
            <w:vAlign w:val="bottom"/>
            <w:hideMark/>
          </w:tcPr>
          <w:p w14:paraId="51B9259B"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3,64</w:t>
            </w:r>
          </w:p>
        </w:tc>
        <w:tc>
          <w:tcPr>
            <w:tcW w:w="1134" w:type="dxa"/>
            <w:tcBorders>
              <w:top w:val="nil"/>
              <w:left w:val="nil"/>
              <w:bottom w:val="single" w:sz="4" w:space="0" w:color="auto"/>
              <w:right w:val="single" w:sz="4" w:space="0" w:color="auto"/>
            </w:tcBorders>
            <w:shd w:val="clear" w:color="auto" w:fill="auto"/>
            <w:noWrap/>
            <w:vAlign w:val="bottom"/>
            <w:hideMark/>
          </w:tcPr>
          <w:p w14:paraId="46E48BF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48DA68B5"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7DEFC9C2"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731C07CB"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5,94</w:t>
            </w:r>
          </w:p>
        </w:tc>
        <w:tc>
          <w:tcPr>
            <w:tcW w:w="944" w:type="dxa"/>
            <w:tcBorders>
              <w:top w:val="nil"/>
              <w:left w:val="nil"/>
              <w:bottom w:val="single" w:sz="4" w:space="0" w:color="auto"/>
              <w:right w:val="single" w:sz="4" w:space="0" w:color="auto"/>
            </w:tcBorders>
            <w:shd w:val="clear" w:color="auto" w:fill="auto"/>
            <w:noWrap/>
            <w:vAlign w:val="bottom"/>
            <w:hideMark/>
          </w:tcPr>
          <w:p w14:paraId="1563DB61"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18,90</w:t>
            </w:r>
          </w:p>
        </w:tc>
      </w:tr>
      <w:tr w:rsidR="006A0356" w:rsidRPr="008860BA" w14:paraId="4EC479EB"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67BA80C5"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Transfer intern</w:t>
            </w:r>
          </w:p>
        </w:tc>
        <w:tc>
          <w:tcPr>
            <w:tcW w:w="673" w:type="dxa"/>
            <w:tcBorders>
              <w:top w:val="nil"/>
              <w:left w:val="nil"/>
              <w:bottom w:val="single" w:sz="4" w:space="0" w:color="auto"/>
              <w:right w:val="single" w:sz="4" w:space="0" w:color="auto"/>
            </w:tcBorders>
            <w:shd w:val="clear" w:color="auto" w:fill="auto"/>
            <w:noWrap/>
            <w:vAlign w:val="bottom"/>
            <w:hideMark/>
          </w:tcPr>
          <w:p w14:paraId="78EB059E"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6B43687F"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0,89</w:t>
            </w:r>
          </w:p>
        </w:tc>
        <w:tc>
          <w:tcPr>
            <w:tcW w:w="1275" w:type="dxa"/>
            <w:tcBorders>
              <w:top w:val="nil"/>
              <w:left w:val="nil"/>
              <w:bottom w:val="single" w:sz="4" w:space="0" w:color="auto"/>
              <w:right w:val="single" w:sz="4" w:space="0" w:color="auto"/>
            </w:tcBorders>
            <w:shd w:val="clear" w:color="auto" w:fill="auto"/>
            <w:noWrap/>
            <w:vAlign w:val="bottom"/>
            <w:hideMark/>
          </w:tcPr>
          <w:p w14:paraId="140CB1C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0,89</w:t>
            </w:r>
          </w:p>
        </w:tc>
        <w:tc>
          <w:tcPr>
            <w:tcW w:w="1137" w:type="dxa"/>
            <w:tcBorders>
              <w:top w:val="nil"/>
              <w:left w:val="nil"/>
              <w:bottom w:val="single" w:sz="4" w:space="0" w:color="auto"/>
              <w:right w:val="single" w:sz="4" w:space="0" w:color="auto"/>
            </w:tcBorders>
            <w:shd w:val="clear" w:color="auto" w:fill="auto"/>
            <w:hideMark/>
          </w:tcPr>
          <w:p w14:paraId="460CA01E"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73" w:type="dxa"/>
            <w:tcBorders>
              <w:top w:val="nil"/>
              <w:left w:val="nil"/>
              <w:bottom w:val="single" w:sz="4" w:space="0" w:color="auto"/>
              <w:right w:val="single" w:sz="4" w:space="0" w:color="auto"/>
            </w:tcBorders>
            <w:shd w:val="clear" w:color="auto" w:fill="auto"/>
            <w:noWrap/>
            <w:vAlign w:val="bottom"/>
            <w:hideMark/>
          </w:tcPr>
          <w:p w14:paraId="6D6778A9"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8CDC76"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77F27873"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2C03CEF6"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29277E86"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0,89</w:t>
            </w:r>
          </w:p>
        </w:tc>
        <w:tc>
          <w:tcPr>
            <w:tcW w:w="944" w:type="dxa"/>
            <w:tcBorders>
              <w:top w:val="nil"/>
              <w:left w:val="nil"/>
              <w:bottom w:val="single" w:sz="4" w:space="0" w:color="auto"/>
              <w:right w:val="single" w:sz="4" w:space="0" w:color="auto"/>
            </w:tcBorders>
            <w:shd w:val="clear" w:color="auto" w:fill="auto"/>
            <w:hideMark/>
          </w:tcPr>
          <w:p w14:paraId="6B2D9545"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A0356" w:rsidRPr="008860BA" w14:paraId="5363442D"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6285FDF7"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Uzura OMVSD</w:t>
            </w:r>
          </w:p>
        </w:tc>
        <w:tc>
          <w:tcPr>
            <w:tcW w:w="673" w:type="dxa"/>
            <w:tcBorders>
              <w:top w:val="nil"/>
              <w:left w:val="nil"/>
              <w:bottom w:val="single" w:sz="4" w:space="0" w:color="auto"/>
              <w:right w:val="single" w:sz="4" w:space="0" w:color="auto"/>
            </w:tcBorders>
            <w:shd w:val="clear" w:color="auto" w:fill="auto"/>
            <w:noWrap/>
            <w:vAlign w:val="bottom"/>
            <w:hideMark/>
          </w:tcPr>
          <w:p w14:paraId="496CE58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71ADCB4C"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1.843,74</w:t>
            </w:r>
          </w:p>
        </w:tc>
        <w:tc>
          <w:tcPr>
            <w:tcW w:w="1275" w:type="dxa"/>
            <w:tcBorders>
              <w:top w:val="nil"/>
              <w:left w:val="nil"/>
              <w:bottom w:val="single" w:sz="4" w:space="0" w:color="auto"/>
              <w:right w:val="single" w:sz="4" w:space="0" w:color="auto"/>
            </w:tcBorders>
            <w:shd w:val="clear" w:color="auto" w:fill="auto"/>
            <w:noWrap/>
            <w:vAlign w:val="bottom"/>
            <w:hideMark/>
          </w:tcPr>
          <w:p w14:paraId="335D145A"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1.843,74</w:t>
            </w:r>
          </w:p>
        </w:tc>
        <w:tc>
          <w:tcPr>
            <w:tcW w:w="1137" w:type="dxa"/>
            <w:tcBorders>
              <w:top w:val="nil"/>
              <w:left w:val="nil"/>
              <w:bottom w:val="single" w:sz="4" w:space="0" w:color="auto"/>
              <w:right w:val="single" w:sz="4" w:space="0" w:color="auto"/>
            </w:tcBorders>
            <w:shd w:val="clear" w:color="auto" w:fill="auto"/>
            <w:noWrap/>
            <w:vAlign w:val="bottom"/>
            <w:hideMark/>
          </w:tcPr>
          <w:p w14:paraId="14E2905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1.028,41</w:t>
            </w:r>
          </w:p>
        </w:tc>
        <w:tc>
          <w:tcPr>
            <w:tcW w:w="1273" w:type="dxa"/>
            <w:tcBorders>
              <w:top w:val="nil"/>
              <w:left w:val="nil"/>
              <w:bottom w:val="single" w:sz="4" w:space="0" w:color="auto"/>
              <w:right w:val="single" w:sz="4" w:space="0" w:color="auto"/>
            </w:tcBorders>
            <w:shd w:val="clear" w:color="auto" w:fill="auto"/>
            <w:noWrap/>
            <w:vAlign w:val="bottom"/>
            <w:hideMark/>
          </w:tcPr>
          <w:p w14:paraId="52C85D07"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1,04</w:t>
            </w:r>
          </w:p>
        </w:tc>
        <w:tc>
          <w:tcPr>
            <w:tcW w:w="1134" w:type="dxa"/>
            <w:tcBorders>
              <w:top w:val="nil"/>
              <w:left w:val="nil"/>
              <w:bottom w:val="single" w:sz="4" w:space="0" w:color="auto"/>
              <w:right w:val="single" w:sz="4" w:space="0" w:color="auto"/>
            </w:tcBorders>
            <w:shd w:val="clear" w:color="auto" w:fill="auto"/>
            <w:noWrap/>
            <w:vAlign w:val="bottom"/>
            <w:hideMark/>
          </w:tcPr>
          <w:p w14:paraId="6BA5C64F"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51B5ACB3"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41AF2D5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0,83</w:t>
            </w:r>
          </w:p>
        </w:tc>
        <w:tc>
          <w:tcPr>
            <w:tcW w:w="853" w:type="dxa"/>
            <w:tcBorders>
              <w:top w:val="nil"/>
              <w:left w:val="nil"/>
              <w:bottom w:val="single" w:sz="4" w:space="0" w:color="auto"/>
              <w:right w:val="single" w:sz="4" w:space="0" w:color="auto"/>
            </w:tcBorders>
            <w:shd w:val="clear" w:color="auto" w:fill="auto"/>
            <w:noWrap/>
            <w:vAlign w:val="bottom"/>
            <w:hideMark/>
          </w:tcPr>
          <w:p w14:paraId="786C168F"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176,57</w:t>
            </w:r>
          </w:p>
        </w:tc>
        <w:tc>
          <w:tcPr>
            <w:tcW w:w="944" w:type="dxa"/>
            <w:tcBorders>
              <w:top w:val="nil"/>
              <w:left w:val="nil"/>
              <w:bottom w:val="single" w:sz="4" w:space="0" w:color="auto"/>
              <w:right w:val="single" w:sz="4" w:space="0" w:color="auto"/>
            </w:tcBorders>
            <w:shd w:val="clear" w:color="auto" w:fill="auto"/>
            <w:noWrap/>
            <w:vAlign w:val="bottom"/>
            <w:hideMark/>
          </w:tcPr>
          <w:p w14:paraId="65AA5A9E"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636,89</w:t>
            </w:r>
          </w:p>
        </w:tc>
      </w:tr>
      <w:tr w:rsidR="006A0356" w:rsidRPr="008860BA" w14:paraId="7CE63044"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23B57F4"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Cheltuieli administrative</w:t>
            </w:r>
          </w:p>
        </w:tc>
        <w:tc>
          <w:tcPr>
            <w:tcW w:w="673" w:type="dxa"/>
            <w:tcBorders>
              <w:top w:val="nil"/>
              <w:left w:val="nil"/>
              <w:bottom w:val="single" w:sz="4" w:space="0" w:color="auto"/>
              <w:right w:val="single" w:sz="4" w:space="0" w:color="auto"/>
            </w:tcBorders>
            <w:shd w:val="clear" w:color="auto" w:fill="auto"/>
            <w:noWrap/>
            <w:vAlign w:val="bottom"/>
            <w:hideMark/>
          </w:tcPr>
          <w:p w14:paraId="59A9EACE"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713</w:t>
            </w:r>
          </w:p>
        </w:tc>
        <w:tc>
          <w:tcPr>
            <w:tcW w:w="1170" w:type="dxa"/>
            <w:tcBorders>
              <w:top w:val="nil"/>
              <w:left w:val="nil"/>
              <w:bottom w:val="single" w:sz="4" w:space="0" w:color="auto"/>
              <w:right w:val="single" w:sz="4" w:space="0" w:color="auto"/>
            </w:tcBorders>
            <w:shd w:val="clear" w:color="auto" w:fill="auto"/>
            <w:noWrap/>
            <w:vAlign w:val="bottom"/>
            <w:hideMark/>
          </w:tcPr>
          <w:p w14:paraId="66A1BF65"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17.218,25</w:t>
            </w:r>
          </w:p>
        </w:tc>
        <w:tc>
          <w:tcPr>
            <w:tcW w:w="1275" w:type="dxa"/>
            <w:tcBorders>
              <w:top w:val="nil"/>
              <w:left w:val="nil"/>
              <w:bottom w:val="single" w:sz="4" w:space="0" w:color="auto"/>
              <w:right w:val="single" w:sz="4" w:space="0" w:color="auto"/>
            </w:tcBorders>
            <w:shd w:val="clear" w:color="auto" w:fill="auto"/>
            <w:noWrap/>
            <w:vAlign w:val="bottom"/>
            <w:hideMark/>
          </w:tcPr>
          <w:p w14:paraId="6638685F"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17.218,25</w:t>
            </w:r>
          </w:p>
        </w:tc>
        <w:tc>
          <w:tcPr>
            <w:tcW w:w="1137" w:type="dxa"/>
            <w:tcBorders>
              <w:top w:val="nil"/>
              <w:left w:val="nil"/>
              <w:bottom w:val="single" w:sz="4" w:space="0" w:color="auto"/>
              <w:right w:val="single" w:sz="4" w:space="0" w:color="auto"/>
            </w:tcBorders>
            <w:shd w:val="clear" w:color="auto" w:fill="auto"/>
            <w:noWrap/>
            <w:vAlign w:val="bottom"/>
            <w:hideMark/>
          </w:tcPr>
          <w:p w14:paraId="1D08E6D2"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16.560,93</w:t>
            </w:r>
          </w:p>
        </w:tc>
        <w:tc>
          <w:tcPr>
            <w:tcW w:w="1273" w:type="dxa"/>
            <w:tcBorders>
              <w:top w:val="nil"/>
              <w:left w:val="nil"/>
              <w:bottom w:val="single" w:sz="4" w:space="0" w:color="auto"/>
              <w:right w:val="single" w:sz="4" w:space="0" w:color="auto"/>
            </w:tcBorders>
            <w:shd w:val="clear" w:color="auto" w:fill="auto"/>
            <w:noWrap/>
            <w:vAlign w:val="bottom"/>
            <w:hideMark/>
          </w:tcPr>
          <w:p w14:paraId="798BC5C0"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34,89</w:t>
            </w:r>
          </w:p>
        </w:tc>
        <w:tc>
          <w:tcPr>
            <w:tcW w:w="1134" w:type="dxa"/>
            <w:tcBorders>
              <w:top w:val="nil"/>
              <w:left w:val="nil"/>
              <w:bottom w:val="single" w:sz="4" w:space="0" w:color="auto"/>
              <w:right w:val="single" w:sz="4" w:space="0" w:color="auto"/>
            </w:tcBorders>
            <w:shd w:val="clear" w:color="auto" w:fill="auto"/>
            <w:noWrap/>
            <w:vAlign w:val="bottom"/>
            <w:hideMark/>
          </w:tcPr>
          <w:p w14:paraId="022E5130"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45ED4A6C"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525,75</w:t>
            </w:r>
          </w:p>
        </w:tc>
        <w:tc>
          <w:tcPr>
            <w:tcW w:w="853" w:type="dxa"/>
            <w:tcBorders>
              <w:top w:val="nil"/>
              <w:left w:val="nil"/>
              <w:bottom w:val="single" w:sz="4" w:space="0" w:color="auto"/>
              <w:right w:val="single" w:sz="4" w:space="0" w:color="auto"/>
            </w:tcBorders>
            <w:shd w:val="clear" w:color="auto" w:fill="auto"/>
            <w:noWrap/>
            <w:vAlign w:val="bottom"/>
            <w:hideMark/>
          </w:tcPr>
          <w:p w14:paraId="3B4CDC9D"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48,87</w:t>
            </w:r>
          </w:p>
        </w:tc>
        <w:tc>
          <w:tcPr>
            <w:tcW w:w="853" w:type="dxa"/>
            <w:tcBorders>
              <w:top w:val="nil"/>
              <w:left w:val="nil"/>
              <w:bottom w:val="single" w:sz="4" w:space="0" w:color="auto"/>
              <w:right w:val="single" w:sz="4" w:space="0" w:color="auto"/>
            </w:tcBorders>
            <w:shd w:val="clear" w:color="auto" w:fill="auto"/>
            <w:noWrap/>
            <w:vAlign w:val="bottom"/>
            <w:hideMark/>
          </w:tcPr>
          <w:p w14:paraId="0EB8598A"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41,90</w:t>
            </w:r>
          </w:p>
        </w:tc>
        <w:tc>
          <w:tcPr>
            <w:tcW w:w="944" w:type="dxa"/>
            <w:tcBorders>
              <w:top w:val="nil"/>
              <w:left w:val="nil"/>
              <w:bottom w:val="single" w:sz="4" w:space="0" w:color="auto"/>
              <w:right w:val="single" w:sz="4" w:space="0" w:color="auto"/>
            </w:tcBorders>
            <w:shd w:val="clear" w:color="auto" w:fill="auto"/>
            <w:noWrap/>
            <w:vAlign w:val="bottom"/>
            <w:hideMark/>
          </w:tcPr>
          <w:p w14:paraId="514FC931"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5,90</w:t>
            </w:r>
          </w:p>
        </w:tc>
      </w:tr>
      <w:tr w:rsidR="006A0356" w:rsidRPr="008860BA" w14:paraId="7C1EB0D1"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5D6AE3F" w14:textId="56420DF6" w:rsidR="006A0356" w:rsidRPr="008860BA" w:rsidRDefault="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Fondul social (24%)</w:t>
            </w:r>
          </w:p>
        </w:tc>
        <w:tc>
          <w:tcPr>
            <w:tcW w:w="673" w:type="dxa"/>
            <w:tcBorders>
              <w:top w:val="nil"/>
              <w:left w:val="nil"/>
              <w:bottom w:val="single" w:sz="4" w:space="0" w:color="auto"/>
              <w:right w:val="single" w:sz="4" w:space="0" w:color="auto"/>
            </w:tcBorders>
            <w:shd w:val="clear" w:color="auto" w:fill="auto"/>
            <w:noWrap/>
            <w:vAlign w:val="bottom"/>
            <w:hideMark/>
          </w:tcPr>
          <w:p w14:paraId="37E75F02"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noWrap/>
            <w:vAlign w:val="bottom"/>
            <w:hideMark/>
          </w:tcPr>
          <w:p w14:paraId="4234AB70"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3.253,65</w:t>
            </w:r>
          </w:p>
        </w:tc>
        <w:tc>
          <w:tcPr>
            <w:tcW w:w="1275" w:type="dxa"/>
            <w:tcBorders>
              <w:top w:val="nil"/>
              <w:left w:val="nil"/>
              <w:bottom w:val="single" w:sz="4" w:space="0" w:color="auto"/>
              <w:right w:val="single" w:sz="4" w:space="0" w:color="auto"/>
            </w:tcBorders>
            <w:shd w:val="clear" w:color="auto" w:fill="auto"/>
            <w:noWrap/>
            <w:vAlign w:val="bottom"/>
            <w:hideMark/>
          </w:tcPr>
          <w:p w14:paraId="79A1CE1C"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3.253,65</w:t>
            </w:r>
          </w:p>
        </w:tc>
        <w:tc>
          <w:tcPr>
            <w:tcW w:w="1137" w:type="dxa"/>
            <w:tcBorders>
              <w:top w:val="nil"/>
              <w:left w:val="nil"/>
              <w:bottom w:val="single" w:sz="4" w:space="0" w:color="auto"/>
              <w:right w:val="single" w:sz="4" w:space="0" w:color="auto"/>
            </w:tcBorders>
            <w:shd w:val="clear" w:color="auto" w:fill="auto"/>
            <w:noWrap/>
            <w:vAlign w:val="bottom"/>
            <w:hideMark/>
          </w:tcPr>
          <w:p w14:paraId="4F6D13F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3.146,37</w:t>
            </w:r>
          </w:p>
        </w:tc>
        <w:tc>
          <w:tcPr>
            <w:tcW w:w="1273" w:type="dxa"/>
            <w:tcBorders>
              <w:top w:val="nil"/>
              <w:left w:val="nil"/>
              <w:bottom w:val="single" w:sz="4" w:space="0" w:color="auto"/>
              <w:right w:val="single" w:sz="4" w:space="0" w:color="auto"/>
            </w:tcBorders>
            <w:shd w:val="clear" w:color="auto" w:fill="auto"/>
            <w:noWrap/>
            <w:vAlign w:val="bottom"/>
            <w:hideMark/>
          </w:tcPr>
          <w:p w14:paraId="26A4A8A7"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6,75</w:t>
            </w:r>
          </w:p>
        </w:tc>
        <w:tc>
          <w:tcPr>
            <w:tcW w:w="1134" w:type="dxa"/>
            <w:tcBorders>
              <w:top w:val="nil"/>
              <w:left w:val="nil"/>
              <w:bottom w:val="single" w:sz="4" w:space="0" w:color="auto"/>
              <w:right w:val="single" w:sz="4" w:space="0" w:color="auto"/>
            </w:tcBorders>
            <w:shd w:val="clear" w:color="auto" w:fill="auto"/>
            <w:noWrap/>
            <w:vAlign w:val="bottom"/>
            <w:hideMark/>
          </w:tcPr>
          <w:p w14:paraId="15E6DD0C"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54BAC8AF"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90,50</w:t>
            </w:r>
          </w:p>
        </w:tc>
        <w:tc>
          <w:tcPr>
            <w:tcW w:w="853" w:type="dxa"/>
            <w:tcBorders>
              <w:top w:val="nil"/>
              <w:left w:val="nil"/>
              <w:bottom w:val="single" w:sz="4" w:space="0" w:color="auto"/>
              <w:right w:val="single" w:sz="4" w:space="0" w:color="auto"/>
            </w:tcBorders>
            <w:shd w:val="clear" w:color="auto" w:fill="auto"/>
            <w:noWrap/>
            <w:vAlign w:val="bottom"/>
            <w:hideMark/>
          </w:tcPr>
          <w:p w14:paraId="1CB1CBA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9,46</w:t>
            </w:r>
          </w:p>
        </w:tc>
        <w:tc>
          <w:tcPr>
            <w:tcW w:w="853" w:type="dxa"/>
            <w:tcBorders>
              <w:top w:val="nil"/>
              <w:left w:val="nil"/>
              <w:bottom w:val="single" w:sz="4" w:space="0" w:color="auto"/>
              <w:right w:val="single" w:sz="4" w:space="0" w:color="auto"/>
            </w:tcBorders>
            <w:shd w:val="clear" w:color="auto" w:fill="auto"/>
            <w:noWrap/>
            <w:vAlign w:val="bottom"/>
            <w:hideMark/>
          </w:tcPr>
          <w:p w14:paraId="6BDF671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0,57</w:t>
            </w:r>
          </w:p>
        </w:tc>
        <w:tc>
          <w:tcPr>
            <w:tcW w:w="944" w:type="dxa"/>
            <w:tcBorders>
              <w:top w:val="nil"/>
              <w:left w:val="nil"/>
              <w:bottom w:val="single" w:sz="4" w:space="0" w:color="auto"/>
              <w:right w:val="single" w:sz="4" w:space="0" w:color="auto"/>
            </w:tcBorders>
            <w:shd w:val="clear" w:color="auto" w:fill="auto"/>
            <w:noWrap/>
            <w:vAlign w:val="bottom"/>
            <w:hideMark/>
          </w:tcPr>
          <w:p w14:paraId="7483B75F"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0,01</w:t>
            </w:r>
          </w:p>
        </w:tc>
      </w:tr>
      <w:tr w:rsidR="006A0356" w:rsidRPr="008860BA" w14:paraId="3B969D9E"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0724520"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Remunerarea muncii</w:t>
            </w:r>
          </w:p>
        </w:tc>
        <w:tc>
          <w:tcPr>
            <w:tcW w:w="673" w:type="dxa"/>
            <w:tcBorders>
              <w:top w:val="nil"/>
              <w:left w:val="nil"/>
              <w:bottom w:val="single" w:sz="4" w:space="0" w:color="auto"/>
              <w:right w:val="single" w:sz="4" w:space="0" w:color="auto"/>
            </w:tcBorders>
            <w:shd w:val="clear" w:color="auto" w:fill="auto"/>
            <w:noWrap/>
            <w:vAlign w:val="bottom"/>
            <w:hideMark/>
          </w:tcPr>
          <w:p w14:paraId="7AD2B88F"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noWrap/>
            <w:vAlign w:val="bottom"/>
            <w:hideMark/>
          </w:tcPr>
          <w:p w14:paraId="00FF414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13.556,89</w:t>
            </w:r>
          </w:p>
        </w:tc>
        <w:tc>
          <w:tcPr>
            <w:tcW w:w="1275" w:type="dxa"/>
            <w:tcBorders>
              <w:top w:val="nil"/>
              <w:left w:val="nil"/>
              <w:bottom w:val="single" w:sz="4" w:space="0" w:color="auto"/>
              <w:right w:val="single" w:sz="4" w:space="0" w:color="auto"/>
            </w:tcBorders>
            <w:shd w:val="clear" w:color="auto" w:fill="auto"/>
            <w:noWrap/>
            <w:vAlign w:val="bottom"/>
            <w:hideMark/>
          </w:tcPr>
          <w:p w14:paraId="5B78406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13.556,89</w:t>
            </w:r>
          </w:p>
        </w:tc>
        <w:tc>
          <w:tcPr>
            <w:tcW w:w="1137" w:type="dxa"/>
            <w:tcBorders>
              <w:top w:val="nil"/>
              <w:left w:val="nil"/>
              <w:bottom w:val="single" w:sz="4" w:space="0" w:color="auto"/>
              <w:right w:val="single" w:sz="4" w:space="0" w:color="auto"/>
            </w:tcBorders>
            <w:shd w:val="clear" w:color="auto" w:fill="auto"/>
            <w:noWrap/>
            <w:vAlign w:val="bottom"/>
            <w:hideMark/>
          </w:tcPr>
          <w:p w14:paraId="2F4B4958"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13.109,86</w:t>
            </w:r>
          </w:p>
        </w:tc>
        <w:tc>
          <w:tcPr>
            <w:tcW w:w="1273" w:type="dxa"/>
            <w:tcBorders>
              <w:top w:val="nil"/>
              <w:left w:val="nil"/>
              <w:bottom w:val="single" w:sz="4" w:space="0" w:color="auto"/>
              <w:right w:val="single" w:sz="4" w:space="0" w:color="auto"/>
            </w:tcBorders>
            <w:shd w:val="clear" w:color="auto" w:fill="auto"/>
            <w:noWrap/>
            <w:vAlign w:val="bottom"/>
            <w:hideMark/>
          </w:tcPr>
          <w:p w14:paraId="7649946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28,14</w:t>
            </w:r>
          </w:p>
        </w:tc>
        <w:tc>
          <w:tcPr>
            <w:tcW w:w="1134" w:type="dxa"/>
            <w:tcBorders>
              <w:top w:val="nil"/>
              <w:left w:val="nil"/>
              <w:bottom w:val="single" w:sz="4" w:space="0" w:color="auto"/>
              <w:right w:val="single" w:sz="4" w:space="0" w:color="auto"/>
            </w:tcBorders>
            <w:shd w:val="clear" w:color="auto" w:fill="auto"/>
            <w:noWrap/>
            <w:vAlign w:val="bottom"/>
            <w:hideMark/>
          </w:tcPr>
          <w:p w14:paraId="7FD0032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6A168646"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377,07</w:t>
            </w:r>
          </w:p>
        </w:tc>
        <w:tc>
          <w:tcPr>
            <w:tcW w:w="853" w:type="dxa"/>
            <w:tcBorders>
              <w:top w:val="nil"/>
              <w:left w:val="nil"/>
              <w:bottom w:val="single" w:sz="4" w:space="0" w:color="auto"/>
              <w:right w:val="single" w:sz="4" w:space="0" w:color="auto"/>
            </w:tcBorders>
            <w:shd w:val="clear" w:color="auto" w:fill="auto"/>
            <w:noWrap/>
            <w:vAlign w:val="bottom"/>
            <w:hideMark/>
          </w:tcPr>
          <w:p w14:paraId="7D2A1CCB"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39,41</w:t>
            </w:r>
          </w:p>
        </w:tc>
        <w:tc>
          <w:tcPr>
            <w:tcW w:w="853" w:type="dxa"/>
            <w:tcBorders>
              <w:top w:val="nil"/>
              <w:left w:val="nil"/>
              <w:bottom w:val="single" w:sz="4" w:space="0" w:color="auto"/>
              <w:right w:val="single" w:sz="4" w:space="0" w:color="auto"/>
            </w:tcBorders>
            <w:shd w:val="clear" w:color="auto" w:fill="auto"/>
            <w:noWrap/>
            <w:vAlign w:val="bottom"/>
            <w:hideMark/>
          </w:tcPr>
          <w:p w14:paraId="539F9121"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2,36</w:t>
            </w:r>
          </w:p>
        </w:tc>
        <w:tc>
          <w:tcPr>
            <w:tcW w:w="944" w:type="dxa"/>
            <w:tcBorders>
              <w:top w:val="nil"/>
              <w:left w:val="nil"/>
              <w:bottom w:val="single" w:sz="4" w:space="0" w:color="auto"/>
              <w:right w:val="single" w:sz="4" w:space="0" w:color="auto"/>
            </w:tcBorders>
            <w:shd w:val="clear" w:color="auto" w:fill="auto"/>
            <w:noWrap/>
            <w:vAlign w:val="bottom"/>
            <w:hideMark/>
          </w:tcPr>
          <w:p w14:paraId="2B8F82B8"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0,05</w:t>
            </w:r>
          </w:p>
        </w:tc>
      </w:tr>
      <w:tr w:rsidR="006A0356" w:rsidRPr="008860BA" w14:paraId="76241B4E"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C2988E6" w14:textId="05742979" w:rsidR="006A0356" w:rsidRPr="008860BA" w:rsidRDefault="002101A1" w:rsidP="002101A1">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Incapacitate temporară de muncă</w:t>
            </w:r>
          </w:p>
        </w:tc>
        <w:tc>
          <w:tcPr>
            <w:tcW w:w="673" w:type="dxa"/>
            <w:tcBorders>
              <w:top w:val="nil"/>
              <w:left w:val="nil"/>
              <w:bottom w:val="single" w:sz="4" w:space="0" w:color="auto"/>
              <w:right w:val="single" w:sz="4" w:space="0" w:color="auto"/>
            </w:tcBorders>
            <w:shd w:val="clear" w:color="auto" w:fill="auto"/>
            <w:noWrap/>
            <w:vAlign w:val="bottom"/>
            <w:hideMark/>
          </w:tcPr>
          <w:p w14:paraId="00759283"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noWrap/>
            <w:vAlign w:val="bottom"/>
            <w:hideMark/>
          </w:tcPr>
          <w:p w14:paraId="39824C7C"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370,46</w:t>
            </w:r>
          </w:p>
        </w:tc>
        <w:tc>
          <w:tcPr>
            <w:tcW w:w="1275" w:type="dxa"/>
            <w:tcBorders>
              <w:top w:val="nil"/>
              <w:left w:val="nil"/>
              <w:bottom w:val="single" w:sz="4" w:space="0" w:color="auto"/>
              <w:right w:val="single" w:sz="4" w:space="0" w:color="auto"/>
            </w:tcBorders>
            <w:shd w:val="clear" w:color="auto" w:fill="auto"/>
            <w:noWrap/>
            <w:vAlign w:val="bottom"/>
            <w:hideMark/>
          </w:tcPr>
          <w:p w14:paraId="56BD00EC"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370,46</w:t>
            </w:r>
          </w:p>
        </w:tc>
        <w:tc>
          <w:tcPr>
            <w:tcW w:w="1137" w:type="dxa"/>
            <w:tcBorders>
              <w:top w:val="nil"/>
              <w:left w:val="nil"/>
              <w:bottom w:val="single" w:sz="4" w:space="0" w:color="auto"/>
              <w:right w:val="single" w:sz="4" w:space="0" w:color="auto"/>
            </w:tcBorders>
            <w:shd w:val="clear" w:color="auto" w:fill="auto"/>
            <w:noWrap/>
            <w:vAlign w:val="bottom"/>
            <w:hideMark/>
          </w:tcPr>
          <w:p w14:paraId="2BD934C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304,70</w:t>
            </w:r>
          </w:p>
        </w:tc>
        <w:tc>
          <w:tcPr>
            <w:tcW w:w="1273" w:type="dxa"/>
            <w:tcBorders>
              <w:top w:val="nil"/>
              <w:left w:val="nil"/>
              <w:bottom w:val="single" w:sz="4" w:space="0" w:color="auto"/>
              <w:right w:val="single" w:sz="4" w:space="0" w:color="auto"/>
            </w:tcBorders>
            <w:shd w:val="clear" w:color="auto" w:fill="auto"/>
            <w:noWrap/>
            <w:vAlign w:val="bottom"/>
            <w:hideMark/>
          </w:tcPr>
          <w:p w14:paraId="46CB78DC"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E8685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1CF791F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58,19</w:t>
            </w:r>
          </w:p>
        </w:tc>
        <w:tc>
          <w:tcPr>
            <w:tcW w:w="853" w:type="dxa"/>
            <w:tcBorders>
              <w:top w:val="nil"/>
              <w:left w:val="nil"/>
              <w:bottom w:val="single" w:sz="4" w:space="0" w:color="auto"/>
              <w:right w:val="single" w:sz="4" w:space="0" w:color="auto"/>
            </w:tcBorders>
            <w:shd w:val="clear" w:color="auto" w:fill="auto"/>
            <w:noWrap/>
            <w:vAlign w:val="bottom"/>
            <w:hideMark/>
          </w:tcPr>
          <w:p w14:paraId="60A7B20E"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1C66B08F"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2,69</w:t>
            </w:r>
          </w:p>
        </w:tc>
        <w:tc>
          <w:tcPr>
            <w:tcW w:w="944" w:type="dxa"/>
            <w:tcBorders>
              <w:top w:val="nil"/>
              <w:left w:val="nil"/>
              <w:bottom w:val="single" w:sz="4" w:space="0" w:color="auto"/>
              <w:right w:val="single" w:sz="4" w:space="0" w:color="auto"/>
            </w:tcBorders>
            <w:shd w:val="clear" w:color="auto" w:fill="auto"/>
            <w:noWrap/>
            <w:vAlign w:val="bottom"/>
            <w:hideMark/>
          </w:tcPr>
          <w:p w14:paraId="2A901FE3"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4,88</w:t>
            </w:r>
          </w:p>
        </w:tc>
      </w:tr>
      <w:tr w:rsidR="006A0356" w:rsidRPr="008860BA" w14:paraId="23EFA742"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238895A"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Taxa pentru drum</w:t>
            </w:r>
          </w:p>
        </w:tc>
        <w:tc>
          <w:tcPr>
            <w:tcW w:w="673" w:type="dxa"/>
            <w:tcBorders>
              <w:top w:val="nil"/>
              <w:left w:val="nil"/>
              <w:bottom w:val="single" w:sz="4" w:space="0" w:color="auto"/>
              <w:right w:val="single" w:sz="4" w:space="0" w:color="auto"/>
            </w:tcBorders>
            <w:shd w:val="clear" w:color="auto" w:fill="auto"/>
            <w:noWrap/>
            <w:vAlign w:val="bottom"/>
            <w:hideMark/>
          </w:tcPr>
          <w:p w14:paraId="2DFA320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noWrap/>
            <w:vAlign w:val="bottom"/>
            <w:hideMark/>
          </w:tcPr>
          <w:p w14:paraId="725D81A4"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37,24</w:t>
            </w:r>
          </w:p>
        </w:tc>
        <w:tc>
          <w:tcPr>
            <w:tcW w:w="1275" w:type="dxa"/>
            <w:tcBorders>
              <w:top w:val="nil"/>
              <w:left w:val="nil"/>
              <w:bottom w:val="single" w:sz="4" w:space="0" w:color="auto"/>
              <w:right w:val="single" w:sz="4" w:space="0" w:color="auto"/>
            </w:tcBorders>
            <w:shd w:val="clear" w:color="auto" w:fill="auto"/>
            <w:noWrap/>
            <w:vAlign w:val="bottom"/>
            <w:hideMark/>
          </w:tcPr>
          <w:p w14:paraId="084367A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37,24</w:t>
            </w:r>
          </w:p>
        </w:tc>
        <w:tc>
          <w:tcPr>
            <w:tcW w:w="1137" w:type="dxa"/>
            <w:tcBorders>
              <w:top w:val="nil"/>
              <w:left w:val="nil"/>
              <w:bottom w:val="single" w:sz="4" w:space="0" w:color="auto"/>
              <w:right w:val="single" w:sz="4" w:space="0" w:color="auto"/>
            </w:tcBorders>
            <w:shd w:val="clear" w:color="auto" w:fill="auto"/>
            <w:noWrap/>
            <w:vAlign w:val="bottom"/>
            <w:hideMark/>
          </w:tcPr>
          <w:p w14:paraId="1CEBCA2F"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73" w:type="dxa"/>
            <w:tcBorders>
              <w:top w:val="nil"/>
              <w:left w:val="nil"/>
              <w:bottom w:val="single" w:sz="4" w:space="0" w:color="auto"/>
              <w:right w:val="single" w:sz="4" w:space="0" w:color="auto"/>
            </w:tcBorders>
            <w:shd w:val="clear" w:color="auto" w:fill="auto"/>
            <w:noWrap/>
            <w:vAlign w:val="bottom"/>
            <w:hideMark/>
          </w:tcPr>
          <w:p w14:paraId="1CB82B1E"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5AE0A8"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1969872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007332F3"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hideMark/>
          </w:tcPr>
          <w:p w14:paraId="5E763BD7"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36,29</w:t>
            </w:r>
          </w:p>
        </w:tc>
        <w:tc>
          <w:tcPr>
            <w:tcW w:w="944" w:type="dxa"/>
            <w:tcBorders>
              <w:top w:val="nil"/>
              <w:left w:val="nil"/>
              <w:bottom w:val="single" w:sz="4" w:space="0" w:color="auto"/>
              <w:right w:val="single" w:sz="4" w:space="0" w:color="auto"/>
            </w:tcBorders>
            <w:shd w:val="clear" w:color="auto" w:fill="auto"/>
            <w:hideMark/>
          </w:tcPr>
          <w:p w14:paraId="78E27D59"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0,95</w:t>
            </w:r>
          </w:p>
        </w:tc>
      </w:tr>
      <w:tr w:rsidR="006A0356" w:rsidRPr="008860BA" w14:paraId="745AAC4B"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3BF0666B"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Alte cheltuieli</w:t>
            </w:r>
          </w:p>
        </w:tc>
        <w:tc>
          <w:tcPr>
            <w:tcW w:w="673" w:type="dxa"/>
            <w:tcBorders>
              <w:top w:val="nil"/>
              <w:left w:val="nil"/>
              <w:bottom w:val="single" w:sz="4" w:space="0" w:color="auto"/>
              <w:right w:val="single" w:sz="4" w:space="0" w:color="auto"/>
            </w:tcBorders>
            <w:shd w:val="clear" w:color="auto" w:fill="auto"/>
            <w:vAlign w:val="bottom"/>
            <w:hideMark/>
          </w:tcPr>
          <w:p w14:paraId="1095EFBD"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714</w:t>
            </w:r>
          </w:p>
        </w:tc>
        <w:tc>
          <w:tcPr>
            <w:tcW w:w="1170" w:type="dxa"/>
            <w:tcBorders>
              <w:top w:val="nil"/>
              <w:left w:val="nil"/>
              <w:bottom w:val="single" w:sz="4" w:space="0" w:color="auto"/>
              <w:right w:val="single" w:sz="4" w:space="0" w:color="auto"/>
            </w:tcBorders>
            <w:shd w:val="clear" w:color="auto" w:fill="auto"/>
            <w:vAlign w:val="bottom"/>
            <w:hideMark/>
          </w:tcPr>
          <w:p w14:paraId="631AE978"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124,96</w:t>
            </w:r>
          </w:p>
        </w:tc>
        <w:tc>
          <w:tcPr>
            <w:tcW w:w="1275" w:type="dxa"/>
            <w:tcBorders>
              <w:top w:val="nil"/>
              <w:left w:val="nil"/>
              <w:bottom w:val="single" w:sz="4" w:space="0" w:color="auto"/>
              <w:right w:val="single" w:sz="4" w:space="0" w:color="auto"/>
            </w:tcBorders>
            <w:shd w:val="clear" w:color="auto" w:fill="auto"/>
            <w:noWrap/>
            <w:vAlign w:val="bottom"/>
            <w:hideMark/>
          </w:tcPr>
          <w:p w14:paraId="1A7B8932"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124,96</w:t>
            </w:r>
          </w:p>
        </w:tc>
        <w:tc>
          <w:tcPr>
            <w:tcW w:w="1137" w:type="dxa"/>
            <w:tcBorders>
              <w:top w:val="nil"/>
              <w:left w:val="nil"/>
              <w:bottom w:val="single" w:sz="4" w:space="0" w:color="auto"/>
              <w:right w:val="single" w:sz="4" w:space="0" w:color="auto"/>
            </w:tcBorders>
            <w:shd w:val="clear" w:color="auto" w:fill="auto"/>
            <w:noWrap/>
            <w:vAlign w:val="bottom"/>
            <w:hideMark/>
          </w:tcPr>
          <w:p w14:paraId="104B0C86"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273" w:type="dxa"/>
            <w:tcBorders>
              <w:top w:val="nil"/>
              <w:left w:val="nil"/>
              <w:bottom w:val="single" w:sz="4" w:space="0" w:color="auto"/>
              <w:right w:val="single" w:sz="4" w:space="0" w:color="auto"/>
            </w:tcBorders>
            <w:shd w:val="clear" w:color="auto" w:fill="auto"/>
            <w:noWrap/>
            <w:vAlign w:val="bottom"/>
            <w:hideMark/>
          </w:tcPr>
          <w:p w14:paraId="2A2C1D7D"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740FB6"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748BA802"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2CB94E56"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5BFF0B96"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120,06</w:t>
            </w:r>
          </w:p>
        </w:tc>
        <w:tc>
          <w:tcPr>
            <w:tcW w:w="944" w:type="dxa"/>
            <w:tcBorders>
              <w:top w:val="nil"/>
              <w:left w:val="nil"/>
              <w:bottom w:val="single" w:sz="4" w:space="0" w:color="auto"/>
              <w:right w:val="single" w:sz="4" w:space="0" w:color="auto"/>
            </w:tcBorders>
            <w:shd w:val="clear" w:color="auto" w:fill="auto"/>
            <w:noWrap/>
            <w:vAlign w:val="bottom"/>
            <w:hideMark/>
          </w:tcPr>
          <w:p w14:paraId="626C6B3B"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4,66</w:t>
            </w:r>
          </w:p>
        </w:tc>
      </w:tr>
      <w:tr w:rsidR="006A0356" w:rsidRPr="008860BA" w14:paraId="73C3CD99"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590AEBC"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Alte cheltuieli</w:t>
            </w:r>
          </w:p>
        </w:tc>
        <w:tc>
          <w:tcPr>
            <w:tcW w:w="673" w:type="dxa"/>
            <w:tcBorders>
              <w:top w:val="nil"/>
              <w:left w:val="nil"/>
              <w:bottom w:val="single" w:sz="4" w:space="0" w:color="auto"/>
              <w:right w:val="single" w:sz="4" w:space="0" w:color="auto"/>
            </w:tcBorders>
            <w:shd w:val="clear" w:color="auto" w:fill="auto"/>
            <w:vAlign w:val="bottom"/>
            <w:hideMark/>
          </w:tcPr>
          <w:p w14:paraId="2A8C34F2"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vAlign w:val="bottom"/>
            <w:hideMark/>
          </w:tcPr>
          <w:p w14:paraId="5FD7E8C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0,25</w:t>
            </w:r>
          </w:p>
        </w:tc>
        <w:tc>
          <w:tcPr>
            <w:tcW w:w="1275" w:type="dxa"/>
            <w:tcBorders>
              <w:top w:val="nil"/>
              <w:left w:val="nil"/>
              <w:bottom w:val="single" w:sz="4" w:space="0" w:color="auto"/>
              <w:right w:val="single" w:sz="4" w:space="0" w:color="auto"/>
            </w:tcBorders>
            <w:shd w:val="clear" w:color="auto" w:fill="auto"/>
            <w:noWrap/>
            <w:vAlign w:val="bottom"/>
            <w:hideMark/>
          </w:tcPr>
          <w:p w14:paraId="790AE5D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0,25</w:t>
            </w:r>
          </w:p>
        </w:tc>
        <w:tc>
          <w:tcPr>
            <w:tcW w:w="1137" w:type="dxa"/>
            <w:tcBorders>
              <w:top w:val="nil"/>
              <w:left w:val="nil"/>
              <w:bottom w:val="single" w:sz="4" w:space="0" w:color="auto"/>
              <w:right w:val="single" w:sz="4" w:space="0" w:color="auto"/>
            </w:tcBorders>
            <w:shd w:val="clear" w:color="auto" w:fill="auto"/>
            <w:vAlign w:val="bottom"/>
            <w:hideMark/>
          </w:tcPr>
          <w:p w14:paraId="3220ACD2"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273" w:type="dxa"/>
            <w:tcBorders>
              <w:top w:val="nil"/>
              <w:left w:val="nil"/>
              <w:bottom w:val="single" w:sz="4" w:space="0" w:color="auto"/>
              <w:right w:val="single" w:sz="4" w:space="0" w:color="auto"/>
            </w:tcBorders>
            <w:shd w:val="clear" w:color="auto" w:fill="auto"/>
            <w:vAlign w:val="bottom"/>
            <w:hideMark/>
          </w:tcPr>
          <w:p w14:paraId="2A92B8DA"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vAlign w:val="bottom"/>
            <w:hideMark/>
          </w:tcPr>
          <w:p w14:paraId="59CA3E63"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vAlign w:val="bottom"/>
            <w:hideMark/>
          </w:tcPr>
          <w:p w14:paraId="3EC848D6"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vAlign w:val="bottom"/>
            <w:hideMark/>
          </w:tcPr>
          <w:p w14:paraId="249F10A9"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054EF1D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0,25</w:t>
            </w:r>
          </w:p>
        </w:tc>
        <w:tc>
          <w:tcPr>
            <w:tcW w:w="944" w:type="dxa"/>
            <w:tcBorders>
              <w:top w:val="nil"/>
              <w:left w:val="nil"/>
              <w:bottom w:val="single" w:sz="4" w:space="0" w:color="auto"/>
              <w:right w:val="single" w:sz="4" w:space="0" w:color="auto"/>
            </w:tcBorders>
            <w:shd w:val="clear" w:color="auto" w:fill="auto"/>
            <w:vAlign w:val="bottom"/>
            <w:hideMark/>
          </w:tcPr>
          <w:p w14:paraId="40A0CC20"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r>
      <w:tr w:rsidR="006A0356" w:rsidRPr="008860BA" w14:paraId="08B5E8FD"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9B36EF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cheltuieli de reprezentare</w:t>
            </w:r>
          </w:p>
        </w:tc>
        <w:tc>
          <w:tcPr>
            <w:tcW w:w="673" w:type="dxa"/>
            <w:tcBorders>
              <w:top w:val="nil"/>
              <w:left w:val="nil"/>
              <w:bottom w:val="single" w:sz="4" w:space="0" w:color="auto"/>
              <w:right w:val="single" w:sz="4" w:space="0" w:color="auto"/>
            </w:tcBorders>
            <w:shd w:val="clear" w:color="auto" w:fill="auto"/>
            <w:noWrap/>
            <w:vAlign w:val="bottom"/>
            <w:hideMark/>
          </w:tcPr>
          <w:p w14:paraId="33B45099"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vAlign w:val="bottom"/>
            <w:hideMark/>
          </w:tcPr>
          <w:p w14:paraId="2784BBC6"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2,73</w:t>
            </w:r>
          </w:p>
        </w:tc>
        <w:tc>
          <w:tcPr>
            <w:tcW w:w="1275" w:type="dxa"/>
            <w:tcBorders>
              <w:top w:val="nil"/>
              <w:left w:val="nil"/>
              <w:bottom w:val="single" w:sz="4" w:space="0" w:color="auto"/>
              <w:right w:val="single" w:sz="4" w:space="0" w:color="auto"/>
            </w:tcBorders>
            <w:shd w:val="clear" w:color="auto" w:fill="auto"/>
            <w:noWrap/>
            <w:vAlign w:val="bottom"/>
            <w:hideMark/>
          </w:tcPr>
          <w:p w14:paraId="2A246BA1"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2,73</w:t>
            </w:r>
          </w:p>
        </w:tc>
        <w:tc>
          <w:tcPr>
            <w:tcW w:w="1137" w:type="dxa"/>
            <w:tcBorders>
              <w:top w:val="nil"/>
              <w:left w:val="nil"/>
              <w:bottom w:val="single" w:sz="4" w:space="0" w:color="auto"/>
              <w:right w:val="single" w:sz="4" w:space="0" w:color="auto"/>
            </w:tcBorders>
            <w:shd w:val="clear" w:color="auto" w:fill="auto"/>
            <w:noWrap/>
            <w:vAlign w:val="bottom"/>
            <w:hideMark/>
          </w:tcPr>
          <w:p w14:paraId="5241CB0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73" w:type="dxa"/>
            <w:tcBorders>
              <w:top w:val="nil"/>
              <w:left w:val="nil"/>
              <w:bottom w:val="single" w:sz="4" w:space="0" w:color="auto"/>
              <w:right w:val="single" w:sz="4" w:space="0" w:color="auto"/>
            </w:tcBorders>
            <w:shd w:val="clear" w:color="auto" w:fill="auto"/>
            <w:noWrap/>
            <w:vAlign w:val="bottom"/>
            <w:hideMark/>
          </w:tcPr>
          <w:p w14:paraId="411635E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1E32B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7D8C4382"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0906D8CD"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66B7ECA3"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44" w:type="dxa"/>
            <w:tcBorders>
              <w:top w:val="nil"/>
              <w:left w:val="nil"/>
              <w:bottom w:val="single" w:sz="4" w:space="0" w:color="auto"/>
              <w:right w:val="single" w:sz="4" w:space="0" w:color="auto"/>
            </w:tcBorders>
            <w:shd w:val="clear" w:color="auto" w:fill="auto"/>
            <w:noWrap/>
            <w:vAlign w:val="bottom"/>
            <w:hideMark/>
          </w:tcPr>
          <w:p w14:paraId="38FE23F3"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2,73</w:t>
            </w:r>
          </w:p>
        </w:tc>
      </w:tr>
      <w:tr w:rsidR="006A0356" w:rsidRPr="008860BA" w14:paraId="2AD3711E"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5B7DEDE" w14:textId="3F1E729B" w:rsidR="006A0356" w:rsidRPr="008860BA" w:rsidRDefault="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Deplas</w:t>
            </w:r>
            <w:r w:rsidR="00E10604" w:rsidRPr="008860BA">
              <w:rPr>
                <w:rFonts w:asciiTheme="majorHAnsi" w:eastAsia="Times New Roman" w:hAnsiTheme="majorHAnsi" w:cstheme="majorHAnsi"/>
                <w:color w:val="000000"/>
                <w:sz w:val="18"/>
                <w:szCs w:val="18"/>
                <w:lang w:val="ro-MD"/>
              </w:rPr>
              <w:t>ă</w:t>
            </w:r>
            <w:r w:rsidRPr="008860BA">
              <w:rPr>
                <w:rFonts w:asciiTheme="majorHAnsi" w:eastAsia="Times New Roman" w:hAnsiTheme="majorHAnsi" w:cstheme="majorHAnsi"/>
                <w:color w:val="000000"/>
                <w:sz w:val="18"/>
                <w:szCs w:val="18"/>
                <w:lang w:val="ro-MD"/>
              </w:rPr>
              <w:t xml:space="preserve">ri </w:t>
            </w:r>
          </w:p>
        </w:tc>
        <w:tc>
          <w:tcPr>
            <w:tcW w:w="673" w:type="dxa"/>
            <w:tcBorders>
              <w:top w:val="nil"/>
              <w:left w:val="nil"/>
              <w:bottom w:val="single" w:sz="4" w:space="0" w:color="auto"/>
              <w:right w:val="single" w:sz="4" w:space="0" w:color="auto"/>
            </w:tcBorders>
            <w:shd w:val="clear" w:color="auto" w:fill="auto"/>
            <w:noWrap/>
            <w:vAlign w:val="bottom"/>
            <w:hideMark/>
          </w:tcPr>
          <w:p w14:paraId="39EDC3E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vAlign w:val="bottom"/>
            <w:hideMark/>
          </w:tcPr>
          <w:p w14:paraId="7180C21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121,99</w:t>
            </w:r>
          </w:p>
        </w:tc>
        <w:tc>
          <w:tcPr>
            <w:tcW w:w="1275" w:type="dxa"/>
            <w:tcBorders>
              <w:top w:val="nil"/>
              <w:left w:val="nil"/>
              <w:bottom w:val="single" w:sz="4" w:space="0" w:color="auto"/>
              <w:right w:val="single" w:sz="4" w:space="0" w:color="auto"/>
            </w:tcBorders>
            <w:shd w:val="clear" w:color="auto" w:fill="auto"/>
            <w:noWrap/>
            <w:vAlign w:val="bottom"/>
            <w:hideMark/>
          </w:tcPr>
          <w:p w14:paraId="73A3CCE4"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121,99</w:t>
            </w:r>
          </w:p>
        </w:tc>
        <w:tc>
          <w:tcPr>
            <w:tcW w:w="1137" w:type="dxa"/>
            <w:tcBorders>
              <w:top w:val="nil"/>
              <w:left w:val="nil"/>
              <w:bottom w:val="single" w:sz="4" w:space="0" w:color="auto"/>
              <w:right w:val="single" w:sz="4" w:space="0" w:color="auto"/>
            </w:tcBorders>
            <w:shd w:val="clear" w:color="auto" w:fill="auto"/>
            <w:noWrap/>
            <w:vAlign w:val="bottom"/>
            <w:hideMark/>
          </w:tcPr>
          <w:p w14:paraId="6DF8387E"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73" w:type="dxa"/>
            <w:tcBorders>
              <w:top w:val="nil"/>
              <w:left w:val="nil"/>
              <w:bottom w:val="single" w:sz="4" w:space="0" w:color="auto"/>
              <w:right w:val="single" w:sz="4" w:space="0" w:color="auto"/>
            </w:tcBorders>
            <w:shd w:val="clear" w:color="auto" w:fill="auto"/>
            <w:noWrap/>
            <w:vAlign w:val="bottom"/>
            <w:hideMark/>
          </w:tcPr>
          <w:p w14:paraId="669C28BD"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D3DB51"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4D91612E"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5D4A08BC"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7C3E0B21"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120,06</w:t>
            </w:r>
          </w:p>
        </w:tc>
        <w:tc>
          <w:tcPr>
            <w:tcW w:w="944" w:type="dxa"/>
            <w:tcBorders>
              <w:top w:val="nil"/>
              <w:left w:val="nil"/>
              <w:bottom w:val="single" w:sz="4" w:space="0" w:color="auto"/>
              <w:right w:val="single" w:sz="4" w:space="0" w:color="auto"/>
            </w:tcBorders>
            <w:shd w:val="clear" w:color="auto" w:fill="auto"/>
            <w:noWrap/>
            <w:vAlign w:val="bottom"/>
            <w:hideMark/>
          </w:tcPr>
          <w:p w14:paraId="733DF456"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1,93</w:t>
            </w:r>
          </w:p>
        </w:tc>
      </w:tr>
      <w:tr w:rsidR="006A0356" w:rsidRPr="008860BA" w14:paraId="4615D118"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CA758B4" w14:textId="77777777" w:rsidR="006A0356" w:rsidRPr="008860BA" w:rsidRDefault="006A0356" w:rsidP="006A0356">
            <w:pPr>
              <w:spacing w:after="0" w:line="240" w:lineRule="auto"/>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Cheltuieli financiare</w:t>
            </w:r>
          </w:p>
        </w:tc>
        <w:tc>
          <w:tcPr>
            <w:tcW w:w="673" w:type="dxa"/>
            <w:tcBorders>
              <w:top w:val="nil"/>
              <w:left w:val="nil"/>
              <w:bottom w:val="single" w:sz="4" w:space="0" w:color="auto"/>
              <w:right w:val="single" w:sz="4" w:space="0" w:color="auto"/>
            </w:tcBorders>
            <w:shd w:val="clear" w:color="auto" w:fill="auto"/>
            <w:vAlign w:val="bottom"/>
            <w:hideMark/>
          </w:tcPr>
          <w:p w14:paraId="0B02ABD7" w14:textId="77777777" w:rsidR="006A0356" w:rsidRPr="008860BA" w:rsidRDefault="006A0356" w:rsidP="006A0356">
            <w:pPr>
              <w:spacing w:after="0" w:line="240" w:lineRule="auto"/>
              <w:jc w:val="right"/>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722</w:t>
            </w:r>
          </w:p>
        </w:tc>
        <w:tc>
          <w:tcPr>
            <w:tcW w:w="1170" w:type="dxa"/>
            <w:tcBorders>
              <w:top w:val="nil"/>
              <w:left w:val="nil"/>
              <w:bottom w:val="single" w:sz="4" w:space="0" w:color="auto"/>
              <w:right w:val="single" w:sz="4" w:space="0" w:color="auto"/>
            </w:tcBorders>
            <w:shd w:val="clear" w:color="auto" w:fill="auto"/>
            <w:noWrap/>
            <w:vAlign w:val="bottom"/>
            <w:hideMark/>
          </w:tcPr>
          <w:p w14:paraId="0086FE4C"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514,06</w:t>
            </w:r>
          </w:p>
        </w:tc>
        <w:tc>
          <w:tcPr>
            <w:tcW w:w="1275" w:type="dxa"/>
            <w:tcBorders>
              <w:top w:val="nil"/>
              <w:left w:val="nil"/>
              <w:bottom w:val="single" w:sz="4" w:space="0" w:color="auto"/>
              <w:right w:val="single" w:sz="4" w:space="0" w:color="auto"/>
            </w:tcBorders>
            <w:shd w:val="clear" w:color="auto" w:fill="auto"/>
            <w:noWrap/>
            <w:vAlign w:val="bottom"/>
            <w:hideMark/>
          </w:tcPr>
          <w:p w14:paraId="55D65D02"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514,06</w:t>
            </w:r>
          </w:p>
        </w:tc>
        <w:tc>
          <w:tcPr>
            <w:tcW w:w="1137" w:type="dxa"/>
            <w:tcBorders>
              <w:top w:val="nil"/>
              <w:left w:val="nil"/>
              <w:bottom w:val="single" w:sz="4" w:space="0" w:color="auto"/>
              <w:right w:val="single" w:sz="4" w:space="0" w:color="auto"/>
            </w:tcBorders>
            <w:shd w:val="clear" w:color="auto" w:fill="auto"/>
            <w:noWrap/>
            <w:vAlign w:val="bottom"/>
            <w:hideMark/>
          </w:tcPr>
          <w:p w14:paraId="1BBB06CC"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73" w:type="dxa"/>
            <w:tcBorders>
              <w:top w:val="nil"/>
              <w:left w:val="nil"/>
              <w:bottom w:val="single" w:sz="4" w:space="0" w:color="auto"/>
              <w:right w:val="single" w:sz="4" w:space="0" w:color="auto"/>
            </w:tcBorders>
            <w:shd w:val="clear" w:color="auto" w:fill="auto"/>
            <w:noWrap/>
            <w:vAlign w:val="bottom"/>
            <w:hideMark/>
          </w:tcPr>
          <w:p w14:paraId="710082B8"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A3B90A"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12FE9990"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4C55F67D"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18DDF6B3"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44" w:type="dxa"/>
            <w:tcBorders>
              <w:top w:val="nil"/>
              <w:left w:val="nil"/>
              <w:bottom w:val="single" w:sz="4" w:space="0" w:color="auto"/>
              <w:right w:val="single" w:sz="4" w:space="0" w:color="auto"/>
            </w:tcBorders>
            <w:shd w:val="clear" w:color="auto" w:fill="auto"/>
            <w:noWrap/>
            <w:vAlign w:val="bottom"/>
            <w:hideMark/>
          </w:tcPr>
          <w:p w14:paraId="164DE9FA"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A0356" w:rsidRPr="008860BA" w14:paraId="36924FE4"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E03652D"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Total Cheltuieli</w:t>
            </w:r>
          </w:p>
        </w:tc>
        <w:tc>
          <w:tcPr>
            <w:tcW w:w="673" w:type="dxa"/>
            <w:tcBorders>
              <w:top w:val="nil"/>
              <w:left w:val="nil"/>
              <w:bottom w:val="single" w:sz="4" w:space="0" w:color="auto"/>
              <w:right w:val="single" w:sz="4" w:space="0" w:color="auto"/>
            </w:tcBorders>
            <w:shd w:val="clear" w:color="auto" w:fill="auto"/>
            <w:noWrap/>
            <w:vAlign w:val="bottom"/>
            <w:hideMark/>
          </w:tcPr>
          <w:p w14:paraId="734D58EB"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noWrap/>
            <w:vAlign w:val="bottom"/>
            <w:hideMark/>
          </w:tcPr>
          <w:p w14:paraId="79592CF3"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160.600,36</w:t>
            </w:r>
          </w:p>
        </w:tc>
        <w:tc>
          <w:tcPr>
            <w:tcW w:w="1275" w:type="dxa"/>
            <w:tcBorders>
              <w:top w:val="nil"/>
              <w:left w:val="nil"/>
              <w:bottom w:val="single" w:sz="4" w:space="0" w:color="auto"/>
              <w:right w:val="single" w:sz="4" w:space="0" w:color="auto"/>
            </w:tcBorders>
            <w:shd w:val="clear" w:color="auto" w:fill="auto"/>
            <w:noWrap/>
            <w:vAlign w:val="bottom"/>
            <w:hideMark/>
          </w:tcPr>
          <w:p w14:paraId="6D1E5099"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160.600,36</w:t>
            </w:r>
          </w:p>
        </w:tc>
        <w:tc>
          <w:tcPr>
            <w:tcW w:w="1137" w:type="dxa"/>
            <w:tcBorders>
              <w:top w:val="nil"/>
              <w:left w:val="nil"/>
              <w:bottom w:val="single" w:sz="4" w:space="0" w:color="auto"/>
              <w:right w:val="single" w:sz="4" w:space="0" w:color="auto"/>
            </w:tcBorders>
            <w:shd w:val="clear" w:color="auto" w:fill="auto"/>
            <w:noWrap/>
            <w:vAlign w:val="bottom"/>
            <w:hideMark/>
          </w:tcPr>
          <w:p w14:paraId="3F06F432"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101.563,94</w:t>
            </w:r>
          </w:p>
        </w:tc>
        <w:tc>
          <w:tcPr>
            <w:tcW w:w="1273" w:type="dxa"/>
            <w:tcBorders>
              <w:top w:val="nil"/>
              <w:left w:val="nil"/>
              <w:bottom w:val="single" w:sz="4" w:space="0" w:color="auto"/>
              <w:right w:val="single" w:sz="4" w:space="0" w:color="auto"/>
            </w:tcBorders>
            <w:shd w:val="clear" w:color="auto" w:fill="auto"/>
            <w:noWrap/>
            <w:vAlign w:val="bottom"/>
            <w:hideMark/>
          </w:tcPr>
          <w:p w14:paraId="08D2EA53"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485,46</w:t>
            </w:r>
          </w:p>
        </w:tc>
        <w:tc>
          <w:tcPr>
            <w:tcW w:w="1134" w:type="dxa"/>
            <w:tcBorders>
              <w:top w:val="nil"/>
              <w:left w:val="nil"/>
              <w:bottom w:val="single" w:sz="4" w:space="0" w:color="auto"/>
              <w:right w:val="single" w:sz="4" w:space="0" w:color="auto"/>
            </w:tcBorders>
            <w:shd w:val="clear" w:color="auto" w:fill="auto"/>
            <w:noWrap/>
            <w:vAlign w:val="bottom"/>
            <w:hideMark/>
          </w:tcPr>
          <w:p w14:paraId="1E74228F"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685E8876"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13.540,62</w:t>
            </w:r>
          </w:p>
        </w:tc>
        <w:tc>
          <w:tcPr>
            <w:tcW w:w="853" w:type="dxa"/>
            <w:tcBorders>
              <w:top w:val="nil"/>
              <w:left w:val="nil"/>
              <w:bottom w:val="single" w:sz="4" w:space="0" w:color="auto"/>
              <w:right w:val="single" w:sz="4" w:space="0" w:color="auto"/>
            </w:tcBorders>
            <w:shd w:val="clear" w:color="auto" w:fill="auto"/>
            <w:noWrap/>
            <w:vAlign w:val="bottom"/>
            <w:hideMark/>
          </w:tcPr>
          <w:p w14:paraId="0DA5FFC5"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2.544,21</w:t>
            </w:r>
          </w:p>
        </w:tc>
        <w:tc>
          <w:tcPr>
            <w:tcW w:w="853" w:type="dxa"/>
            <w:tcBorders>
              <w:top w:val="nil"/>
              <w:left w:val="nil"/>
              <w:bottom w:val="single" w:sz="4" w:space="0" w:color="auto"/>
              <w:right w:val="single" w:sz="4" w:space="0" w:color="auto"/>
            </w:tcBorders>
            <w:shd w:val="clear" w:color="auto" w:fill="auto"/>
            <w:noWrap/>
            <w:vAlign w:val="bottom"/>
            <w:hideMark/>
          </w:tcPr>
          <w:p w14:paraId="3451E76F"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2.029,54</w:t>
            </w:r>
          </w:p>
        </w:tc>
        <w:tc>
          <w:tcPr>
            <w:tcW w:w="944" w:type="dxa"/>
            <w:tcBorders>
              <w:top w:val="nil"/>
              <w:left w:val="nil"/>
              <w:bottom w:val="single" w:sz="4" w:space="0" w:color="auto"/>
              <w:right w:val="single" w:sz="4" w:space="0" w:color="auto"/>
            </w:tcBorders>
            <w:shd w:val="clear" w:color="auto" w:fill="auto"/>
            <w:noWrap/>
            <w:vAlign w:val="bottom"/>
            <w:hideMark/>
          </w:tcPr>
          <w:p w14:paraId="45285003"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39.922,27</w:t>
            </w:r>
          </w:p>
        </w:tc>
      </w:tr>
      <w:tr w:rsidR="006A0356" w:rsidRPr="008860BA" w14:paraId="424B2A92"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60FBEA3"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Rezultat financiar</w:t>
            </w:r>
          </w:p>
        </w:tc>
        <w:tc>
          <w:tcPr>
            <w:tcW w:w="673" w:type="dxa"/>
            <w:tcBorders>
              <w:top w:val="nil"/>
              <w:left w:val="nil"/>
              <w:bottom w:val="single" w:sz="4" w:space="0" w:color="auto"/>
              <w:right w:val="single" w:sz="4" w:space="0" w:color="auto"/>
            </w:tcBorders>
            <w:shd w:val="clear" w:color="auto" w:fill="auto"/>
            <w:noWrap/>
            <w:vAlign w:val="bottom"/>
            <w:hideMark/>
          </w:tcPr>
          <w:p w14:paraId="451140C4"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noWrap/>
            <w:vAlign w:val="bottom"/>
            <w:hideMark/>
          </w:tcPr>
          <w:p w14:paraId="41EE78F8"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74A38CCB"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0,00</w:t>
            </w:r>
          </w:p>
        </w:tc>
        <w:tc>
          <w:tcPr>
            <w:tcW w:w="1137" w:type="dxa"/>
            <w:tcBorders>
              <w:top w:val="nil"/>
              <w:left w:val="nil"/>
              <w:bottom w:val="single" w:sz="4" w:space="0" w:color="auto"/>
              <w:right w:val="single" w:sz="4" w:space="0" w:color="auto"/>
            </w:tcBorders>
            <w:shd w:val="clear" w:color="auto" w:fill="auto"/>
            <w:noWrap/>
            <w:vAlign w:val="bottom"/>
            <w:hideMark/>
          </w:tcPr>
          <w:p w14:paraId="415D4B9F"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614,03</w:t>
            </w:r>
          </w:p>
        </w:tc>
        <w:tc>
          <w:tcPr>
            <w:tcW w:w="1273" w:type="dxa"/>
            <w:tcBorders>
              <w:top w:val="nil"/>
              <w:left w:val="nil"/>
              <w:bottom w:val="single" w:sz="4" w:space="0" w:color="auto"/>
              <w:right w:val="single" w:sz="4" w:space="0" w:color="auto"/>
            </w:tcBorders>
            <w:shd w:val="clear" w:color="auto" w:fill="auto"/>
            <w:noWrap/>
            <w:vAlign w:val="bottom"/>
            <w:hideMark/>
          </w:tcPr>
          <w:p w14:paraId="332AE09D"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667,74</w:t>
            </w:r>
          </w:p>
        </w:tc>
        <w:tc>
          <w:tcPr>
            <w:tcW w:w="1134" w:type="dxa"/>
            <w:tcBorders>
              <w:top w:val="nil"/>
              <w:left w:val="nil"/>
              <w:bottom w:val="single" w:sz="4" w:space="0" w:color="auto"/>
              <w:right w:val="single" w:sz="4" w:space="0" w:color="auto"/>
            </w:tcBorders>
            <w:shd w:val="clear" w:color="auto" w:fill="auto"/>
            <w:noWrap/>
            <w:vAlign w:val="bottom"/>
            <w:hideMark/>
          </w:tcPr>
          <w:p w14:paraId="0EF7B650"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1.049,15</w:t>
            </w:r>
          </w:p>
        </w:tc>
        <w:tc>
          <w:tcPr>
            <w:tcW w:w="1111" w:type="dxa"/>
            <w:tcBorders>
              <w:top w:val="nil"/>
              <w:left w:val="nil"/>
              <w:bottom w:val="single" w:sz="4" w:space="0" w:color="auto"/>
              <w:right w:val="single" w:sz="4" w:space="0" w:color="auto"/>
            </w:tcBorders>
            <w:shd w:val="clear" w:color="auto" w:fill="auto"/>
            <w:noWrap/>
            <w:vAlign w:val="bottom"/>
            <w:hideMark/>
          </w:tcPr>
          <w:p w14:paraId="5019D548"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-30,51</w:t>
            </w:r>
          </w:p>
        </w:tc>
        <w:tc>
          <w:tcPr>
            <w:tcW w:w="853" w:type="dxa"/>
            <w:tcBorders>
              <w:top w:val="nil"/>
              <w:left w:val="nil"/>
              <w:bottom w:val="single" w:sz="4" w:space="0" w:color="auto"/>
              <w:right w:val="single" w:sz="4" w:space="0" w:color="auto"/>
            </w:tcBorders>
            <w:shd w:val="clear" w:color="auto" w:fill="auto"/>
            <w:noWrap/>
            <w:vAlign w:val="bottom"/>
            <w:hideMark/>
          </w:tcPr>
          <w:p w14:paraId="0A180A2B"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-815,22</w:t>
            </w:r>
          </w:p>
        </w:tc>
        <w:tc>
          <w:tcPr>
            <w:tcW w:w="853" w:type="dxa"/>
            <w:tcBorders>
              <w:top w:val="nil"/>
              <w:left w:val="nil"/>
              <w:bottom w:val="single" w:sz="4" w:space="0" w:color="auto"/>
              <w:right w:val="single" w:sz="4" w:space="0" w:color="auto"/>
            </w:tcBorders>
            <w:shd w:val="clear" w:color="auto" w:fill="auto"/>
            <w:noWrap/>
            <w:vAlign w:val="bottom"/>
            <w:hideMark/>
          </w:tcPr>
          <w:p w14:paraId="574AD362"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-69,82</w:t>
            </w:r>
          </w:p>
        </w:tc>
        <w:tc>
          <w:tcPr>
            <w:tcW w:w="944" w:type="dxa"/>
            <w:tcBorders>
              <w:top w:val="nil"/>
              <w:left w:val="nil"/>
              <w:bottom w:val="single" w:sz="4" w:space="0" w:color="auto"/>
              <w:right w:val="single" w:sz="4" w:space="0" w:color="auto"/>
            </w:tcBorders>
            <w:shd w:val="clear" w:color="auto" w:fill="auto"/>
            <w:noWrap/>
            <w:vAlign w:val="bottom"/>
            <w:hideMark/>
          </w:tcPr>
          <w:p w14:paraId="6C9C468B"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-1.537,13</w:t>
            </w:r>
          </w:p>
        </w:tc>
      </w:tr>
    </w:tbl>
    <w:p w14:paraId="3D96B730" w14:textId="63887568" w:rsidR="006A0356" w:rsidRPr="008860BA" w:rsidRDefault="006A0356" w:rsidP="006A0356">
      <w:pPr>
        <w:rPr>
          <w:rFonts w:asciiTheme="majorHAnsi" w:hAnsiTheme="majorHAnsi" w:cstheme="majorHAnsi"/>
          <w:lang w:val="ro-MD"/>
        </w:rPr>
      </w:pPr>
      <w:r w:rsidRPr="008860BA">
        <w:rPr>
          <w:rFonts w:asciiTheme="majorHAnsi" w:hAnsiTheme="majorHAnsi" w:cstheme="majorHAnsi"/>
          <w:lang w:val="ro-MD"/>
        </w:rPr>
        <w:t>Sursa: Eviden</w:t>
      </w:r>
      <w:r w:rsidR="00B13B9A" w:rsidRPr="008860BA">
        <w:rPr>
          <w:rFonts w:asciiTheme="majorHAnsi" w:hAnsiTheme="majorHAnsi" w:cstheme="majorHAnsi"/>
          <w:lang w:val="ro-MD"/>
        </w:rPr>
        <w:t>ț</w:t>
      </w:r>
      <w:r w:rsidRPr="008860BA">
        <w:rPr>
          <w:rFonts w:asciiTheme="majorHAnsi" w:hAnsiTheme="majorHAnsi" w:cstheme="majorHAnsi"/>
          <w:lang w:val="ro-MD"/>
        </w:rPr>
        <w:t>a contabilă a IMSP</w:t>
      </w:r>
      <w:r w:rsidR="00E10604" w:rsidRPr="008860BA">
        <w:rPr>
          <w:rFonts w:asciiTheme="majorHAnsi" w:hAnsiTheme="majorHAnsi" w:cstheme="majorHAnsi"/>
          <w:lang w:val="ro-MD"/>
        </w:rPr>
        <w:t xml:space="preserve"> IFP</w:t>
      </w:r>
      <w:r w:rsidR="00885EE0" w:rsidRPr="008860BA">
        <w:rPr>
          <w:rFonts w:asciiTheme="majorHAnsi" w:hAnsiTheme="majorHAnsi" w:cstheme="majorHAnsi"/>
          <w:lang w:val="ro-MD"/>
        </w:rPr>
        <w:t xml:space="preserve"> </w:t>
      </w:r>
      <w:r w:rsidR="00885EE0" w:rsidRPr="008860BA">
        <w:rPr>
          <w:rFonts w:asciiTheme="majorHAnsi" w:hAnsiTheme="majorHAnsi" w:cstheme="majorHAnsi"/>
          <w:i/>
          <w:lang w:val="ro-MD"/>
        </w:rPr>
        <w:t>„Chiril Draganiuc”</w:t>
      </w:r>
      <w:r w:rsidR="00E10604" w:rsidRPr="008860BA">
        <w:rPr>
          <w:rFonts w:asciiTheme="majorHAnsi" w:hAnsiTheme="majorHAnsi" w:cstheme="majorHAnsi"/>
          <w:lang w:val="ro-MD"/>
        </w:rPr>
        <w:t>.</w:t>
      </w:r>
    </w:p>
    <w:p w14:paraId="50CE48C9" w14:textId="77777777" w:rsidR="00C875AC" w:rsidRPr="008860BA" w:rsidRDefault="00C875AC" w:rsidP="00C875AC">
      <w:pPr>
        <w:rPr>
          <w:lang w:val="ro-MD"/>
        </w:rPr>
      </w:pPr>
    </w:p>
    <w:p w14:paraId="7F226521" w14:textId="3AA20C10" w:rsidR="0023258A" w:rsidRPr="008860BA" w:rsidRDefault="0023258A" w:rsidP="0023258A">
      <w:pPr>
        <w:pStyle w:val="3"/>
        <w:jc w:val="right"/>
        <w:rPr>
          <w:rFonts w:cstheme="majorHAnsi"/>
          <w:b/>
          <w:color w:val="auto"/>
        </w:rPr>
      </w:pPr>
      <w:bookmarkStart w:id="75" w:name="_Toc158317276"/>
      <w:r w:rsidRPr="008860BA">
        <w:rPr>
          <w:rFonts w:cstheme="majorHAnsi"/>
          <w:b/>
          <w:color w:val="auto"/>
        </w:rPr>
        <w:t>Anexa nr.22</w:t>
      </w:r>
      <w:bookmarkEnd w:id="75"/>
    </w:p>
    <w:p w14:paraId="75B59F05" w14:textId="51F02D52" w:rsidR="006F3067" w:rsidRPr="008860BA" w:rsidRDefault="006F3067" w:rsidP="006F3067">
      <w:pPr>
        <w:jc w:val="center"/>
        <w:rPr>
          <w:rFonts w:asciiTheme="majorHAnsi" w:hAnsiTheme="majorHAnsi" w:cstheme="majorHAnsi"/>
          <w:b/>
          <w:sz w:val="24"/>
          <w:lang w:val="ro-MD"/>
        </w:rPr>
      </w:pPr>
      <w:r w:rsidRPr="008860BA">
        <w:rPr>
          <w:rFonts w:asciiTheme="majorHAnsi" w:hAnsiTheme="majorHAnsi" w:cstheme="majorHAnsi"/>
          <w:b/>
          <w:sz w:val="24"/>
          <w:lang w:val="ro-MD"/>
        </w:rPr>
        <w:t>Analiza repartizării cheltuielilor pe tipuri de servicii în anul 2023 (6 luni)</w:t>
      </w:r>
    </w:p>
    <w:tbl>
      <w:tblPr>
        <w:tblW w:w="13878" w:type="dxa"/>
        <w:tblLook w:val="04A0" w:firstRow="1" w:lastRow="0" w:firstColumn="1" w:lastColumn="0" w:noHBand="0" w:noVBand="1"/>
      </w:tblPr>
      <w:tblGrid>
        <w:gridCol w:w="3423"/>
        <w:gridCol w:w="967"/>
        <w:gridCol w:w="1099"/>
        <w:gridCol w:w="1195"/>
        <w:gridCol w:w="1137"/>
        <w:gridCol w:w="1224"/>
        <w:gridCol w:w="1259"/>
        <w:gridCol w:w="1111"/>
        <w:gridCol w:w="853"/>
        <w:gridCol w:w="853"/>
        <w:gridCol w:w="944"/>
      </w:tblGrid>
      <w:tr w:rsidR="006F3067" w:rsidRPr="008860BA" w14:paraId="527BB12A" w14:textId="77777777" w:rsidTr="006F3067">
        <w:trPr>
          <w:trHeight w:val="20"/>
        </w:trPr>
        <w:tc>
          <w:tcPr>
            <w:tcW w:w="3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B0430" w14:textId="77777777" w:rsidR="006F3067" w:rsidRPr="008860BA" w:rsidRDefault="006F3067" w:rsidP="00332FF7">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Anul 2021</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104C8C2B" w14:textId="0E1F6ECA" w:rsidR="006F3067" w:rsidRPr="008860BA" w:rsidRDefault="00885EE0" w:rsidP="00332FF7">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C</w:t>
            </w:r>
            <w:r w:rsidR="006F3067" w:rsidRPr="008860BA">
              <w:rPr>
                <w:rFonts w:asciiTheme="majorHAnsi" w:eastAsia="Times New Roman" w:hAnsiTheme="majorHAnsi" w:cstheme="majorHAnsi"/>
                <w:b/>
                <w:bCs/>
                <w:color w:val="000000"/>
                <w:sz w:val="18"/>
                <w:szCs w:val="18"/>
                <w:lang w:val="ro-MD"/>
              </w:rPr>
              <w:t>ontul</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14:paraId="63AA0238" w14:textId="09317085" w:rsidR="006F3067" w:rsidRPr="008860BA" w:rsidRDefault="006F3067" w:rsidP="00332FF7">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Suma totală conform situa</w:t>
            </w:r>
            <w:r w:rsidR="00B13B9A" w:rsidRPr="008860BA">
              <w:rPr>
                <w:rFonts w:asciiTheme="majorHAnsi" w:eastAsia="Times New Roman" w:hAnsiTheme="majorHAnsi" w:cstheme="majorHAnsi"/>
                <w:b/>
                <w:bCs/>
                <w:color w:val="000000"/>
                <w:sz w:val="18"/>
                <w:szCs w:val="18"/>
                <w:lang w:val="ro-MD"/>
              </w:rPr>
              <w:t>ț</w:t>
            </w:r>
            <w:r w:rsidRPr="008860BA">
              <w:rPr>
                <w:rFonts w:asciiTheme="majorHAnsi" w:eastAsia="Times New Roman" w:hAnsiTheme="majorHAnsi" w:cstheme="majorHAnsi"/>
                <w:b/>
                <w:bCs/>
                <w:color w:val="000000"/>
                <w:sz w:val="18"/>
                <w:szCs w:val="18"/>
                <w:lang w:val="ro-MD"/>
              </w:rPr>
              <w:t>iei financiare</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0C240BD1" w14:textId="77777777" w:rsidR="006F3067" w:rsidRPr="008860BA" w:rsidRDefault="006F3067" w:rsidP="00332FF7">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Total, inclusiv</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5DE612DC" w14:textId="66EA03FC" w:rsidR="006F3067" w:rsidRPr="008860BA" w:rsidRDefault="006F3067">
            <w:pPr>
              <w:spacing w:after="0" w:line="240" w:lineRule="auto"/>
              <w:ind w:left="87" w:hanging="87"/>
              <w:jc w:val="center"/>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Spitaliceasc</w:t>
            </w:r>
            <w:r w:rsidR="00885EE0" w:rsidRPr="008860BA">
              <w:rPr>
                <w:rFonts w:asciiTheme="majorHAnsi" w:eastAsia="Times New Roman" w:hAnsiTheme="majorHAnsi" w:cstheme="majorHAnsi"/>
                <w:b/>
                <w:bCs/>
                <w:sz w:val="18"/>
                <w:szCs w:val="18"/>
                <w:lang w:val="ro-MD"/>
              </w:rPr>
              <w:t>ă</w:t>
            </w:r>
            <w:r w:rsidRPr="008860BA">
              <w:rPr>
                <w:rFonts w:asciiTheme="majorHAnsi" w:eastAsia="Times New Roman" w:hAnsiTheme="majorHAnsi" w:cstheme="majorHAnsi"/>
                <w:b/>
                <w:bCs/>
                <w:sz w:val="18"/>
                <w:szCs w:val="18"/>
                <w:lang w:val="ro-MD"/>
              </w:rPr>
              <w:t xml:space="preserve"> </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5E6E7C21" w14:textId="77777777" w:rsidR="006F3067" w:rsidRPr="008860BA" w:rsidRDefault="006F3067" w:rsidP="00332FF7">
            <w:pPr>
              <w:spacing w:after="0" w:line="240" w:lineRule="auto"/>
              <w:jc w:val="center"/>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 xml:space="preserve">CNAM examinări profilactice (radiografie mobila) </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4F9CE1A4" w14:textId="548E28C6" w:rsidR="006F3067" w:rsidRPr="008860BA" w:rsidRDefault="006F3067">
            <w:pPr>
              <w:spacing w:after="0" w:line="240" w:lineRule="auto"/>
              <w:jc w:val="center"/>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Aloca</w:t>
            </w:r>
            <w:r w:rsidR="00885EE0" w:rsidRPr="008860BA">
              <w:rPr>
                <w:rFonts w:asciiTheme="majorHAnsi" w:eastAsia="Times New Roman" w:hAnsiTheme="majorHAnsi" w:cstheme="majorHAnsi"/>
                <w:b/>
                <w:bCs/>
                <w:sz w:val="18"/>
                <w:szCs w:val="18"/>
                <w:lang w:val="ro-MD"/>
              </w:rPr>
              <w:t>ț</w:t>
            </w:r>
            <w:r w:rsidRPr="008860BA">
              <w:rPr>
                <w:rFonts w:asciiTheme="majorHAnsi" w:eastAsia="Times New Roman" w:hAnsiTheme="majorHAnsi" w:cstheme="majorHAnsi"/>
                <w:b/>
                <w:bCs/>
                <w:sz w:val="18"/>
                <w:szCs w:val="18"/>
                <w:lang w:val="ro-MD"/>
              </w:rPr>
              <w:t>ii CNAM    reziden</w:t>
            </w:r>
            <w:r w:rsidR="00885EE0" w:rsidRPr="008860BA">
              <w:rPr>
                <w:rFonts w:asciiTheme="majorHAnsi" w:eastAsia="Times New Roman" w:hAnsiTheme="majorHAnsi" w:cstheme="majorHAnsi"/>
                <w:b/>
                <w:bCs/>
                <w:sz w:val="18"/>
                <w:szCs w:val="18"/>
                <w:lang w:val="ro-MD"/>
              </w:rPr>
              <w:t>ț</w:t>
            </w:r>
            <w:r w:rsidRPr="008860BA">
              <w:rPr>
                <w:rFonts w:asciiTheme="majorHAnsi" w:eastAsia="Times New Roman" w:hAnsiTheme="majorHAnsi" w:cstheme="majorHAnsi"/>
                <w:b/>
                <w:bCs/>
                <w:sz w:val="18"/>
                <w:szCs w:val="18"/>
                <w:lang w:val="ro-MD"/>
              </w:rPr>
              <w:t>i</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508940BF" w14:textId="77777777" w:rsidR="006F3067" w:rsidRPr="008860BA" w:rsidRDefault="006F3067" w:rsidP="00332FF7">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Consultativă +LNR</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3C85B601" w14:textId="6CBF1F13" w:rsidR="006F3067" w:rsidRPr="008860BA" w:rsidRDefault="00885EE0" w:rsidP="00332FF7">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Ș</w:t>
            </w:r>
            <w:r w:rsidR="006F3067" w:rsidRPr="008860BA">
              <w:rPr>
                <w:rFonts w:asciiTheme="majorHAnsi" w:eastAsia="Times New Roman" w:hAnsiTheme="majorHAnsi" w:cstheme="majorHAnsi"/>
                <w:b/>
                <w:bCs/>
                <w:color w:val="000000"/>
                <w:sz w:val="18"/>
                <w:szCs w:val="18"/>
                <w:lang w:val="ro-MD"/>
              </w:rPr>
              <w:t>tiin</w:t>
            </w:r>
            <w:r w:rsidR="00B13B9A" w:rsidRPr="008860BA">
              <w:rPr>
                <w:rFonts w:asciiTheme="majorHAnsi" w:eastAsia="Times New Roman" w:hAnsiTheme="majorHAnsi" w:cstheme="majorHAnsi"/>
                <w:b/>
                <w:bCs/>
                <w:color w:val="000000"/>
                <w:sz w:val="18"/>
                <w:szCs w:val="18"/>
                <w:lang w:val="ro-MD"/>
              </w:rPr>
              <w:t>ț</w:t>
            </w:r>
            <w:r w:rsidR="006F3067" w:rsidRPr="008860BA">
              <w:rPr>
                <w:rFonts w:asciiTheme="majorHAnsi" w:eastAsia="Times New Roman" w:hAnsiTheme="majorHAnsi" w:cstheme="majorHAnsi"/>
                <w:b/>
                <w:bCs/>
                <w:color w:val="000000"/>
                <w:sz w:val="18"/>
                <w:szCs w:val="18"/>
                <w:lang w:val="ro-MD"/>
              </w:rPr>
              <w:t xml:space="preserve">ă </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70A41D4D" w14:textId="77777777" w:rsidR="006F3067" w:rsidRPr="008860BA" w:rsidRDefault="006F3067" w:rsidP="00332FF7">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xml:space="preserve">Servicii contra plată </w:t>
            </w:r>
          </w:p>
        </w:tc>
        <w:tc>
          <w:tcPr>
            <w:tcW w:w="908" w:type="dxa"/>
            <w:tcBorders>
              <w:top w:val="single" w:sz="4" w:space="0" w:color="auto"/>
              <w:left w:val="nil"/>
              <w:bottom w:val="single" w:sz="4" w:space="0" w:color="auto"/>
              <w:right w:val="single" w:sz="4" w:space="0" w:color="auto"/>
            </w:tcBorders>
            <w:shd w:val="clear" w:color="auto" w:fill="auto"/>
            <w:vAlign w:val="center"/>
            <w:hideMark/>
          </w:tcPr>
          <w:p w14:paraId="6305041D" w14:textId="77777777" w:rsidR="006F3067" w:rsidRPr="008860BA" w:rsidRDefault="006F3067" w:rsidP="00332FF7">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xml:space="preserve">Proiect </w:t>
            </w:r>
          </w:p>
        </w:tc>
      </w:tr>
      <w:tr w:rsidR="006F3067" w:rsidRPr="008860BA" w14:paraId="4BCAD809"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noWrap/>
            <w:vAlign w:val="bottom"/>
            <w:hideMark/>
          </w:tcPr>
          <w:p w14:paraId="6E486FEC" w14:textId="7B18125C" w:rsidR="006F3067" w:rsidRPr="008860BA" w:rsidRDefault="006F306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Venituri din v</w:t>
            </w:r>
            <w:r w:rsidR="00885EE0" w:rsidRPr="008860BA">
              <w:rPr>
                <w:rFonts w:asciiTheme="majorHAnsi" w:eastAsia="Times New Roman" w:hAnsiTheme="majorHAnsi" w:cstheme="majorHAnsi"/>
                <w:color w:val="000000"/>
                <w:sz w:val="18"/>
                <w:szCs w:val="18"/>
                <w:lang w:val="ro-MD"/>
              </w:rPr>
              <w:t>â</w:t>
            </w:r>
            <w:r w:rsidRPr="008860BA">
              <w:rPr>
                <w:rFonts w:asciiTheme="majorHAnsi" w:eastAsia="Times New Roman" w:hAnsiTheme="majorHAnsi" w:cstheme="majorHAnsi"/>
                <w:color w:val="000000"/>
                <w:sz w:val="18"/>
                <w:szCs w:val="18"/>
                <w:lang w:val="ro-MD"/>
              </w:rPr>
              <w:t>nzări</w:t>
            </w:r>
          </w:p>
        </w:tc>
        <w:tc>
          <w:tcPr>
            <w:tcW w:w="967" w:type="dxa"/>
            <w:tcBorders>
              <w:top w:val="nil"/>
              <w:left w:val="nil"/>
              <w:bottom w:val="single" w:sz="4" w:space="0" w:color="auto"/>
              <w:right w:val="single" w:sz="4" w:space="0" w:color="auto"/>
            </w:tcBorders>
            <w:shd w:val="clear" w:color="auto" w:fill="auto"/>
            <w:noWrap/>
            <w:vAlign w:val="bottom"/>
            <w:hideMark/>
          </w:tcPr>
          <w:p w14:paraId="6BFA9E81"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611</w:t>
            </w:r>
          </w:p>
        </w:tc>
        <w:tc>
          <w:tcPr>
            <w:tcW w:w="1099" w:type="dxa"/>
            <w:tcBorders>
              <w:top w:val="nil"/>
              <w:left w:val="nil"/>
              <w:bottom w:val="single" w:sz="4" w:space="0" w:color="auto"/>
              <w:right w:val="single" w:sz="4" w:space="0" w:color="auto"/>
            </w:tcBorders>
            <w:shd w:val="clear" w:color="auto" w:fill="auto"/>
            <w:noWrap/>
            <w:vAlign w:val="bottom"/>
            <w:hideMark/>
          </w:tcPr>
          <w:p w14:paraId="089F98C1"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84.485,21</w:t>
            </w:r>
          </w:p>
        </w:tc>
        <w:tc>
          <w:tcPr>
            <w:tcW w:w="1195" w:type="dxa"/>
            <w:tcBorders>
              <w:top w:val="nil"/>
              <w:left w:val="nil"/>
              <w:bottom w:val="single" w:sz="4" w:space="0" w:color="auto"/>
              <w:right w:val="single" w:sz="4" w:space="0" w:color="auto"/>
            </w:tcBorders>
            <w:shd w:val="clear" w:color="auto" w:fill="auto"/>
            <w:noWrap/>
            <w:vAlign w:val="bottom"/>
            <w:hideMark/>
          </w:tcPr>
          <w:p w14:paraId="6DB3C827"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84.485,21</w:t>
            </w:r>
          </w:p>
        </w:tc>
        <w:tc>
          <w:tcPr>
            <w:tcW w:w="1092" w:type="dxa"/>
            <w:tcBorders>
              <w:top w:val="nil"/>
              <w:left w:val="nil"/>
              <w:bottom w:val="single" w:sz="4" w:space="0" w:color="auto"/>
              <w:right w:val="single" w:sz="4" w:space="0" w:color="auto"/>
            </w:tcBorders>
            <w:shd w:val="clear" w:color="auto" w:fill="auto"/>
            <w:noWrap/>
            <w:vAlign w:val="bottom"/>
            <w:hideMark/>
          </w:tcPr>
          <w:p w14:paraId="2512682C"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55.221,96</w:t>
            </w:r>
          </w:p>
        </w:tc>
        <w:tc>
          <w:tcPr>
            <w:tcW w:w="1224" w:type="dxa"/>
            <w:tcBorders>
              <w:top w:val="nil"/>
              <w:left w:val="nil"/>
              <w:bottom w:val="single" w:sz="4" w:space="0" w:color="auto"/>
              <w:right w:val="single" w:sz="4" w:space="0" w:color="auto"/>
            </w:tcBorders>
            <w:shd w:val="clear" w:color="auto" w:fill="auto"/>
            <w:noWrap/>
            <w:vAlign w:val="bottom"/>
            <w:hideMark/>
          </w:tcPr>
          <w:p w14:paraId="4E3317F5"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364,02</w:t>
            </w:r>
          </w:p>
        </w:tc>
        <w:tc>
          <w:tcPr>
            <w:tcW w:w="1259" w:type="dxa"/>
            <w:tcBorders>
              <w:top w:val="nil"/>
              <w:left w:val="nil"/>
              <w:bottom w:val="single" w:sz="4" w:space="0" w:color="auto"/>
              <w:right w:val="single" w:sz="4" w:space="0" w:color="auto"/>
            </w:tcBorders>
            <w:shd w:val="clear" w:color="auto" w:fill="auto"/>
            <w:noWrap/>
            <w:vAlign w:val="bottom"/>
            <w:hideMark/>
          </w:tcPr>
          <w:p w14:paraId="192ADFC8"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540,74</w:t>
            </w:r>
          </w:p>
        </w:tc>
        <w:tc>
          <w:tcPr>
            <w:tcW w:w="1067" w:type="dxa"/>
            <w:tcBorders>
              <w:top w:val="nil"/>
              <w:left w:val="nil"/>
              <w:bottom w:val="single" w:sz="4" w:space="0" w:color="auto"/>
              <w:right w:val="single" w:sz="4" w:space="0" w:color="auto"/>
            </w:tcBorders>
            <w:shd w:val="clear" w:color="auto" w:fill="auto"/>
            <w:noWrap/>
            <w:vAlign w:val="bottom"/>
            <w:hideMark/>
          </w:tcPr>
          <w:p w14:paraId="1CD7C3F7"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10.676,73</w:t>
            </w:r>
          </w:p>
        </w:tc>
        <w:tc>
          <w:tcPr>
            <w:tcW w:w="822" w:type="dxa"/>
            <w:tcBorders>
              <w:top w:val="nil"/>
              <w:left w:val="nil"/>
              <w:bottom w:val="single" w:sz="4" w:space="0" w:color="auto"/>
              <w:right w:val="single" w:sz="4" w:space="0" w:color="auto"/>
            </w:tcBorders>
            <w:shd w:val="clear" w:color="auto" w:fill="auto"/>
            <w:noWrap/>
            <w:vAlign w:val="bottom"/>
            <w:hideMark/>
          </w:tcPr>
          <w:p w14:paraId="1C859913"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797,37</w:t>
            </w:r>
          </w:p>
        </w:tc>
        <w:tc>
          <w:tcPr>
            <w:tcW w:w="822" w:type="dxa"/>
            <w:tcBorders>
              <w:top w:val="nil"/>
              <w:left w:val="nil"/>
              <w:bottom w:val="single" w:sz="4" w:space="0" w:color="auto"/>
              <w:right w:val="single" w:sz="4" w:space="0" w:color="auto"/>
            </w:tcBorders>
            <w:shd w:val="clear" w:color="auto" w:fill="auto"/>
            <w:noWrap/>
            <w:vAlign w:val="bottom"/>
            <w:hideMark/>
          </w:tcPr>
          <w:p w14:paraId="4C4E262C"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917,85</w:t>
            </w:r>
          </w:p>
        </w:tc>
        <w:tc>
          <w:tcPr>
            <w:tcW w:w="908" w:type="dxa"/>
            <w:tcBorders>
              <w:top w:val="nil"/>
              <w:left w:val="nil"/>
              <w:bottom w:val="single" w:sz="4" w:space="0" w:color="auto"/>
              <w:right w:val="single" w:sz="4" w:space="0" w:color="auto"/>
            </w:tcBorders>
            <w:shd w:val="clear" w:color="auto" w:fill="auto"/>
            <w:noWrap/>
            <w:vAlign w:val="bottom"/>
            <w:hideMark/>
          </w:tcPr>
          <w:p w14:paraId="6D1B4FA1"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15.966,53</w:t>
            </w:r>
          </w:p>
        </w:tc>
      </w:tr>
      <w:tr w:rsidR="006F3067" w:rsidRPr="008860BA" w14:paraId="15DC02DD"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vAlign w:val="bottom"/>
            <w:hideMark/>
          </w:tcPr>
          <w:p w14:paraId="3FCEB78C" w14:textId="6215E948"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Alte venituri din activitatea opera</w:t>
            </w:r>
            <w:r w:rsidR="00B13B9A" w:rsidRPr="008860BA">
              <w:rPr>
                <w:rFonts w:asciiTheme="majorHAnsi" w:eastAsia="Times New Roman" w:hAnsiTheme="majorHAnsi" w:cstheme="majorHAnsi"/>
                <w:color w:val="000000"/>
                <w:sz w:val="18"/>
                <w:szCs w:val="18"/>
                <w:lang w:val="ro-MD"/>
              </w:rPr>
              <w:t>ț</w:t>
            </w:r>
            <w:r w:rsidRPr="008860BA">
              <w:rPr>
                <w:rFonts w:asciiTheme="majorHAnsi" w:eastAsia="Times New Roman" w:hAnsiTheme="majorHAnsi" w:cstheme="majorHAnsi"/>
                <w:color w:val="000000"/>
                <w:sz w:val="18"/>
                <w:szCs w:val="18"/>
                <w:lang w:val="ro-MD"/>
              </w:rPr>
              <w:t>ională</w:t>
            </w:r>
          </w:p>
        </w:tc>
        <w:tc>
          <w:tcPr>
            <w:tcW w:w="967" w:type="dxa"/>
            <w:tcBorders>
              <w:top w:val="nil"/>
              <w:left w:val="nil"/>
              <w:bottom w:val="single" w:sz="4" w:space="0" w:color="auto"/>
              <w:right w:val="single" w:sz="4" w:space="0" w:color="auto"/>
            </w:tcBorders>
            <w:shd w:val="clear" w:color="auto" w:fill="auto"/>
            <w:noWrap/>
            <w:vAlign w:val="bottom"/>
            <w:hideMark/>
          </w:tcPr>
          <w:p w14:paraId="78644D5F"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612</w:t>
            </w:r>
          </w:p>
        </w:tc>
        <w:tc>
          <w:tcPr>
            <w:tcW w:w="1099" w:type="dxa"/>
            <w:tcBorders>
              <w:top w:val="nil"/>
              <w:left w:val="nil"/>
              <w:bottom w:val="single" w:sz="4" w:space="0" w:color="auto"/>
              <w:right w:val="single" w:sz="4" w:space="0" w:color="auto"/>
            </w:tcBorders>
            <w:shd w:val="clear" w:color="auto" w:fill="auto"/>
            <w:noWrap/>
            <w:vAlign w:val="bottom"/>
            <w:hideMark/>
          </w:tcPr>
          <w:p w14:paraId="3AF93BB5"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0,03</w:t>
            </w:r>
          </w:p>
        </w:tc>
        <w:tc>
          <w:tcPr>
            <w:tcW w:w="1195" w:type="dxa"/>
            <w:tcBorders>
              <w:top w:val="nil"/>
              <w:left w:val="nil"/>
              <w:bottom w:val="single" w:sz="4" w:space="0" w:color="auto"/>
              <w:right w:val="single" w:sz="4" w:space="0" w:color="auto"/>
            </w:tcBorders>
            <w:shd w:val="clear" w:color="auto" w:fill="auto"/>
            <w:noWrap/>
            <w:vAlign w:val="bottom"/>
            <w:hideMark/>
          </w:tcPr>
          <w:p w14:paraId="067474E3"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0,03</w:t>
            </w:r>
          </w:p>
        </w:tc>
        <w:tc>
          <w:tcPr>
            <w:tcW w:w="1092" w:type="dxa"/>
            <w:tcBorders>
              <w:top w:val="nil"/>
              <w:left w:val="nil"/>
              <w:bottom w:val="single" w:sz="4" w:space="0" w:color="auto"/>
              <w:right w:val="single" w:sz="4" w:space="0" w:color="auto"/>
            </w:tcBorders>
            <w:shd w:val="clear" w:color="auto" w:fill="auto"/>
            <w:noWrap/>
            <w:vAlign w:val="bottom"/>
            <w:hideMark/>
          </w:tcPr>
          <w:p w14:paraId="3CB4CBAF"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7EF6BA48"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5A5567D2"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197CD34F"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64C34661"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326FD86C"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noWrap/>
            <w:vAlign w:val="bottom"/>
            <w:hideMark/>
          </w:tcPr>
          <w:p w14:paraId="07CE7144"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r>
      <w:tr w:rsidR="006F3067" w:rsidRPr="008860BA" w14:paraId="7A8172F6"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vAlign w:val="bottom"/>
            <w:hideMark/>
          </w:tcPr>
          <w:p w14:paraId="3466A4DD" w14:textId="65855A5E" w:rsidR="006F3067" w:rsidRPr="008860BA" w:rsidRDefault="006F306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Dob</w:t>
            </w:r>
            <w:r w:rsidR="00885EE0" w:rsidRPr="008860BA">
              <w:rPr>
                <w:rFonts w:asciiTheme="majorHAnsi" w:eastAsia="Times New Roman" w:hAnsiTheme="majorHAnsi" w:cstheme="majorHAnsi"/>
                <w:color w:val="000000"/>
                <w:sz w:val="18"/>
                <w:szCs w:val="18"/>
                <w:lang w:val="ro-MD"/>
              </w:rPr>
              <w:t>â</w:t>
            </w:r>
            <w:r w:rsidRPr="008860BA">
              <w:rPr>
                <w:rFonts w:asciiTheme="majorHAnsi" w:eastAsia="Times New Roman" w:hAnsiTheme="majorHAnsi" w:cstheme="majorHAnsi"/>
                <w:color w:val="000000"/>
                <w:sz w:val="18"/>
                <w:szCs w:val="18"/>
                <w:lang w:val="ro-MD"/>
              </w:rPr>
              <w:t>nda bancară</w:t>
            </w:r>
          </w:p>
        </w:tc>
        <w:tc>
          <w:tcPr>
            <w:tcW w:w="967" w:type="dxa"/>
            <w:tcBorders>
              <w:top w:val="nil"/>
              <w:left w:val="nil"/>
              <w:bottom w:val="single" w:sz="4" w:space="0" w:color="auto"/>
              <w:right w:val="single" w:sz="4" w:space="0" w:color="auto"/>
            </w:tcBorders>
            <w:shd w:val="clear" w:color="auto" w:fill="auto"/>
            <w:vAlign w:val="bottom"/>
            <w:hideMark/>
          </w:tcPr>
          <w:p w14:paraId="60CF7E30"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621</w:t>
            </w:r>
          </w:p>
        </w:tc>
        <w:tc>
          <w:tcPr>
            <w:tcW w:w="1099" w:type="dxa"/>
            <w:tcBorders>
              <w:top w:val="nil"/>
              <w:left w:val="nil"/>
              <w:bottom w:val="single" w:sz="4" w:space="0" w:color="auto"/>
              <w:right w:val="single" w:sz="4" w:space="0" w:color="auto"/>
            </w:tcBorders>
            <w:shd w:val="clear" w:color="auto" w:fill="auto"/>
            <w:noWrap/>
            <w:vAlign w:val="bottom"/>
            <w:hideMark/>
          </w:tcPr>
          <w:p w14:paraId="1328D15B"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6,60</w:t>
            </w:r>
          </w:p>
        </w:tc>
        <w:tc>
          <w:tcPr>
            <w:tcW w:w="1195" w:type="dxa"/>
            <w:tcBorders>
              <w:top w:val="nil"/>
              <w:left w:val="nil"/>
              <w:bottom w:val="single" w:sz="4" w:space="0" w:color="auto"/>
              <w:right w:val="single" w:sz="4" w:space="0" w:color="auto"/>
            </w:tcBorders>
            <w:shd w:val="clear" w:color="auto" w:fill="auto"/>
            <w:noWrap/>
            <w:vAlign w:val="bottom"/>
            <w:hideMark/>
          </w:tcPr>
          <w:p w14:paraId="1FF44256"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6,60</w:t>
            </w:r>
          </w:p>
        </w:tc>
        <w:tc>
          <w:tcPr>
            <w:tcW w:w="1092" w:type="dxa"/>
            <w:tcBorders>
              <w:top w:val="nil"/>
              <w:left w:val="nil"/>
              <w:bottom w:val="single" w:sz="4" w:space="0" w:color="auto"/>
              <w:right w:val="single" w:sz="4" w:space="0" w:color="auto"/>
            </w:tcBorders>
            <w:shd w:val="clear" w:color="auto" w:fill="auto"/>
            <w:vAlign w:val="bottom"/>
            <w:hideMark/>
          </w:tcPr>
          <w:p w14:paraId="78A1B28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24" w:type="dxa"/>
            <w:tcBorders>
              <w:top w:val="nil"/>
              <w:left w:val="nil"/>
              <w:bottom w:val="single" w:sz="4" w:space="0" w:color="auto"/>
              <w:right w:val="single" w:sz="4" w:space="0" w:color="auto"/>
            </w:tcBorders>
            <w:shd w:val="clear" w:color="auto" w:fill="auto"/>
            <w:vAlign w:val="bottom"/>
            <w:hideMark/>
          </w:tcPr>
          <w:p w14:paraId="6E4A1A30"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vAlign w:val="bottom"/>
            <w:hideMark/>
          </w:tcPr>
          <w:p w14:paraId="2BDB921C"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vAlign w:val="bottom"/>
            <w:hideMark/>
          </w:tcPr>
          <w:p w14:paraId="2180FA97"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vAlign w:val="bottom"/>
            <w:hideMark/>
          </w:tcPr>
          <w:p w14:paraId="6C1A321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vAlign w:val="bottom"/>
            <w:hideMark/>
          </w:tcPr>
          <w:p w14:paraId="4400A83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vAlign w:val="bottom"/>
            <w:hideMark/>
          </w:tcPr>
          <w:p w14:paraId="6843578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14C67711"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vAlign w:val="bottom"/>
            <w:hideMark/>
          </w:tcPr>
          <w:p w14:paraId="53244BEA" w14:textId="7FAF483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Diferen</w:t>
            </w:r>
            <w:r w:rsidR="00B13B9A" w:rsidRPr="008860BA">
              <w:rPr>
                <w:rFonts w:asciiTheme="majorHAnsi" w:eastAsia="Times New Roman" w:hAnsiTheme="majorHAnsi" w:cstheme="majorHAnsi"/>
                <w:color w:val="000000"/>
                <w:sz w:val="18"/>
                <w:szCs w:val="18"/>
                <w:lang w:val="ro-MD"/>
              </w:rPr>
              <w:t>ț</w:t>
            </w:r>
            <w:r w:rsidRPr="008860BA">
              <w:rPr>
                <w:rFonts w:asciiTheme="majorHAnsi" w:eastAsia="Times New Roman" w:hAnsiTheme="majorHAnsi" w:cstheme="majorHAnsi"/>
                <w:color w:val="000000"/>
                <w:sz w:val="18"/>
                <w:szCs w:val="18"/>
                <w:lang w:val="ro-MD"/>
              </w:rPr>
              <w:t>a de curs valutar</w:t>
            </w:r>
          </w:p>
        </w:tc>
        <w:tc>
          <w:tcPr>
            <w:tcW w:w="967" w:type="dxa"/>
            <w:tcBorders>
              <w:top w:val="nil"/>
              <w:left w:val="nil"/>
              <w:bottom w:val="single" w:sz="4" w:space="0" w:color="auto"/>
              <w:right w:val="single" w:sz="4" w:space="0" w:color="auto"/>
            </w:tcBorders>
            <w:shd w:val="clear" w:color="auto" w:fill="auto"/>
            <w:vAlign w:val="bottom"/>
            <w:hideMark/>
          </w:tcPr>
          <w:p w14:paraId="32813649"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622</w:t>
            </w:r>
          </w:p>
        </w:tc>
        <w:tc>
          <w:tcPr>
            <w:tcW w:w="1099" w:type="dxa"/>
            <w:tcBorders>
              <w:top w:val="nil"/>
              <w:left w:val="nil"/>
              <w:bottom w:val="single" w:sz="4" w:space="0" w:color="auto"/>
              <w:right w:val="single" w:sz="4" w:space="0" w:color="auto"/>
            </w:tcBorders>
            <w:shd w:val="clear" w:color="auto" w:fill="auto"/>
            <w:noWrap/>
            <w:vAlign w:val="bottom"/>
            <w:hideMark/>
          </w:tcPr>
          <w:p w14:paraId="220C660A"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283,83</w:t>
            </w:r>
          </w:p>
        </w:tc>
        <w:tc>
          <w:tcPr>
            <w:tcW w:w="1195" w:type="dxa"/>
            <w:tcBorders>
              <w:top w:val="nil"/>
              <w:left w:val="nil"/>
              <w:bottom w:val="single" w:sz="4" w:space="0" w:color="auto"/>
              <w:right w:val="single" w:sz="4" w:space="0" w:color="auto"/>
            </w:tcBorders>
            <w:shd w:val="clear" w:color="auto" w:fill="auto"/>
            <w:noWrap/>
            <w:vAlign w:val="bottom"/>
            <w:hideMark/>
          </w:tcPr>
          <w:p w14:paraId="50B3471A"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283,83</w:t>
            </w:r>
          </w:p>
        </w:tc>
        <w:tc>
          <w:tcPr>
            <w:tcW w:w="1092" w:type="dxa"/>
            <w:tcBorders>
              <w:top w:val="nil"/>
              <w:left w:val="nil"/>
              <w:bottom w:val="single" w:sz="4" w:space="0" w:color="auto"/>
              <w:right w:val="single" w:sz="4" w:space="0" w:color="auto"/>
            </w:tcBorders>
            <w:shd w:val="clear" w:color="auto" w:fill="auto"/>
            <w:vAlign w:val="bottom"/>
            <w:hideMark/>
          </w:tcPr>
          <w:p w14:paraId="08BB9680"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24" w:type="dxa"/>
            <w:tcBorders>
              <w:top w:val="nil"/>
              <w:left w:val="nil"/>
              <w:bottom w:val="single" w:sz="4" w:space="0" w:color="auto"/>
              <w:right w:val="single" w:sz="4" w:space="0" w:color="auto"/>
            </w:tcBorders>
            <w:shd w:val="clear" w:color="auto" w:fill="auto"/>
            <w:vAlign w:val="bottom"/>
            <w:hideMark/>
          </w:tcPr>
          <w:p w14:paraId="1F896F1D"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vAlign w:val="bottom"/>
            <w:hideMark/>
          </w:tcPr>
          <w:p w14:paraId="7678715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vAlign w:val="bottom"/>
            <w:hideMark/>
          </w:tcPr>
          <w:p w14:paraId="05A2081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vAlign w:val="bottom"/>
            <w:hideMark/>
          </w:tcPr>
          <w:p w14:paraId="341CB48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vAlign w:val="bottom"/>
            <w:hideMark/>
          </w:tcPr>
          <w:p w14:paraId="4C46103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vAlign w:val="bottom"/>
            <w:hideMark/>
          </w:tcPr>
          <w:p w14:paraId="36E89C7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09F6D144"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noWrap/>
            <w:vAlign w:val="bottom"/>
            <w:hideMark/>
          </w:tcPr>
          <w:p w14:paraId="1CD27CC1"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Total Venit</w:t>
            </w:r>
          </w:p>
        </w:tc>
        <w:tc>
          <w:tcPr>
            <w:tcW w:w="967" w:type="dxa"/>
            <w:tcBorders>
              <w:top w:val="nil"/>
              <w:left w:val="nil"/>
              <w:bottom w:val="single" w:sz="4" w:space="0" w:color="auto"/>
              <w:right w:val="single" w:sz="4" w:space="0" w:color="auto"/>
            </w:tcBorders>
            <w:shd w:val="clear" w:color="auto" w:fill="auto"/>
            <w:noWrap/>
            <w:vAlign w:val="bottom"/>
            <w:hideMark/>
          </w:tcPr>
          <w:p w14:paraId="5208A6B8"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noWrap/>
            <w:vAlign w:val="bottom"/>
            <w:hideMark/>
          </w:tcPr>
          <w:p w14:paraId="30F0B9EF"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84.775,66</w:t>
            </w:r>
          </w:p>
        </w:tc>
        <w:tc>
          <w:tcPr>
            <w:tcW w:w="1195" w:type="dxa"/>
            <w:tcBorders>
              <w:top w:val="nil"/>
              <w:left w:val="nil"/>
              <w:bottom w:val="single" w:sz="4" w:space="0" w:color="auto"/>
              <w:right w:val="single" w:sz="4" w:space="0" w:color="auto"/>
            </w:tcBorders>
            <w:shd w:val="clear" w:color="auto" w:fill="auto"/>
            <w:noWrap/>
            <w:vAlign w:val="bottom"/>
            <w:hideMark/>
          </w:tcPr>
          <w:p w14:paraId="1E19DE8B"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84.775,66</w:t>
            </w:r>
          </w:p>
        </w:tc>
        <w:tc>
          <w:tcPr>
            <w:tcW w:w="1092" w:type="dxa"/>
            <w:tcBorders>
              <w:top w:val="nil"/>
              <w:left w:val="nil"/>
              <w:bottom w:val="single" w:sz="4" w:space="0" w:color="auto"/>
              <w:right w:val="single" w:sz="4" w:space="0" w:color="auto"/>
            </w:tcBorders>
            <w:shd w:val="clear" w:color="auto" w:fill="auto"/>
            <w:noWrap/>
            <w:vAlign w:val="bottom"/>
            <w:hideMark/>
          </w:tcPr>
          <w:p w14:paraId="617B305E"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55.221,96</w:t>
            </w:r>
          </w:p>
        </w:tc>
        <w:tc>
          <w:tcPr>
            <w:tcW w:w="1224" w:type="dxa"/>
            <w:tcBorders>
              <w:top w:val="nil"/>
              <w:left w:val="nil"/>
              <w:bottom w:val="single" w:sz="4" w:space="0" w:color="auto"/>
              <w:right w:val="single" w:sz="4" w:space="0" w:color="auto"/>
            </w:tcBorders>
            <w:shd w:val="clear" w:color="auto" w:fill="auto"/>
            <w:noWrap/>
            <w:vAlign w:val="bottom"/>
            <w:hideMark/>
          </w:tcPr>
          <w:p w14:paraId="4DFB76FD"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364,02</w:t>
            </w:r>
          </w:p>
        </w:tc>
        <w:tc>
          <w:tcPr>
            <w:tcW w:w="1259" w:type="dxa"/>
            <w:tcBorders>
              <w:top w:val="nil"/>
              <w:left w:val="nil"/>
              <w:bottom w:val="single" w:sz="4" w:space="0" w:color="auto"/>
              <w:right w:val="single" w:sz="4" w:space="0" w:color="auto"/>
            </w:tcBorders>
            <w:shd w:val="clear" w:color="auto" w:fill="auto"/>
            <w:noWrap/>
            <w:vAlign w:val="bottom"/>
            <w:hideMark/>
          </w:tcPr>
          <w:p w14:paraId="4310B6E1"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540,74</w:t>
            </w:r>
          </w:p>
        </w:tc>
        <w:tc>
          <w:tcPr>
            <w:tcW w:w="1067" w:type="dxa"/>
            <w:tcBorders>
              <w:top w:val="nil"/>
              <w:left w:val="nil"/>
              <w:bottom w:val="single" w:sz="4" w:space="0" w:color="auto"/>
              <w:right w:val="single" w:sz="4" w:space="0" w:color="auto"/>
            </w:tcBorders>
            <w:shd w:val="clear" w:color="auto" w:fill="auto"/>
            <w:noWrap/>
            <w:vAlign w:val="bottom"/>
            <w:hideMark/>
          </w:tcPr>
          <w:p w14:paraId="7344AFF3"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10.676,73</w:t>
            </w:r>
          </w:p>
        </w:tc>
        <w:tc>
          <w:tcPr>
            <w:tcW w:w="822" w:type="dxa"/>
            <w:tcBorders>
              <w:top w:val="nil"/>
              <w:left w:val="nil"/>
              <w:bottom w:val="single" w:sz="4" w:space="0" w:color="auto"/>
              <w:right w:val="single" w:sz="4" w:space="0" w:color="auto"/>
            </w:tcBorders>
            <w:shd w:val="clear" w:color="auto" w:fill="auto"/>
            <w:noWrap/>
            <w:vAlign w:val="bottom"/>
            <w:hideMark/>
          </w:tcPr>
          <w:p w14:paraId="2D1EF1CB"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797,37</w:t>
            </w:r>
          </w:p>
        </w:tc>
        <w:tc>
          <w:tcPr>
            <w:tcW w:w="822" w:type="dxa"/>
            <w:tcBorders>
              <w:top w:val="nil"/>
              <w:left w:val="nil"/>
              <w:bottom w:val="single" w:sz="4" w:space="0" w:color="auto"/>
              <w:right w:val="single" w:sz="4" w:space="0" w:color="auto"/>
            </w:tcBorders>
            <w:shd w:val="clear" w:color="auto" w:fill="auto"/>
            <w:noWrap/>
            <w:vAlign w:val="bottom"/>
            <w:hideMark/>
          </w:tcPr>
          <w:p w14:paraId="172EBD9C"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917,85</w:t>
            </w:r>
          </w:p>
        </w:tc>
        <w:tc>
          <w:tcPr>
            <w:tcW w:w="908" w:type="dxa"/>
            <w:tcBorders>
              <w:top w:val="nil"/>
              <w:left w:val="nil"/>
              <w:bottom w:val="single" w:sz="4" w:space="0" w:color="auto"/>
              <w:right w:val="single" w:sz="4" w:space="0" w:color="auto"/>
            </w:tcBorders>
            <w:shd w:val="clear" w:color="auto" w:fill="auto"/>
            <w:noWrap/>
            <w:vAlign w:val="bottom"/>
            <w:hideMark/>
          </w:tcPr>
          <w:p w14:paraId="772CBA5F"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15.966,53</w:t>
            </w:r>
          </w:p>
        </w:tc>
      </w:tr>
      <w:tr w:rsidR="006F3067" w:rsidRPr="008860BA" w14:paraId="6FF16B95"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noWrap/>
            <w:vAlign w:val="bottom"/>
            <w:hideMark/>
          </w:tcPr>
          <w:p w14:paraId="5CC6CFD4" w14:textId="47E8A73B" w:rsidR="006F3067" w:rsidRPr="008860BA" w:rsidRDefault="006F306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Costul v</w:t>
            </w:r>
            <w:r w:rsidR="00885EE0" w:rsidRPr="008860BA">
              <w:rPr>
                <w:rFonts w:asciiTheme="majorHAnsi" w:eastAsia="Times New Roman" w:hAnsiTheme="majorHAnsi" w:cstheme="majorHAnsi"/>
                <w:color w:val="000000"/>
                <w:sz w:val="18"/>
                <w:szCs w:val="18"/>
                <w:lang w:val="ro-MD"/>
              </w:rPr>
              <w:t>â</w:t>
            </w:r>
            <w:r w:rsidRPr="008860BA">
              <w:rPr>
                <w:rFonts w:asciiTheme="majorHAnsi" w:eastAsia="Times New Roman" w:hAnsiTheme="majorHAnsi" w:cstheme="majorHAnsi"/>
                <w:color w:val="000000"/>
                <w:sz w:val="18"/>
                <w:szCs w:val="18"/>
                <w:lang w:val="ro-MD"/>
              </w:rPr>
              <w:t>nzărilor, inclusiv:</w:t>
            </w:r>
          </w:p>
        </w:tc>
        <w:tc>
          <w:tcPr>
            <w:tcW w:w="967" w:type="dxa"/>
            <w:tcBorders>
              <w:top w:val="nil"/>
              <w:left w:val="nil"/>
              <w:bottom w:val="single" w:sz="4" w:space="0" w:color="auto"/>
              <w:right w:val="single" w:sz="4" w:space="0" w:color="auto"/>
            </w:tcBorders>
            <w:shd w:val="clear" w:color="auto" w:fill="auto"/>
            <w:noWrap/>
            <w:vAlign w:val="bottom"/>
            <w:hideMark/>
          </w:tcPr>
          <w:p w14:paraId="521FE5B6"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711</w:t>
            </w:r>
          </w:p>
        </w:tc>
        <w:tc>
          <w:tcPr>
            <w:tcW w:w="1099" w:type="dxa"/>
            <w:tcBorders>
              <w:top w:val="single" w:sz="8" w:space="0" w:color="auto"/>
              <w:left w:val="nil"/>
              <w:bottom w:val="nil"/>
              <w:right w:val="single" w:sz="4" w:space="0" w:color="auto"/>
            </w:tcBorders>
            <w:shd w:val="clear" w:color="auto" w:fill="auto"/>
            <w:hideMark/>
          </w:tcPr>
          <w:p w14:paraId="2CBC4DF6" w14:textId="77777777" w:rsidR="006F3067" w:rsidRPr="008860BA" w:rsidRDefault="006F3067" w:rsidP="00332FF7">
            <w:pPr>
              <w:spacing w:after="0" w:line="240" w:lineRule="auto"/>
              <w:jc w:val="right"/>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76.275,70</w:t>
            </w:r>
          </w:p>
        </w:tc>
        <w:tc>
          <w:tcPr>
            <w:tcW w:w="1195" w:type="dxa"/>
            <w:tcBorders>
              <w:top w:val="nil"/>
              <w:left w:val="nil"/>
              <w:bottom w:val="single" w:sz="4" w:space="0" w:color="auto"/>
              <w:right w:val="single" w:sz="4" w:space="0" w:color="auto"/>
            </w:tcBorders>
            <w:shd w:val="clear" w:color="auto" w:fill="auto"/>
            <w:noWrap/>
            <w:vAlign w:val="bottom"/>
            <w:hideMark/>
          </w:tcPr>
          <w:p w14:paraId="4F079DD9"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76.275,70</w:t>
            </w:r>
          </w:p>
        </w:tc>
        <w:tc>
          <w:tcPr>
            <w:tcW w:w="1092" w:type="dxa"/>
            <w:tcBorders>
              <w:top w:val="nil"/>
              <w:left w:val="nil"/>
              <w:bottom w:val="single" w:sz="4" w:space="0" w:color="auto"/>
              <w:right w:val="single" w:sz="4" w:space="0" w:color="auto"/>
            </w:tcBorders>
            <w:shd w:val="clear" w:color="auto" w:fill="auto"/>
            <w:noWrap/>
            <w:vAlign w:val="bottom"/>
            <w:hideMark/>
          </w:tcPr>
          <w:p w14:paraId="723F729C"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45.914,18</w:t>
            </w:r>
          </w:p>
        </w:tc>
        <w:tc>
          <w:tcPr>
            <w:tcW w:w="1224" w:type="dxa"/>
            <w:tcBorders>
              <w:top w:val="nil"/>
              <w:left w:val="nil"/>
              <w:bottom w:val="single" w:sz="4" w:space="0" w:color="auto"/>
              <w:right w:val="single" w:sz="4" w:space="0" w:color="auto"/>
            </w:tcBorders>
            <w:shd w:val="clear" w:color="auto" w:fill="auto"/>
            <w:noWrap/>
            <w:vAlign w:val="bottom"/>
            <w:hideMark/>
          </w:tcPr>
          <w:p w14:paraId="071CB047"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500,19</w:t>
            </w:r>
          </w:p>
        </w:tc>
        <w:tc>
          <w:tcPr>
            <w:tcW w:w="1259" w:type="dxa"/>
            <w:tcBorders>
              <w:top w:val="nil"/>
              <w:left w:val="nil"/>
              <w:bottom w:val="single" w:sz="4" w:space="0" w:color="auto"/>
              <w:right w:val="single" w:sz="4" w:space="0" w:color="auto"/>
            </w:tcBorders>
            <w:shd w:val="clear" w:color="auto" w:fill="auto"/>
            <w:noWrap/>
            <w:vAlign w:val="bottom"/>
            <w:hideMark/>
          </w:tcPr>
          <w:p w14:paraId="72A352F4"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0,00</w:t>
            </w:r>
          </w:p>
        </w:tc>
        <w:tc>
          <w:tcPr>
            <w:tcW w:w="1067" w:type="dxa"/>
            <w:tcBorders>
              <w:top w:val="nil"/>
              <w:left w:val="nil"/>
              <w:bottom w:val="single" w:sz="4" w:space="0" w:color="auto"/>
              <w:right w:val="single" w:sz="4" w:space="0" w:color="auto"/>
            </w:tcBorders>
            <w:shd w:val="clear" w:color="auto" w:fill="auto"/>
            <w:noWrap/>
            <w:vAlign w:val="bottom"/>
            <w:hideMark/>
          </w:tcPr>
          <w:p w14:paraId="7EB25F8F"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9.095,67</w:t>
            </w:r>
          </w:p>
        </w:tc>
        <w:tc>
          <w:tcPr>
            <w:tcW w:w="822" w:type="dxa"/>
            <w:tcBorders>
              <w:top w:val="nil"/>
              <w:left w:val="nil"/>
              <w:bottom w:val="single" w:sz="4" w:space="0" w:color="auto"/>
              <w:right w:val="single" w:sz="4" w:space="0" w:color="auto"/>
            </w:tcBorders>
            <w:shd w:val="clear" w:color="auto" w:fill="auto"/>
            <w:noWrap/>
            <w:vAlign w:val="bottom"/>
            <w:hideMark/>
          </w:tcPr>
          <w:p w14:paraId="1C08FA25"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1.131,70</w:t>
            </w:r>
          </w:p>
        </w:tc>
        <w:tc>
          <w:tcPr>
            <w:tcW w:w="822" w:type="dxa"/>
            <w:tcBorders>
              <w:top w:val="nil"/>
              <w:left w:val="nil"/>
              <w:bottom w:val="single" w:sz="4" w:space="0" w:color="auto"/>
              <w:right w:val="single" w:sz="4" w:space="0" w:color="auto"/>
            </w:tcBorders>
            <w:shd w:val="clear" w:color="auto" w:fill="auto"/>
            <w:noWrap/>
            <w:vAlign w:val="bottom"/>
            <w:hideMark/>
          </w:tcPr>
          <w:p w14:paraId="1F712766"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1.054,43</w:t>
            </w:r>
          </w:p>
        </w:tc>
        <w:tc>
          <w:tcPr>
            <w:tcW w:w="908" w:type="dxa"/>
            <w:tcBorders>
              <w:top w:val="nil"/>
              <w:left w:val="nil"/>
              <w:bottom w:val="single" w:sz="4" w:space="0" w:color="auto"/>
              <w:right w:val="single" w:sz="4" w:space="0" w:color="auto"/>
            </w:tcBorders>
            <w:shd w:val="clear" w:color="auto" w:fill="auto"/>
            <w:noWrap/>
            <w:vAlign w:val="bottom"/>
            <w:hideMark/>
          </w:tcPr>
          <w:p w14:paraId="5301323F"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18.579,54</w:t>
            </w:r>
          </w:p>
        </w:tc>
      </w:tr>
      <w:tr w:rsidR="006F3067" w:rsidRPr="008860BA" w14:paraId="0331D10F"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1BB92506" w14:textId="43646F88" w:rsidR="006F3067" w:rsidRPr="008860BA" w:rsidRDefault="006F306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Alimenta</w:t>
            </w:r>
            <w:r w:rsidR="00885EE0"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ia</w:t>
            </w:r>
          </w:p>
        </w:tc>
        <w:tc>
          <w:tcPr>
            <w:tcW w:w="967" w:type="dxa"/>
            <w:tcBorders>
              <w:top w:val="nil"/>
              <w:left w:val="nil"/>
              <w:bottom w:val="single" w:sz="4" w:space="0" w:color="auto"/>
              <w:right w:val="single" w:sz="4" w:space="0" w:color="auto"/>
            </w:tcBorders>
            <w:shd w:val="clear" w:color="auto" w:fill="auto"/>
            <w:noWrap/>
            <w:vAlign w:val="bottom"/>
            <w:hideMark/>
          </w:tcPr>
          <w:p w14:paraId="28CE0E4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single" w:sz="4" w:space="0" w:color="auto"/>
              <w:left w:val="nil"/>
              <w:bottom w:val="single" w:sz="4" w:space="0" w:color="auto"/>
              <w:right w:val="single" w:sz="4" w:space="0" w:color="auto"/>
            </w:tcBorders>
            <w:shd w:val="clear" w:color="auto" w:fill="auto"/>
            <w:hideMark/>
          </w:tcPr>
          <w:p w14:paraId="04059A80"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2.888,74</w:t>
            </w:r>
          </w:p>
        </w:tc>
        <w:tc>
          <w:tcPr>
            <w:tcW w:w="1195" w:type="dxa"/>
            <w:tcBorders>
              <w:top w:val="nil"/>
              <w:left w:val="nil"/>
              <w:bottom w:val="single" w:sz="4" w:space="0" w:color="auto"/>
              <w:right w:val="single" w:sz="4" w:space="0" w:color="auto"/>
            </w:tcBorders>
            <w:shd w:val="clear" w:color="auto" w:fill="auto"/>
            <w:noWrap/>
            <w:vAlign w:val="bottom"/>
            <w:hideMark/>
          </w:tcPr>
          <w:p w14:paraId="6604CD88"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2.888,74</w:t>
            </w:r>
          </w:p>
        </w:tc>
        <w:tc>
          <w:tcPr>
            <w:tcW w:w="1092" w:type="dxa"/>
            <w:tcBorders>
              <w:top w:val="nil"/>
              <w:left w:val="nil"/>
              <w:bottom w:val="single" w:sz="4" w:space="0" w:color="auto"/>
              <w:right w:val="single" w:sz="4" w:space="0" w:color="auto"/>
            </w:tcBorders>
            <w:shd w:val="clear" w:color="auto" w:fill="auto"/>
            <w:noWrap/>
            <w:vAlign w:val="bottom"/>
            <w:hideMark/>
          </w:tcPr>
          <w:p w14:paraId="614DBA9D"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2.888,74</w:t>
            </w:r>
          </w:p>
        </w:tc>
        <w:tc>
          <w:tcPr>
            <w:tcW w:w="1224" w:type="dxa"/>
            <w:tcBorders>
              <w:top w:val="nil"/>
              <w:left w:val="nil"/>
              <w:bottom w:val="single" w:sz="4" w:space="0" w:color="auto"/>
              <w:right w:val="single" w:sz="4" w:space="0" w:color="auto"/>
            </w:tcBorders>
            <w:shd w:val="clear" w:color="auto" w:fill="auto"/>
            <w:noWrap/>
            <w:vAlign w:val="bottom"/>
            <w:hideMark/>
          </w:tcPr>
          <w:p w14:paraId="7DFCFB90"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6D4BBE0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0DC69A3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1717115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6B000207"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noWrap/>
            <w:vAlign w:val="bottom"/>
            <w:hideMark/>
          </w:tcPr>
          <w:p w14:paraId="7A5AA9D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2523786B"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292DD1FD"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Alte cheltuieli</w:t>
            </w:r>
          </w:p>
        </w:tc>
        <w:tc>
          <w:tcPr>
            <w:tcW w:w="967" w:type="dxa"/>
            <w:tcBorders>
              <w:top w:val="nil"/>
              <w:left w:val="nil"/>
              <w:bottom w:val="single" w:sz="4" w:space="0" w:color="auto"/>
              <w:right w:val="single" w:sz="4" w:space="0" w:color="auto"/>
            </w:tcBorders>
            <w:shd w:val="clear" w:color="auto" w:fill="auto"/>
            <w:noWrap/>
            <w:vAlign w:val="bottom"/>
            <w:hideMark/>
          </w:tcPr>
          <w:p w14:paraId="5DDDB0D3"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1CD57E4C"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350,47</w:t>
            </w:r>
          </w:p>
        </w:tc>
        <w:tc>
          <w:tcPr>
            <w:tcW w:w="1195" w:type="dxa"/>
            <w:tcBorders>
              <w:top w:val="nil"/>
              <w:left w:val="nil"/>
              <w:bottom w:val="single" w:sz="4" w:space="0" w:color="auto"/>
              <w:right w:val="single" w:sz="4" w:space="0" w:color="auto"/>
            </w:tcBorders>
            <w:shd w:val="clear" w:color="auto" w:fill="auto"/>
            <w:noWrap/>
            <w:vAlign w:val="bottom"/>
            <w:hideMark/>
          </w:tcPr>
          <w:p w14:paraId="455AF5D0"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350,47</w:t>
            </w:r>
          </w:p>
        </w:tc>
        <w:tc>
          <w:tcPr>
            <w:tcW w:w="1092" w:type="dxa"/>
            <w:tcBorders>
              <w:top w:val="nil"/>
              <w:left w:val="nil"/>
              <w:bottom w:val="single" w:sz="4" w:space="0" w:color="auto"/>
              <w:right w:val="single" w:sz="4" w:space="0" w:color="auto"/>
            </w:tcBorders>
            <w:shd w:val="clear" w:color="auto" w:fill="auto"/>
            <w:noWrap/>
            <w:vAlign w:val="bottom"/>
            <w:hideMark/>
          </w:tcPr>
          <w:p w14:paraId="4D94FBFC"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13,95</w:t>
            </w:r>
          </w:p>
        </w:tc>
        <w:tc>
          <w:tcPr>
            <w:tcW w:w="1224" w:type="dxa"/>
            <w:tcBorders>
              <w:top w:val="nil"/>
              <w:left w:val="nil"/>
              <w:bottom w:val="single" w:sz="4" w:space="0" w:color="auto"/>
              <w:right w:val="single" w:sz="4" w:space="0" w:color="auto"/>
            </w:tcBorders>
            <w:shd w:val="clear" w:color="auto" w:fill="auto"/>
            <w:noWrap/>
            <w:vAlign w:val="bottom"/>
            <w:hideMark/>
          </w:tcPr>
          <w:p w14:paraId="6793E110"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2F2E1FF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178C476E"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15,00</w:t>
            </w:r>
          </w:p>
        </w:tc>
        <w:tc>
          <w:tcPr>
            <w:tcW w:w="822" w:type="dxa"/>
            <w:tcBorders>
              <w:top w:val="nil"/>
              <w:left w:val="nil"/>
              <w:bottom w:val="single" w:sz="4" w:space="0" w:color="auto"/>
              <w:right w:val="single" w:sz="4" w:space="0" w:color="auto"/>
            </w:tcBorders>
            <w:shd w:val="clear" w:color="auto" w:fill="auto"/>
            <w:noWrap/>
            <w:vAlign w:val="bottom"/>
            <w:hideMark/>
          </w:tcPr>
          <w:p w14:paraId="7B9D097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5282325D"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203,64</w:t>
            </w:r>
          </w:p>
        </w:tc>
        <w:tc>
          <w:tcPr>
            <w:tcW w:w="908" w:type="dxa"/>
            <w:tcBorders>
              <w:top w:val="nil"/>
              <w:left w:val="nil"/>
              <w:bottom w:val="single" w:sz="4" w:space="0" w:color="auto"/>
              <w:right w:val="single" w:sz="4" w:space="0" w:color="auto"/>
            </w:tcBorders>
            <w:shd w:val="clear" w:color="auto" w:fill="auto"/>
            <w:noWrap/>
            <w:vAlign w:val="bottom"/>
            <w:hideMark/>
          </w:tcPr>
          <w:p w14:paraId="67D302E8"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117,87</w:t>
            </w:r>
          </w:p>
        </w:tc>
      </w:tr>
      <w:tr w:rsidR="006F3067" w:rsidRPr="008860BA" w14:paraId="3C34A145"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5CCF5731"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Alte cheltuieli stream</w:t>
            </w:r>
          </w:p>
        </w:tc>
        <w:tc>
          <w:tcPr>
            <w:tcW w:w="967" w:type="dxa"/>
            <w:tcBorders>
              <w:top w:val="nil"/>
              <w:left w:val="nil"/>
              <w:bottom w:val="single" w:sz="4" w:space="0" w:color="auto"/>
              <w:right w:val="single" w:sz="4" w:space="0" w:color="auto"/>
            </w:tcBorders>
            <w:shd w:val="clear" w:color="auto" w:fill="auto"/>
            <w:noWrap/>
            <w:vAlign w:val="bottom"/>
            <w:hideMark/>
          </w:tcPr>
          <w:p w14:paraId="1950E71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4FBE3399"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195" w:type="dxa"/>
            <w:tcBorders>
              <w:top w:val="nil"/>
              <w:left w:val="nil"/>
              <w:bottom w:val="single" w:sz="4" w:space="0" w:color="auto"/>
              <w:right w:val="single" w:sz="4" w:space="0" w:color="auto"/>
            </w:tcBorders>
            <w:shd w:val="clear" w:color="auto" w:fill="auto"/>
            <w:noWrap/>
            <w:vAlign w:val="bottom"/>
            <w:hideMark/>
          </w:tcPr>
          <w:p w14:paraId="4ECE510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2" w:type="dxa"/>
            <w:tcBorders>
              <w:top w:val="nil"/>
              <w:left w:val="nil"/>
              <w:bottom w:val="single" w:sz="4" w:space="0" w:color="auto"/>
              <w:right w:val="single" w:sz="4" w:space="0" w:color="auto"/>
            </w:tcBorders>
            <w:shd w:val="clear" w:color="auto" w:fill="auto"/>
            <w:hideMark/>
          </w:tcPr>
          <w:p w14:paraId="5C07F261"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37EA55D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33EC1AC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03CD3ACA"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hideMark/>
          </w:tcPr>
          <w:p w14:paraId="735504B6"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22" w:type="dxa"/>
            <w:tcBorders>
              <w:top w:val="nil"/>
              <w:left w:val="nil"/>
              <w:bottom w:val="single" w:sz="4" w:space="0" w:color="auto"/>
              <w:right w:val="single" w:sz="4" w:space="0" w:color="auto"/>
            </w:tcBorders>
            <w:shd w:val="clear" w:color="auto" w:fill="auto"/>
            <w:hideMark/>
          </w:tcPr>
          <w:p w14:paraId="1FA2B633"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908" w:type="dxa"/>
            <w:tcBorders>
              <w:top w:val="nil"/>
              <w:left w:val="nil"/>
              <w:bottom w:val="single" w:sz="4" w:space="0" w:color="auto"/>
              <w:right w:val="single" w:sz="4" w:space="0" w:color="auto"/>
            </w:tcBorders>
            <w:shd w:val="clear" w:color="auto" w:fill="auto"/>
            <w:noWrap/>
            <w:vAlign w:val="bottom"/>
            <w:hideMark/>
          </w:tcPr>
          <w:p w14:paraId="40349493"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22CD39E6"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4A1BB40D"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Alte produse alimentare</w:t>
            </w:r>
          </w:p>
        </w:tc>
        <w:tc>
          <w:tcPr>
            <w:tcW w:w="967" w:type="dxa"/>
            <w:tcBorders>
              <w:top w:val="nil"/>
              <w:left w:val="nil"/>
              <w:bottom w:val="single" w:sz="4" w:space="0" w:color="auto"/>
              <w:right w:val="single" w:sz="4" w:space="0" w:color="auto"/>
            </w:tcBorders>
            <w:shd w:val="clear" w:color="auto" w:fill="auto"/>
            <w:noWrap/>
            <w:vAlign w:val="bottom"/>
            <w:hideMark/>
          </w:tcPr>
          <w:p w14:paraId="23D7245A"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0F9A4B11"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18,82</w:t>
            </w:r>
          </w:p>
        </w:tc>
        <w:tc>
          <w:tcPr>
            <w:tcW w:w="1195" w:type="dxa"/>
            <w:tcBorders>
              <w:top w:val="nil"/>
              <w:left w:val="nil"/>
              <w:bottom w:val="single" w:sz="4" w:space="0" w:color="auto"/>
              <w:right w:val="single" w:sz="4" w:space="0" w:color="auto"/>
            </w:tcBorders>
            <w:shd w:val="clear" w:color="auto" w:fill="auto"/>
            <w:noWrap/>
            <w:vAlign w:val="bottom"/>
            <w:hideMark/>
          </w:tcPr>
          <w:p w14:paraId="2D3E91C2"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18,82</w:t>
            </w:r>
          </w:p>
        </w:tc>
        <w:tc>
          <w:tcPr>
            <w:tcW w:w="1092" w:type="dxa"/>
            <w:tcBorders>
              <w:top w:val="nil"/>
              <w:left w:val="nil"/>
              <w:bottom w:val="single" w:sz="4" w:space="0" w:color="auto"/>
              <w:right w:val="single" w:sz="4" w:space="0" w:color="auto"/>
            </w:tcBorders>
            <w:shd w:val="clear" w:color="auto" w:fill="auto"/>
            <w:noWrap/>
            <w:vAlign w:val="bottom"/>
            <w:hideMark/>
          </w:tcPr>
          <w:p w14:paraId="546A9D5C"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18,82</w:t>
            </w:r>
          </w:p>
        </w:tc>
        <w:tc>
          <w:tcPr>
            <w:tcW w:w="1224" w:type="dxa"/>
            <w:tcBorders>
              <w:top w:val="nil"/>
              <w:left w:val="nil"/>
              <w:bottom w:val="single" w:sz="4" w:space="0" w:color="auto"/>
              <w:right w:val="single" w:sz="4" w:space="0" w:color="auto"/>
            </w:tcBorders>
            <w:shd w:val="clear" w:color="auto" w:fill="auto"/>
            <w:noWrap/>
            <w:vAlign w:val="bottom"/>
            <w:hideMark/>
          </w:tcPr>
          <w:p w14:paraId="1923C31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0C01109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1FE56D2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3F987EC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58437DF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hideMark/>
          </w:tcPr>
          <w:p w14:paraId="3043597F"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F3067" w:rsidRPr="008860BA" w14:paraId="33A1186A"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36330173"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Ambalaj</w:t>
            </w:r>
          </w:p>
        </w:tc>
        <w:tc>
          <w:tcPr>
            <w:tcW w:w="967" w:type="dxa"/>
            <w:tcBorders>
              <w:top w:val="nil"/>
              <w:left w:val="nil"/>
              <w:bottom w:val="single" w:sz="4" w:space="0" w:color="auto"/>
              <w:right w:val="single" w:sz="4" w:space="0" w:color="auto"/>
            </w:tcBorders>
            <w:shd w:val="clear" w:color="auto" w:fill="auto"/>
            <w:noWrap/>
            <w:vAlign w:val="bottom"/>
            <w:hideMark/>
          </w:tcPr>
          <w:p w14:paraId="5DCB6AE6"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5FD0D664"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1,15</w:t>
            </w:r>
          </w:p>
        </w:tc>
        <w:tc>
          <w:tcPr>
            <w:tcW w:w="1195" w:type="dxa"/>
            <w:tcBorders>
              <w:top w:val="nil"/>
              <w:left w:val="nil"/>
              <w:bottom w:val="single" w:sz="4" w:space="0" w:color="auto"/>
              <w:right w:val="single" w:sz="4" w:space="0" w:color="auto"/>
            </w:tcBorders>
            <w:shd w:val="clear" w:color="auto" w:fill="auto"/>
            <w:noWrap/>
            <w:vAlign w:val="bottom"/>
            <w:hideMark/>
          </w:tcPr>
          <w:p w14:paraId="69BD9630"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1,15</w:t>
            </w:r>
          </w:p>
        </w:tc>
        <w:tc>
          <w:tcPr>
            <w:tcW w:w="1092" w:type="dxa"/>
            <w:tcBorders>
              <w:top w:val="nil"/>
              <w:left w:val="nil"/>
              <w:bottom w:val="single" w:sz="4" w:space="0" w:color="auto"/>
              <w:right w:val="single" w:sz="4" w:space="0" w:color="auto"/>
            </w:tcBorders>
            <w:shd w:val="clear" w:color="auto" w:fill="auto"/>
            <w:hideMark/>
          </w:tcPr>
          <w:p w14:paraId="2937A3CE"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5693CCA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7F202DE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108E49C5"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1,15</w:t>
            </w:r>
          </w:p>
        </w:tc>
        <w:tc>
          <w:tcPr>
            <w:tcW w:w="822" w:type="dxa"/>
            <w:tcBorders>
              <w:top w:val="nil"/>
              <w:left w:val="nil"/>
              <w:bottom w:val="single" w:sz="4" w:space="0" w:color="auto"/>
              <w:right w:val="single" w:sz="4" w:space="0" w:color="auto"/>
            </w:tcBorders>
            <w:shd w:val="clear" w:color="auto" w:fill="auto"/>
            <w:noWrap/>
            <w:vAlign w:val="bottom"/>
            <w:hideMark/>
          </w:tcPr>
          <w:p w14:paraId="3DB0C370"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4146745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noWrap/>
            <w:vAlign w:val="bottom"/>
            <w:hideMark/>
          </w:tcPr>
          <w:p w14:paraId="46EAAAA3"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79085663"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4632753F"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Amortizarea IN</w:t>
            </w:r>
          </w:p>
        </w:tc>
        <w:tc>
          <w:tcPr>
            <w:tcW w:w="967" w:type="dxa"/>
            <w:tcBorders>
              <w:top w:val="nil"/>
              <w:left w:val="nil"/>
              <w:bottom w:val="single" w:sz="4" w:space="0" w:color="auto"/>
              <w:right w:val="single" w:sz="4" w:space="0" w:color="auto"/>
            </w:tcBorders>
            <w:shd w:val="clear" w:color="auto" w:fill="auto"/>
            <w:noWrap/>
            <w:vAlign w:val="bottom"/>
            <w:hideMark/>
          </w:tcPr>
          <w:p w14:paraId="18C8CA74"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6A0B9270"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62,95</w:t>
            </w:r>
          </w:p>
        </w:tc>
        <w:tc>
          <w:tcPr>
            <w:tcW w:w="1195" w:type="dxa"/>
            <w:tcBorders>
              <w:top w:val="nil"/>
              <w:left w:val="nil"/>
              <w:bottom w:val="single" w:sz="4" w:space="0" w:color="auto"/>
              <w:right w:val="single" w:sz="4" w:space="0" w:color="auto"/>
            </w:tcBorders>
            <w:shd w:val="clear" w:color="auto" w:fill="auto"/>
            <w:noWrap/>
            <w:vAlign w:val="bottom"/>
            <w:hideMark/>
          </w:tcPr>
          <w:p w14:paraId="58FDCBC5"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62,95</w:t>
            </w:r>
          </w:p>
        </w:tc>
        <w:tc>
          <w:tcPr>
            <w:tcW w:w="1092" w:type="dxa"/>
            <w:tcBorders>
              <w:top w:val="nil"/>
              <w:left w:val="nil"/>
              <w:bottom w:val="single" w:sz="4" w:space="0" w:color="auto"/>
              <w:right w:val="single" w:sz="4" w:space="0" w:color="auto"/>
            </w:tcBorders>
            <w:shd w:val="clear" w:color="auto" w:fill="auto"/>
            <w:hideMark/>
          </w:tcPr>
          <w:p w14:paraId="1B7F32CA"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79CC2A46"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287EB6C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20374ADC"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043FADD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19FCFBBB"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3,95</w:t>
            </w:r>
          </w:p>
        </w:tc>
        <w:tc>
          <w:tcPr>
            <w:tcW w:w="908" w:type="dxa"/>
            <w:tcBorders>
              <w:top w:val="nil"/>
              <w:left w:val="nil"/>
              <w:bottom w:val="single" w:sz="4" w:space="0" w:color="auto"/>
              <w:right w:val="single" w:sz="4" w:space="0" w:color="auto"/>
            </w:tcBorders>
            <w:shd w:val="clear" w:color="auto" w:fill="auto"/>
            <w:noWrap/>
            <w:vAlign w:val="bottom"/>
            <w:hideMark/>
          </w:tcPr>
          <w:p w14:paraId="1951FA9F"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59,00</w:t>
            </w:r>
          </w:p>
        </w:tc>
      </w:tr>
      <w:tr w:rsidR="006F3067" w:rsidRPr="008860BA" w14:paraId="6959393D"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4FE70FBF"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Amortizarea MF</w:t>
            </w:r>
          </w:p>
        </w:tc>
        <w:tc>
          <w:tcPr>
            <w:tcW w:w="967" w:type="dxa"/>
            <w:tcBorders>
              <w:top w:val="nil"/>
              <w:left w:val="nil"/>
              <w:bottom w:val="single" w:sz="4" w:space="0" w:color="auto"/>
              <w:right w:val="single" w:sz="4" w:space="0" w:color="auto"/>
            </w:tcBorders>
            <w:shd w:val="clear" w:color="auto" w:fill="auto"/>
            <w:noWrap/>
            <w:vAlign w:val="bottom"/>
            <w:hideMark/>
          </w:tcPr>
          <w:p w14:paraId="6E53EEEC"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2501BA17"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4.138,96</w:t>
            </w:r>
          </w:p>
        </w:tc>
        <w:tc>
          <w:tcPr>
            <w:tcW w:w="1195" w:type="dxa"/>
            <w:tcBorders>
              <w:top w:val="nil"/>
              <w:left w:val="nil"/>
              <w:bottom w:val="single" w:sz="4" w:space="0" w:color="auto"/>
              <w:right w:val="single" w:sz="4" w:space="0" w:color="auto"/>
            </w:tcBorders>
            <w:shd w:val="clear" w:color="auto" w:fill="auto"/>
            <w:noWrap/>
            <w:vAlign w:val="bottom"/>
            <w:hideMark/>
          </w:tcPr>
          <w:p w14:paraId="4E4CBCA0"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4.138,96</w:t>
            </w:r>
          </w:p>
        </w:tc>
        <w:tc>
          <w:tcPr>
            <w:tcW w:w="1092" w:type="dxa"/>
            <w:tcBorders>
              <w:top w:val="nil"/>
              <w:left w:val="nil"/>
              <w:bottom w:val="single" w:sz="4" w:space="0" w:color="auto"/>
              <w:right w:val="single" w:sz="4" w:space="0" w:color="auto"/>
            </w:tcBorders>
            <w:shd w:val="clear" w:color="auto" w:fill="auto"/>
            <w:noWrap/>
            <w:vAlign w:val="bottom"/>
            <w:hideMark/>
          </w:tcPr>
          <w:p w14:paraId="70ED2FC5"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1.074,75</w:t>
            </w:r>
          </w:p>
        </w:tc>
        <w:tc>
          <w:tcPr>
            <w:tcW w:w="1224" w:type="dxa"/>
            <w:tcBorders>
              <w:top w:val="nil"/>
              <w:left w:val="nil"/>
              <w:bottom w:val="single" w:sz="4" w:space="0" w:color="auto"/>
              <w:right w:val="single" w:sz="4" w:space="0" w:color="auto"/>
            </w:tcBorders>
            <w:shd w:val="clear" w:color="auto" w:fill="auto"/>
            <w:noWrap/>
            <w:vAlign w:val="bottom"/>
            <w:hideMark/>
          </w:tcPr>
          <w:p w14:paraId="564E9D1D"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20EE47D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7045CE13"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4,51</w:t>
            </w:r>
          </w:p>
        </w:tc>
        <w:tc>
          <w:tcPr>
            <w:tcW w:w="822" w:type="dxa"/>
            <w:tcBorders>
              <w:top w:val="nil"/>
              <w:left w:val="nil"/>
              <w:bottom w:val="single" w:sz="4" w:space="0" w:color="auto"/>
              <w:right w:val="single" w:sz="4" w:space="0" w:color="auto"/>
            </w:tcBorders>
            <w:shd w:val="clear" w:color="auto" w:fill="auto"/>
            <w:noWrap/>
            <w:vAlign w:val="bottom"/>
            <w:hideMark/>
          </w:tcPr>
          <w:p w14:paraId="40FFB519"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38,74</w:t>
            </w:r>
          </w:p>
        </w:tc>
        <w:tc>
          <w:tcPr>
            <w:tcW w:w="822" w:type="dxa"/>
            <w:tcBorders>
              <w:top w:val="nil"/>
              <w:left w:val="nil"/>
              <w:bottom w:val="single" w:sz="4" w:space="0" w:color="auto"/>
              <w:right w:val="single" w:sz="4" w:space="0" w:color="auto"/>
            </w:tcBorders>
            <w:shd w:val="clear" w:color="auto" w:fill="auto"/>
            <w:noWrap/>
            <w:vAlign w:val="bottom"/>
            <w:hideMark/>
          </w:tcPr>
          <w:p w14:paraId="2CD36636"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42,20</w:t>
            </w:r>
          </w:p>
        </w:tc>
        <w:tc>
          <w:tcPr>
            <w:tcW w:w="908" w:type="dxa"/>
            <w:tcBorders>
              <w:top w:val="nil"/>
              <w:left w:val="nil"/>
              <w:bottom w:val="single" w:sz="4" w:space="0" w:color="auto"/>
              <w:right w:val="single" w:sz="4" w:space="0" w:color="auto"/>
            </w:tcBorders>
            <w:shd w:val="clear" w:color="auto" w:fill="auto"/>
            <w:noWrap/>
            <w:vAlign w:val="bottom"/>
            <w:hideMark/>
          </w:tcPr>
          <w:p w14:paraId="4504EF32"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2.978,77</w:t>
            </w:r>
          </w:p>
        </w:tc>
      </w:tr>
      <w:tr w:rsidR="006F3067" w:rsidRPr="008860BA" w14:paraId="1B9238D2"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1EF5BE77"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Apa potabilă</w:t>
            </w:r>
          </w:p>
        </w:tc>
        <w:tc>
          <w:tcPr>
            <w:tcW w:w="967" w:type="dxa"/>
            <w:tcBorders>
              <w:top w:val="nil"/>
              <w:left w:val="nil"/>
              <w:bottom w:val="single" w:sz="4" w:space="0" w:color="auto"/>
              <w:right w:val="single" w:sz="4" w:space="0" w:color="auto"/>
            </w:tcBorders>
            <w:shd w:val="clear" w:color="auto" w:fill="auto"/>
            <w:noWrap/>
            <w:vAlign w:val="bottom"/>
            <w:hideMark/>
          </w:tcPr>
          <w:p w14:paraId="5498A4E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7EFA6124"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6,70</w:t>
            </w:r>
          </w:p>
        </w:tc>
        <w:tc>
          <w:tcPr>
            <w:tcW w:w="1195" w:type="dxa"/>
            <w:tcBorders>
              <w:top w:val="nil"/>
              <w:left w:val="nil"/>
              <w:bottom w:val="single" w:sz="4" w:space="0" w:color="auto"/>
              <w:right w:val="single" w:sz="4" w:space="0" w:color="auto"/>
            </w:tcBorders>
            <w:shd w:val="clear" w:color="auto" w:fill="auto"/>
            <w:noWrap/>
            <w:vAlign w:val="bottom"/>
            <w:hideMark/>
          </w:tcPr>
          <w:p w14:paraId="666DA99F"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6,70</w:t>
            </w:r>
          </w:p>
        </w:tc>
        <w:tc>
          <w:tcPr>
            <w:tcW w:w="1092" w:type="dxa"/>
            <w:tcBorders>
              <w:top w:val="nil"/>
              <w:left w:val="nil"/>
              <w:bottom w:val="single" w:sz="4" w:space="0" w:color="auto"/>
              <w:right w:val="single" w:sz="4" w:space="0" w:color="auto"/>
            </w:tcBorders>
            <w:shd w:val="clear" w:color="auto" w:fill="auto"/>
            <w:noWrap/>
            <w:vAlign w:val="bottom"/>
            <w:hideMark/>
          </w:tcPr>
          <w:p w14:paraId="1811293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6567888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4FEEC4C4"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15FF85D9"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0,78</w:t>
            </w:r>
          </w:p>
        </w:tc>
        <w:tc>
          <w:tcPr>
            <w:tcW w:w="822" w:type="dxa"/>
            <w:tcBorders>
              <w:top w:val="nil"/>
              <w:left w:val="nil"/>
              <w:bottom w:val="single" w:sz="4" w:space="0" w:color="auto"/>
              <w:right w:val="single" w:sz="4" w:space="0" w:color="auto"/>
            </w:tcBorders>
            <w:shd w:val="clear" w:color="auto" w:fill="auto"/>
            <w:hideMark/>
          </w:tcPr>
          <w:p w14:paraId="06BE85DD"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56223352"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5,92</w:t>
            </w:r>
          </w:p>
        </w:tc>
        <w:tc>
          <w:tcPr>
            <w:tcW w:w="908" w:type="dxa"/>
            <w:tcBorders>
              <w:top w:val="nil"/>
              <w:left w:val="nil"/>
              <w:bottom w:val="single" w:sz="4" w:space="0" w:color="auto"/>
              <w:right w:val="single" w:sz="4" w:space="0" w:color="auto"/>
            </w:tcBorders>
            <w:shd w:val="clear" w:color="auto" w:fill="auto"/>
            <w:noWrap/>
            <w:vAlign w:val="bottom"/>
            <w:hideMark/>
          </w:tcPr>
          <w:p w14:paraId="7917A7ED"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7C524BD5"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539A7E5E" w14:textId="7F1779DC" w:rsidR="006F3067" w:rsidRPr="008860BA" w:rsidRDefault="006F306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xml:space="preserve">Apa </w:t>
            </w:r>
            <w:r w:rsidR="00885EE0" w:rsidRPr="008860BA">
              <w:rPr>
                <w:rFonts w:asciiTheme="majorHAnsi" w:eastAsia="Times New Roman" w:hAnsiTheme="majorHAnsi" w:cstheme="majorHAnsi"/>
                <w:sz w:val="18"/>
                <w:szCs w:val="18"/>
                <w:lang w:val="ro-MD"/>
              </w:rPr>
              <w:t>ș</w:t>
            </w:r>
            <w:r w:rsidRPr="008860BA">
              <w:rPr>
                <w:rFonts w:asciiTheme="majorHAnsi" w:eastAsia="Times New Roman" w:hAnsiTheme="majorHAnsi" w:cstheme="majorHAnsi"/>
                <w:sz w:val="18"/>
                <w:szCs w:val="18"/>
                <w:lang w:val="ro-MD"/>
              </w:rPr>
              <w:t>i canalizarea</w:t>
            </w:r>
          </w:p>
        </w:tc>
        <w:tc>
          <w:tcPr>
            <w:tcW w:w="967" w:type="dxa"/>
            <w:tcBorders>
              <w:top w:val="nil"/>
              <w:left w:val="nil"/>
              <w:bottom w:val="single" w:sz="4" w:space="0" w:color="auto"/>
              <w:right w:val="single" w:sz="4" w:space="0" w:color="auto"/>
            </w:tcBorders>
            <w:shd w:val="clear" w:color="auto" w:fill="auto"/>
            <w:noWrap/>
            <w:vAlign w:val="bottom"/>
            <w:hideMark/>
          </w:tcPr>
          <w:p w14:paraId="68EED12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2CDBEDA3"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387,28</w:t>
            </w:r>
          </w:p>
        </w:tc>
        <w:tc>
          <w:tcPr>
            <w:tcW w:w="1195" w:type="dxa"/>
            <w:tcBorders>
              <w:top w:val="nil"/>
              <w:left w:val="nil"/>
              <w:bottom w:val="single" w:sz="4" w:space="0" w:color="auto"/>
              <w:right w:val="single" w:sz="4" w:space="0" w:color="auto"/>
            </w:tcBorders>
            <w:shd w:val="clear" w:color="auto" w:fill="auto"/>
            <w:noWrap/>
            <w:vAlign w:val="bottom"/>
            <w:hideMark/>
          </w:tcPr>
          <w:p w14:paraId="0C385FD5"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387,28</w:t>
            </w:r>
          </w:p>
        </w:tc>
        <w:tc>
          <w:tcPr>
            <w:tcW w:w="1092" w:type="dxa"/>
            <w:tcBorders>
              <w:top w:val="nil"/>
              <w:left w:val="nil"/>
              <w:bottom w:val="single" w:sz="4" w:space="0" w:color="auto"/>
              <w:right w:val="single" w:sz="4" w:space="0" w:color="auto"/>
            </w:tcBorders>
            <w:shd w:val="clear" w:color="auto" w:fill="auto"/>
            <w:noWrap/>
            <w:vAlign w:val="bottom"/>
            <w:hideMark/>
          </w:tcPr>
          <w:p w14:paraId="69C12B25"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213,00</w:t>
            </w:r>
          </w:p>
        </w:tc>
        <w:tc>
          <w:tcPr>
            <w:tcW w:w="1224" w:type="dxa"/>
            <w:tcBorders>
              <w:top w:val="nil"/>
              <w:left w:val="nil"/>
              <w:bottom w:val="single" w:sz="4" w:space="0" w:color="auto"/>
              <w:right w:val="single" w:sz="4" w:space="0" w:color="auto"/>
            </w:tcBorders>
            <w:shd w:val="clear" w:color="auto" w:fill="auto"/>
            <w:noWrap/>
            <w:vAlign w:val="bottom"/>
            <w:hideMark/>
          </w:tcPr>
          <w:p w14:paraId="32A1103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67F71B43"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0DDDD606"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174,28</w:t>
            </w:r>
          </w:p>
        </w:tc>
        <w:tc>
          <w:tcPr>
            <w:tcW w:w="822" w:type="dxa"/>
            <w:tcBorders>
              <w:top w:val="nil"/>
              <w:left w:val="nil"/>
              <w:bottom w:val="single" w:sz="4" w:space="0" w:color="auto"/>
              <w:right w:val="single" w:sz="4" w:space="0" w:color="auto"/>
            </w:tcBorders>
            <w:shd w:val="clear" w:color="auto" w:fill="auto"/>
            <w:noWrap/>
            <w:vAlign w:val="bottom"/>
            <w:hideMark/>
          </w:tcPr>
          <w:p w14:paraId="12686140"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49678926"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noWrap/>
            <w:vAlign w:val="bottom"/>
            <w:hideMark/>
          </w:tcPr>
          <w:p w14:paraId="240559C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77A3D067"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7C342615"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Chetuieli de reprezentare</w:t>
            </w:r>
          </w:p>
        </w:tc>
        <w:tc>
          <w:tcPr>
            <w:tcW w:w="967" w:type="dxa"/>
            <w:tcBorders>
              <w:top w:val="nil"/>
              <w:left w:val="nil"/>
              <w:bottom w:val="single" w:sz="4" w:space="0" w:color="auto"/>
              <w:right w:val="single" w:sz="4" w:space="0" w:color="auto"/>
            </w:tcBorders>
            <w:shd w:val="clear" w:color="auto" w:fill="auto"/>
            <w:noWrap/>
            <w:vAlign w:val="bottom"/>
            <w:hideMark/>
          </w:tcPr>
          <w:p w14:paraId="77A5EFA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33E70B5E"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195" w:type="dxa"/>
            <w:tcBorders>
              <w:top w:val="nil"/>
              <w:left w:val="nil"/>
              <w:bottom w:val="single" w:sz="4" w:space="0" w:color="auto"/>
              <w:right w:val="single" w:sz="4" w:space="0" w:color="auto"/>
            </w:tcBorders>
            <w:shd w:val="clear" w:color="auto" w:fill="auto"/>
            <w:noWrap/>
            <w:vAlign w:val="bottom"/>
            <w:hideMark/>
          </w:tcPr>
          <w:p w14:paraId="41ABF62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2" w:type="dxa"/>
            <w:tcBorders>
              <w:top w:val="nil"/>
              <w:left w:val="nil"/>
              <w:bottom w:val="single" w:sz="4" w:space="0" w:color="auto"/>
              <w:right w:val="single" w:sz="4" w:space="0" w:color="auto"/>
            </w:tcBorders>
            <w:shd w:val="clear" w:color="auto" w:fill="auto"/>
            <w:hideMark/>
          </w:tcPr>
          <w:p w14:paraId="7D10252A"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6F6EB00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0463A216"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7D4DD99D"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2EA2620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2696B7E0"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noWrap/>
            <w:vAlign w:val="bottom"/>
            <w:hideMark/>
          </w:tcPr>
          <w:p w14:paraId="7F18DB5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6E71F6E7"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627EEEFC"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Cheltuieli de transport</w:t>
            </w:r>
          </w:p>
        </w:tc>
        <w:tc>
          <w:tcPr>
            <w:tcW w:w="967" w:type="dxa"/>
            <w:tcBorders>
              <w:top w:val="nil"/>
              <w:left w:val="nil"/>
              <w:bottom w:val="single" w:sz="4" w:space="0" w:color="auto"/>
              <w:right w:val="single" w:sz="4" w:space="0" w:color="auto"/>
            </w:tcBorders>
            <w:shd w:val="clear" w:color="auto" w:fill="auto"/>
            <w:noWrap/>
            <w:vAlign w:val="bottom"/>
            <w:hideMark/>
          </w:tcPr>
          <w:p w14:paraId="3AA3253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1FD7AFDC"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41,47</w:t>
            </w:r>
          </w:p>
        </w:tc>
        <w:tc>
          <w:tcPr>
            <w:tcW w:w="1195" w:type="dxa"/>
            <w:tcBorders>
              <w:top w:val="nil"/>
              <w:left w:val="nil"/>
              <w:bottom w:val="single" w:sz="4" w:space="0" w:color="auto"/>
              <w:right w:val="single" w:sz="4" w:space="0" w:color="auto"/>
            </w:tcBorders>
            <w:shd w:val="clear" w:color="auto" w:fill="auto"/>
            <w:noWrap/>
            <w:vAlign w:val="bottom"/>
            <w:hideMark/>
          </w:tcPr>
          <w:p w14:paraId="30824E95"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41,47</w:t>
            </w:r>
          </w:p>
        </w:tc>
        <w:tc>
          <w:tcPr>
            <w:tcW w:w="1092" w:type="dxa"/>
            <w:tcBorders>
              <w:top w:val="nil"/>
              <w:left w:val="nil"/>
              <w:bottom w:val="single" w:sz="4" w:space="0" w:color="auto"/>
              <w:right w:val="single" w:sz="4" w:space="0" w:color="auto"/>
            </w:tcBorders>
            <w:shd w:val="clear" w:color="auto" w:fill="auto"/>
            <w:noWrap/>
            <w:vAlign w:val="bottom"/>
            <w:hideMark/>
          </w:tcPr>
          <w:p w14:paraId="120D84CC"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21,01</w:t>
            </w:r>
          </w:p>
        </w:tc>
        <w:tc>
          <w:tcPr>
            <w:tcW w:w="1224" w:type="dxa"/>
            <w:tcBorders>
              <w:top w:val="nil"/>
              <w:left w:val="nil"/>
              <w:bottom w:val="single" w:sz="4" w:space="0" w:color="auto"/>
              <w:right w:val="single" w:sz="4" w:space="0" w:color="auto"/>
            </w:tcBorders>
            <w:shd w:val="clear" w:color="auto" w:fill="auto"/>
            <w:noWrap/>
            <w:vAlign w:val="bottom"/>
            <w:hideMark/>
          </w:tcPr>
          <w:p w14:paraId="2BAC315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07EDCF6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493A01AD"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515F153A"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47BE2192"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20,27</w:t>
            </w:r>
          </w:p>
        </w:tc>
        <w:tc>
          <w:tcPr>
            <w:tcW w:w="908" w:type="dxa"/>
            <w:tcBorders>
              <w:top w:val="nil"/>
              <w:left w:val="nil"/>
              <w:bottom w:val="single" w:sz="4" w:space="0" w:color="auto"/>
              <w:right w:val="single" w:sz="4" w:space="0" w:color="auto"/>
            </w:tcBorders>
            <w:shd w:val="clear" w:color="auto" w:fill="auto"/>
            <w:noWrap/>
            <w:vAlign w:val="bottom"/>
            <w:hideMark/>
          </w:tcPr>
          <w:p w14:paraId="641AAD29"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0,19</w:t>
            </w:r>
          </w:p>
        </w:tc>
      </w:tr>
      <w:tr w:rsidR="006F3067" w:rsidRPr="008860BA" w14:paraId="4FB8C4B6"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2519E32C" w14:textId="42AAFBBC" w:rsidR="006F3067" w:rsidRPr="008860BA" w:rsidRDefault="006F306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Comunica</w:t>
            </w:r>
            <w:r w:rsidR="00885EE0"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ii</w:t>
            </w:r>
          </w:p>
        </w:tc>
        <w:tc>
          <w:tcPr>
            <w:tcW w:w="967" w:type="dxa"/>
            <w:tcBorders>
              <w:top w:val="nil"/>
              <w:left w:val="nil"/>
              <w:bottom w:val="single" w:sz="4" w:space="0" w:color="auto"/>
              <w:right w:val="single" w:sz="4" w:space="0" w:color="auto"/>
            </w:tcBorders>
            <w:shd w:val="clear" w:color="auto" w:fill="auto"/>
            <w:noWrap/>
            <w:vAlign w:val="bottom"/>
            <w:hideMark/>
          </w:tcPr>
          <w:p w14:paraId="6D2CCE26"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6AED665D"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112,36</w:t>
            </w:r>
          </w:p>
        </w:tc>
        <w:tc>
          <w:tcPr>
            <w:tcW w:w="1195" w:type="dxa"/>
            <w:tcBorders>
              <w:top w:val="nil"/>
              <w:left w:val="nil"/>
              <w:bottom w:val="single" w:sz="4" w:space="0" w:color="auto"/>
              <w:right w:val="single" w:sz="4" w:space="0" w:color="auto"/>
            </w:tcBorders>
            <w:shd w:val="clear" w:color="auto" w:fill="auto"/>
            <w:noWrap/>
            <w:vAlign w:val="bottom"/>
            <w:hideMark/>
          </w:tcPr>
          <w:p w14:paraId="307CE09E"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112,36</w:t>
            </w:r>
          </w:p>
        </w:tc>
        <w:tc>
          <w:tcPr>
            <w:tcW w:w="1092" w:type="dxa"/>
            <w:tcBorders>
              <w:top w:val="nil"/>
              <w:left w:val="nil"/>
              <w:bottom w:val="single" w:sz="4" w:space="0" w:color="auto"/>
              <w:right w:val="single" w:sz="4" w:space="0" w:color="auto"/>
            </w:tcBorders>
            <w:shd w:val="clear" w:color="auto" w:fill="auto"/>
            <w:noWrap/>
            <w:vAlign w:val="bottom"/>
            <w:hideMark/>
          </w:tcPr>
          <w:p w14:paraId="41C1D75A"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58,47</w:t>
            </w:r>
          </w:p>
        </w:tc>
        <w:tc>
          <w:tcPr>
            <w:tcW w:w="1224" w:type="dxa"/>
            <w:tcBorders>
              <w:top w:val="nil"/>
              <w:left w:val="nil"/>
              <w:bottom w:val="single" w:sz="4" w:space="0" w:color="auto"/>
              <w:right w:val="single" w:sz="4" w:space="0" w:color="auto"/>
            </w:tcBorders>
            <w:shd w:val="clear" w:color="auto" w:fill="auto"/>
            <w:noWrap/>
            <w:vAlign w:val="bottom"/>
            <w:hideMark/>
          </w:tcPr>
          <w:p w14:paraId="446F7C40"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03FE73F4"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53B2FCCE"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9,26</w:t>
            </w:r>
          </w:p>
        </w:tc>
        <w:tc>
          <w:tcPr>
            <w:tcW w:w="822" w:type="dxa"/>
            <w:tcBorders>
              <w:top w:val="nil"/>
              <w:left w:val="nil"/>
              <w:bottom w:val="single" w:sz="4" w:space="0" w:color="auto"/>
              <w:right w:val="single" w:sz="4" w:space="0" w:color="auto"/>
            </w:tcBorders>
            <w:shd w:val="clear" w:color="auto" w:fill="auto"/>
            <w:noWrap/>
            <w:vAlign w:val="bottom"/>
            <w:hideMark/>
          </w:tcPr>
          <w:p w14:paraId="14994846"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57766C50"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42,64</w:t>
            </w:r>
          </w:p>
        </w:tc>
        <w:tc>
          <w:tcPr>
            <w:tcW w:w="908" w:type="dxa"/>
            <w:tcBorders>
              <w:top w:val="nil"/>
              <w:left w:val="nil"/>
              <w:bottom w:val="single" w:sz="4" w:space="0" w:color="auto"/>
              <w:right w:val="single" w:sz="4" w:space="0" w:color="auto"/>
            </w:tcBorders>
            <w:shd w:val="clear" w:color="auto" w:fill="auto"/>
            <w:noWrap/>
            <w:vAlign w:val="bottom"/>
            <w:hideMark/>
          </w:tcPr>
          <w:p w14:paraId="75260C74"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2,00</w:t>
            </w:r>
          </w:p>
        </w:tc>
      </w:tr>
      <w:tr w:rsidR="006F3067" w:rsidRPr="008860BA" w14:paraId="05D120F3"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7E5F5CA5" w14:textId="34883D3B" w:rsidR="006F3067" w:rsidRPr="008860BA" w:rsidRDefault="006F306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Deplas</w:t>
            </w:r>
            <w:r w:rsidR="00885EE0" w:rsidRPr="008860BA">
              <w:rPr>
                <w:rFonts w:asciiTheme="majorHAnsi" w:eastAsia="Times New Roman" w:hAnsiTheme="majorHAnsi" w:cstheme="majorHAnsi"/>
                <w:sz w:val="18"/>
                <w:szCs w:val="18"/>
                <w:lang w:val="ro-MD"/>
              </w:rPr>
              <w:t>ă</w:t>
            </w:r>
            <w:r w:rsidRPr="008860BA">
              <w:rPr>
                <w:rFonts w:asciiTheme="majorHAnsi" w:eastAsia="Times New Roman" w:hAnsiTheme="majorHAnsi" w:cstheme="majorHAnsi"/>
                <w:sz w:val="18"/>
                <w:szCs w:val="18"/>
                <w:lang w:val="ro-MD"/>
              </w:rPr>
              <w:t>ri</w:t>
            </w:r>
          </w:p>
        </w:tc>
        <w:tc>
          <w:tcPr>
            <w:tcW w:w="967" w:type="dxa"/>
            <w:tcBorders>
              <w:top w:val="nil"/>
              <w:left w:val="nil"/>
              <w:bottom w:val="single" w:sz="4" w:space="0" w:color="auto"/>
              <w:right w:val="single" w:sz="4" w:space="0" w:color="auto"/>
            </w:tcBorders>
            <w:shd w:val="clear" w:color="auto" w:fill="auto"/>
            <w:noWrap/>
            <w:vAlign w:val="bottom"/>
            <w:hideMark/>
          </w:tcPr>
          <w:p w14:paraId="2B7220AD"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545C54B4"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195" w:type="dxa"/>
            <w:tcBorders>
              <w:top w:val="nil"/>
              <w:left w:val="nil"/>
              <w:bottom w:val="single" w:sz="4" w:space="0" w:color="auto"/>
              <w:right w:val="single" w:sz="4" w:space="0" w:color="auto"/>
            </w:tcBorders>
            <w:shd w:val="clear" w:color="auto" w:fill="auto"/>
            <w:noWrap/>
            <w:vAlign w:val="bottom"/>
            <w:hideMark/>
          </w:tcPr>
          <w:p w14:paraId="752A5EA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2" w:type="dxa"/>
            <w:tcBorders>
              <w:top w:val="nil"/>
              <w:left w:val="nil"/>
              <w:bottom w:val="single" w:sz="4" w:space="0" w:color="auto"/>
              <w:right w:val="single" w:sz="4" w:space="0" w:color="auto"/>
            </w:tcBorders>
            <w:shd w:val="clear" w:color="auto" w:fill="auto"/>
            <w:hideMark/>
          </w:tcPr>
          <w:p w14:paraId="757DD74D"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77B98C7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244DEBC6"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hideMark/>
          </w:tcPr>
          <w:p w14:paraId="5C5AD63B"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23D98454"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6AB65DC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noWrap/>
            <w:vAlign w:val="bottom"/>
            <w:hideMark/>
          </w:tcPr>
          <w:p w14:paraId="7137D41C"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15D55114"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42E9B79C" w14:textId="77FAFF83"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Detergen</w:t>
            </w:r>
            <w:r w:rsidR="00B13B9A"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w:t>
            </w:r>
          </w:p>
        </w:tc>
        <w:tc>
          <w:tcPr>
            <w:tcW w:w="967" w:type="dxa"/>
            <w:tcBorders>
              <w:top w:val="nil"/>
              <w:left w:val="nil"/>
              <w:bottom w:val="single" w:sz="4" w:space="0" w:color="auto"/>
              <w:right w:val="single" w:sz="4" w:space="0" w:color="auto"/>
            </w:tcBorders>
            <w:shd w:val="clear" w:color="auto" w:fill="auto"/>
            <w:noWrap/>
            <w:vAlign w:val="bottom"/>
            <w:hideMark/>
          </w:tcPr>
          <w:p w14:paraId="1B35B164"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75E31B5F"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57,06</w:t>
            </w:r>
          </w:p>
        </w:tc>
        <w:tc>
          <w:tcPr>
            <w:tcW w:w="1195" w:type="dxa"/>
            <w:tcBorders>
              <w:top w:val="nil"/>
              <w:left w:val="nil"/>
              <w:bottom w:val="single" w:sz="4" w:space="0" w:color="auto"/>
              <w:right w:val="single" w:sz="4" w:space="0" w:color="auto"/>
            </w:tcBorders>
            <w:shd w:val="clear" w:color="auto" w:fill="auto"/>
            <w:noWrap/>
            <w:vAlign w:val="bottom"/>
            <w:hideMark/>
          </w:tcPr>
          <w:p w14:paraId="249E07BF"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57,06</w:t>
            </w:r>
          </w:p>
        </w:tc>
        <w:tc>
          <w:tcPr>
            <w:tcW w:w="1092" w:type="dxa"/>
            <w:tcBorders>
              <w:top w:val="nil"/>
              <w:left w:val="nil"/>
              <w:bottom w:val="single" w:sz="4" w:space="0" w:color="auto"/>
              <w:right w:val="single" w:sz="4" w:space="0" w:color="auto"/>
            </w:tcBorders>
            <w:shd w:val="clear" w:color="auto" w:fill="auto"/>
            <w:noWrap/>
            <w:vAlign w:val="bottom"/>
            <w:hideMark/>
          </w:tcPr>
          <w:p w14:paraId="5D9BE428"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46,43</w:t>
            </w:r>
          </w:p>
        </w:tc>
        <w:tc>
          <w:tcPr>
            <w:tcW w:w="1224" w:type="dxa"/>
            <w:tcBorders>
              <w:top w:val="nil"/>
              <w:left w:val="nil"/>
              <w:bottom w:val="single" w:sz="4" w:space="0" w:color="auto"/>
              <w:right w:val="single" w:sz="4" w:space="0" w:color="auto"/>
            </w:tcBorders>
            <w:shd w:val="clear" w:color="auto" w:fill="auto"/>
            <w:noWrap/>
            <w:vAlign w:val="bottom"/>
            <w:hideMark/>
          </w:tcPr>
          <w:p w14:paraId="408CAE1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6FFFA73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3DBE89F3"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10,63</w:t>
            </w:r>
          </w:p>
        </w:tc>
        <w:tc>
          <w:tcPr>
            <w:tcW w:w="822" w:type="dxa"/>
            <w:tcBorders>
              <w:top w:val="nil"/>
              <w:left w:val="nil"/>
              <w:bottom w:val="single" w:sz="4" w:space="0" w:color="auto"/>
              <w:right w:val="single" w:sz="4" w:space="0" w:color="auto"/>
            </w:tcBorders>
            <w:shd w:val="clear" w:color="auto" w:fill="auto"/>
            <w:noWrap/>
            <w:vAlign w:val="bottom"/>
            <w:hideMark/>
          </w:tcPr>
          <w:p w14:paraId="51BF061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285A9AB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hideMark/>
          </w:tcPr>
          <w:p w14:paraId="36EF4FCE"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F3067" w:rsidRPr="008860BA" w14:paraId="0D63314F"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33942B6E" w14:textId="69A1C36B"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Energie electric</w:t>
            </w:r>
            <w:r w:rsidR="00885EE0" w:rsidRPr="008860BA">
              <w:rPr>
                <w:rFonts w:asciiTheme="majorHAnsi" w:eastAsia="Times New Roman" w:hAnsiTheme="majorHAnsi" w:cstheme="majorHAnsi"/>
                <w:sz w:val="18"/>
                <w:szCs w:val="18"/>
                <w:lang w:val="ro-MD"/>
              </w:rPr>
              <w:t>ă</w:t>
            </w:r>
          </w:p>
        </w:tc>
        <w:tc>
          <w:tcPr>
            <w:tcW w:w="967" w:type="dxa"/>
            <w:tcBorders>
              <w:top w:val="nil"/>
              <w:left w:val="nil"/>
              <w:bottom w:val="single" w:sz="4" w:space="0" w:color="auto"/>
              <w:right w:val="single" w:sz="4" w:space="0" w:color="auto"/>
            </w:tcBorders>
            <w:shd w:val="clear" w:color="auto" w:fill="auto"/>
            <w:noWrap/>
            <w:vAlign w:val="bottom"/>
            <w:hideMark/>
          </w:tcPr>
          <w:p w14:paraId="5652F98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483B45FF"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2.203,15</w:t>
            </w:r>
          </w:p>
        </w:tc>
        <w:tc>
          <w:tcPr>
            <w:tcW w:w="1195" w:type="dxa"/>
            <w:tcBorders>
              <w:top w:val="nil"/>
              <w:left w:val="nil"/>
              <w:bottom w:val="single" w:sz="4" w:space="0" w:color="auto"/>
              <w:right w:val="single" w:sz="4" w:space="0" w:color="auto"/>
            </w:tcBorders>
            <w:shd w:val="clear" w:color="auto" w:fill="auto"/>
            <w:noWrap/>
            <w:vAlign w:val="bottom"/>
            <w:hideMark/>
          </w:tcPr>
          <w:p w14:paraId="24F929F2"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2.203,15</w:t>
            </w:r>
          </w:p>
        </w:tc>
        <w:tc>
          <w:tcPr>
            <w:tcW w:w="1092" w:type="dxa"/>
            <w:tcBorders>
              <w:top w:val="nil"/>
              <w:left w:val="nil"/>
              <w:bottom w:val="single" w:sz="4" w:space="0" w:color="auto"/>
              <w:right w:val="single" w:sz="4" w:space="0" w:color="auto"/>
            </w:tcBorders>
            <w:shd w:val="clear" w:color="auto" w:fill="auto"/>
            <w:noWrap/>
            <w:vAlign w:val="bottom"/>
            <w:hideMark/>
          </w:tcPr>
          <w:p w14:paraId="05CAE862"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1.711,22</w:t>
            </w:r>
          </w:p>
        </w:tc>
        <w:tc>
          <w:tcPr>
            <w:tcW w:w="1224" w:type="dxa"/>
            <w:tcBorders>
              <w:top w:val="nil"/>
              <w:left w:val="nil"/>
              <w:bottom w:val="single" w:sz="4" w:space="0" w:color="auto"/>
              <w:right w:val="single" w:sz="4" w:space="0" w:color="auto"/>
            </w:tcBorders>
            <w:shd w:val="clear" w:color="auto" w:fill="auto"/>
            <w:noWrap/>
            <w:vAlign w:val="bottom"/>
            <w:hideMark/>
          </w:tcPr>
          <w:p w14:paraId="5441A54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756F99E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556FC9FF"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491,94</w:t>
            </w:r>
          </w:p>
        </w:tc>
        <w:tc>
          <w:tcPr>
            <w:tcW w:w="822" w:type="dxa"/>
            <w:tcBorders>
              <w:top w:val="nil"/>
              <w:left w:val="nil"/>
              <w:bottom w:val="single" w:sz="4" w:space="0" w:color="auto"/>
              <w:right w:val="single" w:sz="4" w:space="0" w:color="auto"/>
            </w:tcBorders>
            <w:shd w:val="clear" w:color="auto" w:fill="auto"/>
            <w:noWrap/>
            <w:vAlign w:val="bottom"/>
            <w:hideMark/>
          </w:tcPr>
          <w:p w14:paraId="3CA5136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23E53E9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hideMark/>
          </w:tcPr>
          <w:p w14:paraId="2C9FE6BA"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F3067" w:rsidRPr="008860BA" w14:paraId="2F8982AA"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31675EF8" w14:textId="7DD2C88B"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Energie termic</w:t>
            </w:r>
            <w:r w:rsidR="00885EE0" w:rsidRPr="008860BA">
              <w:rPr>
                <w:rFonts w:asciiTheme="majorHAnsi" w:eastAsia="Times New Roman" w:hAnsiTheme="majorHAnsi" w:cstheme="majorHAnsi"/>
                <w:sz w:val="18"/>
                <w:szCs w:val="18"/>
                <w:lang w:val="ro-MD"/>
              </w:rPr>
              <w:t>ă</w:t>
            </w:r>
          </w:p>
        </w:tc>
        <w:tc>
          <w:tcPr>
            <w:tcW w:w="967" w:type="dxa"/>
            <w:tcBorders>
              <w:top w:val="nil"/>
              <w:left w:val="nil"/>
              <w:bottom w:val="single" w:sz="4" w:space="0" w:color="auto"/>
              <w:right w:val="single" w:sz="4" w:space="0" w:color="auto"/>
            </w:tcBorders>
            <w:shd w:val="clear" w:color="auto" w:fill="auto"/>
            <w:noWrap/>
            <w:vAlign w:val="bottom"/>
            <w:hideMark/>
          </w:tcPr>
          <w:p w14:paraId="65B31D9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23823CD6"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2.686,51</w:t>
            </w:r>
          </w:p>
        </w:tc>
        <w:tc>
          <w:tcPr>
            <w:tcW w:w="1195" w:type="dxa"/>
            <w:tcBorders>
              <w:top w:val="nil"/>
              <w:left w:val="nil"/>
              <w:bottom w:val="single" w:sz="4" w:space="0" w:color="auto"/>
              <w:right w:val="single" w:sz="4" w:space="0" w:color="auto"/>
            </w:tcBorders>
            <w:shd w:val="clear" w:color="auto" w:fill="auto"/>
            <w:noWrap/>
            <w:vAlign w:val="bottom"/>
            <w:hideMark/>
          </w:tcPr>
          <w:p w14:paraId="5664AC91"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2.686,51</w:t>
            </w:r>
          </w:p>
        </w:tc>
        <w:tc>
          <w:tcPr>
            <w:tcW w:w="1092" w:type="dxa"/>
            <w:tcBorders>
              <w:top w:val="nil"/>
              <w:left w:val="nil"/>
              <w:bottom w:val="single" w:sz="4" w:space="0" w:color="auto"/>
              <w:right w:val="single" w:sz="4" w:space="0" w:color="auto"/>
            </w:tcBorders>
            <w:shd w:val="clear" w:color="auto" w:fill="auto"/>
            <w:noWrap/>
            <w:vAlign w:val="bottom"/>
            <w:hideMark/>
          </w:tcPr>
          <w:p w14:paraId="6F3D13CF"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1.901,27</w:t>
            </w:r>
          </w:p>
        </w:tc>
        <w:tc>
          <w:tcPr>
            <w:tcW w:w="1224" w:type="dxa"/>
            <w:tcBorders>
              <w:top w:val="nil"/>
              <w:left w:val="nil"/>
              <w:bottom w:val="single" w:sz="4" w:space="0" w:color="auto"/>
              <w:right w:val="single" w:sz="4" w:space="0" w:color="auto"/>
            </w:tcBorders>
            <w:shd w:val="clear" w:color="auto" w:fill="auto"/>
            <w:noWrap/>
            <w:vAlign w:val="bottom"/>
            <w:hideMark/>
          </w:tcPr>
          <w:p w14:paraId="152DE3F0"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1C8E2BD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153536D8"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785,24</w:t>
            </w:r>
          </w:p>
        </w:tc>
        <w:tc>
          <w:tcPr>
            <w:tcW w:w="822" w:type="dxa"/>
            <w:tcBorders>
              <w:top w:val="nil"/>
              <w:left w:val="nil"/>
              <w:bottom w:val="single" w:sz="4" w:space="0" w:color="auto"/>
              <w:right w:val="single" w:sz="4" w:space="0" w:color="auto"/>
            </w:tcBorders>
            <w:shd w:val="clear" w:color="auto" w:fill="auto"/>
            <w:noWrap/>
            <w:vAlign w:val="bottom"/>
            <w:hideMark/>
          </w:tcPr>
          <w:p w14:paraId="3585BE7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66E94F7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hideMark/>
          </w:tcPr>
          <w:p w14:paraId="1F9B9AAC"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F3067" w:rsidRPr="008860BA" w14:paraId="085CB87E"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496686DA" w14:textId="1AA3A120" w:rsidR="006F3067" w:rsidRPr="008860BA" w:rsidRDefault="006F306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Fondul social (24%)</w:t>
            </w:r>
          </w:p>
        </w:tc>
        <w:tc>
          <w:tcPr>
            <w:tcW w:w="967" w:type="dxa"/>
            <w:tcBorders>
              <w:top w:val="nil"/>
              <w:left w:val="nil"/>
              <w:bottom w:val="single" w:sz="4" w:space="0" w:color="auto"/>
              <w:right w:val="single" w:sz="4" w:space="0" w:color="auto"/>
            </w:tcBorders>
            <w:shd w:val="clear" w:color="auto" w:fill="auto"/>
            <w:noWrap/>
            <w:vAlign w:val="bottom"/>
            <w:hideMark/>
          </w:tcPr>
          <w:p w14:paraId="7D5043E4"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0B4974D9"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8.597,76</w:t>
            </w:r>
          </w:p>
        </w:tc>
        <w:tc>
          <w:tcPr>
            <w:tcW w:w="1195" w:type="dxa"/>
            <w:tcBorders>
              <w:top w:val="nil"/>
              <w:left w:val="nil"/>
              <w:bottom w:val="single" w:sz="4" w:space="0" w:color="auto"/>
              <w:right w:val="single" w:sz="4" w:space="0" w:color="auto"/>
            </w:tcBorders>
            <w:shd w:val="clear" w:color="auto" w:fill="auto"/>
            <w:noWrap/>
            <w:vAlign w:val="bottom"/>
            <w:hideMark/>
          </w:tcPr>
          <w:p w14:paraId="1C14556B"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8.597,76</w:t>
            </w:r>
          </w:p>
        </w:tc>
        <w:tc>
          <w:tcPr>
            <w:tcW w:w="1092" w:type="dxa"/>
            <w:tcBorders>
              <w:top w:val="nil"/>
              <w:left w:val="nil"/>
              <w:bottom w:val="single" w:sz="4" w:space="0" w:color="auto"/>
              <w:right w:val="single" w:sz="4" w:space="0" w:color="auto"/>
            </w:tcBorders>
            <w:shd w:val="clear" w:color="auto" w:fill="auto"/>
            <w:noWrap/>
            <w:vAlign w:val="bottom"/>
            <w:hideMark/>
          </w:tcPr>
          <w:p w14:paraId="531DA045"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6.411,51</w:t>
            </w:r>
          </w:p>
        </w:tc>
        <w:tc>
          <w:tcPr>
            <w:tcW w:w="1224" w:type="dxa"/>
            <w:tcBorders>
              <w:top w:val="nil"/>
              <w:left w:val="nil"/>
              <w:bottom w:val="single" w:sz="4" w:space="0" w:color="auto"/>
              <w:right w:val="single" w:sz="4" w:space="0" w:color="auto"/>
            </w:tcBorders>
            <w:shd w:val="clear" w:color="auto" w:fill="auto"/>
            <w:noWrap/>
            <w:vAlign w:val="bottom"/>
            <w:hideMark/>
          </w:tcPr>
          <w:p w14:paraId="329A4BF6"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32,77</w:t>
            </w:r>
          </w:p>
        </w:tc>
        <w:tc>
          <w:tcPr>
            <w:tcW w:w="1259" w:type="dxa"/>
            <w:tcBorders>
              <w:top w:val="nil"/>
              <w:left w:val="nil"/>
              <w:bottom w:val="single" w:sz="4" w:space="0" w:color="auto"/>
              <w:right w:val="single" w:sz="4" w:space="0" w:color="auto"/>
            </w:tcBorders>
            <w:shd w:val="clear" w:color="auto" w:fill="auto"/>
            <w:noWrap/>
            <w:vAlign w:val="bottom"/>
            <w:hideMark/>
          </w:tcPr>
          <w:p w14:paraId="6460EE7D"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75AA0E3E"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1.447,50</w:t>
            </w:r>
          </w:p>
        </w:tc>
        <w:tc>
          <w:tcPr>
            <w:tcW w:w="822" w:type="dxa"/>
            <w:tcBorders>
              <w:top w:val="nil"/>
              <w:left w:val="nil"/>
              <w:bottom w:val="single" w:sz="4" w:space="0" w:color="auto"/>
              <w:right w:val="single" w:sz="4" w:space="0" w:color="auto"/>
            </w:tcBorders>
            <w:shd w:val="clear" w:color="auto" w:fill="auto"/>
            <w:noWrap/>
            <w:vAlign w:val="bottom"/>
            <w:hideMark/>
          </w:tcPr>
          <w:p w14:paraId="17F162C0"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197,11</w:t>
            </w:r>
          </w:p>
        </w:tc>
        <w:tc>
          <w:tcPr>
            <w:tcW w:w="822" w:type="dxa"/>
            <w:tcBorders>
              <w:top w:val="nil"/>
              <w:left w:val="nil"/>
              <w:bottom w:val="single" w:sz="4" w:space="0" w:color="auto"/>
              <w:right w:val="single" w:sz="4" w:space="0" w:color="auto"/>
            </w:tcBorders>
            <w:shd w:val="clear" w:color="auto" w:fill="auto"/>
            <w:noWrap/>
            <w:vAlign w:val="bottom"/>
            <w:hideMark/>
          </w:tcPr>
          <w:p w14:paraId="22662DE7"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96,78</w:t>
            </w:r>
          </w:p>
        </w:tc>
        <w:tc>
          <w:tcPr>
            <w:tcW w:w="908" w:type="dxa"/>
            <w:tcBorders>
              <w:top w:val="nil"/>
              <w:left w:val="nil"/>
              <w:bottom w:val="single" w:sz="4" w:space="0" w:color="auto"/>
              <w:right w:val="single" w:sz="4" w:space="0" w:color="auto"/>
            </w:tcBorders>
            <w:shd w:val="clear" w:color="auto" w:fill="auto"/>
            <w:noWrap/>
            <w:vAlign w:val="bottom"/>
            <w:hideMark/>
          </w:tcPr>
          <w:p w14:paraId="44FBBBB4"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412,09</w:t>
            </w:r>
          </w:p>
        </w:tc>
      </w:tr>
      <w:tr w:rsidR="006F3067" w:rsidRPr="008860BA" w14:paraId="1FCFF158"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681E73EA"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Formulare statistice</w:t>
            </w:r>
          </w:p>
        </w:tc>
        <w:tc>
          <w:tcPr>
            <w:tcW w:w="967" w:type="dxa"/>
            <w:tcBorders>
              <w:top w:val="nil"/>
              <w:left w:val="nil"/>
              <w:bottom w:val="single" w:sz="4" w:space="0" w:color="auto"/>
              <w:right w:val="single" w:sz="4" w:space="0" w:color="auto"/>
            </w:tcBorders>
            <w:shd w:val="clear" w:color="auto" w:fill="auto"/>
            <w:noWrap/>
            <w:vAlign w:val="bottom"/>
            <w:hideMark/>
          </w:tcPr>
          <w:p w14:paraId="7351D66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259B6465"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195" w:type="dxa"/>
            <w:tcBorders>
              <w:top w:val="nil"/>
              <w:left w:val="nil"/>
              <w:bottom w:val="single" w:sz="4" w:space="0" w:color="auto"/>
              <w:right w:val="single" w:sz="4" w:space="0" w:color="auto"/>
            </w:tcBorders>
            <w:shd w:val="clear" w:color="auto" w:fill="auto"/>
            <w:noWrap/>
            <w:vAlign w:val="bottom"/>
            <w:hideMark/>
          </w:tcPr>
          <w:p w14:paraId="5567400C"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2" w:type="dxa"/>
            <w:tcBorders>
              <w:top w:val="nil"/>
              <w:left w:val="nil"/>
              <w:bottom w:val="single" w:sz="4" w:space="0" w:color="auto"/>
              <w:right w:val="single" w:sz="4" w:space="0" w:color="auto"/>
            </w:tcBorders>
            <w:shd w:val="clear" w:color="auto" w:fill="auto"/>
            <w:noWrap/>
            <w:vAlign w:val="bottom"/>
            <w:hideMark/>
          </w:tcPr>
          <w:p w14:paraId="7510DF87"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24" w:type="dxa"/>
            <w:tcBorders>
              <w:top w:val="nil"/>
              <w:left w:val="nil"/>
              <w:bottom w:val="single" w:sz="4" w:space="0" w:color="auto"/>
              <w:right w:val="single" w:sz="4" w:space="0" w:color="auto"/>
            </w:tcBorders>
            <w:shd w:val="clear" w:color="auto" w:fill="auto"/>
            <w:hideMark/>
          </w:tcPr>
          <w:p w14:paraId="235C2FB6"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229F21BA"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hideMark/>
          </w:tcPr>
          <w:p w14:paraId="4DDD906C"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22" w:type="dxa"/>
            <w:tcBorders>
              <w:top w:val="nil"/>
              <w:left w:val="nil"/>
              <w:bottom w:val="single" w:sz="4" w:space="0" w:color="auto"/>
              <w:right w:val="single" w:sz="4" w:space="0" w:color="auto"/>
            </w:tcBorders>
            <w:shd w:val="clear" w:color="auto" w:fill="auto"/>
            <w:hideMark/>
          </w:tcPr>
          <w:p w14:paraId="47FA4D62"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687793BF"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0,00</w:t>
            </w:r>
          </w:p>
        </w:tc>
        <w:tc>
          <w:tcPr>
            <w:tcW w:w="908" w:type="dxa"/>
            <w:tcBorders>
              <w:top w:val="nil"/>
              <w:left w:val="nil"/>
              <w:bottom w:val="single" w:sz="4" w:space="0" w:color="auto"/>
              <w:right w:val="single" w:sz="4" w:space="0" w:color="auto"/>
            </w:tcBorders>
            <w:shd w:val="clear" w:color="auto" w:fill="auto"/>
            <w:hideMark/>
          </w:tcPr>
          <w:p w14:paraId="4E6BFCD9"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F3067" w:rsidRPr="008860BA" w14:paraId="3E4DA195"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076A6EA6" w14:textId="0D8F530C"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Indemniza</w:t>
            </w:r>
            <w:r w:rsidR="00B13B9A"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ie unică</w:t>
            </w:r>
          </w:p>
        </w:tc>
        <w:tc>
          <w:tcPr>
            <w:tcW w:w="967" w:type="dxa"/>
            <w:tcBorders>
              <w:top w:val="nil"/>
              <w:left w:val="nil"/>
              <w:bottom w:val="single" w:sz="4" w:space="0" w:color="auto"/>
              <w:right w:val="single" w:sz="4" w:space="0" w:color="auto"/>
            </w:tcBorders>
            <w:shd w:val="clear" w:color="auto" w:fill="auto"/>
            <w:noWrap/>
            <w:vAlign w:val="bottom"/>
            <w:hideMark/>
          </w:tcPr>
          <w:p w14:paraId="19239A3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05DF1302"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96,71</w:t>
            </w:r>
          </w:p>
        </w:tc>
        <w:tc>
          <w:tcPr>
            <w:tcW w:w="1195" w:type="dxa"/>
            <w:tcBorders>
              <w:top w:val="nil"/>
              <w:left w:val="nil"/>
              <w:bottom w:val="single" w:sz="4" w:space="0" w:color="auto"/>
              <w:right w:val="single" w:sz="4" w:space="0" w:color="auto"/>
            </w:tcBorders>
            <w:shd w:val="clear" w:color="auto" w:fill="auto"/>
            <w:noWrap/>
            <w:vAlign w:val="bottom"/>
            <w:hideMark/>
          </w:tcPr>
          <w:p w14:paraId="59E8F8F6"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96,71</w:t>
            </w:r>
          </w:p>
        </w:tc>
        <w:tc>
          <w:tcPr>
            <w:tcW w:w="1092" w:type="dxa"/>
            <w:tcBorders>
              <w:top w:val="nil"/>
              <w:left w:val="nil"/>
              <w:bottom w:val="single" w:sz="4" w:space="0" w:color="auto"/>
              <w:right w:val="single" w:sz="4" w:space="0" w:color="auto"/>
            </w:tcBorders>
            <w:shd w:val="clear" w:color="auto" w:fill="auto"/>
            <w:hideMark/>
          </w:tcPr>
          <w:p w14:paraId="59A3C8E9"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24" w:type="dxa"/>
            <w:tcBorders>
              <w:top w:val="nil"/>
              <w:left w:val="nil"/>
              <w:bottom w:val="single" w:sz="4" w:space="0" w:color="auto"/>
              <w:right w:val="single" w:sz="4" w:space="0" w:color="auto"/>
            </w:tcBorders>
            <w:shd w:val="clear" w:color="auto" w:fill="auto"/>
            <w:hideMark/>
          </w:tcPr>
          <w:p w14:paraId="7B5F80C9"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19DC9FAD"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hideMark/>
          </w:tcPr>
          <w:p w14:paraId="3FE65EAE"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22" w:type="dxa"/>
            <w:tcBorders>
              <w:top w:val="nil"/>
              <w:left w:val="nil"/>
              <w:bottom w:val="single" w:sz="4" w:space="0" w:color="auto"/>
              <w:right w:val="single" w:sz="4" w:space="0" w:color="auto"/>
            </w:tcBorders>
            <w:shd w:val="clear" w:color="auto" w:fill="auto"/>
            <w:hideMark/>
          </w:tcPr>
          <w:p w14:paraId="03CB00D9"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1DEC2AD3"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96,71</w:t>
            </w:r>
          </w:p>
        </w:tc>
        <w:tc>
          <w:tcPr>
            <w:tcW w:w="908" w:type="dxa"/>
            <w:tcBorders>
              <w:top w:val="nil"/>
              <w:left w:val="nil"/>
              <w:bottom w:val="single" w:sz="4" w:space="0" w:color="auto"/>
              <w:right w:val="single" w:sz="4" w:space="0" w:color="auto"/>
            </w:tcBorders>
            <w:shd w:val="clear" w:color="auto" w:fill="auto"/>
            <w:hideMark/>
          </w:tcPr>
          <w:p w14:paraId="083397A7"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F3067" w:rsidRPr="008860BA" w14:paraId="1203AE6D"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433CA8A5"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Gaz</w:t>
            </w:r>
          </w:p>
        </w:tc>
        <w:tc>
          <w:tcPr>
            <w:tcW w:w="967" w:type="dxa"/>
            <w:tcBorders>
              <w:top w:val="nil"/>
              <w:left w:val="nil"/>
              <w:bottom w:val="single" w:sz="4" w:space="0" w:color="auto"/>
              <w:right w:val="single" w:sz="4" w:space="0" w:color="auto"/>
            </w:tcBorders>
            <w:shd w:val="clear" w:color="auto" w:fill="auto"/>
            <w:noWrap/>
            <w:vAlign w:val="bottom"/>
            <w:hideMark/>
          </w:tcPr>
          <w:p w14:paraId="091EA1C7"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77310EFB"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978,68</w:t>
            </w:r>
          </w:p>
        </w:tc>
        <w:tc>
          <w:tcPr>
            <w:tcW w:w="1195" w:type="dxa"/>
            <w:tcBorders>
              <w:top w:val="nil"/>
              <w:left w:val="nil"/>
              <w:bottom w:val="single" w:sz="4" w:space="0" w:color="auto"/>
              <w:right w:val="single" w:sz="4" w:space="0" w:color="auto"/>
            </w:tcBorders>
            <w:shd w:val="clear" w:color="auto" w:fill="auto"/>
            <w:noWrap/>
            <w:vAlign w:val="bottom"/>
            <w:hideMark/>
          </w:tcPr>
          <w:p w14:paraId="30189C29"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978,68</w:t>
            </w:r>
          </w:p>
        </w:tc>
        <w:tc>
          <w:tcPr>
            <w:tcW w:w="1092" w:type="dxa"/>
            <w:tcBorders>
              <w:top w:val="nil"/>
              <w:left w:val="nil"/>
              <w:bottom w:val="single" w:sz="4" w:space="0" w:color="auto"/>
              <w:right w:val="single" w:sz="4" w:space="0" w:color="auto"/>
            </w:tcBorders>
            <w:shd w:val="clear" w:color="auto" w:fill="auto"/>
            <w:noWrap/>
            <w:vAlign w:val="bottom"/>
            <w:hideMark/>
          </w:tcPr>
          <w:p w14:paraId="3B2B96CE"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978,68</w:t>
            </w:r>
          </w:p>
        </w:tc>
        <w:tc>
          <w:tcPr>
            <w:tcW w:w="1224" w:type="dxa"/>
            <w:tcBorders>
              <w:top w:val="nil"/>
              <w:left w:val="nil"/>
              <w:bottom w:val="single" w:sz="4" w:space="0" w:color="auto"/>
              <w:right w:val="single" w:sz="4" w:space="0" w:color="auto"/>
            </w:tcBorders>
            <w:shd w:val="clear" w:color="auto" w:fill="auto"/>
            <w:noWrap/>
            <w:vAlign w:val="bottom"/>
            <w:hideMark/>
          </w:tcPr>
          <w:p w14:paraId="1245225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01445F9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37131B56"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730C8E07"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43B19B67"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hideMark/>
          </w:tcPr>
          <w:p w14:paraId="0FA397D0"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F3067" w:rsidRPr="008860BA" w14:paraId="768CF4D5"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3247575A" w14:textId="7AB25F0C"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Materiale de construc</w:t>
            </w:r>
            <w:r w:rsidR="00B13B9A"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ie</w:t>
            </w:r>
          </w:p>
        </w:tc>
        <w:tc>
          <w:tcPr>
            <w:tcW w:w="967" w:type="dxa"/>
            <w:tcBorders>
              <w:top w:val="nil"/>
              <w:left w:val="nil"/>
              <w:bottom w:val="single" w:sz="4" w:space="0" w:color="auto"/>
              <w:right w:val="single" w:sz="4" w:space="0" w:color="auto"/>
            </w:tcBorders>
            <w:shd w:val="clear" w:color="auto" w:fill="auto"/>
            <w:noWrap/>
            <w:vAlign w:val="bottom"/>
            <w:hideMark/>
          </w:tcPr>
          <w:p w14:paraId="75EEE3A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68A11E5D"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14,70</w:t>
            </w:r>
          </w:p>
        </w:tc>
        <w:tc>
          <w:tcPr>
            <w:tcW w:w="1195" w:type="dxa"/>
            <w:tcBorders>
              <w:top w:val="nil"/>
              <w:left w:val="nil"/>
              <w:bottom w:val="single" w:sz="4" w:space="0" w:color="auto"/>
              <w:right w:val="single" w:sz="4" w:space="0" w:color="auto"/>
            </w:tcBorders>
            <w:shd w:val="clear" w:color="auto" w:fill="auto"/>
            <w:noWrap/>
            <w:vAlign w:val="bottom"/>
            <w:hideMark/>
          </w:tcPr>
          <w:p w14:paraId="0816D0BF"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14,70</w:t>
            </w:r>
          </w:p>
        </w:tc>
        <w:tc>
          <w:tcPr>
            <w:tcW w:w="1092" w:type="dxa"/>
            <w:tcBorders>
              <w:top w:val="nil"/>
              <w:left w:val="nil"/>
              <w:bottom w:val="single" w:sz="4" w:space="0" w:color="auto"/>
              <w:right w:val="single" w:sz="4" w:space="0" w:color="auto"/>
            </w:tcBorders>
            <w:shd w:val="clear" w:color="auto" w:fill="auto"/>
            <w:noWrap/>
            <w:vAlign w:val="bottom"/>
            <w:hideMark/>
          </w:tcPr>
          <w:p w14:paraId="6E52E5A2"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11,00</w:t>
            </w:r>
          </w:p>
        </w:tc>
        <w:tc>
          <w:tcPr>
            <w:tcW w:w="1224" w:type="dxa"/>
            <w:tcBorders>
              <w:top w:val="nil"/>
              <w:left w:val="nil"/>
              <w:bottom w:val="single" w:sz="4" w:space="0" w:color="auto"/>
              <w:right w:val="single" w:sz="4" w:space="0" w:color="auto"/>
            </w:tcBorders>
            <w:shd w:val="clear" w:color="auto" w:fill="auto"/>
            <w:noWrap/>
            <w:vAlign w:val="bottom"/>
            <w:hideMark/>
          </w:tcPr>
          <w:p w14:paraId="7D40652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2A76236D"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1139C95E"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0,07</w:t>
            </w:r>
          </w:p>
        </w:tc>
        <w:tc>
          <w:tcPr>
            <w:tcW w:w="822" w:type="dxa"/>
            <w:tcBorders>
              <w:top w:val="nil"/>
              <w:left w:val="nil"/>
              <w:bottom w:val="single" w:sz="4" w:space="0" w:color="auto"/>
              <w:right w:val="single" w:sz="4" w:space="0" w:color="auto"/>
            </w:tcBorders>
            <w:shd w:val="clear" w:color="auto" w:fill="auto"/>
            <w:noWrap/>
            <w:vAlign w:val="bottom"/>
            <w:hideMark/>
          </w:tcPr>
          <w:p w14:paraId="70EEDA8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1642AD3D"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3,63</w:t>
            </w:r>
          </w:p>
        </w:tc>
        <w:tc>
          <w:tcPr>
            <w:tcW w:w="908" w:type="dxa"/>
            <w:tcBorders>
              <w:top w:val="nil"/>
              <w:left w:val="nil"/>
              <w:bottom w:val="single" w:sz="4" w:space="0" w:color="auto"/>
              <w:right w:val="single" w:sz="4" w:space="0" w:color="auto"/>
            </w:tcBorders>
            <w:shd w:val="clear" w:color="auto" w:fill="auto"/>
            <w:noWrap/>
            <w:vAlign w:val="bottom"/>
            <w:hideMark/>
          </w:tcPr>
          <w:p w14:paraId="16FCAD3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26003C9F"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18998CE3"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Materiale de uz gospodăresc</w:t>
            </w:r>
          </w:p>
        </w:tc>
        <w:tc>
          <w:tcPr>
            <w:tcW w:w="967" w:type="dxa"/>
            <w:tcBorders>
              <w:top w:val="nil"/>
              <w:left w:val="nil"/>
              <w:bottom w:val="single" w:sz="4" w:space="0" w:color="auto"/>
              <w:right w:val="single" w:sz="4" w:space="0" w:color="auto"/>
            </w:tcBorders>
            <w:shd w:val="clear" w:color="auto" w:fill="auto"/>
            <w:noWrap/>
            <w:vAlign w:val="bottom"/>
            <w:hideMark/>
          </w:tcPr>
          <w:p w14:paraId="55BE9D8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0CAE45AC"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255,60</w:t>
            </w:r>
          </w:p>
        </w:tc>
        <w:tc>
          <w:tcPr>
            <w:tcW w:w="1195" w:type="dxa"/>
            <w:tcBorders>
              <w:top w:val="nil"/>
              <w:left w:val="nil"/>
              <w:bottom w:val="single" w:sz="4" w:space="0" w:color="auto"/>
              <w:right w:val="single" w:sz="4" w:space="0" w:color="auto"/>
            </w:tcBorders>
            <w:shd w:val="clear" w:color="auto" w:fill="auto"/>
            <w:noWrap/>
            <w:vAlign w:val="bottom"/>
            <w:hideMark/>
          </w:tcPr>
          <w:p w14:paraId="14B3941B"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255,60</w:t>
            </w:r>
          </w:p>
        </w:tc>
        <w:tc>
          <w:tcPr>
            <w:tcW w:w="1092" w:type="dxa"/>
            <w:tcBorders>
              <w:top w:val="nil"/>
              <w:left w:val="nil"/>
              <w:bottom w:val="single" w:sz="4" w:space="0" w:color="auto"/>
              <w:right w:val="single" w:sz="4" w:space="0" w:color="auto"/>
            </w:tcBorders>
            <w:shd w:val="clear" w:color="auto" w:fill="auto"/>
            <w:noWrap/>
            <w:vAlign w:val="bottom"/>
            <w:hideMark/>
          </w:tcPr>
          <w:p w14:paraId="48458143"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192,70</w:t>
            </w:r>
          </w:p>
        </w:tc>
        <w:tc>
          <w:tcPr>
            <w:tcW w:w="1224" w:type="dxa"/>
            <w:tcBorders>
              <w:top w:val="nil"/>
              <w:left w:val="nil"/>
              <w:bottom w:val="single" w:sz="4" w:space="0" w:color="auto"/>
              <w:right w:val="single" w:sz="4" w:space="0" w:color="auto"/>
            </w:tcBorders>
            <w:shd w:val="clear" w:color="auto" w:fill="auto"/>
            <w:hideMark/>
          </w:tcPr>
          <w:p w14:paraId="2D7CBCAF"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255F5B2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56385E8D"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8,72</w:t>
            </w:r>
          </w:p>
        </w:tc>
        <w:tc>
          <w:tcPr>
            <w:tcW w:w="822" w:type="dxa"/>
            <w:tcBorders>
              <w:top w:val="nil"/>
              <w:left w:val="nil"/>
              <w:bottom w:val="single" w:sz="4" w:space="0" w:color="auto"/>
              <w:right w:val="single" w:sz="4" w:space="0" w:color="auto"/>
            </w:tcBorders>
            <w:shd w:val="clear" w:color="auto" w:fill="auto"/>
            <w:noWrap/>
            <w:vAlign w:val="bottom"/>
            <w:hideMark/>
          </w:tcPr>
          <w:p w14:paraId="4B90255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73F50D1C"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4,67</w:t>
            </w:r>
          </w:p>
        </w:tc>
        <w:tc>
          <w:tcPr>
            <w:tcW w:w="908" w:type="dxa"/>
            <w:tcBorders>
              <w:top w:val="nil"/>
              <w:left w:val="nil"/>
              <w:bottom w:val="single" w:sz="4" w:space="0" w:color="auto"/>
              <w:right w:val="single" w:sz="4" w:space="0" w:color="auto"/>
            </w:tcBorders>
            <w:shd w:val="clear" w:color="auto" w:fill="auto"/>
            <w:noWrap/>
            <w:vAlign w:val="bottom"/>
            <w:hideMark/>
          </w:tcPr>
          <w:p w14:paraId="1B04E635"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49,51</w:t>
            </w:r>
          </w:p>
        </w:tc>
      </w:tr>
      <w:tr w:rsidR="006F3067" w:rsidRPr="008860BA" w14:paraId="27FBC11D"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72227088"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xml:space="preserve">Medicamente </w:t>
            </w:r>
          </w:p>
        </w:tc>
        <w:tc>
          <w:tcPr>
            <w:tcW w:w="967" w:type="dxa"/>
            <w:tcBorders>
              <w:top w:val="nil"/>
              <w:left w:val="nil"/>
              <w:bottom w:val="single" w:sz="4" w:space="0" w:color="auto"/>
              <w:right w:val="single" w:sz="4" w:space="0" w:color="auto"/>
            </w:tcBorders>
            <w:shd w:val="clear" w:color="auto" w:fill="auto"/>
            <w:noWrap/>
            <w:vAlign w:val="bottom"/>
            <w:hideMark/>
          </w:tcPr>
          <w:p w14:paraId="2E440A44"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034AAC19"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15.434,18</w:t>
            </w:r>
          </w:p>
        </w:tc>
        <w:tc>
          <w:tcPr>
            <w:tcW w:w="1195" w:type="dxa"/>
            <w:tcBorders>
              <w:top w:val="nil"/>
              <w:left w:val="nil"/>
              <w:bottom w:val="single" w:sz="4" w:space="0" w:color="auto"/>
              <w:right w:val="single" w:sz="4" w:space="0" w:color="auto"/>
            </w:tcBorders>
            <w:shd w:val="clear" w:color="auto" w:fill="auto"/>
            <w:noWrap/>
            <w:vAlign w:val="bottom"/>
            <w:hideMark/>
          </w:tcPr>
          <w:p w14:paraId="62B8E2F1"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15.434,18</w:t>
            </w:r>
          </w:p>
        </w:tc>
        <w:tc>
          <w:tcPr>
            <w:tcW w:w="1092" w:type="dxa"/>
            <w:tcBorders>
              <w:top w:val="nil"/>
              <w:left w:val="nil"/>
              <w:bottom w:val="single" w:sz="4" w:space="0" w:color="auto"/>
              <w:right w:val="single" w:sz="4" w:space="0" w:color="auto"/>
            </w:tcBorders>
            <w:shd w:val="clear" w:color="auto" w:fill="auto"/>
            <w:noWrap/>
            <w:vAlign w:val="bottom"/>
            <w:hideMark/>
          </w:tcPr>
          <w:p w14:paraId="69E729AB"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2.386,51</w:t>
            </w:r>
          </w:p>
        </w:tc>
        <w:tc>
          <w:tcPr>
            <w:tcW w:w="1224" w:type="dxa"/>
            <w:tcBorders>
              <w:top w:val="nil"/>
              <w:left w:val="nil"/>
              <w:bottom w:val="single" w:sz="4" w:space="0" w:color="auto"/>
              <w:right w:val="single" w:sz="4" w:space="0" w:color="auto"/>
            </w:tcBorders>
            <w:shd w:val="clear" w:color="auto" w:fill="auto"/>
            <w:noWrap/>
            <w:vAlign w:val="bottom"/>
            <w:hideMark/>
          </w:tcPr>
          <w:p w14:paraId="6436681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16448544"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5DB930AF"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13,88</w:t>
            </w:r>
          </w:p>
        </w:tc>
        <w:tc>
          <w:tcPr>
            <w:tcW w:w="822" w:type="dxa"/>
            <w:tcBorders>
              <w:top w:val="nil"/>
              <w:left w:val="nil"/>
              <w:bottom w:val="single" w:sz="4" w:space="0" w:color="auto"/>
              <w:right w:val="single" w:sz="4" w:space="0" w:color="auto"/>
            </w:tcBorders>
            <w:shd w:val="clear" w:color="auto" w:fill="auto"/>
            <w:noWrap/>
            <w:vAlign w:val="bottom"/>
            <w:hideMark/>
          </w:tcPr>
          <w:p w14:paraId="248D7F25"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74,55</w:t>
            </w:r>
          </w:p>
        </w:tc>
        <w:tc>
          <w:tcPr>
            <w:tcW w:w="822" w:type="dxa"/>
            <w:tcBorders>
              <w:top w:val="nil"/>
              <w:left w:val="nil"/>
              <w:bottom w:val="single" w:sz="4" w:space="0" w:color="auto"/>
              <w:right w:val="single" w:sz="4" w:space="0" w:color="auto"/>
            </w:tcBorders>
            <w:shd w:val="clear" w:color="auto" w:fill="auto"/>
            <w:noWrap/>
            <w:vAlign w:val="bottom"/>
            <w:hideMark/>
          </w:tcPr>
          <w:p w14:paraId="6353728D"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49,38</w:t>
            </w:r>
          </w:p>
        </w:tc>
        <w:tc>
          <w:tcPr>
            <w:tcW w:w="908" w:type="dxa"/>
            <w:tcBorders>
              <w:top w:val="nil"/>
              <w:left w:val="nil"/>
              <w:bottom w:val="single" w:sz="4" w:space="0" w:color="auto"/>
              <w:right w:val="single" w:sz="4" w:space="0" w:color="auto"/>
            </w:tcBorders>
            <w:shd w:val="clear" w:color="auto" w:fill="auto"/>
            <w:noWrap/>
            <w:vAlign w:val="bottom"/>
            <w:hideMark/>
          </w:tcPr>
          <w:p w14:paraId="135E6956"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12.909,86</w:t>
            </w:r>
          </w:p>
        </w:tc>
      </w:tr>
      <w:tr w:rsidR="006F3067" w:rsidRPr="008860BA" w14:paraId="78145DBB"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002C4A35"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Paza</w:t>
            </w:r>
          </w:p>
        </w:tc>
        <w:tc>
          <w:tcPr>
            <w:tcW w:w="967" w:type="dxa"/>
            <w:tcBorders>
              <w:top w:val="nil"/>
              <w:left w:val="nil"/>
              <w:bottom w:val="single" w:sz="4" w:space="0" w:color="auto"/>
              <w:right w:val="single" w:sz="4" w:space="0" w:color="auto"/>
            </w:tcBorders>
            <w:shd w:val="clear" w:color="auto" w:fill="auto"/>
            <w:noWrap/>
            <w:vAlign w:val="bottom"/>
            <w:hideMark/>
          </w:tcPr>
          <w:p w14:paraId="3E27907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0EDE34CC"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23,49</w:t>
            </w:r>
          </w:p>
        </w:tc>
        <w:tc>
          <w:tcPr>
            <w:tcW w:w="1195" w:type="dxa"/>
            <w:tcBorders>
              <w:top w:val="nil"/>
              <w:left w:val="nil"/>
              <w:bottom w:val="single" w:sz="4" w:space="0" w:color="auto"/>
              <w:right w:val="single" w:sz="4" w:space="0" w:color="auto"/>
            </w:tcBorders>
            <w:shd w:val="clear" w:color="auto" w:fill="auto"/>
            <w:noWrap/>
            <w:vAlign w:val="bottom"/>
            <w:hideMark/>
          </w:tcPr>
          <w:p w14:paraId="7D9C38DE"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23,49</w:t>
            </w:r>
          </w:p>
        </w:tc>
        <w:tc>
          <w:tcPr>
            <w:tcW w:w="1092" w:type="dxa"/>
            <w:tcBorders>
              <w:top w:val="nil"/>
              <w:left w:val="nil"/>
              <w:bottom w:val="single" w:sz="4" w:space="0" w:color="auto"/>
              <w:right w:val="single" w:sz="4" w:space="0" w:color="auto"/>
            </w:tcBorders>
            <w:shd w:val="clear" w:color="auto" w:fill="auto"/>
            <w:noWrap/>
            <w:vAlign w:val="bottom"/>
            <w:hideMark/>
          </w:tcPr>
          <w:p w14:paraId="6D3E96C7"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23,49</w:t>
            </w:r>
          </w:p>
        </w:tc>
        <w:tc>
          <w:tcPr>
            <w:tcW w:w="1224" w:type="dxa"/>
            <w:tcBorders>
              <w:top w:val="nil"/>
              <w:left w:val="nil"/>
              <w:bottom w:val="single" w:sz="4" w:space="0" w:color="auto"/>
              <w:right w:val="single" w:sz="4" w:space="0" w:color="auto"/>
            </w:tcBorders>
            <w:shd w:val="clear" w:color="auto" w:fill="auto"/>
            <w:noWrap/>
            <w:vAlign w:val="bottom"/>
            <w:hideMark/>
          </w:tcPr>
          <w:p w14:paraId="152B537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3A2EE4B6"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3408EF16"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55C8F81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19E2165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noWrap/>
            <w:vAlign w:val="bottom"/>
            <w:hideMark/>
          </w:tcPr>
          <w:p w14:paraId="11800A3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09F476C2"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405CBDE7"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Penalitate</w:t>
            </w:r>
          </w:p>
        </w:tc>
        <w:tc>
          <w:tcPr>
            <w:tcW w:w="967" w:type="dxa"/>
            <w:tcBorders>
              <w:top w:val="nil"/>
              <w:left w:val="nil"/>
              <w:bottom w:val="single" w:sz="4" w:space="0" w:color="auto"/>
              <w:right w:val="single" w:sz="4" w:space="0" w:color="auto"/>
            </w:tcBorders>
            <w:shd w:val="clear" w:color="auto" w:fill="auto"/>
            <w:noWrap/>
            <w:vAlign w:val="bottom"/>
            <w:hideMark/>
          </w:tcPr>
          <w:p w14:paraId="40EE213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0A7CC360"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5,67</w:t>
            </w:r>
          </w:p>
        </w:tc>
        <w:tc>
          <w:tcPr>
            <w:tcW w:w="1195" w:type="dxa"/>
            <w:tcBorders>
              <w:top w:val="nil"/>
              <w:left w:val="nil"/>
              <w:bottom w:val="single" w:sz="4" w:space="0" w:color="auto"/>
              <w:right w:val="single" w:sz="4" w:space="0" w:color="auto"/>
            </w:tcBorders>
            <w:shd w:val="clear" w:color="auto" w:fill="auto"/>
            <w:noWrap/>
            <w:vAlign w:val="bottom"/>
            <w:hideMark/>
          </w:tcPr>
          <w:p w14:paraId="6F5FFA89"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5,67</w:t>
            </w:r>
          </w:p>
        </w:tc>
        <w:tc>
          <w:tcPr>
            <w:tcW w:w="1092" w:type="dxa"/>
            <w:tcBorders>
              <w:top w:val="nil"/>
              <w:left w:val="nil"/>
              <w:bottom w:val="single" w:sz="4" w:space="0" w:color="auto"/>
              <w:right w:val="single" w:sz="4" w:space="0" w:color="auto"/>
            </w:tcBorders>
            <w:shd w:val="clear" w:color="auto" w:fill="auto"/>
            <w:hideMark/>
          </w:tcPr>
          <w:p w14:paraId="501B509B"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42F0277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122611CA"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59852FE6"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658B6943"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30521FF5"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5,67</w:t>
            </w:r>
          </w:p>
        </w:tc>
        <w:tc>
          <w:tcPr>
            <w:tcW w:w="908" w:type="dxa"/>
            <w:tcBorders>
              <w:top w:val="nil"/>
              <w:left w:val="nil"/>
              <w:bottom w:val="single" w:sz="4" w:space="0" w:color="auto"/>
              <w:right w:val="single" w:sz="4" w:space="0" w:color="auto"/>
            </w:tcBorders>
            <w:shd w:val="clear" w:color="auto" w:fill="auto"/>
            <w:noWrap/>
            <w:vAlign w:val="bottom"/>
            <w:hideMark/>
          </w:tcPr>
          <w:p w14:paraId="59A0D41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637C473A"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027C9725" w14:textId="1269144E" w:rsidR="006F3067" w:rsidRPr="008860BA" w:rsidRDefault="006F306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Perfec</w:t>
            </w:r>
            <w:r w:rsidR="00885EE0"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ionarea cadrelor</w:t>
            </w:r>
          </w:p>
        </w:tc>
        <w:tc>
          <w:tcPr>
            <w:tcW w:w="967" w:type="dxa"/>
            <w:tcBorders>
              <w:top w:val="nil"/>
              <w:left w:val="nil"/>
              <w:bottom w:val="single" w:sz="4" w:space="0" w:color="auto"/>
              <w:right w:val="single" w:sz="4" w:space="0" w:color="auto"/>
            </w:tcBorders>
            <w:shd w:val="clear" w:color="auto" w:fill="auto"/>
            <w:noWrap/>
            <w:vAlign w:val="bottom"/>
            <w:hideMark/>
          </w:tcPr>
          <w:p w14:paraId="00BF0F6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3CBFB027"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157,76</w:t>
            </w:r>
          </w:p>
        </w:tc>
        <w:tc>
          <w:tcPr>
            <w:tcW w:w="1195" w:type="dxa"/>
            <w:tcBorders>
              <w:top w:val="nil"/>
              <w:left w:val="nil"/>
              <w:bottom w:val="single" w:sz="4" w:space="0" w:color="auto"/>
              <w:right w:val="single" w:sz="4" w:space="0" w:color="auto"/>
            </w:tcBorders>
            <w:shd w:val="clear" w:color="auto" w:fill="auto"/>
            <w:noWrap/>
            <w:vAlign w:val="bottom"/>
            <w:hideMark/>
          </w:tcPr>
          <w:p w14:paraId="20D593B1"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157,76</w:t>
            </w:r>
          </w:p>
        </w:tc>
        <w:tc>
          <w:tcPr>
            <w:tcW w:w="1092" w:type="dxa"/>
            <w:tcBorders>
              <w:top w:val="nil"/>
              <w:left w:val="nil"/>
              <w:bottom w:val="single" w:sz="4" w:space="0" w:color="auto"/>
              <w:right w:val="single" w:sz="4" w:space="0" w:color="auto"/>
            </w:tcBorders>
            <w:shd w:val="clear" w:color="auto" w:fill="auto"/>
            <w:noWrap/>
            <w:vAlign w:val="bottom"/>
            <w:hideMark/>
          </w:tcPr>
          <w:p w14:paraId="3C8FB7A1"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132,34</w:t>
            </w:r>
          </w:p>
        </w:tc>
        <w:tc>
          <w:tcPr>
            <w:tcW w:w="1224" w:type="dxa"/>
            <w:tcBorders>
              <w:top w:val="nil"/>
              <w:left w:val="nil"/>
              <w:bottom w:val="single" w:sz="4" w:space="0" w:color="auto"/>
              <w:right w:val="single" w:sz="4" w:space="0" w:color="auto"/>
            </w:tcBorders>
            <w:shd w:val="clear" w:color="auto" w:fill="auto"/>
            <w:noWrap/>
            <w:vAlign w:val="bottom"/>
            <w:hideMark/>
          </w:tcPr>
          <w:p w14:paraId="70847C8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25A9DCC6"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0087657C"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4,03</w:t>
            </w:r>
          </w:p>
        </w:tc>
        <w:tc>
          <w:tcPr>
            <w:tcW w:w="822" w:type="dxa"/>
            <w:tcBorders>
              <w:top w:val="nil"/>
              <w:left w:val="nil"/>
              <w:bottom w:val="single" w:sz="4" w:space="0" w:color="auto"/>
              <w:right w:val="single" w:sz="4" w:space="0" w:color="auto"/>
            </w:tcBorders>
            <w:shd w:val="clear" w:color="auto" w:fill="auto"/>
            <w:noWrap/>
            <w:vAlign w:val="bottom"/>
            <w:hideMark/>
          </w:tcPr>
          <w:p w14:paraId="654CF97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550A7B7B"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21,39</w:t>
            </w:r>
          </w:p>
        </w:tc>
        <w:tc>
          <w:tcPr>
            <w:tcW w:w="908" w:type="dxa"/>
            <w:tcBorders>
              <w:top w:val="nil"/>
              <w:left w:val="nil"/>
              <w:bottom w:val="single" w:sz="4" w:space="0" w:color="auto"/>
              <w:right w:val="single" w:sz="4" w:space="0" w:color="auto"/>
            </w:tcBorders>
            <w:shd w:val="clear" w:color="auto" w:fill="auto"/>
            <w:noWrap/>
            <w:vAlign w:val="bottom"/>
            <w:hideMark/>
          </w:tcPr>
          <w:p w14:paraId="0E3006A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6A104197"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31C56100"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Piese de schimb</w:t>
            </w:r>
          </w:p>
        </w:tc>
        <w:tc>
          <w:tcPr>
            <w:tcW w:w="967" w:type="dxa"/>
            <w:tcBorders>
              <w:top w:val="nil"/>
              <w:left w:val="nil"/>
              <w:bottom w:val="single" w:sz="4" w:space="0" w:color="auto"/>
              <w:right w:val="single" w:sz="4" w:space="0" w:color="auto"/>
            </w:tcBorders>
            <w:shd w:val="clear" w:color="auto" w:fill="auto"/>
            <w:noWrap/>
            <w:vAlign w:val="bottom"/>
            <w:hideMark/>
          </w:tcPr>
          <w:p w14:paraId="7C270A2C"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00BE3DA3"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9,33</w:t>
            </w:r>
          </w:p>
        </w:tc>
        <w:tc>
          <w:tcPr>
            <w:tcW w:w="1195" w:type="dxa"/>
            <w:tcBorders>
              <w:top w:val="nil"/>
              <w:left w:val="nil"/>
              <w:bottom w:val="single" w:sz="4" w:space="0" w:color="auto"/>
              <w:right w:val="single" w:sz="4" w:space="0" w:color="auto"/>
            </w:tcBorders>
            <w:shd w:val="clear" w:color="auto" w:fill="auto"/>
            <w:noWrap/>
            <w:vAlign w:val="bottom"/>
            <w:hideMark/>
          </w:tcPr>
          <w:p w14:paraId="1D4F4F3D"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9,33</w:t>
            </w:r>
          </w:p>
        </w:tc>
        <w:tc>
          <w:tcPr>
            <w:tcW w:w="1092" w:type="dxa"/>
            <w:tcBorders>
              <w:top w:val="nil"/>
              <w:left w:val="nil"/>
              <w:bottom w:val="single" w:sz="4" w:space="0" w:color="auto"/>
              <w:right w:val="single" w:sz="4" w:space="0" w:color="auto"/>
            </w:tcBorders>
            <w:shd w:val="clear" w:color="auto" w:fill="auto"/>
            <w:noWrap/>
            <w:vAlign w:val="bottom"/>
            <w:hideMark/>
          </w:tcPr>
          <w:p w14:paraId="069F936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32E6BD42"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2,54</w:t>
            </w:r>
          </w:p>
        </w:tc>
        <w:tc>
          <w:tcPr>
            <w:tcW w:w="1259" w:type="dxa"/>
            <w:tcBorders>
              <w:top w:val="nil"/>
              <w:left w:val="nil"/>
              <w:bottom w:val="single" w:sz="4" w:space="0" w:color="auto"/>
              <w:right w:val="single" w:sz="4" w:space="0" w:color="auto"/>
            </w:tcBorders>
            <w:shd w:val="clear" w:color="auto" w:fill="auto"/>
            <w:noWrap/>
            <w:vAlign w:val="bottom"/>
            <w:hideMark/>
          </w:tcPr>
          <w:p w14:paraId="58F75F36"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250C6EBA"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6900981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56D82909"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5,82</w:t>
            </w:r>
          </w:p>
        </w:tc>
        <w:tc>
          <w:tcPr>
            <w:tcW w:w="908" w:type="dxa"/>
            <w:tcBorders>
              <w:top w:val="nil"/>
              <w:left w:val="nil"/>
              <w:bottom w:val="single" w:sz="4" w:space="0" w:color="auto"/>
              <w:right w:val="single" w:sz="4" w:space="0" w:color="auto"/>
            </w:tcBorders>
            <w:shd w:val="clear" w:color="auto" w:fill="auto"/>
            <w:noWrap/>
            <w:vAlign w:val="bottom"/>
            <w:hideMark/>
          </w:tcPr>
          <w:p w14:paraId="3DAB2752"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0,98</w:t>
            </w:r>
          </w:p>
        </w:tc>
      </w:tr>
      <w:tr w:rsidR="006F3067" w:rsidRPr="008860BA" w14:paraId="610ABC40"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0CB11EAB"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Produse petroliere</w:t>
            </w:r>
          </w:p>
        </w:tc>
        <w:tc>
          <w:tcPr>
            <w:tcW w:w="967" w:type="dxa"/>
            <w:tcBorders>
              <w:top w:val="nil"/>
              <w:left w:val="nil"/>
              <w:bottom w:val="single" w:sz="4" w:space="0" w:color="auto"/>
              <w:right w:val="single" w:sz="4" w:space="0" w:color="auto"/>
            </w:tcBorders>
            <w:shd w:val="clear" w:color="auto" w:fill="auto"/>
            <w:noWrap/>
            <w:vAlign w:val="bottom"/>
            <w:hideMark/>
          </w:tcPr>
          <w:p w14:paraId="01F22D50"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42C10977"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403,90</w:t>
            </w:r>
          </w:p>
        </w:tc>
        <w:tc>
          <w:tcPr>
            <w:tcW w:w="1195" w:type="dxa"/>
            <w:tcBorders>
              <w:top w:val="nil"/>
              <w:left w:val="nil"/>
              <w:bottom w:val="single" w:sz="4" w:space="0" w:color="auto"/>
              <w:right w:val="single" w:sz="4" w:space="0" w:color="auto"/>
            </w:tcBorders>
            <w:shd w:val="clear" w:color="auto" w:fill="auto"/>
            <w:noWrap/>
            <w:vAlign w:val="bottom"/>
            <w:hideMark/>
          </w:tcPr>
          <w:p w14:paraId="0294E4F1"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403,90</w:t>
            </w:r>
          </w:p>
        </w:tc>
        <w:tc>
          <w:tcPr>
            <w:tcW w:w="1092" w:type="dxa"/>
            <w:tcBorders>
              <w:top w:val="nil"/>
              <w:left w:val="nil"/>
              <w:bottom w:val="single" w:sz="4" w:space="0" w:color="auto"/>
              <w:right w:val="single" w:sz="4" w:space="0" w:color="auto"/>
            </w:tcBorders>
            <w:shd w:val="clear" w:color="auto" w:fill="auto"/>
            <w:noWrap/>
            <w:vAlign w:val="bottom"/>
            <w:hideMark/>
          </w:tcPr>
          <w:p w14:paraId="251F9957"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2,64</w:t>
            </w:r>
          </w:p>
        </w:tc>
        <w:tc>
          <w:tcPr>
            <w:tcW w:w="1224" w:type="dxa"/>
            <w:tcBorders>
              <w:top w:val="nil"/>
              <w:left w:val="nil"/>
              <w:bottom w:val="single" w:sz="4" w:space="0" w:color="auto"/>
              <w:right w:val="single" w:sz="4" w:space="0" w:color="auto"/>
            </w:tcBorders>
            <w:shd w:val="clear" w:color="auto" w:fill="auto"/>
            <w:noWrap/>
            <w:vAlign w:val="bottom"/>
            <w:hideMark/>
          </w:tcPr>
          <w:p w14:paraId="484A6364"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221,45</w:t>
            </w:r>
          </w:p>
        </w:tc>
        <w:tc>
          <w:tcPr>
            <w:tcW w:w="1259" w:type="dxa"/>
            <w:tcBorders>
              <w:top w:val="nil"/>
              <w:left w:val="nil"/>
              <w:bottom w:val="single" w:sz="4" w:space="0" w:color="auto"/>
              <w:right w:val="single" w:sz="4" w:space="0" w:color="auto"/>
            </w:tcBorders>
            <w:shd w:val="clear" w:color="auto" w:fill="auto"/>
            <w:noWrap/>
            <w:vAlign w:val="bottom"/>
            <w:hideMark/>
          </w:tcPr>
          <w:p w14:paraId="68D3DA6D"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226F856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2B5D994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40CE4954"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noWrap/>
            <w:vAlign w:val="bottom"/>
            <w:hideMark/>
          </w:tcPr>
          <w:p w14:paraId="44E0041E"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179,81</w:t>
            </w:r>
          </w:p>
        </w:tc>
      </w:tr>
      <w:tr w:rsidR="006F3067" w:rsidRPr="008860BA" w14:paraId="26CC25EE"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73E4DCC8"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Produse sanguine</w:t>
            </w:r>
          </w:p>
        </w:tc>
        <w:tc>
          <w:tcPr>
            <w:tcW w:w="967" w:type="dxa"/>
            <w:tcBorders>
              <w:top w:val="nil"/>
              <w:left w:val="nil"/>
              <w:bottom w:val="single" w:sz="4" w:space="0" w:color="auto"/>
              <w:right w:val="single" w:sz="4" w:space="0" w:color="auto"/>
            </w:tcBorders>
            <w:shd w:val="clear" w:color="auto" w:fill="auto"/>
            <w:noWrap/>
            <w:vAlign w:val="bottom"/>
            <w:hideMark/>
          </w:tcPr>
          <w:p w14:paraId="2DF6D653"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7188F6C1"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195" w:type="dxa"/>
            <w:tcBorders>
              <w:top w:val="nil"/>
              <w:left w:val="nil"/>
              <w:bottom w:val="single" w:sz="4" w:space="0" w:color="auto"/>
              <w:right w:val="single" w:sz="4" w:space="0" w:color="auto"/>
            </w:tcBorders>
            <w:shd w:val="clear" w:color="auto" w:fill="auto"/>
            <w:noWrap/>
            <w:vAlign w:val="bottom"/>
            <w:hideMark/>
          </w:tcPr>
          <w:p w14:paraId="2E6F4AB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2" w:type="dxa"/>
            <w:tcBorders>
              <w:top w:val="nil"/>
              <w:left w:val="nil"/>
              <w:bottom w:val="single" w:sz="4" w:space="0" w:color="auto"/>
              <w:right w:val="single" w:sz="4" w:space="0" w:color="auto"/>
            </w:tcBorders>
            <w:shd w:val="clear" w:color="auto" w:fill="auto"/>
            <w:hideMark/>
          </w:tcPr>
          <w:p w14:paraId="7E913673"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23E2C4ED"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4DA9885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7BE0866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6F91604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37287B6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hideMark/>
          </w:tcPr>
          <w:p w14:paraId="2713345A"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F3067" w:rsidRPr="008860BA" w14:paraId="08337647"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00D7EF03" w14:textId="61E5A99A" w:rsidR="006F3067" w:rsidRPr="008860BA" w:rsidRDefault="006F306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Protec</w:t>
            </w:r>
            <w:r w:rsidR="00885EE0"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ia muncii (produse alimentare)</w:t>
            </w:r>
          </w:p>
        </w:tc>
        <w:tc>
          <w:tcPr>
            <w:tcW w:w="967" w:type="dxa"/>
            <w:tcBorders>
              <w:top w:val="nil"/>
              <w:left w:val="nil"/>
              <w:bottom w:val="single" w:sz="4" w:space="0" w:color="auto"/>
              <w:right w:val="single" w:sz="4" w:space="0" w:color="auto"/>
            </w:tcBorders>
            <w:shd w:val="clear" w:color="auto" w:fill="auto"/>
            <w:noWrap/>
            <w:vAlign w:val="bottom"/>
            <w:hideMark/>
          </w:tcPr>
          <w:p w14:paraId="76F8E78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45D64084"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142,85</w:t>
            </w:r>
          </w:p>
        </w:tc>
        <w:tc>
          <w:tcPr>
            <w:tcW w:w="1195" w:type="dxa"/>
            <w:tcBorders>
              <w:top w:val="nil"/>
              <w:left w:val="nil"/>
              <w:bottom w:val="single" w:sz="4" w:space="0" w:color="auto"/>
              <w:right w:val="single" w:sz="4" w:space="0" w:color="auto"/>
            </w:tcBorders>
            <w:shd w:val="clear" w:color="auto" w:fill="auto"/>
            <w:noWrap/>
            <w:vAlign w:val="bottom"/>
            <w:hideMark/>
          </w:tcPr>
          <w:p w14:paraId="4775E8AF"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142,85</w:t>
            </w:r>
          </w:p>
        </w:tc>
        <w:tc>
          <w:tcPr>
            <w:tcW w:w="1092" w:type="dxa"/>
            <w:tcBorders>
              <w:top w:val="nil"/>
              <w:left w:val="nil"/>
              <w:bottom w:val="single" w:sz="4" w:space="0" w:color="auto"/>
              <w:right w:val="single" w:sz="4" w:space="0" w:color="auto"/>
            </w:tcBorders>
            <w:shd w:val="clear" w:color="auto" w:fill="auto"/>
            <w:noWrap/>
            <w:vAlign w:val="bottom"/>
            <w:hideMark/>
          </w:tcPr>
          <w:p w14:paraId="116C6E86"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142,85</w:t>
            </w:r>
          </w:p>
        </w:tc>
        <w:tc>
          <w:tcPr>
            <w:tcW w:w="1224" w:type="dxa"/>
            <w:tcBorders>
              <w:top w:val="nil"/>
              <w:left w:val="nil"/>
              <w:bottom w:val="single" w:sz="4" w:space="0" w:color="auto"/>
              <w:right w:val="single" w:sz="4" w:space="0" w:color="auto"/>
            </w:tcBorders>
            <w:shd w:val="clear" w:color="auto" w:fill="auto"/>
            <w:noWrap/>
            <w:vAlign w:val="bottom"/>
            <w:hideMark/>
          </w:tcPr>
          <w:p w14:paraId="07D8C23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219F0F3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6E17B860"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1F091D5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3BB7136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hideMark/>
          </w:tcPr>
          <w:p w14:paraId="79713CB9"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F3067" w:rsidRPr="008860BA" w14:paraId="7743E866"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394D3904" w14:textId="07732AA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Rambursarea garan</w:t>
            </w:r>
            <w:r w:rsidR="00B13B9A"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iei de ofertă</w:t>
            </w:r>
          </w:p>
        </w:tc>
        <w:tc>
          <w:tcPr>
            <w:tcW w:w="967" w:type="dxa"/>
            <w:tcBorders>
              <w:top w:val="nil"/>
              <w:left w:val="nil"/>
              <w:bottom w:val="single" w:sz="4" w:space="0" w:color="auto"/>
              <w:right w:val="single" w:sz="4" w:space="0" w:color="auto"/>
            </w:tcBorders>
            <w:shd w:val="clear" w:color="auto" w:fill="auto"/>
            <w:noWrap/>
            <w:vAlign w:val="bottom"/>
            <w:hideMark/>
          </w:tcPr>
          <w:p w14:paraId="6291234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7502FF94"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195" w:type="dxa"/>
            <w:tcBorders>
              <w:top w:val="nil"/>
              <w:left w:val="nil"/>
              <w:bottom w:val="single" w:sz="4" w:space="0" w:color="auto"/>
              <w:right w:val="single" w:sz="4" w:space="0" w:color="auto"/>
            </w:tcBorders>
            <w:shd w:val="clear" w:color="auto" w:fill="auto"/>
            <w:noWrap/>
            <w:vAlign w:val="bottom"/>
            <w:hideMark/>
          </w:tcPr>
          <w:p w14:paraId="0F13D817"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2" w:type="dxa"/>
            <w:tcBorders>
              <w:top w:val="nil"/>
              <w:left w:val="nil"/>
              <w:bottom w:val="single" w:sz="4" w:space="0" w:color="auto"/>
              <w:right w:val="single" w:sz="4" w:space="0" w:color="auto"/>
            </w:tcBorders>
            <w:shd w:val="clear" w:color="auto" w:fill="auto"/>
            <w:noWrap/>
            <w:vAlign w:val="bottom"/>
            <w:hideMark/>
          </w:tcPr>
          <w:p w14:paraId="07559FA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7AD9C2F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0F18A77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3FDE3DB4"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4BF1ED5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1B2A2ED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noWrap/>
            <w:vAlign w:val="bottom"/>
            <w:hideMark/>
          </w:tcPr>
          <w:p w14:paraId="3C53D5F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343EF19D"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03378D71"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Rechizite de birou</w:t>
            </w:r>
          </w:p>
        </w:tc>
        <w:tc>
          <w:tcPr>
            <w:tcW w:w="967" w:type="dxa"/>
            <w:tcBorders>
              <w:top w:val="nil"/>
              <w:left w:val="nil"/>
              <w:bottom w:val="single" w:sz="4" w:space="0" w:color="auto"/>
              <w:right w:val="single" w:sz="4" w:space="0" w:color="auto"/>
            </w:tcBorders>
            <w:shd w:val="clear" w:color="auto" w:fill="auto"/>
            <w:noWrap/>
            <w:vAlign w:val="bottom"/>
            <w:hideMark/>
          </w:tcPr>
          <w:p w14:paraId="0539C93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14EA3B47"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37,28</w:t>
            </w:r>
          </w:p>
        </w:tc>
        <w:tc>
          <w:tcPr>
            <w:tcW w:w="1195" w:type="dxa"/>
            <w:tcBorders>
              <w:top w:val="nil"/>
              <w:left w:val="nil"/>
              <w:bottom w:val="single" w:sz="4" w:space="0" w:color="auto"/>
              <w:right w:val="single" w:sz="4" w:space="0" w:color="auto"/>
            </w:tcBorders>
            <w:shd w:val="clear" w:color="auto" w:fill="auto"/>
            <w:noWrap/>
            <w:vAlign w:val="bottom"/>
            <w:hideMark/>
          </w:tcPr>
          <w:p w14:paraId="78F0BE8A"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37,28</w:t>
            </w:r>
          </w:p>
        </w:tc>
        <w:tc>
          <w:tcPr>
            <w:tcW w:w="1092" w:type="dxa"/>
            <w:tcBorders>
              <w:top w:val="nil"/>
              <w:left w:val="nil"/>
              <w:bottom w:val="single" w:sz="4" w:space="0" w:color="auto"/>
              <w:right w:val="single" w:sz="4" w:space="0" w:color="auto"/>
            </w:tcBorders>
            <w:shd w:val="clear" w:color="auto" w:fill="auto"/>
            <w:noWrap/>
            <w:vAlign w:val="bottom"/>
            <w:hideMark/>
          </w:tcPr>
          <w:p w14:paraId="46CAA816"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22,18</w:t>
            </w:r>
          </w:p>
        </w:tc>
        <w:tc>
          <w:tcPr>
            <w:tcW w:w="1224" w:type="dxa"/>
            <w:tcBorders>
              <w:top w:val="nil"/>
              <w:left w:val="nil"/>
              <w:bottom w:val="single" w:sz="4" w:space="0" w:color="auto"/>
              <w:right w:val="single" w:sz="4" w:space="0" w:color="auto"/>
            </w:tcBorders>
            <w:shd w:val="clear" w:color="auto" w:fill="auto"/>
            <w:noWrap/>
            <w:vAlign w:val="bottom"/>
            <w:hideMark/>
          </w:tcPr>
          <w:p w14:paraId="679F1E1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5E52713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1BCDED13"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460CBE2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71E8C11A"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4,30</w:t>
            </w:r>
          </w:p>
        </w:tc>
        <w:tc>
          <w:tcPr>
            <w:tcW w:w="908" w:type="dxa"/>
            <w:tcBorders>
              <w:top w:val="nil"/>
              <w:left w:val="nil"/>
              <w:bottom w:val="single" w:sz="4" w:space="0" w:color="auto"/>
              <w:right w:val="single" w:sz="4" w:space="0" w:color="auto"/>
            </w:tcBorders>
            <w:shd w:val="clear" w:color="auto" w:fill="auto"/>
            <w:noWrap/>
            <w:vAlign w:val="bottom"/>
            <w:hideMark/>
          </w:tcPr>
          <w:p w14:paraId="0944ECD9"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10,80</w:t>
            </w:r>
          </w:p>
        </w:tc>
      </w:tr>
      <w:tr w:rsidR="006F3067" w:rsidRPr="008860BA" w14:paraId="4A12444D"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6DC7D106"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Remunerarea muncii</w:t>
            </w:r>
          </w:p>
        </w:tc>
        <w:tc>
          <w:tcPr>
            <w:tcW w:w="967" w:type="dxa"/>
            <w:tcBorders>
              <w:top w:val="nil"/>
              <w:left w:val="nil"/>
              <w:bottom w:val="single" w:sz="4" w:space="0" w:color="auto"/>
              <w:right w:val="single" w:sz="4" w:space="0" w:color="auto"/>
            </w:tcBorders>
            <w:shd w:val="clear" w:color="auto" w:fill="auto"/>
            <w:noWrap/>
            <w:vAlign w:val="bottom"/>
            <w:hideMark/>
          </w:tcPr>
          <w:p w14:paraId="25AACDD7"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24A771EC"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35.824,00</w:t>
            </w:r>
          </w:p>
        </w:tc>
        <w:tc>
          <w:tcPr>
            <w:tcW w:w="1195" w:type="dxa"/>
            <w:tcBorders>
              <w:top w:val="nil"/>
              <w:left w:val="nil"/>
              <w:bottom w:val="single" w:sz="4" w:space="0" w:color="auto"/>
              <w:right w:val="single" w:sz="4" w:space="0" w:color="auto"/>
            </w:tcBorders>
            <w:shd w:val="clear" w:color="auto" w:fill="auto"/>
            <w:noWrap/>
            <w:vAlign w:val="bottom"/>
            <w:hideMark/>
          </w:tcPr>
          <w:p w14:paraId="46CA22C8"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35.824,00</w:t>
            </w:r>
          </w:p>
        </w:tc>
        <w:tc>
          <w:tcPr>
            <w:tcW w:w="1092" w:type="dxa"/>
            <w:tcBorders>
              <w:top w:val="nil"/>
              <w:left w:val="nil"/>
              <w:bottom w:val="single" w:sz="4" w:space="0" w:color="auto"/>
              <w:right w:val="single" w:sz="4" w:space="0" w:color="auto"/>
            </w:tcBorders>
            <w:shd w:val="clear" w:color="auto" w:fill="auto"/>
            <w:noWrap/>
            <w:vAlign w:val="bottom"/>
            <w:hideMark/>
          </w:tcPr>
          <w:p w14:paraId="53A52766"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26.714,61</w:t>
            </w:r>
          </w:p>
        </w:tc>
        <w:tc>
          <w:tcPr>
            <w:tcW w:w="1224" w:type="dxa"/>
            <w:tcBorders>
              <w:top w:val="nil"/>
              <w:left w:val="nil"/>
              <w:bottom w:val="single" w:sz="4" w:space="0" w:color="auto"/>
              <w:right w:val="single" w:sz="4" w:space="0" w:color="auto"/>
            </w:tcBorders>
            <w:shd w:val="clear" w:color="auto" w:fill="auto"/>
            <w:noWrap/>
            <w:vAlign w:val="bottom"/>
            <w:hideMark/>
          </w:tcPr>
          <w:p w14:paraId="01E55E9B"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136,55</w:t>
            </w:r>
          </w:p>
        </w:tc>
        <w:tc>
          <w:tcPr>
            <w:tcW w:w="1259" w:type="dxa"/>
            <w:tcBorders>
              <w:top w:val="nil"/>
              <w:left w:val="nil"/>
              <w:bottom w:val="single" w:sz="4" w:space="0" w:color="auto"/>
              <w:right w:val="single" w:sz="4" w:space="0" w:color="auto"/>
            </w:tcBorders>
            <w:shd w:val="clear" w:color="auto" w:fill="auto"/>
            <w:noWrap/>
            <w:vAlign w:val="bottom"/>
            <w:hideMark/>
          </w:tcPr>
          <w:p w14:paraId="576B1F06"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4392044C"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6.031,26</w:t>
            </w:r>
          </w:p>
        </w:tc>
        <w:tc>
          <w:tcPr>
            <w:tcW w:w="822" w:type="dxa"/>
            <w:tcBorders>
              <w:top w:val="nil"/>
              <w:left w:val="nil"/>
              <w:bottom w:val="single" w:sz="4" w:space="0" w:color="auto"/>
              <w:right w:val="single" w:sz="4" w:space="0" w:color="auto"/>
            </w:tcBorders>
            <w:shd w:val="clear" w:color="auto" w:fill="auto"/>
            <w:noWrap/>
            <w:vAlign w:val="bottom"/>
            <w:hideMark/>
          </w:tcPr>
          <w:p w14:paraId="53BB9D4B"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821,30</w:t>
            </w:r>
          </w:p>
        </w:tc>
        <w:tc>
          <w:tcPr>
            <w:tcW w:w="822" w:type="dxa"/>
            <w:tcBorders>
              <w:top w:val="nil"/>
              <w:left w:val="nil"/>
              <w:bottom w:val="single" w:sz="4" w:space="0" w:color="auto"/>
              <w:right w:val="single" w:sz="4" w:space="0" w:color="auto"/>
            </w:tcBorders>
            <w:shd w:val="clear" w:color="auto" w:fill="auto"/>
            <w:noWrap/>
            <w:vAlign w:val="bottom"/>
            <w:hideMark/>
          </w:tcPr>
          <w:p w14:paraId="5F8E1D3C"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403,26</w:t>
            </w:r>
          </w:p>
        </w:tc>
        <w:tc>
          <w:tcPr>
            <w:tcW w:w="908" w:type="dxa"/>
            <w:tcBorders>
              <w:top w:val="nil"/>
              <w:left w:val="nil"/>
              <w:bottom w:val="single" w:sz="4" w:space="0" w:color="auto"/>
              <w:right w:val="single" w:sz="4" w:space="0" w:color="auto"/>
            </w:tcBorders>
            <w:shd w:val="clear" w:color="auto" w:fill="auto"/>
            <w:noWrap/>
            <w:vAlign w:val="bottom"/>
            <w:hideMark/>
          </w:tcPr>
          <w:p w14:paraId="6A048293"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1.717,03</w:t>
            </w:r>
          </w:p>
        </w:tc>
      </w:tr>
      <w:tr w:rsidR="006F3067" w:rsidRPr="008860BA" w14:paraId="0E1B2D33"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39D32453" w14:textId="419938AD" w:rsidR="006F3067" w:rsidRPr="008860BA" w:rsidRDefault="006F306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Repara</w:t>
            </w:r>
            <w:r w:rsidR="00885EE0"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ia curent</w:t>
            </w:r>
            <w:r w:rsidR="00885EE0" w:rsidRPr="008860BA">
              <w:rPr>
                <w:rFonts w:asciiTheme="majorHAnsi" w:eastAsia="Times New Roman" w:hAnsiTheme="majorHAnsi" w:cstheme="majorHAnsi"/>
                <w:sz w:val="18"/>
                <w:szCs w:val="18"/>
                <w:lang w:val="ro-MD"/>
              </w:rPr>
              <w:t>ă</w:t>
            </w:r>
            <w:r w:rsidRPr="008860BA">
              <w:rPr>
                <w:rFonts w:asciiTheme="majorHAnsi" w:eastAsia="Times New Roman" w:hAnsiTheme="majorHAnsi" w:cstheme="majorHAnsi"/>
                <w:sz w:val="18"/>
                <w:szCs w:val="18"/>
                <w:lang w:val="ro-MD"/>
              </w:rPr>
              <w:t xml:space="preserve"> </w:t>
            </w:r>
            <w:r w:rsidR="00885EE0" w:rsidRPr="008860BA">
              <w:rPr>
                <w:rFonts w:asciiTheme="majorHAnsi" w:eastAsia="Times New Roman" w:hAnsiTheme="majorHAnsi" w:cstheme="majorHAnsi"/>
                <w:sz w:val="18"/>
                <w:szCs w:val="18"/>
                <w:lang w:val="ro-MD"/>
              </w:rPr>
              <w:t>ș</w:t>
            </w:r>
            <w:r w:rsidRPr="008860BA">
              <w:rPr>
                <w:rFonts w:asciiTheme="majorHAnsi" w:eastAsia="Times New Roman" w:hAnsiTheme="majorHAnsi" w:cstheme="majorHAnsi"/>
                <w:sz w:val="18"/>
                <w:szCs w:val="18"/>
                <w:lang w:val="ro-MD"/>
              </w:rPr>
              <w:t>i deservirea MF</w:t>
            </w:r>
          </w:p>
        </w:tc>
        <w:tc>
          <w:tcPr>
            <w:tcW w:w="967" w:type="dxa"/>
            <w:tcBorders>
              <w:top w:val="nil"/>
              <w:left w:val="nil"/>
              <w:bottom w:val="single" w:sz="4" w:space="0" w:color="auto"/>
              <w:right w:val="single" w:sz="4" w:space="0" w:color="auto"/>
            </w:tcBorders>
            <w:shd w:val="clear" w:color="auto" w:fill="auto"/>
            <w:noWrap/>
            <w:vAlign w:val="bottom"/>
            <w:hideMark/>
          </w:tcPr>
          <w:p w14:paraId="742562A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5945E2ED"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455,97</w:t>
            </w:r>
          </w:p>
        </w:tc>
        <w:tc>
          <w:tcPr>
            <w:tcW w:w="1195" w:type="dxa"/>
            <w:tcBorders>
              <w:top w:val="nil"/>
              <w:left w:val="nil"/>
              <w:bottom w:val="single" w:sz="4" w:space="0" w:color="auto"/>
              <w:right w:val="single" w:sz="4" w:space="0" w:color="auto"/>
            </w:tcBorders>
            <w:shd w:val="clear" w:color="auto" w:fill="auto"/>
            <w:noWrap/>
            <w:vAlign w:val="bottom"/>
            <w:hideMark/>
          </w:tcPr>
          <w:p w14:paraId="691F8486"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455,97</w:t>
            </w:r>
          </w:p>
        </w:tc>
        <w:tc>
          <w:tcPr>
            <w:tcW w:w="1092" w:type="dxa"/>
            <w:tcBorders>
              <w:top w:val="nil"/>
              <w:left w:val="nil"/>
              <w:bottom w:val="single" w:sz="4" w:space="0" w:color="auto"/>
              <w:right w:val="single" w:sz="4" w:space="0" w:color="auto"/>
            </w:tcBorders>
            <w:shd w:val="clear" w:color="auto" w:fill="auto"/>
            <w:noWrap/>
            <w:vAlign w:val="bottom"/>
            <w:hideMark/>
          </w:tcPr>
          <w:p w14:paraId="792BEE21"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273,40</w:t>
            </w:r>
          </w:p>
        </w:tc>
        <w:tc>
          <w:tcPr>
            <w:tcW w:w="1224" w:type="dxa"/>
            <w:tcBorders>
              <w:top w:val="nil"/>
              <w:left w:val="nil"/>
              <w:bottom w:val="single" w:sz="4" w:space="0" w:color="auto"/>
              <w:right w:val="single" w:sz="4" w:space="0" w:color="auto"/>
            </w:tcBorders>
            <w:shd w:val="clear" w:color="auto" w:fill="auto"/>
            <w:noWrap/>
            <w:vAlign w:val="bottom"/>
            <w:hideMark/>
          </w:tcPr>
          <w:p w14:paraId="255B65F2"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104,95</w:t>
            </w:r>
          </w:p>
        </w:tc>
        <w:tc>
          <w:tcPr>
            <w:tcW w:w="1259" w:type="dxa"/>
            <w:tcBorders>
              <w:top w:val="nil"/>
              <w:left w:val="nil"/>
              <w:bottom w:val="single" w:sz="4" w:space="0" w:color="auto"/>
              <w:right w:val="single" w:sz="4" w:space="0" w:color="auto"/>
            </w:tcBorders>
            <w:shd w:val="clear" w:color="auto" w:fill="auto"/>
            <w:noWrap/>
            <w:vAlign w:val="bottom"/>
            <w:hideMark/>
          </w:tcPr>
          <w:p w14:paraId="3E62B56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6BD6FF7F"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73,41</w:t>
            </w:r>
          </w:p>
        </w:tc>
        <w:tc>
          <w:tcPr>
            <w:tcW w:w="822" w:type="dxa"/>
            <w:tcBorders>
              <w:top w:val="nil"/>
              <w:left w:val="nil"/>
              <w:bottom w:val="single" w:sz="4" w:space="0" w:color="auto"/>
              <w:right w:val="single" w:sz="4" w:space="0" w:color="auto"/>
            </w:tcBorders>
            <w:shd w:val="clear" w:color="auto" w:fill="auto"/>
            <w:noWrap/>
            <w:vAlign w:val="bottom"/>
            <w:hideMark/>
          </w:tcPr>
          <w:p w14:paraId="3214905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59F328E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noWrap/>
            <w:vAlign w:val="bottom"/>
            <w:hideMark/>
          </w:tcPr>
          <w:p w14:paraId="6075466A"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4,21</w:t>
            </w:r>
          </w:p>
        </w:tc>
      </w:tr>
      <w:tr w:rsidR="006F3067" w:rsidRPr="008860BA" w14:paraId="71EF0119"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43A1A517" w14:textId="2E200FB4"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Salubritatea, evacuarea de</w:t>
            </w:r>
            <w:r w:rsidR="00885EE0" w:rsidRPr="008860BA">
              <w:rPr>
                <w:rFonts w:asciiTheme="majorHAnsi" w:eastAsia="Times New Roman" w:hAnsiTheme="majorHAnsi" w:cstheme="majorHAnsi"/>
                <w:sz w:val="18"/>
                <w:szCs w:val="18"/>
                <w:lang w:val="ro-MD"/>
              </w:rPr>
              <w:t>ș</w:t>
            </w:r>
            <w:r w:rsidRPr="008860BA">
              <w:rPr>
                <w:rFonts w:asciiTheme="majorHAnsi" w:eastAsia="Times New Roman" w:hAnsiTheme="majorHAnsi" w:cstheme="majorHAnsi"/>
                <w:sz w:val="18"/>
                <w:szCs w:val="18"/>
                <w:lang w:val="ro-MD"/>
              </w:rPr>
              <w:t xml:space="preserve">eurilor </w:t>
            </w:r>
          </w:p>
        </w:tc>
        <w:tc>
          <w:tcPr>
            <w:tcW w:w="967" w:type="dxa"/>
            <w:tcBorders>
              <w:top w:val="nil"/>
              <w:left w:val="nil"/>
              <w:bottom w:val="single" w:sz="4" w:space="0" w:color="auto"/>
              <w:right w:val="single" w:sz="4" w:space="0" w:color="auto"/>
            </w:tcBorders>
            <w:shd w:val="clear" w:color="auto" w:fill="auto"/>
            <w:noWrap/>
            <w:vAlign w:val="bottom"/>
            <w:hideMark/>
          </w:tcPr>
          <w:p w14:paraId="2B47399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66797F0B"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127,22</w:t>
            </w:r>
          </w:p>
        </w:tc>
        <w:tc>
          <w:tcPr>
            <w:tcW w:w="1195" w:type="dxa"/>
            <w:tcBorders>
              <w:top w:val="nil"/>
              <w:left w:val="nil"/>
              <w:bottom w:val="single" w:sz="4" w:space="0" w:color="auto"/>
              <w:right w:val="single" w:sz="4" w:space="0" w:color="auto"/>
            </w:tcBorders>
            <w:shd w:val="clear" w:color="auto" w:fill="auto"/>
            <w:noWrap/>
            <w:vAlign w:val="bottom"/>
            <w:hideMark/>
          </w:tcPr>
          <w:p w14:paraId="5E0BA861"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127,22</w:t>
            </w:r>
          </w:p>
        </w:tc>
        <w:tc>
          <w:tcPr>
            <w:tcW w:w="1092" w:type="dxa"/>
            <w:tcBorders>
              <w:top w:val="nil"/>
              <w:left w:val="nil"/>
              <w:bottom w:val="single" w:sz="4" w:space="0" w:color="auto"/>
              <w:right w:val="single" w:sz="4" w:space="0" w:color="auto"/>
            </w:tcBorders>
            <w:shd w:val="clear" w:color="auto" w:fill="auto"/>
            <w:noWrap/>
            <w:vAlign w:val="bottom"/>
            <w:hideMark/>
          </w:tcPr>
          <w:p w14:paraId="004773D9"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103,20</w:t>
            </w:r>
          </w:p>
        </w:tc>
        <w:tc>
          <w:tcPr>
            <w:tcW w:w="1224" w:type="dxa"/>
            <w:tcBorders>
              <w:top w:val="nil"/>
              <w:left w:val="nil"/>
              <w:bottom w:val="single" w:sz="4" w:space="0" w:color="auto"/>
              <w:right w:val="single" w:sz="4" w:space="0" w:color="auto"/>
            </w:tcBorders>
            <w:shd w:val="clear" w:color="auto" w:fill="auto"/>
            <w:noWrap/>
            <w:vAlign w:val="bottom"/>
            <w:hideMark/>
          </w:tcPr>
          <w:p w14:paraId="503400C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760FC8C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5696A91A"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24,02</w:t>
            </w:r>
          </w:p>
        </w:tc>
        <w:tc>
          <w:tcPr>
            <w:tcW w:w="822" w:type="dxa"/>
            <w:tcBorders>
              <w:top w:val="nil"/>
              <w:left w:val="nil"/>
              <w:bottom w:val="single" w:sz="4" w:space="0" w:color="auto"/>
              <w:right w:val="single" w:sz="4" w:space="0" w:color="auto"/>
            </w:tcBorders>
            <w:shd w:val="clear" w:color="auto" w:fill="auto"/>
            <w:noWrap/>
            <w:vAlign w:val="bottom"/>
            <w:hideMark/>
          </w:tcPr>
          <w:p w14:paraId="6CE21B7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3943A574"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noWrap/>
            <w:vAlign w:val="bottom"/>
            <w:hideMark/>
          </w:tcPr>
          <w:p w14:paraId="732F2017"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7CAC8415"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790A07E7"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xml:space="preserve">Servicii medicale </w:t>
            </w:r>
          </w:p>
        </w:tc>
        <w:tc>
          <w:tcPr>
            <w:tcW w:w="967" w:type="dxa"/>
            <w:tcBorders>
              <w:top w:val="nil"/>
              <w:left w:val="nil"/>
              <w:bottom w:val="single" w:sz="4" w:space="0" w:color="auto"/>
              <w:right w:val="single" w:sz="4" w:space="0" w:color="auto"/>
            </w:tcBorders>
            <w:shd w:val="clear" w:color="auto" w:fill="auto"/>
            <w:noWrap/>
            <w:vAlign w:val="bottom"/>
            <w:hideMark/>
          </w:tcPr>
          <w:p w14:paraId="10DE117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325004E0"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417,92</w:t>
            </w:r>
          </w:p>
        </w:tc>
        <w:tc>
          <w:tcPr>
            <w:tcW w:w="1195" w:type="dxa"/>
            <w:tcBorders>
              <w:top w:val="nil"/>
              <w:left w:val="nil"/>
              <w:bottom w:val="single" w:sz="4" w:space="0" w:color="auto"/>
              <w:right w:val="single" w:sz="4" w:space="0" w:color="auto"/>
            </w:tcBorders>
            <w:shd w:val="clear" w:color="auto" w:fill="auto"/>
            <w:noWrap/>
            <w:vAlign w:val="bottom"/>
            <w:hideMark/>
          </w:tcPr>
          <w:p w14:paraId="42D7E3A3"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417,92</w:t>
            </w:r>
          </w:p>
        </w:tc>
        <w:tc>
          <w:tcPr>
            <w:tcW w:w="1092" w:type="dxa"/>
            <w:tcBorders>
              <w:top w:val="nil"/>
              <w:left w:val="nil"/>
              <w:bottom w:val="single" w:sz="4" w:space="0" w:color="auto"/>
              <w:right w:val="single" w:sz="4" w:space="0" w:color="auto"/>
            </w:tcBorders>
            <w:shd w:val="clear" w:color="auto" w:fill="auto"/>
            <w:noWrap/>
            <w:vAlign w:val="bottom"/>
            <w:hideMark/>
          </w:tcPr>
          <w:p w14:paraId="6F44AB05"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393,17</w:t>
            </w:r>
          </w:p>
        </w:tc>
        <w:tc>
          <w:tcPr>
            <w:tcW w:w="1224" w:type="dxa"/>
            <w:tcBorders>
              <w:top w:val="nil"/>
              <w:left w:val="nil"/>
              <w:bottom w:val="single" w:sz="4" w:space="0" w:color="auto"/>
              <w:right w:val="single" w:sz="4" w:space="0" w:color="auto"/>
            </w:tcBorders>
            <w:shd w:val="clear" w:color="auto" w:fill="auto"/>
            <w:noWrap/>
            <w:vAlign w:val="bottom"/>
            <w:hideMark/>
          </w:tcPr>
          <w:p w14:paraId="3861D19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1BB30BA4"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3ED24E5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25156A6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419FCDBB"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24,75</w:t>
            </w:r>
          </w:p>
        </w:tc>
        <w:tc>
          <w:tcPr>
            <w:tcW w:w="908" w:type="dxa"/>
            <w:tcBorders>
              <w:top w:val="nil"/>
              <w:left w:val="nil"/>
              <w:bottom w:val="single" w:sz="4" w:space="0" w:color="auto"/>
              <w:right w:val="single" w:sz="4" w:space="0" w:color="auto"/>
            </w:tcBorders>
            <w:shd w:val="clear" w:color="auto" w:fill="auto"/>
            <w:noWrap/>
            <w:vAlign w:val="bottom"/>
            <w:hideMark/>
          </w:tcPr>
          <w:p w14:paraId="2AA4506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1927CF05"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01541A96" w14:textId="1F07317A" w:rsidR="006F3067" w:rsidRPr="008860BA" w:rsidRDefault="006F306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Suport sistem informa</w:t>
            </w:r>
            <w:r w:rsidR="00885EE0"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ional</w:t>
            </w:r>
          </w:p>
        </w:tc>
        <w:tc>
          <w:tcPr>
            <w:tcW w:w="967" w:type="dxa"/>
            <w:tcBorders>
              <w:top w:val="nil"/>
              <w:left w:val="nil"/>
              <w:bottom w:val="single" w:sz="4" w:space="0" w:color="auto"/>
              <w:right w:val="single" w:sz="4" w:space="0" w:color="auto"/>
            </w:tcBorders>
            <w:shd w:val="clear" w:color="auto" w:fill="auto"/>
            <w:noWrap/>
            <w:vAlign w:val="bottom"/>
            <w:hideMark/>
          </w:tcPr>
          <w:p w14:paraId="128C90D6"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359D18E4"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195" w:type="dxa"/>
            <w:tcBorders>
              <w:top w:val="nil"/>
              <w:left w:val="nil"/>
              <w:bottom w:val="single" w:sz="4" w:space="0" w:color="auto"/>
              <w:right w:val="single" w:sz="4" w:space="0" w:color="auto"/>
            </w:tcBorders>
            <w:shd w:val="clear" w:color="auto" w:fill="auto"/>
            <w:noWrap/>
            <w:vAlign w:val="bottom"/>
            <w:hideMark/>
          </w:tcPr>
          <w:p w14:paraId="66D0BC2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2" w:type="dxa"/>
            <w:tcBorders>
              <w:top w:val="nil"/>
              <w:left w:val="nil"/>
              <w:bottom w:val="single" w:sz="4" w:space="0" w:color="auto"/>
              <w:right w:val="single" w:sz="4" w:space="0" w:color="auto"/>
            </w:tcBorders>
            <w:shd w:val="clear" w:color="auto" w:fill="auto"/>
            <w:noWrap/>
            <w:vAlign w:val="bottom"/>
            <w:hideMark/>
          </w:tcPr>
          <w:p w14:paraId="70D00EA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78CFADC7"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524AAEA4"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161AB374"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196335D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hideMark/>
          </w:tcPr>
          <w:p w14:paraId="0E165F7E"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0,00</w:t>
            </w:r>
          </w:p>
        </w:tc>
        <w:tc>
          <w:tcPr>
            <w:tcW w:w="908" w:type="dxa"/>
            <w:tcBorders>
              <w:top w:val="nil"/>
              <w:left w:val="nil"/>
              <w:bottom w:val="single" w:sz="4" w:space="0" w:color="auto"/>
              <w:right w:val="single" w:sz="4" w:space="0" w:color="auto"/>
            </w:tcBorders>
            <w:shd w:val="clear" w:color="auto" w:fill="auto"/>
            <w:noWrap/>
            <w:vAlign w:val="bottom"/>
            <w:hideMark/>
          </w:tcPr>
          <w:p w14:paraId="0B5A1016"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26D8F777"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273DC10B"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Taxa pentru drepturile de import export</w:t>
            </w:r>
          </w:p>
        </w:tc>
        <w:tc>
          <w:tcPr>
            <w:tcW w:w="967" w:type="dxa"/>
            <w:tcBorders>
              <w:top w:val="nil"/>
              <w:left w:val="nil"/>
              <w:bottom w:val="single" w:sz="4" w:space="0" w:color="auto"/>
              <w:right w:val="single" w:sz="4" w:space="0" w:color="auto"/>
            </w:tcBorders>
            <w:shd w:val="clear" w:color="auto" w:fill="auto"/>
            <w:noWrap/>
            <w:vAlign w:val="bottom"/>
            <w:hideMark/>
          </w:tcPr>
          <w:p w14:paraId="07238EC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7A2827B9"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2,00</w:t>
            </w:r>
          </w:p>
        </w:tc>
        <w:tc>
          <w:tcPr>
            <w:tcW w:w="1195" w:type="dxa"/>
            <w:tcBorders>
              <w:top w:val="nil"/>
              <w:left w:val="nil"/>
              <w:bottom w:val="single" w:sz="4" w:space="0" w:color="auto"/>
              <w:right w:val="single" w:sz="4" w:space="0" w:color="auto"/>
            </w:tcBorders>
            <w:shd w:val="clear" w:color="auto" w:fill="auto"/>
            <w:noWrap/>
            <w:vAlign w:val="bottom"/>
            <w:hideMark/>
          </w:tcPr>
          <w:p w14:paraId="7188EB73"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2,00</w:t>
            </w:r>
          </w:p>
        </w:tc>
        <w:tc>
          <w:tcPr>
            <w:tcW w:w="1092" w:type="dxa"/>
            <w:tcBorders>
              <w:top w:val="nil"/>
              <w:left w:val="nil"/>
              <w:bottom w:val="single" w:sz="4" w:space="0" w:color="auto"/>
              <w:right w:val="single" w:sz="4" w:space="0" w:color="auto"/>
            </w:tcBorders>
            <w:shd w:val="clear" w:color="auto" w:fill="auto"/>
            <w:hideMark/>
          </w:tcPr>
          <w:p w14:paraId="2CBD95BC"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002629FD"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5325767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5F3ED633"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08AC4D6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55213676"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2,00</w:t>
            </w:r>
          </w:p>
        </w:tc>
        <w:tc>
          <w:tcPr>
            <w:tcW w:w="908" w:type="dxa"/>
            <w:tcBorders>
              <w:top w:val="nil"/>
              <w:left w:val="nil"/>
              <w:bottom w:val="single" w:sz="4" w:space="0" w:color="auto"/>
              <w:right w:val="single" w:sz="4" w:space="0" w:color="auto"/>
            </w:tcBorders>
            <w:shd w:val="clear" w:color="auto" w:fill="auto"/>
            <w:hideMark/>
          </w:tcPr>
          <w:p w14:paraId="76333DDB"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F3067" w:rsidRPr="008860BA" w14:paraId="702F875B"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6C9A6246" w14:textId="7201DAED" w:rsidR="006F3067" w:rsidRPr="008860BA" w:rsidRDefault="006F306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Taxa pentru achizi</w:t>
            </w:r>
            <w:r w:rsidR="00885EE0"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ii publice</w:t>
            </w:r>
          </w:p>
        </w:tc>
        <w:tc>
          <w:tcPr>
            <w:tcW w:w="967" w:type="dxa"/>
            <w:tcBorders>
              <w:top w:val="nil"/>
              <w:left w:val="nil"/>
              <w:bottom w:val="single" w:sz="4" w:space="0" w:color="auto"/>
              <w:right w:val="single" w:sz="4" w:space="0" w:color="auto"/>
            </w:tcBorders>
            <w:shd w:val="clear" w:color="auto" w:fill="auto"/>
            <w:noWrap/>
            <w:vAlign w:val="bottom"/>
            <w:hideMark/>
          </w:tcPr>
          <w:p w14:paraId="79B913A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4C341A87"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29,95</w:t>
            </w:r>
          </w:p>
        </w:tc>
        <w:tc>
          <w:tcPr>
            <w:tcW w:w="1195" w:type="dxa"/>
            <w:tcBorders>
              <w:top w:val="nil"/>
              <w:left w:val="nil"/>
              <w:bottom w:val="single" w:sz="4" w:space="0" w:color="auto"/>
              <w:right w:val="single" w:sz="4" w:space="0" w:color="auto"/>
            </w:tcBorders>
            <w:shd w:val="clear" w:color="auto" w:fill="auto"/>
            <w:noWrap/>
            <w:vAlign w:val="bottom"/>
            <w:hideMark/>
          </w:tcPr>
          <w:p w14:paraId="05EA88AF"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29,95</w:t>
            </w:r>
          </w:p>
        </w:tc>
        <w:tc>
          <w:tcPr>
            <w:tcW w:w="1092" w:type="dxa"/>
            <w:tcBorders>
              <w:top w:val="nil"/>
              <w:left w:val="nil"/>
              <w:bottom w:val="single" w:sz="4" w:space="0" w:color="auto"/>
              <w:right w:val="single" w:sz="4" w:space="0" w:color="auto"/>
            </w:tcBorders>
            <w:shd w:val="clear" w:color="auto" w:fill="auto"/>
            <w:noWrap/>
            <w:vAlign w:val="bottom"/>
            <w:hideMark/>
          </w:tcPr>
          <w:p w14:paraId="118A5AAC"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29,95</w:t>
            </w:r>
          </w:p>
        </w:tc>
        <w:tc>
          <w:tcPr>
            <w:tcW w:w="1224" w:type="dxa"/>
            <w:tcBorders>
              <w:top w:val="nil"/>
              <w:left w:val="nil"/>
              <w:bottom w:val="single" w:sz="4" w:space="0" w:color="auto"/>
              <w:right w:val="single" w:sz="4" w:space="0" w:color="auto"/>
            </w:tcBorders>
            <w:shd w:val="clear" w:color="auto" w:fill="auto"/>
            <w:noWrap/>
            <w:vAlign w:val="bottom"/>
            <w:hideMark/>
          </w:tcPr>
          <w:p w14:paraId="03C53BB3"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408FF2E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hideMark/>
          </w:tcPr>
          <w:p w14:paraId="6D658C0F"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6BBB11FC"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02ADD82D"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noWrap/>
            <w:vAlign w:val="bottom"/>
            <w:hideMark/>
          </w:tcPr>
          <w:p w14:paraId="624AF1EA"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383D7FBD"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6A68ADBC"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Toner</w:t>
            </w:r>
          </w:p>
        </w:tc>
        <w:tc>
          <w:tcPr>
            <w:tcW w:w="967" w:type="dxa"/>
            <w:tcBorders>
              <w:top w:val="nil"/>
              <w:left w:val="nil"/>
              <w:bottom w:val="single" w:sz="4" w:space="0" w:color="auto"/>
              <w:right w:val="single" w:sz="4" w:space="0" w:color="auto"/>
            </w:tcBorders>
            <w:shd w:val="clear" w:color="auto" w:fill="auto"/>
            <w:noWrap/>
            <w:vAlign w:val="bottom"/>
            <w:hideMark/>
          </w:tcPr>
          <w:p w14:paraId="4CDDF2E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79BCF13E"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46,06</w:t>
            </w:r>
          </w:p>
        </w:tc>
        <w:tc>
          <w:tcPr>
            <w:tcW w:w="1195" w:type="dxa"/>
            <w:tcBorders>
              <w:top w:val="nil"/>
              <w:left w:val="nil"/>
              <w:bottom w:val="single" w:sz="4" w:space="0" w:color="auto"/>
              <w:right w:val="single" w:sz="4" w:space="0" w:color="auto"/>
            </w:tcBorders>
            <w:shd w:val="clear" w:color="auto" w:fill="auto"/>
            <w:noWrap/>
            <w:vAlign w:val="bottom"/>
            <w:hideMark/>
          </w:tcPr>
          <w:p w14:paraId="607FC97D"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46,06</w:t>
            </w:r>
          </w:p>
        </w:tc>
        <w:tc>
          <w:tcPr>
            <w:tcW w:w="1092" w:type="dxa"/>
            <w:tcBorders>
              <w:top w:val="nil"/>
              <w:left w:val="nil"/>
              <w:bottom w:val="single" w:sz="4" w:space="0" w:color="auto"/>
              <w:right w:val="single" w:sz="4" w:space="0" w:color="auto"/>
            </w:tcBorders>
            <w:shd w:val="clear" w:color="auto" w:fill="auto"/>
            <w:noWrap/>
            <w:vAlign w:val="bottom"/>
            <w:hideMark/>
          </w:tcPr>
          <w:p w14:paraId="2161A4E4"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46,06</w:t>
            </w:r>
          </w:p>
        </w:tc>
        <w:tc>
          <w:tcPr>
            <w:tcW w:w="1224" w:type="dxa"/>
            <w:tcBorders>
              <w:top w:val="nil"/>
              <w:left w:val="nil"/>
              <w:bottom w:val="single" w:sz="4" w:space="0" w:color="auto"/>
              <w:right w:val="single" w:sz="4" w:space="0" w:color="auto"/>
            </w:tcBorders>
            <w:shd w:val="clear" w:color="auto" w:fill="auto"/>
            <w:noWrap/>
            <w:vAlign w:val="bottom"/>
            <w:hideMark/>
          </w:tcPr>
          <w:p w14:paraId="39FF888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1B26A59A"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hideMark/>
          </w:tcPr>
          <w:p w14:paraId="34ABBBA5"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3B4A735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3237DEF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noWrap/>
            <w:vAlign w:val="bottom"/>
            <w:hideMark/>
          </w:tcPr>
          <w:p w14:paraId="2471AE6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18889D05"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2A5A3DF8" w14:textId="4C38AC7C" w:rsidR="006F3067" w:rsidRPr="008860BA" w:rsidRDefault="006F306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xml:space="preserve">Uzura acumulatoare </w:t>
            </w:r>
            <w:r w:rsidR="00885EE0" w:rsidRPr="008860BA">
              <w:rPr>
                <w:rFonts w:asciiTheme="majorHAnsi" w:eastAsia="Times New Roman" w:hAnsiTheme="majorHAnsi" w:cstheme="majorHAnsi"/>
                <w:sz w:val="18"/>
                <w:szCs w:val="18"/>
                <w:lang w:val="ro-MD"/>
              </w:rPr>
              <w:t>ș</w:t>
            </w:r>
            <w:r w:rsidRPr="008860BA">
              <w:rPr>
                <w:rFonts w:asciiTheme="majorHAnsi" w:eastAsia="Times New Roman" w:hAnsiTheme="majorHAnsi" w:cstheme="majorHAnsi"/>
                <w:sz w:val="18"/>
                <w:szCs w:val="18"/>
                <w:lang w:val="ro-MD"/>
              </w:rPr>
              <w:t>i anvelope</w:t>
            </w:r>
          </w:p>
        </w:tc>
        <w:tc>
          <w:tcPr>
            <w:tcW w:w="967" w:type="dxa"/>
            <w:tcBorders>
              <w:top w:val="nil"/>
              <w:left w:val="nil"/>
              <w:bottom w:val="single" w:sz="4" w:space="0" w:color="auto"/>
              <w:right w:val="single" w:sz="4" w:space="0" w:color="auto"/>
            </w:tcBorders>
            <w:shd w:val="clear" w:color="auto" w:fill="auto"/>
            <w:noWrap/>
            <w:vAlign w:val="bottom"/>
            <w:hideMark/>
          </w:tcPr>
          <w:p w14:paraId="6308116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4791ADF5"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3,05</w:t>
            </w:r>
          </w:p>
        </w:tc>
        <w:tc>
          <w:tcPr>
            <w:tcW w:w="1195" w:type="dxa"/>
            <w:tcBorders>
              <w:top w:val="nil"/>
              <w:left w:val="nil"/>
              <w:bottom w:val="single" w:sz="4" w:space="0" w:color="auto"/>
              <w:right w:val="single" w:sz="4" w:space="0" w:color="auto"/>
            </w:tcBorders>
            <w:shd w:val="clear" w:color="auto" w:fill="auto"/>
            <w:noWrap/>
            <w:vAlign w:val="bottom"/>
            <w:hideMark/>
          </w:tcPr>
          <w:p w14:paraId="3ACB79A7"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3,05</w:t>
            </w:r>
          </w:p>
        </w:tc>
        <w:tc>
          <w:tcPr>
            <w:tcW w:w="1092" w:type="dxa"/>
            <w:tcBorders>
              <w:top w:val="nil"/>
              <w:left w:val="nil"/>
              <w:bottom w:val="single" w:sz="4" w:space="0" w:color="auto"/>
              <w:right w:val="single" w:sz="4" w:space="0" w:color="auto"/>
            </w:tcBorders>
            <w:shd w:val="clear" w:color="auto" w:fill="auto"/>
            <w:noWrap/>
            <w:vAlign w:val="bottom"/>
            <w:hideMark/>
          </w:tcPr>
          <w:p w14:paraId="2B06D9DB"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0,17</w:t>
            </w:r>
          </w:p>
        </w:tc>
        <w:tc>
          <w:tcPr>
            <w:tcW w:w="1224" w:type="dxa"/>
            <w:tcBorders>
              <w:top w:val="nil"/>
              <w:left w:val="nil"/>
              <w:bottom w:val="single" w:sz="4" w:space="0" w:color="auto"/>
              <w:right w:val="single" w:sz="4" w:space="0" w:color="auto"/>
            </w:tcBorders>
            <w:shd w:val="clear" w:color="auto" w:fill="auto"/>
            <w:noWrap/>
            <w:vAlign w:val="bottom"/>
            <w:hideMark/>
          </w:tcPr>
          <w:p w14:paraId="40E06666"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0,84</w:t>
            </w:r>
          </w:p>
        </w:tc>
        <w:tc>
          <w:tcPr>
            <w:tcW w:w="1259" w:type="dxa"/>
            <w:tcBorders>
              <w:top w:val="nil"/>
              <w:left w:val="nil"/>
              <w:bottom w:val="single" w:sz="4" w:space="0" w:color="auto"/>
              <w:right w:val="single" w:sz="4" w:space="0" w:color="auto"/>
            </w:tcBorders>
            <w:shd w:val="clear" w:color="auto" w:fill="auto"/>
            <w:noWrap/>
            <w:vAlign w:val="bottom"/>
            <w:hideMark/>
          </w:tcPr>
          <w:p w14:paraId="7BC5279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hideMark/>
          </w:tcPr>
          <w:p w14:paraId="558D22E6"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2280B76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3F07FEAC"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noWrap/>
            <w:vAlign w:val="bottom"/>
            <w:hideMark/>
          </w:tcPr>
          <w:p w14:paraId="30C1DEAF"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2,04</w:t>
            </w:r>
          </w:p>
        </w:tc>
      </w:tr>
      <w:tr w:rsidR="006F3067" w:rsidRPr="008860BA" w14:paraId="049E3034"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4BFC7A32"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Transfer intern</w:t>
            </w:r>
          </w:p>
        </w:tc>
        <w:tc>
          <w:tcPr>
            <w:tcW w:w="967" w:type="dxa"/>
            <w:tcBorders>
              <w:top w:val="nil"/>
              <w:left w:val="nil"/>
              <w:bottom w:val="single" w:sz="4" w:space="0" w:color="auto"/>
              <w:right w:val="single" w:sz="4" w:space="0" w:color="auto"/>
            </w:tcBorders>
            <w:shd w:val="clear" w:color="auto" w:fill="auto"/>
            <w:noWrap/>
            <w:vAlign w:val="bottom"/>
            <w:hideMark/>
          </w:tcPr>
          <w:p w14:paraId="2FE89E8A"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0A16EDD3"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2,06</w:t>
            </w:r>
          </w:p>
        </w:tc>
        <w:tc>
          <w:tcPr>
            <w:tcW w:w="1195" w:type="dxa"/>
            <w:tcBorders>
              <w:top w:val="nil"/>
              <w:left w:val="nil"/>
              <w:bottom w:val="single" w:sz="4" w:space="0" w:color="auto"/>
              <w:right w:val="single" w:sz="4" w:space="0" w:color="auto"/>
            </w:tcBorders>
            <w:shd w:val="clear" w:color="auto" w:fill="auto"/>
            <w:noWrap/>
            <w:vAlign w:val="bottom"/>
            <w:hideMark/>
          </w:tcPr>
          <w:p w14:paraId="2CAE7B64"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2,06</w:t>
            </w:r>
          </w:p>
        </w:tc>
        <w:tc>
          <w:tcPr>
            <w:tcW w:w="1092" w:type="dxa"/>
            <w:tcBorders>
              <w:top w:val="nil"/>
              <w:left w:val="nil"/>
              <w:bottom w:val="single" w:sz="4" w:space="0" w:color="auto"/>
              <w:right w:val="single" w:sz="4" w:space="0" w:color="auto"/>
            </w:tcBorders>
            <w:shd w:val="clear" w:color="auto" w:fill="auto"/>
            <w:hideMark/>
          </w:tcPr>
          <w:p w14:paraId="3CC06699"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0,00</w:t>
            </w:r>
          </w:p>
        </w:tc>
        <w:tc>
          <w:tcPr>
            <w:tcW w:w="1224" w:type="dxa"/>
            <w:tcBorders>
              <w:top w:val="nil"/>
              <w:left w:val="nil"/>
              <w:bottom w:val="single" w:sz="4" w:space="0" w:color="auto"/>
              <w:right w:val="single" w:sz="4" w:space="0" w:color="auto"/>
            </w:tcBorders>
            <w:shd w:val="clear" w:color="auto" w:fill="auto"/>
            <w:noWrap/>
            <w:vAlign w:val="bottom"/>
            <w:hideMark/>
          </w:tcPr>
          <w:p w14:paraId="3C2CC90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1D2A173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hideMark/>
          </w:tcPr>
          <w:p w14:paraId="72CA9AB5"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619E1540"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08A23010"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2,06</w:t>
            </w:r>
          </w:p>
        </w:tc>
        <w:tc>
          <w:tcPr>
            <w:tcW w:w="908" w:type="dxa"/>
            <w:tcBorders>
              <w:top w:val="nil"/>
              <w:left w:val="nil"/>
              <w:bottom w:val="single" w:sz="4" w:space="0" w:color="auto"/>
              <w:right w:val="single" w:sz="4" w:space="0" w:color="auto"/>
            </w:tcBorders>
            <w:shd w:val="clear" w:color="auto" w:fill="auto"/>
            <w:hideMark/>
          </w:tcPr>
          <w:p w14:paraId="511A9A4C"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0,00</w:t>
            </w:r>
          </w:p>
        </w:tc>
      </w:tr>
      <w:tr w:rsidR="006F3067" w:rsidRPr="008860BA" w14:paraId="58CC0567"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43ABDF28"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Uzura OMVSD</w:t>
            </w:r>
          </w:p>
        </w:tc>
        <w:tc>
          <w:tcPr>
            <w:tcW w:w="967" w:type="dxa"/>
            <w:tcBorders>
              <w:top w:val="nil"/>
              <w:left w:val="nil"/>
              <w:bottom w:val="single" w:sz="4" w:space="0" w:color="auto"/>
              <w:right w:val="single" w:sz="4" w:space="0" w:color="auto"/>
            </w:tcBorders>
            <w:shd w:val="clear" w:color="auto" w:fill="auto"/>
            <w:noWrap/>
            <w:vAlign w:val="bottom"/>
            <w:hideMark/>
          </w:tcPr>
          <w:p w14:paraId="339CD813"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231A22E0"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253,93</w:t>
            </w:r>
          </w:p>
        </w:tc>
        <w:tc>
          <w:tcPr>
            <w:tcW w:w="1195" w:type="dxa"/>
            <w:tcBorders>
              <w:top w:val="nil"/>
              <w:left w:val="nil"/>
              <w:bottom w:val="single" w:sz="4" w:space="0" w:color="auto"/>
              <w:right w:val="single" w:sz="4" w:space="0" w:color="auto"/>
            </w:tcBorders>
            <w:shd w:val="clear" w:color="auto" w:fill="auto"/>
            <w:noWrap/>
            <w:vAlign w:val="bottom"/>
            <w:hideMark/>
          </w:tcPr>
          <w:p w14:paraId="3CB8BA46"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253,93</w:t>
            </w:r>
          </w:p>
        </w:tc>
        <w:tc>
          <w:tcPr>
            <w:tcW w:w="1092" w:type="dxa"/>
            <w:tcBorders>
              <w:top w:val="nil"/>
              <w:left w:val="nil"/>
              <w:bottom w:val="single" w:sz="4" w:space="0" w:color="auto"/>
              <w:right w:val="single" w:sz="4" w:space="0" w:color="auto"/>
            </w:tcBorders>
            <w:shd w:val="clear" w:color="auto" w:fill="auto"/>
            <w:noWrap/>
            <w:vAlign w:val="bottom"/>
            <w:hideMark/>
          </w:tcPr>
          <w:p w14:paraId="15CEF389"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102,04</w:t>
            </w:r>
          </w:p>
        </w:tc>
        <w:tc>
          <w:tcPr>
            <w:tcW w:w="1224" w:type="dxa"/>
            <w:tcBorders>
              <w:top w:val="nil"/>
              <w:left w:val="nil"/>
              <w:bottom w:val="single" w:sz="4" w:space="0" w:color="auto"/>
              <w:right w:val="single" w:sz="4" w:space="0" w:color="auto"/>
            </w:tcBorders>
            <w:shd w:val="clear" w:color="auto" w:fill="auto"/>
            <w:noWrap/>
            <w:vAlign w:val="bottom"/>
            <w:hideMark/>
          </w:tcPr>
          <w:p w14:paraId="3F619C05"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1,09</w:t>
            </w:r>
          </w:p>
        </w:tc>
        <w:tc>
          <w:tcPr>
            <w:tcW w:w="1259" w:type="dxa"/>
            <w:tcBorders>
              <w:top w:val="nil"/>
              <w:left w:val="nil"/>
              <w:bottom w:val="single" w:sz="4" w:space="0" w:color="auto"/>
              <w:right w:val="single" w:sz="4" w:space="0" w:color="auto"/>
            </w:tcBorders>
            <w:shd w:val="clear" w:color="auto" w:fill="auto"/>
            <w:noWrap/>
            <w:vAlign w:val="bottom"/>
            <w:hideMark/>
          </w:tcPr>
          <w:p w14:paraId="1EAB5013"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2D2B9DBA"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7D4EC494"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51D86411"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15,40</w:t>
            </w:r>
          </w:p>
        </w:tc>
        <w:tc>
          <w:tcPr>
            <w:tcW w:w="908" w:type="dxa"/>
            <w:tcBorders>
              <w:top w:val="nil"/>
              <w:left w:val="nil"/>
              <w:bottom w:val="single" w:sz="4" w:space="0" w:color="auto"/>
              <w:right w:val="single" w:sz="4" w:space="0" w:color="auto"/>
            </w:tcBorders>
            <w:shd w:val="clear" w:color="auto" w:fill="auto"/>
            <w:noWrap/>
            <w:vAlign w:val="bottom"/>
            <w:hideMark/>
          </w:tcPr>
          <w:p w14:paraId="7583B537"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135,40</w:t>
            </w:r>
          </w:p>
        </w:tc>
      </w:tr>
      <w:tr w:rsidR="006F3067" w:rsidRPr="008860BA" w14:paraId="2FC41497"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noWrap/>
            <w:vAlign w:val="bottom"/>
            <w:hideMark/>
          </w:tcPr>
          <w:p w14:paraId="25F8152A"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Cheltuieli administrative</w:t>
            </w:r>
          </w:p>
        </w:tc>
        <w:tc>
          <w:tcPr>
            <w:tcW w:w="967" w:type="dxa"/>
            <w:tcBorders>
              <w:top w:val="nil"/>
              <w:left w:val="nil"/>
              <w:bottom w:val="single" w:sz="4" w:space="0" w:color="auto"/>
              <w:right w:val="single" w:sz="4" w:space="0" w:color="auto"/>
            </w:tcBorders>
            <w:shd w:val="clear" w:color="auto" w:fill="auto"/>
            <w:noWrap/>
            <w:vAlign w:val="bottom"/>
            <w:hideMark/>
          </w:tcPr>
          <w:p w14:paraId="3950B071"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713</w:t>
            </w:r>
          </w:p>
        </w:tc>
        <w:tc>
          <w:tcPr>
            <w:tcW w:w="1099" w:type="dxa"/>
            <w:tcBorders>
              <w:top w:val="single" w:sz="8" w:space="0" w:color="auto"/>
              <w:left w:val="nil"/>
              <w:bottom w:val="nil"/>
              <w:right w:val="single" w:sz="4" w:space="0" w:color="auto"/>
            </w:tcBorders>
            <w:shd w:val="clear" w:color="auto" w:fill="auto"/>
            <w:hideMark/>
          </w:tcPr>
          <w:p w14:paraId="678DC421" w14:textId="77777777" w:rsidR="006F3067" w:rsidRPr="008860BA" w:rsidRDefault="006F3067" w:rsidP="00332FF7">
            <w:pPr>
              <w:spacing w:after="0" w:line="240" w:lineRule="auto"/>
              <w:jc w:val="right"/>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8.155,06</w:t>
            </w:r>
          </w:p>
        </w:tc>
        <w:tc>
          <w:tcPr>
            <w:tcW w:w="1195" w:type="dxa"/>
            <w:tcBorders>
              <w:top w:val="nil"/>
              <w:left w:val="nil"/>
              <w:bottom w:val="single" w:sz="4" w:space="0" w:color="auto"/>
              <w:right w:val="single" w:sz="4" w:space="0" w:color="auto"/>
            </w:tcBorders>
            <w:shd w:val="clear" w:color="auto" w:fill="auto"/>
            <w:noWrap/>
            <w:vAlign w:val="bottom"/>
            <w:hideMark/>
          </w:tcPr>
          <w:p w14:paraId="44AA011A"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8.155,06</w:t>
            </w:r>
          </w:p>
        </w:tc>
        <w:tc>
          <w:tcPr>
            <w:tcW w:w="1092" w:type="dxa"/>
            <w:tcBorders>
              <w:top w:val="nil"/>
              <w:left w:val="nil"/>
              <w:bottom w:val="single" w:sz="4" w:space="0" w:color="auto"/>
              <w:right w:val="single" w:sz="4" w:space="0" w:color="auto"/>
            </w:tcBorders>
            <w:shd w:val="clear" w:color="auto" w:fill="auto"/>
            <w:noWrap/>
            <w:vAlign w:val="bottom"/>
            <w:hideMark/>
          </w:tcPr>
          <w:p w14:paraId="48F9177D"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7.830,64</w:t>
            </w:r>
          </w:p>
        </w:tc>
        <w:tc>
          <w:tcPr>
            <w:tcW w:w="1224" w:type="dxa"/>
            <w:tcBorders>
              <w:top w:val="nil"/>
              <w:left w:val="nil"/>
              <w:bottom w:val="single" w:sz="4" w:space="0" w:color="auto"/>
              <w:right w:val="single" w:sz="4" w:space="0" w:color="auto"/>
            </w:tcBorders>
            <w:shd w:val="clear" w:color="auto" w:fill="auto"/>
            <w:noWrap/>
            <w:vAlign w:val="bottom"/>
            <w:hideMark/>
          </w:tcPr>
          <w:p w14:paraId="1706F679"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3,32</w:t>
            </w:r>
          </w:p>
        </w:tc>
        <w:tc>
          <w:tcPr>
            <w:tcW w:w="1259" w:type="dxa"/>
            <w:tcBorders>
              <w:top w:val="nil"/>
              <w:left w:val="nil"/>
              <w:bottom w:val="single" w:sz="4" w:space="0" w:color="auto"/>
              <w:right w:val="single" w:sz="4" w:space="0" w:color="auto"/>
            </w:tcBorders>
            <w:shd w:val="clear" w:color="auto" w:fill="auto"/>
            <w:noWrap/>
            <w:vAlign w:val="bottom"/>
            <w:hideMark/>
          </w:tcPr>
          <w:p w14:paraId="012A2E31"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4A3AC40C"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251,06</w:t>
            </w:r>
          </w:p>
        </w:tc>
        <w:tc>
          <w:tcPr>
            <w:tcW w:w="822" w:type="dxa"/>
            <w:tcBorders>
              <w:top w:val="nil"/>
              <w:left w:val="nil"/>
              <w:bottom w:val="single" w:sz="4" w:space="0" w:color="auto"/>
              <w:right w:val="single" w:sz="4" w:space="0" w:color="auto"/>
            </w:tcBorders>
            <w:shd w:val="clear" w:color="auto" w:fill="auto"/>
            <w:noWrap/>
            <w:vAlign w:val="bottom"/>
            <w:hideMark/>
          </w:tcPr>
          <w:p w14:paraId="4B7FEDAE"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29,24</w:t>
            </w:r>
          </w:p>
        </w:tc>
        <w:tc>
          <w:tcPr>
            <w:tcW w:w="822" w:type="dxa"/>
            <w:tcBorders>
              <w:top w:val="nil"/>
              <w:left w:val="nil"/>
              <w:bottom w:val="single" w:sz="4" w:space="0" w:color="auto"/>
              <w:right w:val="single" w:sz="4" w:space="0" w:color="auto"/>
            </w:tcBorders>
            <w:shd w:val="clear" w:color="auto" w:fill="auto"/>
            <w:noWrap/>
            <w:vAlign w:val="bottom"/>
            <w:hideMark/>
          </w:tcPr>
          <w:p w14:paraId="05CE120B"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40,80</w:t>
            </w:r>
          </w:p>
        </w:tc>
        <w:tc>
          <w:tcPr>
            <w:tcW w:w="908" w:type="dxa"/>
            <w:tcBorders>
              <w:top w:val="nil"/>
              <w:left w:val="nil"/>
              <w:bottom w:val="single" w:sz="4" w:space="0" w:color="auto"/>
              <w:right w:val="single" w:sz="4" w:space="0" w:color="auto"/>
            </w:tcBorders>
            <w:shd w:val="clear" w:color="auto" w:fill="auto"/>
            <w:noWrap/>
            <w:vAlign w:val="bottom"/>
            <w:hideMark/>
          </w:tcPr>
          <w:p w14:paraId="4D96DDB4"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r>
      <w:tr w:rsidR="006F3067" w:rsidRPr="008860BA" w14:paraId="36FD3938"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noWrap/>
            <w:vAlign w:val="bottom"/>
            <w:hideMark/>
          </w:tcPr>
          <w:p w14:paraId="1056A24D" w14:textId="235D58A8" w:rsidR="006F3067" w:rsidRPr="008860BA" w:rsidRDefault="006F306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Fondul social (24%)</w:t>
            </w:r>
          </w:p>
        </w:tc>
        <w:tc>
          <w:tcPr>
            <w:tcW w:w="967" w:type="dxa"/>
            <w:tcBorders>
              <w:top w:val="nil"/>
              <w:left w:val="nil"/>
              <w:bottom w:val="single" w:sz="4" w:space="0" w:color="auto"/>
              <w:right w:val="single" w:sz="4" w:space="0" w:color="auto"/>
            </w:tcBorders>
            <w:shd w:val="clear" w:color="auto" w:fill="auto"/>
            <w:noWrap/>
            <w:vAlign w:val="bottom"/>
            <w:hideMark/>
          </w:tcPr>
          <w:p w14:paraId="669D155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3348EC12"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1.542,14</w:t>
            </w:r>
          </w:p>
        </w:tc>
        <w:tc>
          <w:tcPr>
            <w:tcW w:w="1195" w:type="dxa"/>
            <w:tcBorders>
              <w:top w:val="nil"/>
              <w:left w:val="nil"/>
              <w:bottom w:val="single" w:sz="4" w:space="0" w:color="auto"/>
              <w:right w:val="single" w:sz="4" w:space="0" w:color="auto"/>
            </w:tcBorders>
            <w:shd w:val="clear" w:color="auto" w:fill="auto"/>
            <w:noWrap/>
            <w:vAlign w:val="bottom"/>
            <w:hideMark/>
          </w:tcPr>
          <w:p w14:paraId="0F95483B"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1.542,14</w:t>
            </w:r>
          </w:p>
        </w:tc>
        <w:tc>
          <w:tcPr>
            <w:tcW w:w="1092" w:type="dxa"/>
            <w:tcBorders>
              <w:top w:val="nil"/>
              <w:left w:val="nil"/>
              <w:bottom w:val="nil"/>
              <w:right w:val="single" w:sz="4" w:space="0" w:color="auto"/>
            </w:tcBorders>
            <w:shd w:val="clear" w:color="auto" w:fill="auto"/>
            <w:hideMark/>
          </w:tcPr>
          <w:p w14:paraId="6D00C32B"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1.491,05</w:t>
            </w:r>
          </w:p>
        </w:tc>
        <w:tc>
          <w:tcPr>
            <w:tcW w:w="1224" w:type="dxa"/>
            <w:tcBorders>
              <w:top w:val="nil"/>
              <w:left w:val="nil"/>
              <w:bottom w:val="single" w:sz="4" w:space="0" w:color="auto"/>
              <w:right w:val="single" w:sz="4" w:space="0" w:color="auto"/>
            </w:tcBorders>
            <w:shd w:val="clear" w:color="auto" w:fill="auto"/>
            <w:noWrap/>
            <w:vAlign w:val="bottom"/>
            <w:hideMark/>
          </w:tcPr>
          <w:p w14:paraId="514C2A40"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71FDCD2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nil"/>
              <w:right w:val="single" w:sz="4" w:space="0" w:color="auto"/>
            </w:tcBorders>
            <w:shd w:val="clear" w:color="auto" w:fill="auto"/>
            <w:hideMark/>
          </w:tcPr>
          <w:p w14:paraId="30B49E06"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42,70</w:t>
            </w:r>
          </w:p>
        </w:tc>
        <w:tc>
          <w:tcPr>
            <w:tcW w:w="822" w:type="dxa"/>
            <w:tcBorders>
              <w:top w:val="nil"/>
              <w:left w:val="nil"/>
              <w:bottom w:val="single" w:sz="4" w:space="0" w:color="auto"/>
              <w:right w:val="single" w:sz="4" w:space="0" w:color="auto"/>
            </w:tcBorders>
            <w:shd w:val="clear" w:color="auto" w:fill="auto"/>
            <w:noWrap/>
            <w:vAlign w:val="bottom"/>
            <w:hideMark/>
          </w:tcPr>
          <w:p w14:paraId="1C1F1709"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5,60</w:t>
            </w:r>
          </w:p>
        </w:tc>
        <w:tc>
          <w:tcPr>
            <w:tcW w:w="822" w:type="dxa"/>
            <w:tcBorders>
              <w:top w:val="nil"/>
              <w:left w:val="nil"/>
              <w:bottom w:val="nil"/>
              <w:right w:val="single" w:sz="4" w:space="0" w:color="auto"/>
            </w:tcBorders>
            <w:shd w:val="clear" w:color="auto" w:fill="auto"/>
            <w:hideMark/>
          </w:tcPr>
          <w:p w14:paraId="6FC3795A"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2,78</w:t>
            </w:r>
          </w:p>
        </w:tc>
        <w:tc>
          <w:tcPr>
            <w:tcW w:w="908" w:type="dxa"/>
            <w:tcBorders>
              <w:top w:val="nil"/>
              <w:left w:val="nil"/>
              <w:bottom w:val="single" w:sz="4" w:space="0" w:color="auto"/>
              <w:right w:val="single" w:sz="4" w:space="0" w:color="auto"/>
            </w:tcBorders>
            <w:shd w:val="clear" w:color="auto" w:fill="auto"/>
            <w:noWrap/>
            <w:vAlign w:val="bottom"/>
            <w:hideMark/>
          </w:tcPr>
          <w:p w14:paraId="39135DA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473B4E49"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noWrap/>
            <w:vAlign w:val="bottom"/>
            <w:hideMark/>
          </w:tcPr>
          <w:p w14:paraId="2B88F9DA"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Remunerarea muncii</w:t>
            </w:r>
          </w:p>
        </w:tc>
        <w:tc>
          <w:tcPr>
            <w:tcW w:w="967" w:type="dxa"/>
            <w:tcBorders>
              <w:top w:val="nil"/>
              <w:left w:val="nil"/>
              <w:bottom w:val="single" w:sz="4" w:space="0" w:color="auto"/>
              <w:right w:val="single" w:sz="4" w:space="0" w:color="auto"/>
            </w:tcBorders>
            <w:shd w:val="clear" w:color="auto" w:fill="auto"/>
            <w:noWrap/>
            <w:vAlign w:val="bottom"/>
            <w:hideMark/>
          </w:tcPr>
          <w:p w14:paraId="40E5F83C"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noWrap/>
            <w:vAlign w:val="bottom"/>
            <w:hideMark/>
          </w:tcPr>
          <w:p w14:paraId="5171000B"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6.425,59</w:t>
            </w:r>
          </w:p>
        </w:tc>
        <w:tc>
          <w:tcPr>
            <w:tcW w:w="1195" w:type="dxa"/>
            <w:tcBorders>
              <w:top w:val="nil"/>
              <w:left w:val="nil"/>
              <w:bottom w:val="single" w:sz="4" w:space="0" w:color="auto"/>
              <w:right w:val="single" w:sz="4" w:space="0" w:color="auto"/>
            </w:tcBorders>
            <w:shd w:val="clear" w:color="auto" w:fill="auto"/>
            <w:noWrap/>
            <w:vAlign w:val="bottom"/>
            <w:hideMark/>
          </w:tcPr>
          <w:p w14:paraId="771B9590"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6.425,59</w:t>
            </w:r>
          </w:p>
        </w:tc>
        <w:tc>
          <w:tcPr>
            <w:tcW w:w="1092" w:type="dxa"/>
            <w:tcBorders>
              <w:top w:val="single" w:sz="4" w:space="0" w:color="auto"/>
              <w:left w:val="nil"/>
              <w:bottom w:val="nil"/>
              <w:right w:val="single" w:sz="4" w:space="0" w:color="auto"/>
            </w:tcBorders>
            <w:shd w:val="clear" w:color="auto" w:fill="auto"/>
            <w:hideMark/>
          </w:tcPr>
          <w:p w14:paraId="7845A0E8"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6.212,72</w:t>
            </w:r>
          </w:p>
        </w:tc>
        <w:tc>
          <w:tcPr>
            <w:tcW w:w="1224" w:type="dxa"/>
            <w:tcBorders>
              <w:top w:val="nil"/>
              <w:left w:val="nil"/>
              <w:bottom w:val="single" w:sz="4" w:space="0" w:color="auto"/>
              <w:right w:val="single" w:sz="4" w:space="0" w:color="auto"/>
            </w:tcBorders>
            <w:shd w:val="clear" w:color="auto" w:fill="auto"/>
            <w:noWrap/>
            <w:vAlign w:val="bottom"/>
            <w:hideMark/>
          </w:tcPr>
          <w:p w14:paraId="223ADE3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476AC5A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single" w:sz="4" w:space="0" w:color="auto"/>
              <w:left w:val="nil"/>
              <w:bottom w:val="nil"/>
              <w:right w:val="single" w:sz="4" w:space="0" w:color="auto"/>
            </w:tcBorders>
            <w:shd w:val="clear" w:color="auto" w:fill="auto"/>
            <w:hideMark/>
          </w:tcPr>
          <w:p w14:paraId="662D9F49"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177,93</w:t>
            </w:r>
          </w:p>
        </w:tc>
        <w:tc>
          <w:tcPr>
            <w:tcW w:w="822" w:type="dxa"/>
            <w:tcBorders>
              <w:top w:val="nil"/>
              <w:left w:val="nil"/>
              <w:bottom w:val="single" w:sz="4" w:space="0" w:color="auto"/>
              <w:right w:val="single" w:sz="4" w:space="0" w:color="auto"/>
            </w:tcBorders>
            <w:shd w:val="clear" w:color="auto" w:fill="auto"/>
            <w:noWrap/>
            <w:vAlign w:val="bottom"/>
            <w:hideMark/>
          </w:tcPr>
          <w:p w14:paraId="7F44AAE0"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23,35</w:t>
            </w:r>
          </w:p>
        </w:tc>
        <w:tc>
          <w:tcPr>
            <w:tcW w:w="822" w:type="dxa"/>
            <w:tcBorders>
              <w:top w:val="single" w:sz="4" w:space="0" w:color="auto"/>
              <w:left w:val="nil"/>
              <w:bottom w:val="nil"/>
              <w:right w:val="single" w:sz="4" w:space="0" w:color="auto"/>
            </w:tcBorders>
            <w:shd w:val="clear" w:color="auto" w:fill="auto"/>
            <w:hideMark/>
          </w:tcPr>
          <w:p w14:paraId="085C6125"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11,59</w:t>
            </w:r>
          </w:p>
        </w:tc>
        <w:tc>
          <w:tcPr>
            <w:tcW w:w="908" w:type="dxa"/>
            <w:tcBorders>
              <w:top w:val="nil"/>
              <w:left w:val="nil"/>
              <w:bottom w:val="single" w:sz="4" w:space="0" w:color="auto"/>
              <w:right w:val="single" w:sz="4" w:space="0" w:color="auto"/>
            </w:tcBorders>
            <w:shd w:val="clear" w:color="auto" w:fill="auto"/>
            <w:noWrap/>
            <w:vAlign w:val="bottom"/>
            <w:hideMark/>
          </w:tcPr>
          <w:p w14:paraId="5B076F07"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4DE80801"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noWrap/>
            <w:vAlign w:val="bottom"/>
            <w:hideMark/>
          </w:tcPr>
          <w:p w14:paraId="49373231" w14:textId="55D75793" w:rsidR="006F3067" w:rsidRPr="008860BA" w:rsidRDefault="00304C60"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Incapacitate temporară de muncă</w:t>
            </w:r>
          </w:p>
        </w:tc>
        <w:tc>
          <w:tcPr>
            <w:tcW w:w="967" w:type="dxa"/>
            <w:tcBorders>
              <w:top w:val="nil"/>
              <w:left w:val="nil"/>
              <w:bottom w:val="single" w:sz="4" w:space="0" w:color="auto"/>
              <w:right w:val="single" w:sz="4" w:space="0" w:color="auto"/>
            </w:tcBorders>
            <w:shd w:val="clear" w:color="auto" w:fill="auto"/>
            <w:noWrap/>
            <w:vAlign w:val="bottom"/>
            <w:hideMark/>
          </w:tcPr>
          <w:p w14:paraId="658D5C50"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noWrap/>
            <w:vAlign w:val="bottom"/>
            <w:hideMark/>
          </w:tcPr>
          <w:p w14:paraId="7B1B5315"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161,02</w:t>
            </w:r>
          </w:p>
        </w:tc>
        <w:tc>
          <w:tcPr>
            <w:tcW w:w="1195" w:type="dxa"/>
            <w:tcBorders>
              <w:top w:val="nil"/>
              <w:left w:val="nil"/>
              <w:bottom w:val="single" w:sz="4" w:space="0" w:color="auto"/>
              <w:right w:val="single" w:sz="4" w:space="0" w:color="auto"/>
            </w:tcBorders>
            <w:shd w:val="clear" w:color="auto" w:fill="auto"/>
            <w:noWrap/>
            <w:vAlign w:val="bottom"/>
            <w:hideMark/>
          </w:tcPr>
          <w:p w14:paraId="624F4DA7"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161,02</w:t>
            </w:r>
          </w:p>
        </w:tc>
        <w:tc>
          <w:tcPr>
            <w:tcW w:w="1092" w:type="dxa"/>
            <w:tcBorders>
              <w:top w:val="single" w:sz="4" w:space="0" w:color="auto"/>
              <w:left w:val="nil"/>
              <w:bottom w:val="nil"/>
              <w:right w:val="single" w:sz="4" w:space="0" w:color="auto"/>
            </w:tcBorders>
            <w:shd w:val="clear" w:color="auto" w:fill="auto"/>
            <w:hideMark/>
          </w:tcPr>
          <w:p w14:paraId="1762F7C8"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126,86</w:t>
            </w:r>
          </w:p>
        </w:tc>
        <w:tc>
          <w:tcPr>
            <w:tcW w:w="1224" w:type="dxa"/>
            <w:tcBorders>
              <w:top w:val="nil"/>
              <w:left w:val="nil"/>
              <w:bottom w:val="single" w:sz="4" w:space="0" w:color="auto"/>
              <w:right w:val="single" w:sz="4" w:space="0" w:color="auto"/>
            </w:tcBorders>
            <w:shd w:val="clear" w:color="auto" w:fill="auto"/>
            <w:noWrap/>
            <w:vAlign w:val="bottom"/>
            <w:hideMark/>
          </w:tcPr>
          <w:p w14:paraId="4AC86DA7"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nil"/>
              <w:right w:val="nil"/>
            </w:tcBorders>
            <w:shd w:val="clear" w:color="auto" w:fill="auto"/>
            <w:noWrap/>
            <w:vAlign w:val="bottom"/>
            <w:hideMark/>
          </w:tcPr>
          <w:p w14:paraId="062369C7"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D9D0F"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30,43</w:t>
            </w:r>
          </w:p>
        </w:tc>
        <w:tc>
          <w:tcPr>
            <w:tcW w:w="822" w:type="dxa"/>
            <w:tcBorders>
              <w:top w:val="nil"/>
              <w:left w:val="nil"/>
              <w:bottom w:val="single" w:sz="4" w:space="0" w:color="auto"/>
              <w:right w:val="single" w:sz="4" w:space="0" w:color="auto"/>
            </w:tcBorders>
            <w:shd w:val="clear" w:color="auto" w:fill="auto"/>
            <w:noWrap/>
            <w:vAlign w:val="bottom"/>
            <w:hideMark/>
          </w:tcPr>
          <w:p w14:paraId="149F10E8"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0,29</w:t>
            </w:r>
          </w:p>
        </w:tc>
        <w:tc>
          <w:tcPr>
            <w:tcW w:w="822" w:type="dxa"/>
            <w:tcBorders>
              <w:top w:val="single" w:sz="4" w:space="0" w:color="auto"/>
              <w:left w:val="nil"/>
              <w:bottom w:val="nil"/>
              <w:right w:val="single" w:sz="4" w:space="0" w:color="auto"/>
            </w:tcBorders>
            <w:shd w:val="clear" w:color="auto" w:fill="auto"/>
            <w:hideMark/>
          </w:tcPr>
          <w:p w14:paraId="3558608F"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0,12</w:t>
            </w:r>
          </w:p>
        </w:tc>
        <w:tc>
          <w:tcPr>
            <w:tcW w:w="908" w:type="dxa"/>
            <w:tcBorders>
              <w:top w:val="nil"/>
              <w:left w:val="nil"/>
              <w:bottom w:val="single" w:sz="4" w:space="0" w:color="auto"/>
              <w:right w:val="single" w:sz="4" w:space="0" w:color="auto"/>
            </w:tcBorders>
            <w:shd w:val="clear" w:color="auto" w:fill="auto"/>
            <w:noWrap/>
            <w:vAlign w:val="bottom"/>
            <w:hideMark/>
          </w:tcPr>
          <w:p w14:paraId="1A7D245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39168D8E"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noWrap/>
            <w:vAlign w:val="bottom"/>
            <w:hideMark/>
          </w:tcPr>
          <w:p w14:paraId="5987E58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Taxa pentru drum</w:t>
            </w:r>
          </w:p>
        </w:tc>
        <w:tc>
          <w:tcPr>
            <w:tcW w:w="967" w:type="dxa"/>
            <w:tcBorders>
              <w:top w:val="nil"/>
              <w:left w:val="nil"/>
              <w:bottom w:val="single" w:sz="4" w:space="0" w:color="auto"/>
              <w:right w:val="single" w:sz="4" w:space="0" w:color="auto"/>
            </w:tcBorders>
            <w:shd w:val="clear" w:color="auto" w:fill="auto"/>
            <w:noWrap/>
            <w:vAlign w:val="bottom"/>
            <w:hideMark/>
          </w:tcPr>
          <w:p w14:paraId="4D7C693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noWrap/>
            <w:vAlign w:val="bottom"/>
            <w:hideMark/>
          </w:tcPr>
          <w:p w14:paraId="38DD5DA4"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26,31</w:t>
            </w:r>
          </w:p>
        </w:tc>
        <w:tc>
          <w:tcPr>
            <w:tcW w:w="1195" w:type="dxa"/>
            <w:tcBorders>
              <w:top w:val="nil"/>
              <w:left w:val="nil"/>
              <w:bottom w:val="single" w:sz="4" w:space="0" w:color="auto"/>
              <w:right w:val="single" w:sz="4" w:space="0" w:color="auto"/>
            </w:tcBorders>
            <w:shd w:val="clear" w:color="auto" w:fill="auto"/>
            <w:noWrap/>
            <w:vAlign w:val="bottom"/>
            <w:hideMark/>
          </w:tcPr>
          <w:p w14:paraId="1F5E1D52"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26,31</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14:paraId="789783DD"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67AAB483"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14:paraId="1ADBEFEA"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028FB42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5E00302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single" w:sz="4" w:space="0" w:color="auto"/>
              <w:left w:val="nil"/>
              <w:bottom w:val="nil"/>
              <w:right w:val="single" w:sz="4" w:space="0" w:color="auto"/>
            </w:tcBorders>
            <w:shd w:val="clear" w:color="auto" w:fill="auto"/>
            <w:hideMark/>
          </w:tcPr>
          <w:p w14:paraId="4845755C"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26,31</w:t>
            </w:r>
          </w:p>
        </w:tc>
        <w:tc>
          <w:tcPr>
            <w:tcW w:w="908" w:type="dxa"/>
            <w:tcBorders>
              <w:top w:val="nil"/>
              <w:left w:val="nil"/>
              <w:bottom w:val="single" w:sz="4" w:space="0" w:color="auto"/>
              <w:right w:val="single" w:sz="4" w:space="0" w:color="auto"/>
            </w:tcBorders>
            <w:shd w:val="clear" w:color="auto" w:fill="auto"/>
            <w:hideMark/>
          </w:tcPr>
          <w:p w14:paraId="2BB425B0"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F3067" w:rsidRPr="008860BA" w14:paraId="74F5D77A"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vAlign w:val="bottom"/>
            <w:hideMark/>
          </w:tcPr>
          <w:p w14:paraId="31415867"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Alte cheltuieli</w:t>
            </w:r>
          </w:p>
        </w:tc>
        <w:tc>
          <w:tcPr>
            <w:tcW w:w="967" w:type="dxa"/>
            <w:tcBorders>
              <w:top w:val="nil"/>
              <w:left w:val="nil"/>
              <w:bottom w:val="single" w:sz="4" w:space="0" w:color="auto"/>
              <w:right w:val="single" w:sz="4" w:space="0" w:color="auto"/>
            </w:tcBorders>
            <w:shd w:val="clear" w:color="auto" w:fill="auto"/>
            <w:vAlign w:val="bottom"/>
            <w:hideMark/>
          </w:tcPr>
          <w:p w14:paraId="32E93CC3"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714</w:t>
            </w:r>
          </w:p>
        </w:tc>
        <w:tc>
          <w:tcPr>
            <w:tcW w:w="1099" w:type="dxa"/>
            <w:tcBorders>
              <w:top w:val="nil"/>
              <w:left w:val="nil"/>
              <w:bottom w:val="single" w:sz="4" w:space="0" w:color="auto"/>
              <w:right w:val="single" w:sz="4" w:space="0" w:color="auto"/>
            </w:tcBorders>
            <w:shd w:val="clear" w:color="auto" w:fill="auto"/>
            <w:vAlign w:val="bottom"/>
            <w:hideMark/>
          </w:tcPr>
          <w:p w14:paraId="38CCDA69"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91,17</w:t>
            </w:r>
          </w:p>
        </w:tc>
        <w:tc>
          <w:tcPr>
            <w:tcW w:w="1195" w:type="dxa"/>
            <w:tcBorders>
              <w:top w:val="nil"/>
              <w:left w:val="nil"/>
              <w:bottom w:val="single" w:sz="4" w:space="0" w:color="auto"/>
              <w:right w:val="single" w:sz="4" w:space="0" w:color="auto"/>
            </w:tcBorders>
            <w:shd w:val="clear" w:color="auto" w:fill="auto"/>
            <w:noWrap/>
            <w:vAlign w:val="bottom"/>
            <w:hideMark/>
          </w:tcPr>
          <w:p w14:paraId="25E3B242"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91,17</w:t>
            </w:r>
          </w:p>
        </w:tc>
        <w:tc>
          <w:tcPr>
            <w:tcW w:w="1092" w:type="dxa"/>
            <w:tcBorders>
              <w:top w:val="nil"/>
              <w:left w:val="nil"/>
              <w:bottom w:val="single" w:sz="4" w:space="0" w:color="auto"/>
              <w:right w:val="single" w:sz="4" w:space="0" w:color="auto"/>
            </w:tcBorders>
            <w:shd w:val="clear" w:color="auto" w:fill="auto"/>
            <w:noWrap/>
            <w:vAlign w:val="bottom"/>
            <w:hideMark/>
          </w:tcPr>
          <w:p w14:paraId="2B3A45BA"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7591A970"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701E28B8"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500CFE93"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1D8F1E41"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168856B8"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91,17</w:t>
            </w:r>
          </w:p>
        </w:tc>
        <w:tc>
          <w:tcPr>
            <w:tcW w:w="908" w:type="dxa"/>
            <w:tcBorders>
              <w:top w:val="nil"/>
              <w:left w:val="nil"/>
              <w:bottom w:val="single" w:sz="4" w:space="0" w:color="auto"/>
              <w:right w:val="single" w:sz="4" w:space="0" w:color="auto"/>
            </w:tcBorders>
            <w:shd w:val="clear" w:color="auto" w:fill="auto"/>
            <w:noWrap/>
            <w:vAlign w:val="bottom"/>
            <w:hideMark/>
          </w:tcPr>
          <w:p w14:paraId="07737FAD"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r>
      <w:tr w:rsidR="006F3067" w:rsidRPr="008860BA" w14:paraId="0110A09E"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noWrap/>
            <w:vAlign w:val="bottom"/>
            <w:hideMark/>
          </w:tcPr>
          <w:p w14:paraId="1658560A"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Alte cheltuieli</w:t>
            </w:r>
          </w:p>
        </w:tc>
        <w:tc>
          <w:tcPr>
            <w:tcW w:w="967" w:type="dxa"/>
            <w:tcBorders>
              <w:top w:val="nil"/>
              <w:left w:val="nil"/>
              <w:bottom w:val="single" w:sz="4" w:space="0" w:color="auto"/>
              <w:right w:val="single" w:sz="4" w:space="0" w:color="auto"/>
            </w:tcBorders>
            <w:shd w:val="clear" w:color="auto" w:fill="auto"/>
            <w:vAlign w:val="bottom"/>
            <w:hideMark/>
          </w:tcPr>
          <w:p w14:paraId="55E974B4"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vAlign w:val="bottom"/>
            <w:hideMark/>
          </w:tcPr>
          <w:p w14:paraId="782F0AA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5" w:type="dxa"/>
            <w:tcBorders>
              <w:top w:val="nil"/>
              <w:left w:val="nil"/>
              <w:bottom w:val="single" w:sz="4" w:space="0" w:color="auto"/>
              <w:right w:val="single" w:sz="4" w:space="0" w:color="auto"/>
            </w:tcBorders>
            <w:shd w:val="clear" w:color="auto" w:fill="auto"/>
            <w:noWrap/>
            <w:vAlign w:val="bottom"/>
            <w:hideMark/>
          </w:tcPr>
          <w:p w14:paraId="3FB7E29C"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2" w:type="dxa"/>
            <w:tcBorders>
              <w:top w:val="nil"/>
              <w:left w:val="nil"/>
              <w:bottom w:val="single" w:sz="4" w:space="0" w:color="auto"/>
              <w:right w:val="single" w:sz="4" w:space="0" w:color="auto"/>
            </w:tcBorders>
            <w:shd w:val="clear" w:color="auto" w:fill="auto"/>
            <w:vAlign w:val="bottom"/>
            <w:hideMark/>
          </w:tcPr>
          <w:p w14:paraId="0C7D5AF5"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224" w:type="dxa"/>
            <w:tcBorders>
              <w:top w:val="nil"/>
              <w:left w:val="nil"/>
              <w:bottom w:val="single" w:sz="4" w:space="0" w:color="auto"/>
              <w:right w:val="single" w:sz="4" w:space="0" w:color="auto"/>
            </w:tcBorders>
            <w:shd w:val="clear" w:color="auto" w:fill="auto"/>
            <w:vAlign w:val="bottom"/>
            <w:hideMark/>
          </w:tcPr>
          <w:p w14:paraId="40172C24"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vAlign w:val="bottom"/>
            <w:hideMark/>
          </w:tcPr>
          <w:p w14:paraId="54053153"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vAlign w:val="bottom"/>
            <w:hideMark/>
          </w:tcPr>
          <w:p w14:paraId="66422B98"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vAlign w:val="bottom"/>
            <w:hideMark/>
          </w:tcPr>
          <w:p w14:paraId="138F5C62"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7DD7E03C"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vAlign w:val="bottom"/>
            <w:hideMark/>
          </w:tcPr>
          <w:p w14:paraId="5DC24652"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r>
      <w:tr w:rsidR="006F3067" w:rsidRPr="008860BA" w14:paraId="60925901"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noWrap/>
            <w:vAlign w:val="bottom"/>
            <w:hideMark/>
          </w:tcPr>
          <w:p w14:paraId="75EE854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cheltuieli de reprezentare</w:t>
            </w:r>
          </w:p>
        </w:tc>
        <w:tc>
          <w:tcPr>
            <w:tcW w:w="967" w:type="dxa"/>
            <w:tcBorders>
              <w:top w:val="nil"/>
              <w:left w:val="nil"/>
              <w:bottom w:val="single" w:sz="4" w:space="0" w:color="auto"/>
              <w:right w:val="single" w:sz="4" w:space="0" w:color="auto"/>
            </w:tcBorders>
            <w:shd w:val="clear" w:color="auto" w:fill="auto"/>
            <w:noWrap/>
            <w:vAlign w:val="bottom"/>
            <w:hideMark/>
          </w:tcPr>
          <w:p w14:paraId="5A7C7B6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vAlign w:val="bottom"/>
            <w:hideMark/>
          </w:tcPr>
          <w:p w14:paraId="74978FE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5" w:type="dxa"/>
            <w:tcBorders>
              <w:top w:val="nil"/>
              <w:left w:val="nil"/>
              <w:bottom w:val="single" w:sz="4" w:space="0" w:color="auto"/>
              <w:right w:val="single" w:sz="4" w:space="0" w:color="auto"/>
            </w:tcBorders>
            <w:shd w:val="clear" w:color="auto" w:fill="auto"/>
            <w:noWrap/>
            <w:vAlign w:val="bottom"/>
            <w:hideMark/>
          </w:tcPr>
          <w:p w14:paraId="7578C7E4"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2" w:type="dxa"/>
            <w:tcBorders>
              <w:top w:val="nil"/>
              <w:left w:val="nil"/>
              <w:bottom w:val="single" w:sz="4" w:space="0" w:color="auto"/>
              <w:right w:val="single" w:sz="4" w:space="0" w:color="auto"/>
            </w:tcBorders>
            <w:shd w:val="clear" w:color="auto" w:fill="auto"/>
            <w:noWrap/>
            <w:vAlign w:val="bottom"/>
            <w:hideMark/>
          </w:tcPr>
          <w:p w14:paraId="3599658C"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58D97F1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2AEE011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07AC470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772E1E40"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3F4B725D"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noWrap/>
            <w:vAlign w:val="bottom"/>
            <w:hideMark/>
          </w:tcPr>
          <w:p w14:paraId="4C6F3007"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4D93615E"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noWrap/>
            <w:vAlign w:val="bottom"/>
            <w:hideMark/>
          </w:tcPr>
          <w:p w14:paraId="696D5ABF" w14:textId="4F1EE88B" w:rsidR="006F3067" w:rsidRPr="008860BA" w:rsidRDefault="006F306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Deplas</w:t>
            </w:r>
            <w:r w:rsidR="00885EE0" w:rsidRPr="008860BA">
              <w:rPr>
                <w:rFonts w:asciiTheme="majorHAnsi" w:eastAsia="Times New Roman" w:hAnsiTheme="majorHAnsi" w:cstheme="majorHAnsi"/>
                <w:color w:val="000000"/>
                <w:sz w:val="18"/>
                <w:szCs w:val="18"/>
                <w:lang w:val="ro-MD"/>
              </w:rPr>
              <w:t>ă</w:t>
            </w:r>
            <w:r w:rsidRPr="008860BA">
              <w:rPr>
                <w:rFonts w:asciiTheme="majorHAnsi" w:eastAsia="Times New Roman" w:hAnsiTheme="majorHAnsi" w:cstheme="majorHAnsi"/>
                <w:color w:val="000000"/>
                <w:sz w:val="18"/>
                <w:szCs w:val="18"/>
                <w:lang w:val="ro-MD"/>
              </w:rPr>
              <w:t xml:space="preserve">ri </w:t>
            </w:r>
          </w:p>
        </w:tc>
        <w:tc>
          <w:tcPr>
            <w:tcW w:w="967" w:type="dxa"/>
            <w:tcBorders>
              <w:top w:val="nil"/>
              <w:left w:val="nil"/>
              <w:bottom w:val="single" w:sz="4" w:space="0" w:color="auto"/>
              <w:right w:val="single" w:sz="4" w:space="0" w:color="auto"/>
            </w:tcBorders>
            <w:shd w:val="clear" w:color="auto" w:fill="auto"/>
            <w:noWrap/>
            <w:vAlign w:val="bottom"/>
            <w:hideMark/>
          </w:tcPr>
          <w:p w14:paraId="233F33F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vAlign w:val="bottom"/>
            <w:hideMark/>
          </w:tcPr>
          <w:p w14:paraId="4ABA729C"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91,17</w:t>
            </w:r>
          </w:p>
        </w:tc>
        <w:tc>
          <w:tcPr>
            <w:tcW w:w="1195" w:type="dxa"/>
            <w:tcBorders>
              <w:top w:val="nil"/>
              <w:left w:val="nil"/>
              <w:bottom w:val="single" w:sz="4" w:space="0" w:color="auto"/>
              <w:right w:val="single" w:sz="4" w:space="0" w:color="auto"/>
            </w:tcBorders>
            <w:shd w:val="clear" w:color="auto" w:fill="auto"/>
            <w:noWrap/>
            <w:vAlign w:val="bottom"/>
            <w:hideMark/>
          </w:tcPr>
          <w:p w14:paraId="6DCBB49E"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91,17</w:t>
            </w:r>
          </w:p>
        </w:tc>
        <w:tc>
          <w:tcPr>
            <w:tcW w:w="1092" w:type="dxa"/>
            <w:tcBorders>
              <w:top w:val="nil"/>
              <w:left w:val="nil"/>
              <w:bottom w:val="single" w:sz="4" w:space="0" w:color="auto"/>
              <w:right w:val="single" w:sz="4" w:space="0" w:color="auto"/>
            </w:tcBorders>
            <w:shd w:val="clear" w:color="auto" w:fill="auto"/>
            <w:noWrap/>
            <w:vAlign w:val="bottom"/>
            <w:hideMark/>
          </w:tcPr>
          <w:p w14:paraId="3ADD0B7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4D0D5D4C"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14C105A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4C019CD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74EBF75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1B7DC19E"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91,17</w:t>
            </w:r>
          </w:p>
        </w:tc>
        <w:tc>
          <w:tcPr>
            <w:tcW w:w="908" w:type="dxa"/>
            <w:tcBorders>
              <w:top w:val="nil"/>
              <w:left w:val="nil"/>
              <w:bottom w:val="single" w:sz="4" w:space="0" w:color="auto"/>
              <w:right w:val="single" w:sz="4" w:space="0" w:color="auto"/>
            </w:tcBorders>
            <w:shd w:val="clear" w:color="auto" w:fill="auto"/>
            <w:noWrap/>
            <w:vAlign w:val="bottom"/>
            <w:hideMark/>
          </w:tcPr>
          <w:p w14:paraId="4279969A"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7A367C4B"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noWrap/>
            <w:vAlign w:val="bottom"/>
            <w:hideMark/>
          </w:tcPr>
          <w:p w14:paraId="2A0B41AB" w14:textId="77777777" w:rsidR="006F3067" w:rsidRPr="008860BA" w:rsidRDefault="006F3067" w:rsidP="00332FF7">
            <w:pPr>
              <w:spacing w:after="0" w:line="240" w:lineRule="auto"/>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Cheltuieli financiare</w:t>
            </w:r>
          </w:p>
        </w:tc>
        <w:tc>
          <w:tcPr>
            <w:tcW w:w="967" w:type="dxa"/>
            <w:tcBorders>
              <w:top w:val="nil"/>
              <w:left w:val="nil"/>
              <w:bottom w:val="single" w:sz="4" w:space="0" w:color="auto"/>
              <w:right w:val="single" w:sz="4" w:space="0" w:color="auto"/>
            </w:tcBorders>
            <w:shd w:val="clear" w:color="auto" w:fill="auto"/>
            <w:vAlign w:val="bottom"/>
            <w:hideMark/>
          </w:tcPr>
          <w:p w14:paraId="0CE313E4" w14:textId="77777777" w:rsidR="006F3067" w:rsidRPr="008860BA" w:rsidRDefault="006F3067" w:rsidP="00332FF7">
            <w:pPr>
              <w:spacing w:after="0" w:line="240" w:lineRule="auto"/>
              <w:jc w:val="right"/>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722</w:t>
            </w:r>
          </w:p>
        </w:tc>
        <w:tc>
          <w:tcPr>
            <w:tcW w:w="1099" w:type="dxa"/>
            <w:tcBorders>
              <w:top w:val="nil"/>
              <w:left w:val="nil"/>
              <w:bottom w:val="single" w:sz="4" w:space="0" w:color="auto"/>
              <w:right w:val="single" w:sz="4" w:space="0" w:color="auto"/>
            </w:tcBorders>
            <w:shd w:val="clear" w:color="auto" w:fill="auto"/>
            <w:noWrap/>
            <w:vAlign w:val="bottom"/>
            <w:hideMark/>
          </w:tcPr>
          <w:p w14:paraId="7E7ED257"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297,67</w:t>
            </w:r>
          </w:p>
        </w:tc>
        <w:tc>
          <w:tcPr>
            <w:tcW w:w="1195" w:type="dxa"/>
            <w:tcBorders>
              <w:top w:val="nil"/>
              <w:left w:val="nil"/>
              <w:bottom w:val="single" w:sz="4" w:space="0" w:color="auto"/>
              <w:right w:val="single" w:sz="4" w:space="0" w:color="auto"/>
            </w:tcBorders>
            <w:shd w:val="clear" w:color="auto" w:fill="auto"/>
            <w:noWrap/>
            <w:vAlign w:val="bottom"/>
            <w:hideMark/>
          </w:tcPr>
          <w:p w14:paraId="62583C81"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297,67</w:t>
            </w:r>
          </w:p>
        </w:tc>
        <w:tc>
          <w:tcPr>
            <w:tcW w:w="1092" w:type="dxa"/>
            <w:tcBorders>
              <w:top w:val="nil"/>
              <w:left w:val="nil"/>
              <w:bottom w:val="single" w:sz="4" w:space="0" w:color="auto"/>
              <w:right w:val="single" w:sz="4" w:space="0" w:color="auto"/>
            </w:tcBorders>
            <w:shd w:val="clear" w:color="auto" w:fill="auto"/>
            <w:noWrap/>
            <w:vAlign w:val="bottom"/>
            <w:hideMark/>
          </w:tcPr>
          <w:p w14:paraId="6E160617"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5DF48967"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094827BC"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30291FA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34B11B8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097997D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noWrap/>
            <w:vAlign w:val="bottom"/>
            <w:hideMark/>
          </w:tcPr>
          <w:p w14:paraId="18C28A0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632DB214"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noWrap/>
            <w:vAlign w:val="bottom"/>
            <w:hideMark/>
          </w:tcPr>
          <w:p w14:paraId="174B4136"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Total Cheltuieli</w:t>
            </w:r>
          </w:p>
        </w:tc>
        <w:tc>
          <w:tcPr>
            <w:tcW w:w="967" w:type="dxa"/>
            <w:tcBorders>
              <w:top w:val="nil"/>
              <w:left w:val="nil"/>
              <w:bottom w:val="single" w:sz="4" w:space="0" w:color="auto"/>
              <w:right w:val="single" w:sz="4" w:space="0" w:color="auto"/>
            </w:tcBorders>
            <w:shd w:val="clear" w:color="auto" w:fill="auto"/>
            <w:noWrap/>
            <w:vAlign w:val="bottom"/>
            <w:hideMark/>
          </w:tcPr>
          <w:p w14:paraId="3D1160C0"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noWrap/>
            <w:vAlign w:val="bottom"/>
            <w:hideMark/>
          </w:tcPr>
          <w:p w14:paraId="5EB97F10"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84.819,60</w:t>
            </w:r>
          </w:p>
        </w:tc>
        <w:tc>
          <w:tcPr>
            <w:tcW w:w="1195" w:type="dxa"/>
            <w:tcBorders>
              <w:top w:val="nil"/>
              <w:left w:val="nil"/>
              <w:bottom w:val="single" w:sz="4" w:space="0" w:color="auto"/>
              <w:right w:val="single" w:sz="4" w:space="0" w:color="auto"/>
            </w:tcBorders>
            <w:shd w:val="clear" w:color="auto" w:fill="auto"/>
            <w:noWrap/>
            <w:vAlign w:val="bottom"/>
            <w:hideMark/>
          </w:tcPr>
          <w:p w14:paraId="0D4C7670"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84.819,60</w:t>
            </w:r>
          </w:p>
        </w:tc>
        <w:tc>
          <w:tcPr>
            <w:tcW w:w="1092" w:type="dxa"/>
            <w:tcBorders>
              <w:top w:val="nil"/>
              <w:left w:val="nil"/>
              <w:bottom w:val="single" w:sz="4" w:space="0" w:color="auto"/>
              <w:right w:val="single" w:sz="4" w:space="0" w:color="auto"/>
            </w:tcBorders>
            <w:shd w:val="clear" w:color="auto" w:fill="auto"/>
            <w:noWrap/>
            <w:vAlign w:val="bottom"/>
            <w:hideMark/>
          </w:tcPr>
          <w:p w14:paraId="49685033"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53.744,81</w:t>
            </w:r>
          </w:p>
        </w:tc>
        <w:tc>
          <w:tcPr>
            <w:tcW w:w="1224" w:type="dxa"/>
            <w:tcBorders>
              <w:top w:val="nil"/>
              <w:left w:val="nil"/>
              <w:bottom w:val="single" w:sz="4" w:space="0" w:color="auto"/>
              <w:right w:val="single" w:sz="4" w:space="0" w:color="auto"/>
            </w:tcBorders>
            <w:shd w:val="clear" w:color="auto" w:fill="auto"/>
            <w:noWrap/>
            <w:vAlign w:val="bottom"/>
            <w:hideMark/>
          </w:tcPr>
          <w:p w14:paraId="41D98021"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503,51</w:t>
            </w:r>
          </w:p>
        </w:tc>
        <w:tc>
          <w:tcPr>
            <w:tcW w:w="1259" w:type="dxa"/>
            <w:tcBorders>
              <w:top w:val="nil"/>
              <w:left w:val="nil"/>
              <w:bottom w:val="single" w:sz="4" w:space="0" w:color="auto"/>
              <w:right w:val="single" w:sz="4" w:space="0" w:color="auto"/>
            </w:tcBorders>
            <w:shd w:val="clear" w:color="auto" w:fill="auto"/>
            <w:noWrap/>
            <w:vAlign w:val="bottom"/>
            <w:hideMark/>
          </w:tcPr>
          <w:p w14:paraId="50155664"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5DA02373"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9.346,74</w:t>
            </w:r>
          </w:p>
        </w:tc>
        <w:tc>
          <w:tcPr>
            <w:tcW w:w="822" w:type="dxa"/>
            <w:tcBorders>
              <w:top w:val="nil"/>
              <w:left w:val="nil"/>
              <w:bottom w:val="single" w:sz="4" w:space="0" w:color="auto"/>
              <w:right w:val="single" w:sz="4" w:space="0" w:color="auto"/>
            </w:tcBorders>
            <w:shd w:val="clear" w:color="auto" w:fill="auto"/>
            <w:noWrap/>
            <w:vAlign w:val="bottom"/>
            <w:hideMark/>
          </w:tcPr>
          <w:p w14:paraId="637CECE9"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1.160,94</w:t>
            </w:r>
          </w:p>
        </w:tc>
        <w:tc>
          <w:tcPr>
            <w:tcW w:w="822" w:type="dxa"/>
            <w:tcBorders>
              <w:top w:val="nil"/>
              <w:left w:val="nil"/>
              <w:bottom w:val="single" w:sz="4" w:space="0" w:color="auto"/>
              <w:right w:val="single" w:sz="4" w:space="0" w:color="auto"/>
            </w:tcBorders>
            <w:shd w:val="clear" w:color="auto" w:fill="auto"/>
            <w:noWrap/>
            <w:vAlign w:val="bottom"/>
            <w:hideMark/>
          </w:tcPr>
          <w:p w14:paraId="4A998355"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1.186,40</w:t>
            </w:r>
          </w:p>
        </w:tc>
        <w:tc>
          <w:tcPr>
            <w:tcW w:w="908" w:type="dxa"/>
            <w:tcBorders>
              <w:top w:val="nil"/>
              <w:left w:val="nil"/>
              <w:bottom w:val="single" w:sz="4" w:space="0" w:color="auto"/>
              <w:right w:val="single" w:sz="4" w:space="0" w:color="auto"/>
            </w:tcBorders>
            <w:shd w:val="clear" w:color="auto" w:fill="auto"/>
            <w:noWrap/>
            <w:vAlign w:val="bottom"/>
            <w:hideMark/>
          </w:tcPr>
          <w:p w14:paraId="7E5021CD"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18.579,54</w:t>
            </w:r>
          </w:p>
        </w:tc>
      </w:tr>
      <w:tr w:rsidR="006F3067" w:rsidRPr="008860BA" w14:paraId="0266F700"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noWrap/>
            <w:vAlign w:val="bottom"/>
            <w:hideMark/>
          </w:tcPr>
          <w:p w14:paraId="6B1585CD"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Rezultat financiar</w:t>
            </w:r>
          </w:p>
        </w:tc>
        <w:tc>
          <w:tcPr>
            <w:tcW w:w="967" w:type="dxa"/>
            <w:tcBorders>
              <w:top w:val="nil"/>
              <w:left w:val="nil"/>
              <w:bottom w:val="single" w:sz="4" w:space="0" w:color="auto"/>
              <w:right w:val="single" w:sz="4" w:space="0" w:color="auto"/>
            </w:tcBorders>
            <w:shd w:val="clear" w:color="auto" w:fill="auto"/>
            <w:noWrap/>
            <w:vAlign w:val="bottom"/>
            <w:hideMark/>
          </w:tcPr>
          <w:p w14:paraId="33BAEFD3"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noWrap/>
            <w:vAlign w:val="bottom"/>
            <w:hideMark/>
          </w:tcPr>
          <w:p w14:paraId="258F504A"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-43,94</w:t>
            </w:r>
          </w:p>
        </w:tc>
        <w:tc>
          <w:tcPr>
            <w:tcW w:w="1195" w:type="dxa"/>
            <w:tcBorders>
              <w:top w:val="nil"/>
              <w:left w:val="nil"/>
              <w:bottom w:val="single" w:sz="4" w:space="0" w:color="auto"/>
              <w:right w:val="single" w:sz="4" w:space="0" w:color="auto"/>
            </w:tcBorders>
            <w:shd w:val="clear" w:color="auto" w:fill="auto"/>
            <w:noWrap/>
            <w:vAlign w:val="bottom"/>
            <w:hideMark/>
          </w:tcPr>
          <w:p w14:paraId="0607EA2C"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-43,94</w:t>
            </w:r>
          </w:p>
        </w:tc>
        <w:tc>
          <w:tcPr>
            <w:tcW w:w="1092" w:type="dxa"/>
            <w:tcBorders>
              <w:top w:val="nil"/>
              <w:left w:val="nil"/>
              <w:bottom w:val="single" w:sz="4" w:space="0" w:color="auto"/>
              <w:right w:val="single" w:sz="4" w:space="0" w:color="auto"/>
            </w:tcBorders>
            <w:shd w:val="clear" w:color="auto" w:fill="auto"/>
            <w:noWrap/>
            <w:vAlign w:val="bottom"/>
            <w:hideMark/>
          </w:tcPr>
          <w:p w14:paraId="78AF51CE"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1.477,15</w:t>
            </w:r>
          </w:p>
        </w:tc>
        <w:tc>
          <w:tcPr>
            <w:tcW w:w="1224" w:type="dxa"/>
            <w:tcBorders>
              <w:top w:val="nil"/>
              <w:left w:val="nil"/>
              <w:bottom w:val="single" w:sz="4" w:space="0" w:color="auto"/>
              <w:right w:val="single" w:sz="4" w:space="0" w:color="auto"/>
            </w:tcBorders>
            <w:shd w:val="clear" w:color="auto" w:fill="auto"/>
            <w:noWrap/>
            <w:vAlign w:val="bottom"/>
            <w:hideMark/>
          </w:tcPr>
          <w:p w14:paraId="78E23209"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-139,48</w:t>
            </w:r>
          </w:p>
        </w:tc>
        <w:tc>
          <w:tcPr>
            <w:tcW w:w="1259" w:type="dxa"/>
            <w:tcBorders>
              <w:top w:val="nil"/>
              <w:left w:val="nil"/>
              <w:bottom w:val="single" w:sz="4" w:space="0" w:color="auto"/>
              <w:right w:val="single" w:sz="4" w:space="0" w:color="auto"/>
            </w:tcBorders>
            <w:shd w:val="clear" w:color="auto" w:fill="auto"/>
            <w:noWrap/>
            <w:vAlign w:val="bottom"/>
            <w:hideMark/>
          </w:tcPr>
          <w:p w14:paraId="18A67A2F"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540,74</w:t>
            </w:r>
          </w:p>
        </w:tc>
        <w:tc>
          <w:tcPr>
            <w:tcW w:w="1067" w:type="dxa"/>
            <w:tcBorders>
              <w:top w:val="nil"/>
              <w:left w:val="nil"/>
              <w:bottom w:val="single" w:sz="4" w:space="0" w:color="auto"/>
              <w:right w:val="single" w:sz="4" w:space="0" w:color="auto"/>
            </w:tcBorders>
            <w:shd w:val="clear" w:color="auto" w:fill="auto"/>
            <w:noWrap/>
            <w:vAlign w:val="bottom"/>
            <w:hideMark/>
          </w:tcPr>
          <w:p w14:paraId="45AA1ABD"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1.329,99</w:t>
            </w:r>
          </w:p>
        </w:tc>
        <w:tc>
          <w:tcPr>
            <w:tcW w:w="822" w:type="dxa"/>
            <w:tcBorders>
              <w:top w:val="nil"/>
              <w:left w:val="nil"/>
              <w:bottom w:val="single" w:sz="4" w:space="0" w:color="auto"/>
              <w:right w:val="single" w:sz="4" w:space="0" w:color="auto"/>
            </w:tcBorders>
            <w:shd w:val="clear" w:color="auto" w:fill="auto"/>
            <w:noWrap/>
            <w:vAlign w:val="bottom"/>
            <w:hideMark/>
          </w:tcPr>
          <w:p w14:paraId="29D0B14F"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-363,57</w:t>
            </w:r>
          </w:p>
        </w:tc>
        <w:tc>
          <w:tcPr>
            <w:tcW w:w="822" w:type="dxa"/>
            <w:tcBorders>
              <w:top w:val="nil"/>
              <w:left w:val="nil"/>
              <w:bottom w:val="single" w:sz="4" w:space="0" w:color="auto"/>
              <w:right w:val="single" w:sz="4" w:space="0" w:color="auto"/>
            </w:tcBorders>
            <w:shd w:val="clear" w:color="auto" w:fill="auto"/>
            <w:noWrap/>
            <w:vAlign w:val="bottom"/>
            <w:hideMark/>
          </w:tcPr>
          <w:p w14:paraId="462EE5B6"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-268,55</w:t>
            </w:r>
          </w:p>
        </w:tc>
        <w:tc>
          <w:tcPr>
            <w:tcW w:w="908" w:type="dxa"/>
            <w:tcBorders>
              <w:top w:val="nil"/>
              <w:left w:val="nil"/>
              <w:bottom w:val="single" w:sz="4" w:space="0" w:color="auto"/>
              <w:right w:val="single" w:sz="4" w:space="0" w:color="auto"/>
            </w:tcBorders>
            <w:shd w:val="clear" w:color="auto" w:fill="auto"/>
            <w:noWrap/>
            <w:vAlign w:val="bottom"/>
            <w:hideMark/>
          </w:tcPr>
          <w:p w14:paraId="102F51EF"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-2.613,01</w:t>
            </w:r>
          </w:p>
        </w:tc>
      </w:tr>
    </w:tbl>
    <w:p w14:paraId="4D314ED5" w14:textId="7F89374E" w:rsidR="00332FF7" w:rsidRPr="008860BA" w:rsidRDefault="00FB483C" w:rsidP="006A0356">
      <w:pPr>
        <w:rPr>
          <w:rFonts w:asciiTheme="majorHAnsi" w:hAnsiTheme="majorHAnsi" w:cstheme="majorHAnsi"/>
          <w:lang w:val="ro-MD"/>
        </w:rPr>
        <w:sectPr w:rsidR="00332FF7" w:rsidRPr="008860BA" w:rsidSect="00332FF7">
          <w:pgSz w:w="15840" w:h="12240" w:orient="landscape"/>
          <w:pgMar w:top="1135" w:right="1134" w:bottom="760" w:left="1134" w:header="709" w:footer="709" w:gutter="0"/>
          <w:cols w:space="708"/>
          <w:docGrid w:linePitch="360"/>
        </w:sectPr>
      </w:pPr>
      <w:r w:rsidRPr="008860BA">
        <w:rPr>
          <w:rFonts w:asciiTheme="majorHAnsi" w:hAnsiTheme="majorHAnsi" w:cstheme="majorHAnsi"/>
          <w:lang w:val="ro-MD"/>
        </w:rPr>
        <w:t>Sursa: Eviden</w:t>
      </w:r>
      <w:r w:rsidR="00B13B9A" w:rsidRPr="008860BA">
        <w:rPr>
          <w:rFonts w:asciiTheme="majorHAnsi" w:hAnsiTheme="majorHAnsi" w:cstheme="majorHAnsi"/>
          <w:lang w:val="ro-MD"/>
        </w:rPr>
        <w:t>ț</w:t>
      </w:r>
      <w:r w:rsidRPr="008860BA">
        <w:rPr>
          <w:rFonts w:asciiTheme="majorHAnsi" w:hAnsiTheme="majorHAnsi" w:cstheme="majorHAnsi"/>
          <w:lang w:val="ro-MD"/>
        </w:rPr>
        <w:t>a contabilă a IMSP</w:t>
      </w:r>
      <w:r w:rsidR="00885EE0" w:rsidRPr="008860BA">
        <w:rPr>
          <w:rFonts w:asciiTheme="majorHAnsi" w:hAnsiTheme="majorHAnsi" w:cstheme="majorHAnsi"/>
          <w:lang w:val="ro-MD"/>
        </w:rPr>
        <w:t xml:space="preserve"> IFP </w:t>
      </w:r>
      <w:r w:rsidR="00885EE0" w:rsidRPr="008860BA">
        <w:rPr>
          <w:rFonts w:asciiTheme="majorHAnsi" w:hAnsiTheme="majorHAnsi" w:cstheme="majorHAnsi"/>
          <w:i/>
          <w:lang w:val="ro-MD"/>
        </w:rPr>
        <w:t>„Chiril Draganiuc”</w:t>
      </w:r>
      <w:r w:rsidR="00885EE0" w:rsidRPr="008860BA">
        <w:rPr>
          <w:rFonts w:asciiTheme="majorHAnsi" w:hAnsiTheme="majorHAnsi" w:cstheme="majorHAnsi"/>
          <w:lang w:val="ro-MD"/>
        </w:rPr>
        <w:t>.</w:t>
      </w:r>
    </w:p>
    <w:p w14:paraId="5E543C89" w14:textId="6FB715A1" w:rsidR="0023258A" w:rsidRPr="00B13B9A" w:rsidRDefault="0023258A" w:rsidP="00FB483C">
      <w:pPr>
        <w:pStyle w:val="3"/>
        <w:jc w:val="right"/>
        <w:rPr>
          <w:rFonts w:cstheme="majorHAnsi"/>
          <w:b/>
          <w:color w:val="auto"/>
        </w:rPr>
      </w:pPr>
      <w:bookmarkStart w:id="76" w:name="_Toc158317277"/>
      <w:r w:rsidRPr="00B13B9A">
        <w:rPr>
          <w:rFonts w:cstheme="majorHAnsi"/>
          <w:b/>
          <w:color w:val="auto"/>
        </w:rPr>
        <w:t>Anexa nr.23</w:t>
      </w:r>
      <w:bookmarkEnd w:id="76"/>
    </w:p>
    <w:p w14:paraId="06A69F6C" w14:textId="77777777" w:rsidR="0023258A" w:rsidRPr="00B13B9A" w:rsidRDefault="0023258A" w:rsidP="009371DC">
      <w:pPr>
        <w:rPr>
          <w:lang w:val="ro-MD"/>
        </w:rPr>
      </w:pPr>
    </w:p>
    <w:p w14:paraId="7F754AC8" w14:textId="0AEBF322" w:rsidR="00FD65B6" w:rsidRPr="00B13B9A" w:rsidRDefault="00FD65B6" w:rsidP="00FD65B6">
      <w:pPr>
        <w:pStyle w:val="af0"/>
        <w:tabs>
          <w:tab w:val="left" w:pos="9072"/>
        </w:tabs>
        <w:spacing w:line="276" w:lineRule="auto"/>
        <w:jc w:val="center"/>
        <w:rPr>
          <w:rFonts w:asciiTheme="majorHAnsi" w:hAnsiTheme="majorHAnsi" w:cstheme="majorHAnsi"/>
          <w:b/>
          <w:sz w:val="20"/>
          <w:szCs w:val="20"/>
          <w:lang w:val="ro-MD"/>
        </w:rPr>
      </w:pPr>
      <w:r w:rsidRPr="00B13B9A">
        <w:rPr>
          <w:rFonts w:asciiTheme="majorHAnsi" w:eastAsia="Times New Roman" w:hAnsiTheme="majorHAnsi" w:cstheme="majorHAnsi"/>
          <w:b/>
          <w:bCs/>
          <w:color w:val="000000" w:themeColor="text1"/>
          <w:sz w:val="20"/>
          <w:szCs w:val="20"/>
          <w:lang w:val="ro-MD"/>
        </w:rPr>
        <w:t>Ac</w:t>
      </w:r>
      <w:r w:rsidR="00B13B9A" w:rsidRPr="00B13B9A">
        <w:rPr>
          <w:rFonts w:asciiTheme="majorHAnsi" w:eastAsia="Times New Roman" w:hAnsiTheme="majorHAnsi" w:cstheme="majorHAnsi"/>
          <w:b/>
          <w:bCs/>
          <w:color w:val="000000" w:themeColor="text1"/>
          <w:sz w:val="20"/>
          <w:szCs w:val="20"/>
          <w:lang w:val="ro-MD"/>
        </w:rPr>
        <w:t>ț</w:t>
      </w:r>
      <w:r w:rsidRPr="00B13B9A">
        <w:rPr>
          <w:rFonts w:asciiTheme="majorHAnsi" w:eastAsia="Times New Roman" w:hAnsiTheme="majorHAnsi" w:cstheme="majorHAnsi"/>
          <w:b/>
          <w:bCs/>
          <w:color w:val="000000" w:themeColor="text1"/>
          <w:sz w:val="20"/>
          <w:szCs w:val="20"/>
          <w:lang w:val="ro-MD"/>
        </w:rPr>
        <w:t xml:space="preserve">iunile întreprinse de către entitate cu privire la evaluarea implementării recomandărilor înaintate prin HCC nr.5 din 30.01.2020 </w:t>
      </w:r>
      <w:r w:rsidR="00D80586" w:rsidRPr="00B13B9A">
        <w:rPr>
          <w:rFonts w:asciiTheme="majorHAnsi" w:eastAsia="Times New Roman" w:hAnsiTheme="majorHAnsi" w:cstheme="majorHAnsi"/>
          <w:b/>
          <w:bCs/>
          <w:color w:val="000000" w:themeColor="text1"/>
          <w:sz w:val="20"/>
          <w:szCs w:val="20"/>
          <w:lang w:val="ro-MD"/>
        </w:rPr>
        <w:t>„C</w:t>
      </w:r>
      <w:r w:rsidRPr="00B13B9A">
        <w:rPr>
          <w:rFonts w:asciiTheme="majorHAnsi" w:eastAsia="Times New Roman" w:hAnsiTheme="majorHAnsi" w:cstheme="majorHAnsi"/>
          <w:b/>
          <w:bCs/>
          <w:color w:val="000000" w:themeColor="text1"/>
          <w:sz w:val="20"/>
          <w:szCs w:val="20"/>
          <w:lang w:val="ro-MD"/>
        </w:rPr>
        <w:t xml:space="preserve">u privire la </w:t>
      </w:r>
      <w:r w:rsidRPr="00B13B9A">
        <w:rPr>
          <w:rFonts w:asciiTheme="majorHAnsi" w:eastAsia="Times New Roman" w:hAnsiTheme="majorHAnsi" w:cstheme="majorHAnsi"/>
          <w:b/>
          <w:color w:val="000000" w:themeColor="text1"/>
          <w:sz w:val="20"/>
          <w:szCs w:val="20"/>
          <w:lang w:val="ro-MD"/>
        </w:rPr>
        <w:t>Raportul auditului performan</w:t>
      </w:r>
      <w:r w:rsidR="00B13B9A" w:rsidRPr="00B13B9A">
        <w:rPr>
          <w:rFonts w:asciiTheme="majorHAnsi" w:eastAsia="Times New Roman" w:hAnsiTheme="majorHAnsi" w:cstheme="majorHAnsi"/>
          <w:b/>
          <w:color w:val="000000" w:themeColor="text1"/>
          <w:sz w:val="20"/>
          <w:szCs w:val="20"/>
          <w:lang w:val="ro-MD"/>
        </w:rPr>
        <w:t>ț</w:t>
      </w:r>
      <w:r w:rsidRPr="00B13B9A">
        <w:rPr>
          <w:rFonts w:asciiTheme="majorHAnsi" w:eastAsia="Times New Roman" w:hAnsiTheme="majorHAnsi" w:cstheme="majorHAnsi"/>
          <w:b/>
          <w:color w:val="000000" w:themeColor="text1"/>
          <w:sz w:val="20"/>
          <w:szCs w:val="20"/>
          <w:lang w:val="ro-MD"/>
        </w:rPr>
        <w:t>ei privind realizarea Programului na</w:t>
      </w:r>
      <w:r w:rsidR="00B13B9A" w:rsidRPr="00B13B9A">
        <w:rPr>
          <w:rFonts w:asciiTheme="majorHAnsi" w:eastAsia="Times New Roman" w:hAnsiTheme="majorHAnsi" w:cstheme="majorHAnsi"/>
          <w:b/>
          <w:color w:val="000000" w:themeColor="text1"/>
          <w:sz w:val="20"/>
          <w:szCs w:val="20"/>
          <w:lang w:val="ro-MD"/>
        </w:rPr>
        <w:t>ț</w:t>
      </w:r>
      <w:r w:rsidRPr="00B13B9A">
        <w:rPr>
          <w:rFonts w:asciiTheme="majorHAnsi" w:eastAsia="Times New Roman" w:hAnsiTheme="majorHAnsi" w:cstheme="majorHAnsi"/>
          <w:b/>
          <w:color w:val="000000" w:themeColor="text1"/>
          <w:sz w:val="20"/>
          <w:szCs w:val="20"/>
          <w:lang w:val="ro-MD"/>
        </w:rPr>
        <w:t>ional de reducere a poverii tuberculozei</w:t>
      </w:r>
      <w:r w:rsidR="00D80586" w:rsidRPr="00B13B9A">
        <w:rPr>
          <w:rFonts w:asciiTheme="majorHAnsi" w:eastAsia="Times New Roman" w:hAnsiTheme="majorHAnsi" w:cstheme="majorHAnsi"/>
          <w:b/>
          <w:color w:val="000000" w:themeColor="text1"/>
          <w:sz w:val="20"/>
          <w:szCs w:val="20"/>
          <w:lang w:val="ro-MD"/>
        </w:rPr>
        <w:t>”</w:t>
      </w:r>
    </w:p>
    <w:tbl>
      <w:tblPr>
        <w:tblStyle w:val="a3"/>
        <w:tblW w:w="14263" w:type="dxa"/>
        <w:tblInd w:w="-5" w:type="dxa"/>
        <w:tblLayout w:type="fixed"/>
        <w:tblLook w:val="04A0" w:firstRow="1" w:lastRow="0" w:firstColumn="1" w:lastColumn="0" w:noHBand="0" w:noVBand="1"/>
      </w:tblPr>
      <w:tblGrid>
        <w:gridCol w:w="576"/>
        <w:gridCol w:w="837"/>
        <w:gridCol w:w="2977"/>
        <w:gridCol w:w="5670"/>
        <w:gridCol w:w="2835"/>
        <w:gridCol w:w="1344"/>
        <w:gridCol w:w="24"/>
      </w:tblGrid>
      <w:tr w:rsidR="00FD65B6" w:rsidRPr="00B13B9A" w14:paraId="3D2E030B" w14:textId="77777777" w:rsidTr="00332FF7">
        <w:trPr>
          <w:gridAfter w:val="1"/>
          <w:wAfter w:w="24" w:type="dxa"/>
        </w:trPr>
        <w:tc>
          <w:tcPr>
            <w:tcW w:w="576" w:type="dxa"/>
            <w:tcBorders>
              <w:top w:val="single" w:sz="8" w:space="0" w:color="auto"/>
              <w:left w:val="single" w:sz="8" w:space="0" w:color="auto"/>
              <w:bottom w:val="single" w:sz="8" w:space="0" w:color="auto"/>
              <w:right w:val="single" w:sz="8" w:space="0" w:color="auto"/>
            </w:tcBorders>
            <w:shd w:val="clear" w:color="auto" w:fill="auto"/>
            <w:vAlign w:val="center"/>
          </w:tcPr>
          <w:p w14:paraId="51C2E6B2" w14:textId="77777777" w:rsidR="00FD65B6" w:rsidRPr="00B13B9A" w:rsidRDefault="00FD65B6" w:rsidP="00332FF7">
            <w:pPr>
              <w:jc w:val="center"/>
              <w:rPr>
                <w:rFonts w:asciiTheme="majorHAnsi" w:eastAsia="Times New Roman" w:hAnsiTheme="majorHAnsi" w:cstheme="majorHAnsi"/>
                <w:b/>
                <w:bCs/>
                <w:color w:val="000000" w:themeColor="text1"/>
                <w:sz w:val="20"/>
                <w:szCs w:val="20"/>
                <w:lang w:val="ro-MD"/>
              </w:rPr>
            </w:pPr>
            <w:r w:rsidRPr="00B13B9A">
              <w:rPr>
                <w:rFonts w:asciiTheme="majorHAnsi" w:eastAsia="Times New Roman" w:hAnsiTheme="majorHAnsi" w:cstheme="majorHAnsi"/>
                <w:b/>
                <w:bCs/>
                <w:color w:val="000000" w:themeColor="text1"/>
                <w:sz w:val="20"/>
                <w:szCs w:val="20"/>
                <w:lang w:val="ro-MD"/>
              </w:rPr>
              <w:t>Nr. ord</w:t>
            </w:r>
          </w:p>
        </w:tc>
        <w:tc>
          <w:tcPr>
            <w:tcW w:w="837" w:type="dxa"/>
            <w:tcBorders>
              <w:top w:val="single" w:sz="8" w:space="0" w:color="auto"/>
              <w:left w:val="single" w:sz="8" w:space="0" w:color="auto"/>
              <w:bottom w:val="single" w:sz="8" w:space="0" w:color="auto"/>
              <w:right w:val="single" w:sz="8" w:space="0" w:color="auto"/>
            </w:tcBorders>
            <w:shd w:val="clear" w:color="auto" w:fill="auto"/>
            <w:vAlign w:val="center"/>
          </w:tcPr>
          <w:p w14:paraId="3D19273C" w14:textId="77777777" w:rsidR="00FD65B6" w:rsidRPr="00B13B9A" w:rsidRDefault="00FD65B6" w:rsidP="00332FF7">
            <w:pPr>
              <w:jc w:val="center"/>
              <w:rPr>
                <w:rFonts w:asciiTheme="majorHAnsi" w:eastAsia="Times New Roman" w:hAnsiTheme="majorHAnsi" w:cstheme="majorHAnsi"/>
                <w:b/>
                <w:bCs/>
                <w:color w:val="000000" w:themeColor="text1"/>
                <w:sz w:val="20"/>
                <w:szCs w:val="20"/>
                <w:lang w:val="ro-MD"/>
              </w:rPr>
            </w:pPr>
            <w:r w:rsidRPr="00B13B9A">
              <w:rPr>
                <w:rFonts w:asciiTheme="majorHAnsi" w:eastAsia="Times New Roman" w:hAnsiTheme="majorHAnsi" w:cstheme="majorHAnsi"/>
                <w:b/>
                <w:bCs/>
                <w:color w:val="000000" w:themeColor="text1"/>
                <w:sz w:val="20"/>
                <w:szCs w:val="20"/>
                <w:lang w:val="ro-MD"/>
              </w:rPr>
              <w:t>Nr. recomandării</w:t>
            </w:r>
          </w:p>
        </w:tc>
        <w:tc>
          <w:tcPr>
            <w:tcW w:w="2977" w:type="dxa"/>
            <w:tcBorders>
              <w:top w:val="single" w:sz="8" w:space="0" w:color="auto"/>
              <w:left w:val="nil"/>
              <w:bottom w:val="single" w:sz="8" w:space="0" w:color="auto"/>
              <w:right w:val="single" w:sz="8" w:space="0" w:color="auto"/>
            </w:tcBorders>
            <w:shd w:val="clear" w:color="auto" w:fill="auto"/>
            <w:vAlign w:val="center"/>
          </w:tcPr>
          <w:p w14:paraId="09030A35" w14:textId="4CBFDF0D" w:rsidR="00FD65B6" w:rsidRPr="00B13B9A" w:rsidRDefault="00FD65B6" w:rsidP="00332FF7">
            <w:pPr>
              <w:jc w:val="center"/>
              <w:rPr>
                <w:rFonts w:asciiTheme="majorHAnsi" w:eastAsia="Times New Roman" w:hAnsiTheme="majorHAnsi" w:cstheme="majorHAnsi"/>
                <w:b/>
                <w:bCs/>
                <w:color w:val="000000" w:themeColor="text1"/>
                <w:sz w:val="20"/>
                <w:szCs w:val="20"/>
                <w:lang w:val="ro-MD"/>
              </w:rPr>
            </w:pPr>
            <w:r w:rsidRPr="00B13B9A">
              <w:rPr>
                <w:rFonts w:asciiTheme="majorHAnsi" w:eastAsia="Times New Roman" w:hAnsiTheme="majorHAnsi" w:cstheme="majorHAnsi"/>
                <w:b/>
                <w:bCs/>
                <w:color w:val="000000" w:themeColor="text1"/>
                <w:sz w:val="20"/>
                <w:szCs w:val="20"/>
                <w:lang w:val="ro-MD"/>
              </w:rPr>
              <w:t>Cerin</w:t>
            </w:r>
            <w:r w:rsidR="00B13B9A" w:rsidRPr="00B13B9A">
              <w:rPr>
                <w:rFonts w:asciiTheme="majorHAnsi" w:eastAsia="Times New Roman" w:hAnsiTheme="majorHAnsi" w:cstheme="majorHAnsi"/>
                <w:b/>
                <w:bCs/>
                <w:color w:val="000000" w:themeColor="text1"/>
                <w:sz w:val="20"/>
                <w:szCs w:val="20"/>
                <w:lang w:val="ro-MD"/>
              </w:rPr>
              <w:t>ț</w:t>
            </w:r>
            <w:r w:rsidRPr="00B13B9A">
              <w:rPr>
                <w:rFonts w:asciiTheme="majorHAnsi" w:eastAsia="Times New Roman" w:hAnsiTheme="majorHAnsi" w:cstheme="majorHAnsi"/>
                <w:b/>
                <w:bCs/>
                <w:color w:val="000000" w:themeColor="text1"/>
                <w:sz w:val="20"/>
                <w:szCs w:val="20"/>
                <w:lang w:val="ro-MD"/>
              </w:rPr>
              <w:t xml:space="preserve">ele </w:t>
            </w:r>
            <w:r w:rsidR="00B13B9A" w:rsidRPr="00B13B9A">
              <w:rPr>
                <w:rFonts w:asciiTheme="majorHAnsi" w:eastAsia="Times New Roman" w:hAnsiTheme="majorHAnsi" w:cstheme="majorHAnsi"/>
                <w:b/>
                <w:bCs/>
                <w:color w:val="000000" w:themeColor="text1"/>
                <w:sz w:val="20"/>
                <w:szCs w:val="20"/>
                <w:lang w:val="ro-MD"/>
              </w:rPr>
              <w:t>ș</w:t>
            </w:r>
            <w:r w:rsidRPr="00B13B9A">
              <w:rPr>
                <w:rFonts w:asciiTheme="majorHAnsi" w:eastAsia="Times New Roman" w:hAnsiTheme="majorHAnsi" w:cstheme="majorHAnsi"/>
                <w:b/>
                <w:bCs/>
                <w:color w:val="000000" w:themeColor="text1"/>
                <w:sz w:val="20"/>
                <w:szCs w:val="20"/>
                <w:lang w:val="ro-MD"/>
              </w:rPr>
              <w:t>i recomandările specificate în hotărârea anterioară a Cur</w:t>
            </w:r>
            <w:r w:rsidR="00B13B9A" w:rsidRPr="00B13B9A">
              <w:rPr>
                <w:rFonts w:asciiTheme="majorHAnsi" w:eastAsia="Times New Roman" w:hAnsiTheme="majorHAnsi" w:cstheme="majorHAnsi"/>
                <w:b/>
                <w:bCs/>
                <w:color w:val="000000" w:themeColor="text1"/>
                <w:sz w:val="20"/>
                <w:szCs w:val="20"/>
                <w:lang w:val="ro-MD"/>
              </w:rPr>
              <w:t>ț</w:t>
            </w:r>
            <w:r w:rsidRPr="00B13B9A">
              <w:rPr>
                <w:rFonts w:asciiTheme="majorHAnsi" w:eastAsia="Times New Roman" w:hAnsiTheme="majorHAnsi" w:cstheme="majorHAnsi"/>
                <w:b/>
                <w:bCs/>
                <w:color w:val="000000" w:themeColor="text1"/>
                <w:sz w:val="20"/>
                <w:szCs w:val="20"/>
                <w:lang w:val="ro-MD"/>
              </w:rPr>
              <w:t>ii de Conturi</w:t>
            </w:r>
          </w:p>
        </w:tc>
        <w:tc>
          <w:tcPr>
            <w:tcW w:w="5670" w:type="dxa"/>
            <w:tcBorders>
              <w:top w:val="single" w:sz="8" w:space="0" w:color="auto"/>
              <w:left w:val="nil"/>
              <w:bottom w:val="single" w:sz="8" w:space="0" w:color="auto"/>
              <w:right w:val="single" w:sz="8" w:space="0" w:color="auto"/>
            </w:tcBorders>
            <w:shd w:val="clear" w:color="auto" w:fill="auto"/>
            <w:vAlign w:val="center"/>
          </w:tcPr>
          <w:p w14:paraId="54AB4BD3" w14:textId="6B982A0E" w:rsidR="00FD65B6" w:rsidRPr="00B13B9A" w:rsidRDefault="00FD65B6" w:rsidP="00332FF7">
            <w:pPr>
              <w:jc w:val="center"/>
              <w:rPr>
                <w:rFonts w:asciiTheme="majorHAnsi" w:eastAsia="Times New Roman" w:hAnsiTheme="majorHAnsi" w:cstheme="majorHAnsi"/>
                <w:b/>
                <w:bCs/>
                <w:color w:val="000000" w:themeColor="text1"/>
                <w:sz w:val="20"/>
                <w:szCs w:val="20"/>
                <w:lang w:val="ro-MD"/>
              </w:rPr>
            </w:pPr>
            <w:r w:rsidRPr="00B13B9A">
              <w:rPr>
                <w:rFonts w:asciiTheme="majorHAnsi" w:eastAsia="Times New Roman" w:hAnsiTheme="majorHAnsi" w:cstheme="majorHAnsi"/>
                <w:b/>
                <w:bCs/>
                <w:color w:val="000000" w:themeColor="text1"/>
                <w:sz w:val="20"/>
                <w:szCs w:val="20"/>
                <w:lang w:val="ro-MD"/>
              </w:rPr>
              <w:t>Măsurile luate de entitate în conformitate cu scrisorile adresate Cur</w:t>
            </w:r>
            <w:r w:rsidR="00B13B9A" w:rsidRPr="00B13B9A">
              <w:rPr>
                <w:rFonts w:asciiTheme="majorHAnsi" w:eastAsia="Times New Roman" w:hAnsiTheme="majorHAnsi" w:cstheme="majorHAnsi"/>
                <w:b/>
                <w:bCs/>
                <w:color w:val="000000" w:themeColor="text1"/>
                <w:sz w:val="20"/>
                <w:szCs w:val="20"/>
                <w:lang w:val="ro-MD"/>
              </w:rPr>
              <w:t>ț</w:t>
            </w:r>
            <w:r w:rsidRPr="00B13B9A">
              <w:rPr>
                <w:rFonts w:asciiTheme="majorHAnsi" w:eastAsia="Times New Roman" w:hAnsiTheme="majorHAnsi" w:cstheme="majorHAnsi"/>
                <w:b/>
                <w:bCs/>
                <w:color w:val="000000" w:themeColor="text1"/>
                <w:sz w:val="20"/>
                <w:szCs w:val="20"/>
                <w:lang w:val="ro-MD"/>
              </w:rPr>
              <w:t>ii de Conturi</w:t>
            </w:r>
          </w:p>
        </w:tc>
        <w:tc>
          <w:tcPr>
            <w:tcW w:w="2835" w:type="dxa"/>
            <w:tcBorders>
              <w:top w:val="single" w:sz="8" w:space="0" w:color="auto"/>
              <w:left w:val="nil"/>
              <w:bottom w:val="single" w:sz="8" w:space="0" w:color="auto"/>
              <w:right w:val="single" w:sz="8" w:space="0" w:color="auto"/>
            </w:tcBorders>
            <w:shd w:val="clear" w:color="auto" w:fill="auto"/>
            <w:vAlign w:val="center"/>
          </w:tcPr>
          <w:p w14:paraId="4A88BCD0" w14:textId="77777777" w:rsidR="00FD65B6" w:rsidRPr="00B13B9A" w:rsidRDefault="00FD65B6" w:rsidP="00332FF7">
            <w:pPr>
              <w:jc w:val="center"/>
              <w:rPr>
                <w:rFonts w:asciiTheme="majorHAnsi" w:eastAsia="Times New Roman" w:hAnsiTheme="majorHAnsi" w:cstheme="majorHAnsi"/>
                <w:b/>
                <w:bCs/>
                <w:color w:val="000000" w:themeColor="text1"/>
                <w:sz w:val="20"/>
                <w:szCs w:val="20"/>
                <w:lang w:val="ro-MD"/>
              </w:rPr>
            </w:pPr>
            <w:r w:rsidRPr="00B13B9A">
              <w:rPr>
                <w:rFonts w:asciiTheme="majorHAnsi" w:eastAsia="Times New Roman" w:hAnsiTheme="majorHAnsi" w:cstheme="majorHAnsi"/>
                <w:b/>
                <w:bCs/>
                <w:color w:val="000000" w:themeColor="text1"/>
                <w:sz w:val="20"/>
                <w:szCs w:val="20"/>
                <w:lang w:val="ro-MD"/>
              </w:rPr>
              <w:t>Analiza de către auditor a faptului dacă recomandările au fost puse în aplicare</w:t>
            </w:r>
          </w:p>
        </w:tc>
        <w:tc>
          <w:tcPr>
            <w:tcW w:w="1344" w:type="dxa"/>
            <w:tcBorders>
              <w:top w:val="single" w:sz="8" w:space="0" w:color="auto"/>
              <w:left w:val="nil"/>
              <w:bottom w:val="single" w:sz="8" w:space="0" w:color="auto"/>
              <w:right w:val="single" w:sz="8" w:space="0" w:color="auto"/>
            </w:tcBorders>
            <w:shd w:val="clear" w:color="auto" w:fill="auto"/>
            <w:vAlign w:val="center"/>
          </w:tcPr>
          <w:p w14:paraId="7AC04543" w14:textId="77777777" w:rsidR="00FD65B6" w:rsidRPr="00B13B9A" w:rsidRDefault="00FD65B6" w:rsidP="00332FF7">
            <w:pPr>
              <w:jc w:val="center"/>
              <w:rPr>
                <w:rFonts w:asciiTheme="majorHAnsi" w:eastAsia="Times New Roman" w:hAnsiTheme="majorHAnsi" w:cstheme="majorHAnsi"/>
                <w:b/>
                <w:bCs/>
                <w:color w:val="000000" w:themeColor="text1"/>
                <w:sz w:val="20"/>
                <w:szCs w:val="20"/>
                <w:lang w:val="ro-MD"/>
              </w:rPr>
            </w:pPr>
            <w:r w:rsidRPr="00B13B9A">
              <w:rPr>
                <w:rFonts w:asciiTheme="majorHAnsi" w:eastAsia="Times New Roman" w:hAnsiTheme="majorHAnsi" w:cstheme="majorHAnsi"/>
                <w:b/>
                <w:bCs/>
                <w:color w:val="000000" w:themeColor="text1"/>
                <w:sz w:val="20"/>
                <w:szCs w:val="20"/>
                <w:lang w:val="ro-MD"/>
              </w:rPr>
              <w:t>Concluziile auditorului</w:t>
            </w:r>
          </w:p>
        </w:tc>
      </w:tr>
      <w:tr w:rsidR="00FD65B6" w:rsidRPr="00B13B9A" w14:paraId="40B272F4" w14:textId="77777777" w:rsidTr="00332FF7">
        <w:trPr>
          <w:gridAfter w:val="1"/>
          <w:wAfter w:w="24" w:type="dxa"/>
        </w:trPr>
        <w:tc>
          <w:tcPr>
            <w:tcW w:w="576" w:type="dxa"/>
            <w:tcBorders>
              <w:top w:val="nil"/>
              <w:left w:val="single" w:sz="8" w:space="0" w:color="auto"/>
              <w:bottom w:val="single" w:sz="8" w:space="0" w:color="auto"/>
              <w:right w:val="single" w:sz="8" w:space="0" w:color="auto"/>
            </w:tcBorders>
            <w:shd w:val="clear" w:color="auto" w:fill="auto"/>
          </w:tcPr>
          <w:p w14:paraId="29377F76" w14:textId="77777777" w:rsidR="00FD65B6" w:rsidRPr="00B13B9A" w:rsidRDefault="00FD65B6" w:rsidP="00332FF7">
            <w:pPr>
              <w:jc w:val="center"/>
              <w:rPr>
                <w:rFonts w:asciiTheme="majorHAnsi" w:eastAsia="Times New Roman" w:hAnsiTheme="majorHAnsi" w:cstheme="majorHAnsi"/>
                <w:b/>
                <w:bCs/>
                <w:color w:val="000000" w:themeColor="text1"/>
                <w:sz w:val="20"/>
                <w:szCs w:val="20"/>
                <w:lang w:val="ro-MD"/>
              </w:rPr>
            </w:pPr>
          </w:p>
        </w:tc>
        <w:tc>
          <w:tcPr>
            <w:tcW w:w="837" w:type="dxa"/>
            <w:tcBorders>
              <w:top w:val="nil"/>
              <w:left w:val="single" w:sz="8" w:space="0" w:color="auto"/>
              <w:bottom w:val="single" w:sz="8" w:space="0" w:color="auto"/>
              <w:right w:val="single" w:sz="8" w:space="0" w:color="auto"/>
            </w:tcBorders>
            <w:shd w:val="clear" w:color="auto" w:fill="auto"/>
            <w:vAlign w:val="center"/>
          </w:tcPr>
          <w:p w14:paraId="512189C3" w14:textId="77777777" w:rsidR="00FD65B6" w:rsidRPr="00B13B9A" w:rsidRDefault="00FD65B6" w:rsidP="00332FF7">
            <w:pPr>
              <w:jc w:val="center"/>
              <w:rPr>
                <w:rFonts w:asciiTheme="majorHAnsi" w:eastAsia="Times New Roman" w:hAnsiTheme="majorHAnsi" w:cstheme="majorHAnsi"/>
                <w:b/>
                <w:bCs/>
                <w:color w:val="000000" w:themeColor="text1"/>
                <w:sz w:val="20"/>
                <w:szCs w:val="20"/>
                <w:lang w:val="ro-MD"/>
              </w:rPr>
            </w:pPr>
            <w:r w:rsidRPr="00B13B9A">
              <w:rPr>
                <w:rFonts w:asciiTheme="majorHAnsi" w:eastAsia="Times New Roman" w:hAnsiTheme="majorHAnsi" w:cstheme="majorHAnsi"/>
                <w:b/>
                <w:bCs/>
                <w:color w:val="000000" w:themeColor="text1"/>
                <w:sz w:val="20"/>
                <w:szCs w:val="20"/>
                <w:lang w:val="ro-MD"/>
              </w:rPr>
              <w:t> </w:t>
            </w:r>
          </w:p>
        </w:tc>
        <w:tc>
          <w:tcPr>
            <w:tcW w:w="2977" w:type="dxa"/>
            <w:tcBorders>
              <w:top w:val="nil"/>
              <w:left w:val="nil"/>
              <w:bottom w:val="single" w:sz="8" w:space="0" w:color="auto"/>
              <w:right w:val="single" w:sz="8" w:space="0" w:color="auto"/>
            </w:tcBorders>
            <w:shd w:val="clear" w:color="auto" w:fill="auto"/>
          </w:tcPr>
          <w:p w14:paraId="0EAEEB04" w14:textId="77777777" w:rsidR="00FD65B6" w:rsidRPr="00B13B9A" w:rsidRDefault="00FD65B6" w:rsidP="00332FF7">
            <w:pPr>
              <w:rPr>
                <w:rFonts w:asciiTheme="majorHAnsi" w:eastAsia="Times New Roman" w:hAnsiTheme="majorHAnsi" w:cstheme="majorHAnsi"/>
                <w:b/>
                <w:bCs/>
                <w:i/>
                <w:iCs/>
                <w:color w:val="000000" w:themeColor="text1"/>
                <w:sz w:val="20"/>
                <w:szCs w:val="20"/>
                <w:lang w:val="ro-MD"/>
              </w:rPr>
            </w:pPr>
            <w:r w:rsidRPr="00B13B9A">
              <w:rPr>
                <w:rFonts w:asciiTheme="majorHAnsi" w:eastAsia="Times New Roman" w:hAnsiTheme="majorHAnsi" w:cstheme="majorHAnsi"/>
                <w:b/>
                <w:bCs/>
                <w:i/>
                <w:iCs/>
                <w:color w:val="000000" w:themeColor="text1"/>
                <w:sz w:val="20"/>
                <w:szCs w:val="20"/>
                <w:lang w:val="ro-MD"/>
              </w:rPr>
              <w:t>Hotărârea nr. 5 din 30 ianuarie 2020</w:t>
            </w:r>
          </w:p>
        </w:tc>
        <w:tc>
          <w:tcPr>
            <w:tcW w:w="5670" w:type="dxa"/>
            <w:tcBorders>
              <w:top w:val="nil"/>
              <w:left w:val="nil"/>
              <w:bottom w:val="single" w:sz="8" w:space="0" w:color="auto"/>
              <w:right w:val="single" w:sz="8" w:space="0" w:color="auto"/>
            </w:tcBorders>
            <w:shd w:val="clear" w:color="auto" w:fill="auto"/>
          </w:tcPr>
          <w:p w14:paraId="677A9E84" w14:textId="413A67F7" w:rsidR="00FD65B6" w:rsidRPr="00B13B9A" w:rsidRDefault="00FD65B6" w:rsidP="00332FF7">
            <w:pPr>
              <w:jc w:val="both"/>
              <w:rPr>
                <w:rFonts w:asciiTheme="majorHAnsi" w:eastAsia="Times New Roman" w:hAnsiTheme="majorHAnsi" w:cstheme="majorHAnsi"/>
                <w:b/>
                <w:color w:val="000000" w:themeColor="text1"/>
                <w:sz w:val="20"/>
                <w:szCs w:val="20"/>
                <w:lang w:val="ro-MD"/>
              </w:rPr>
            </w:pPr>
            <w:r w:rsidRPr="00B13B9A">
              <w:rPr>
                <w:rFonts w:asciiTheme="majorHAnsi" w:eastAsia="Times New Roman" w:hAnsiTheme="majorHAnsi" w:cstheme="majorHAnsi"/>
                <w:b/>
                <w:i/>
                <w:color w:val="000000" w:themeColor="text1"/>
                <w:sz w:val="20"/>
                <w:szCs w:val="20"/>
                <w:lang w:val="ro-MD"/>
              </w:rPr>
              <w:t>Raportul auditului performan</w:t>
            </w:r>
            <w:r w:rsidR="00B13B9A" w:rsidRPr="00B13B9A">
              <w:rPr>
                <w:rFonts w:asciiTheme="majorHAnsi" w:eastAsia="Times New Roman" w:hAnsiTheme="majorHAnsi" w:cstheme="majorHAnsi"/>
                <w:b/>
                <w:i/>
                <w:color w:val="000000" w:themeColor="text1"/>
                <w:sz w:val="20"/>
                <w:szCs w:val="20"/>
                <w:lang w:val="ro-MD"/>
              </w:rPr>
              <w:t>ț</w:t>
            </w:r>
            <w:r w:rsidRPr="00B13B9A">
              <w:rPr>
                <w:rFonts w:asciiTheme="majorHAnsi" w:eastAsia="Times New Roman" w:hAnsiTheme="majorHAnsi" w:cstheme="majorHAnsi"/>
                <w:b/>
                <w:i/>
                <w:color w:val="000000" w:themeColor="text1"/>
                <w:sz w:val="20"/>
                <w:szCs w:val="20"/>
                <w:lang w:val="ro-MD"/>
              </w:rPr>
              <w:t>ei privind realizarea Programului na</w:t>
            </w:r>
            <w:r w:rsidR="00B13B9A" w:rsidRPr="00B13B9A">
              <w:rPr>
                <w:rFonts w:asciiTheme="majorHAnsi" w:eastAsia="Times New Roman" w:hAnsiTheme="majorHAnsi" w:cstheme="majorHAnsi"/>
                <w:b/>
                <w:i/>
                <w:color w:val="000000" w:themeColor="text1"/>
                <w:sz w:val="20"/>
                <w:szCs w:val="20"/>
                <w:lang w:val="ro-MD"/>
              </w:rPr>
              <w:t>ț</w:t>
            </w:r>
            <w:r w:rsidRPr="00B13B9A">
              <w:rPr>
                <w:rFonts w:asciiTheme="majorHAnsi" w:eastAsia="Times New Roman" w:hAnsiTheme="majorHAnsi" w:cstheme="majorHAnsi"/>
                <w:b/>
                <w:i/>
                <w:color w:val="000000" w:themeColor="text1"/>
                <w:sz w:val="20"/>
                <w:szCs w:val="20"/>
                <w:lang w:val="ro-MD"/>
              </w:rPr>
              <w:t>ional de reducere a poverii tuberculozei</w:t>
            </w:r>
          </w:p>
        </w:tc>
        <w:tc>
          <w:tcPr>
            <w:tcW w:w="2835" w:type="dxa"/>
            <w:tcBorders>
              <w:top w:val="nil"/>
              <w:left w:val="nil"/>
              <w:bottom w:val="single" w:sz="8" w:space="0" w:color="auto"/>
              <w:right w:val="single" w:sz="8" w:space="0" w:color="auto"/>
            </w:tcBorders>
            <w:shd w:val="clear" w:color="auto" w:fill="auto"/>
          </w:tcPr>
          <w:p w14:paraId="66201248" w14:textId="77777777" w:rsidR="00FD65B6" w:rsidRPr="00B13B9A" w:rsidRDefault="00FD65B6" w:rsidP="00332FF7">
            <w:pPr>
              <w:rPr>
                <w:rFonts w:asciiTheme="majorHAnsi" w:eastAsia="Times New Roman" w:hAnsiTheme="majorHAnsi" w:cstheme="majorHAnsi"/>
                <w:b/>
                <w:bCs/>
                <w:color w:val="000000" w:themeColor="text1"/>
                <w:sz w:val="20"/>
                <w:szCs w:val="20"/>
                <w:lang w:val="ro-MD"/>
              </w:rPr>
            </w:pPr>
            <w:r w:rsidRPr="00B13B9A">
              <w:rPr>
                <w:rFonts w:asciiTheme="majorHAnsi" w:eastAsia="Times New Roman" w:hAnsiTheme="majorHAnsi" w:cstheme="majorHAnsi"/>
                <w:b/>
                <w:bCs/>
                <w:color w:val="000000" w:themeColor="text1"/>
                <w:sz w:val="20"/>
                <w:szCs w:val="20"/>
                <w:lang w:val="ro-MD"/>
              </w:rPr>
              <w:t> </w:t>
            </w:r>
          </w:p>
        </w:tc>
        <w:tc>
          <w:tcPr>
            <w:tcW w:w="1344" w:type="dxa"/>
            <w:tcBorders>
              <w:top w:val="nil"/>
              <w:left w:val="nil"/>
              <w:bottom w:val="single" w:sz="8" w:space="0" w:color="auto"/>
              <w:right w:val="single" w:sz="8" w:space="0" w:color="auto"/>
            </w:tcBorders>
            <w:shd w:val="clear" w:color="auto" w:fill="auto"/>
          </w:tcPr>
          <w:p w14:paraId="776A364F" w14:textId="77777777" w:rsidR="00FD65B6" w:rsidRPr="00B13B9A" w:rsidRDefault="00FD65B6" w:rsidP="00332FF7">
            <w:pPr>
              <w:rPr>
                <w:rFonts w:asciiTheme="majorHAnsi" w:eastAsia="Times New Roman" w:hAnsiTheme="majorHAnsi" w:cstheme="majorHAnsi"/>
                <w:b/>
                <w:bCs/>
                <w:color w:val="000000" w:themeColor="text1"/>
                <w:sz w:val="20"/>
                <w:szCs w:val="20"/>
                <w:lang w:val="ro-MD"/>
              </w:rPr>
            </w:pPr>
            <w:r w:rsidRPr="00B13B9A">
              <w:rPr>
                <w:rFonts w:asciiTheme="majorHAnsi" w:eastAsia="Times New Roman" w:hAnsiTheme="majorHAnsi" w:cstheme="majorHAnsi"/>
                <w:b/>
                <w:bCs/>
                <w:color w:val="000000" w:themeColor="text1"/>
                <w:sz w:val="20"/>
                <w:szCs w:val="20"/>
                <w:lang w:val="ro-MD"/>
              </w:rPr>
              <w:t> </w:t>
            </w:r>
          </w:p>
        </w:tc>
      </w:tr>
      <w:tr w:rsidR="00FD65B6" w:rsidRPr="001924A7" w14:paraId="6A75FFF5" w14:textId="77777777" w:rsidTr="00332FF7">
        <w:tc>
          <w:tcPr>
            <w:tcW w:w="14263" w:type="dxa"/>
            <w:gridSpan w:val="7"/>
            <w:shd w:val="clear" w:color="auto" w:fill="auto"/>
          </w:tcPr>
          <w:p w14:paraId="18F0D708" w14:textId="0E882971"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Ministerului Sănătă</w:t>
            </w:r>
            <w:r w:rsidR="00B13B9A" w:rsidRPr="00B13B9A">
              <w:rPr>
                <w:rFonts w:asciiTheme="majorHAnsi" w:hAnsiTheme="majorHAnsi" w:cstheme="majorHAnsi"/>
                <w:b/>
                <w:i/>
                <w:color w:val="000000" w:themeColor="text1"/>
                <w:sz w:val="20"/>
                <w:szCs w:val="20"/>
                <w:lang w:val="ro-MD"/>
              </w:rPr>
              <w:t>ț</w:t>
            </w:r>
            <w:r w:rsidRPr="00B13B9A">
              <w:rPr>
                <w:rFonts w:asciiTheme="majorHAnsi" w:hAnsiTheme="majorHAnsi" w:cstheme="majorHAnsi"/>
                <w:b/>
                <w:i/>
                <w:color w:val="000000" w:themeColor="text1"/>
                <w:sz w:val="20"/>
                <w:szCs w:val="20"/>
                <w:lang w:val="ro-MD"/>
              </w:rPr>
              <w:t xml:space="preserve">ii, Muncii </w:t>
            </w:r>
            <w:r w:rsidR="00B13B9A" w:rsidRPr="00B13B9A">
              <w:rPr>
                <w:rFonts w:asciiTheme="majorHAnsi" w:hAnsiTheme="majorHAnsi" w:cstheme="majorHAnsi"/>
                <w:b/>
                <w:i/>
                <w:color w:val="000000" w:themeColor="text1"/>
                <w:sz w:val="20"/>
                <w:szCs w:val="20"/>
                <w:lang w:val="ro-MD"/>
              </w:rPr>
              <w:t>ș</w:t>
            </w:r>
            <w:r w:rsidRPr="00B13B9A">
              <w:rPr>
                <w:rFonts w:asciiTheme="majorHAnsi" w:hAnsiTheme="majorHAnsi" w:cstheme="majorHAnsi"/>
                <w:b/>
                <w:i/>
                <w:color w:val="000000" w:themeColor="text1"/>
                <w:sz w:val="20"/>
                <w:szCs w:val="20"/>
                <w:lang w:val="ro-MD"/>
              </w:rPr>
              <w:t>i Protec</w:t>
            </w:r>
            <w:r w:rsidR="00B13B9A" w:rsidRPr="00B13B9A">
              <w:rPr>
                <w:rFonts w:asciiTheme="majorHAnsi" w:hAnsiTheme="majorHAnsi" w:cstheme="majorHAnsi"/>
                <w:b/>
                <w:i/>
                <w:color w:val="000000" w:themeColor="text1"/>
                <w:sz w:val="20"/>
                <w:szCs w:val="20"/>
                <w:lang w:val="ro-MD"/>
              </w:rPr>
              <w:t>ț</w:t>
            </w:r>
            <w:r w:rsidRPr="00B13B9A">
              <w:rPr>
                <w:rFonts w:asciiTheme="majorHAnsi" w:hAnsiTheme="majorHAnsi" w:cstheme="majorHAnsi"/>
                <w:b/>
                <w:i/>
                <w:color w:val="000000" w:themeColor="text1"/>
                <w:sz w:val="20"/>
                <w:szCs w:val="20"/>
                <w:lang w:val="ro-MD"/>
              </w:rPr>
              <w:t>iei Sociale</w:t>
            </w:r>
          </w:p>
        </w:tc>
      </w:tr>
      <w:tr w:rsidR="00FD65B6" w:rsidRPr="00B13B9A" w14:paraId="50E1B2E8" w14:textId="77777777" w:rsidTr="00332FF7">
        <w:trPr>
          <w:gridAfter w:val="1"/>
          <w:wAfter w:w="24" w:type="dxa"/>
        </w:trPr>
        <w:tc>
          <w:tcPr>
            <w:tcW w:w="576" w:type="dxa"/>
            <w:shd w:val="clear" w:color="auto" w:fill="auto"/>
          </w:tcPr>
          <w:p w14:paraId="4BE940BB"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1</w:t>
            </w:r>
          </w:p>
        </w:tc>
        <w:tc>
          <w:tcPr>
            <w:tcW w:w="837" w:type="dxa"/>
            <w:shd w:val="clear" w:color="auto" w:fill="auto"/>
          </w:tcPr>
          <w:p w14:paraId="4E6520E5"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2.1</w:t>
            </w:r>
          </w:p>
        </w:tc>
        <w:tc>
          <w:tcPr>
            <w:tcW w:w="2977" w:type="dxa"/>
            <w:shd w:val="clear" w:color="auto" w:fill="auto"/>
          </w:tcPr>
          <w:p w14:paraId="18ABDEAA" w14:textId="05EFE22B" w:rsidR="00FD65B6" w:rsidRPr="00B13B9A" w:rsidRDefault="00FD65B6" w:rsidP="00332FF7">
            <w:pPr>
              <w:jc w:val="both"/>
              <w:rPr>
                <w:rFonts w:asciiTheme="majorHAnsi" w:hAnsiTheme="majorHAnsi" w:cstheme="majorHAnsi"/>
                <w:i/>
                <w:color w:val="000000"/>
                <w:sz w:val="20"/>
                <w:szCs w:val="20"/>
                <w:lang w:val="ro-MD"/>
              </w:rPr>
            </w:pPr>
            <w:r w:rsidRPr="00B13B9A">
              <w:rPr>
                <w:rFonts w:asciiTheme="majorHAnsi" w:hAnsiTheme="majorHAnsi" w:cstheme="majorHAnsi"/>
                <w:i/>
                <w:color w:val="000000"/>
                <w:sz w:val="20"/>
                <w:szCs w:val="20"/>
                <w:lang w:val="ro-MD"/>
              </w:rPr>
              <w:t xml:space="preserve">Modalitatea de justificare a costurilor </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i planificarea necesarului de mijloace financiare prin delimitarea exhaustivă a resurselor de finan</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are pentru fiecare ac</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iune din Planul de ac</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iuni (pct.4.1.)</w:t>
            </w:r>
          </w:p>
        </w:tc>
        <w:tc>
          <w:tcPr>
            <w:tcW w:w="5670" w:type="dxa"/>
            <w:shd w:val="clear" w:color="auto" w:fill="auto"/>
          </w:tcPr>
          <w:p w14:paraId="1489E1B3" w14:textId="58480F17"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b/>
                <w:i/>
                <w:color w:val="000000"/>
                <w:sz w:val="20"/>
                <w:szCs w:val="20"/>
                <w:u w:val="single"/>
                <w:lang w:val="ro-MD"/>
              </w:rPr>
              <w:t>Scrisoare</w:t>
            </w:r>
            <w:r w:rsidR="00D80586" w:rsidRPr="00B13B9A">
              <w:rPr>
                <w:rFonts w:asciiTheme="majorHAnsi" w:hAnsiTheme="majorHAnsi" w:cstheme="majorHAnsi"/>
                <w:b/>
                <w:i/>
                <w:color w:val="000000"/>
                <w:sz w:val="20"/>
                <w:szCs w:val="20"/>
                <w:u w:val="single"/>
                <w:lang w:val="ro-MD"/>
              </w:rPr>
              <w:t>a</w:t>
            </w:r>
            <w:r w:rsidRPr="00B13B9A">
              <w:rPr>
                <w:rFonts w:asciiTheme="majorHAnsi" w:hAnsiTheme="majorHAnsi" w:cstheme="majorHAnsi"/>
                <w:b/>
                <w:i/>
                <w:color w:val="000000"/>
                <w:sz w:val="20"/>
                <w:szCs w:val="20"/>
                <w:u w:val="single"/>
                <w:lang w:val="ro-MD"/>
              </w:rPr>
              <w:t xml:space="preserve"> MSMPS nr.04/3055 din 09.06.2020:</w:t>
            </w:r>
            <w:r w:rsidRPr="00B13B9A">
              <w:rPr>
                <w:rFonts w:asciiTheme="majorHAnsi" w:hAnsiTheme="majorHAnsi" w:cstheme="majorHAnsi"/>
                <w:b/>
                <w:i/>
                <w:color w:val="000000"/>
                <w:sz w:val="20"/>
                <w:szCs w:val="20"/>
                <w:lang w:val="ro-MD"/>
              </w:rPr>
              <w:t xml:space="preserve"> </w:t>
            </w:r>
            <w:r w:rsidRPr="00B13B9A">
              <w:rPr>
                <w:rFonts w:asciiTheme="majorHAnsi" w:hAnsiTheme="majorHAnsi" w:cstheme="majorHAnsi"/>
                <w:color w:val="000000"/>
                <w:sz w:val="20"/>
                <w:szCs w:val="20"/>
                <w:lang w:val="ro-MD"/>
              </w:rPr>
              <w:t xml:space="preserve">Costurile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planificarea necesarului de mijloace financiare pentru fiecare ac</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iune din Planul de ac</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iuni a fost calculat în baza CATALOGULUI TARIFELOR UNICE pentru serviciile medico-sanitare prestate contra plată de către institu</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iile medico-sanitare publice, precum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pentru serviciile acoperite din fondurile asigurării obligatorii de asisten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ă medicală, prestate de institu</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iile medico-sanitare publice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cele private</w:t>
            </w:r>
          </w:p>
        </w:tc>
        <w:tc>
          <w:tcPr>
            <w:tcW w:w="2835" w:type="dxa"/>
            <w:shd w:val="clear" w:color="auto" w:fill="auto"/>
          </w:tcPr>
          <w:p w14:paraId="08A43D83" w14:textId="520CA5C0"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Propunerile de interven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 pentru îmbunătă</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irea controlului tuberculozei în RM cu revizuirea mecanismului de finan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are a serviciului de ftiziopneumonie au fost înaintate de Departamentul de coordonare PNCT către MSMPS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CNAM.</w:t>
            </w:r>
          </w:p>
        </w:tc>
        <w:tc>
          <w:tcPr>
            <w:tcW w:w="1344" w:type="dxa"/>
            <w:shd w:val="clear" w:color="auto" w:fill="auto"/>
          </w:tcPr>
          <w:p w14:paraId="1FD887E2" w14:textId="77777777" w:rsidR="00FD65B6" w:rsidRPr="00B13B9A" w:rsidRDefault="00FD65B6" w:rsidP="00332FF7">
            <w:pPr>
              <w:jc w:val="both"/>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B13B9A" w14:paraId="07629C81" w14:textId="77777777" w:rsidTr="00332FF7">
        <w:trPr>
          <w:gridAfter w:val="1"/>
          <w:wAfter w:w="24" w:type="dxa"/>
        </w:trPr>
        <w:tc>
          <w:tcPr>
            <w:tcW w:w="576" w:type="dxa"/>
            <w:shd w:val="clear" w:color="auto" w:fill="auto"/>
          </w:tcPr>
          <w:p w14:paraId="7D9944E5" w14:textId="77777777" w:rsidR="00FD65B6" w:rsidRPr="00B13B9A" w:rsidRDefault="00FD65B6" w:rsidP="00332FF7">
            <w:pPr>
              <w:jc w:val="center"/>
              <w:rPr>
                <w:rFonts w:asciiTheme="majorHAnsi" w:hAnsiTheme="majorHAnsi" w:cstheme="majorHAnsi"/>
                <w:b/>
                <w:i/>
                <w:color w:val="000000" w:themeColor="text1"/>
                <w:sz w:val="20"/>
                <w:szCs w:val="20"/>
                <w:lang w:val="ro-MD"/>
              </w:rPr>
            </w:pPr>
          </w:p>
        </w:tc>
        <w:tc>
          <w:tcPr>
            <w:tcW w:w="837" w:type="dxa"/>
            <w:shd w:val="clear" w:color="auto" w:fill="auto"/>
          </w:tcPr>
          <w:p w14:paraId="7BF5047E"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2.2</w:t>
            </w:r>
          </w:p>
        </w:tc>
        <w:tc>
          <w:tcPr>
            <w:tcW w:w="2977" w:type="dxa"/>
            <w:shd w:val="clear" w:color="auto" w:fill="auto"/>
          </w:tcPr>
          <w:p w14:paraId="01BA46FF" w14:textId="0B855910" w:rsidR="00FD65B6" w:rsidRPr="00B13B9A" w:rsidRDefault="00FD65B6" w:rsidP="00332FF7">
            <w:pPr>
              <w:jc w:val="both"/>
              <w:rPr>
                <w:rFonts w:asciiTheme="majorHAnsi" w:hAnsiTheme="majorHAnsi" w:cstheme="majorHAnsi"/>
                <w:i/>
                <w:color w:val="000000"/>
                <w:sz w:val="20"/>
                <w:szCs w:val="20"/>
                <w:lang w:val="ro-MD"/>
              </w:rPr>
            </w:pPr>
            <w:r w:rsidRPr="00B13B9A">
              <w:rPr>
                <w:rFonts w:asciiTheme="majorHAnsi" w:hAnsiTheme="majorHAnsi" w:cstheme="majorHAnsi"/>
                <w:i/>
                <w:color w:val="000000"/>
                <w:sz w:val="20"/>
                <w:szCs w:val="20"/>
                <w:lang w:val="ro-MD"/>
              </w:rPr>
              <w:t>Asigurarea planificării achizi</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iilor publice, cu evaluarea conformă a necesită</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ilor de medicamente, în scopul evitării riscului de reducere a cantită</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 xml:space="preserve">ilor estimate </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i de formare a deficitului de stocuri (pct.4.7.)</w:t>
            </w:r>
          </w:p>
        </w:tc>
        <w:tc>
          <w:tcPr>
            <w:tcW w:w="5670" w:type="dxa"/>
            <w:shd w:val="clear" w:color="auto" w:fill="auto"/>
          </w:tcPr>
          <w:p w14:paraId="6242436E" w14:textId="52501BE2"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b/>
                <w:i/>
                <w:color w:val="000000"/>
                <w:sz w:val="20"/>
                <w:szCs w:val="20"/>
                <w:u w:val="single"/>
                <w:lang w:val="ro-MD"/>
              </w:rPr>
              <w:t>Scrisoare</w:t>
            </w:r>
            <w:r w:rsidR="00D80586" w:rsidRPr="00B13B9A">
              <w:rPr>
                <w:rFonts w:asciiTheme="majorHAnsi" w:hAnsiTheme="majorHAnsi" w:cstheme="majorHAnsi"/>
                <w:b/>
                <w:i/>
                <w:color w:val="000000"/>
                <w:sz w:val="20"/>
                <w:szCs w:val="20"/>
                <w:u w:val="single"/>
                <w:lang w:val="ro-MD"/>
              </w:rPr>
              <w:t>a</w:t>
            </w:r>
            <w:r w:rsidRPr="00B13B9A">
              <w:rPr>
                <w:rFonts w:asciiTheme="majorHAnsi" w:hAnsiTheme="majorHAnsi" w:cstheme="majorHAnsi"/>
                <w:b/>
                <w:i/>
                <w:color w:val="000000"/>
                <w:sz w:val="20"/>
                <w:szCs w:val="20"/>
                <w:u w:val="single"/>
                <w:lang w:val="ro-MD"/>
              </w:rPr>
              <w:t xml:space="preserve"> MSMPS nr.04/3055 din 09.06.2020:</w:t>
            </w:r>
            <w:r w:rsidRPr="00B13B9A">
              <w:rPr>
                <w:rFonts w:asciiTheme="majorHAnsi" w:hAnsiTheme="majorHAnsi" w:cstheme="majorHAnsi"/>
                <w:color w:val="000000"/>
                <w:sz w:val="20"/>
                <w:szCs w:val="20"/>
                <w:lang w:val="ro-MD"/>
              </w:rPr>
              <w:t xml:space="preserve"> ,,Asigurarea planificării achizi</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iilor publice, cu evaluarea conformă a necesită</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ilor de medicamente, în scopul evitării riscurilor de reducere a cantită</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ilor estimate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de formare a deficitului de stocuri” - Estimarea necesită</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ilor de medicamente antituberculoase pentru asigurarea tratamentului tuturor pacien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ilor prognoza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 de a fi înrola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 în tratament este efectuat în baza ordinului MSMPS nr. 783 din 11.10.2017, anexa 16 ,,Regulamentul cu privire la managementul medicamentelor antituberculoase", cu utilizarea instrumentului de calcul recomandat de OMS - Quan TB, versiunea 4.2.</w:t>
            </w:r>
          </w:p>
        </w:tc>
        <w:tc>
          <w:tcPr>
            <w:tcW w:w="2835" w:type="dxa"/>
            <w:shd w:val="clear" w:color="auto" w:fill="auto"/>
          </w:tcPr>
          <w:p w14:paraId="2321C5E8" w14:textId="134B53CE"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Estimarea necesită</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ilor de medicamente antituberculoase pentru asigurarea tratamentului tuturor pacien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ilor prognoza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 de a fi înrola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 în tratament este efectuat</w:t>
            </w:r>
            <w:r w:rsidR="00693658" w:rsidRPr="00B13B9A">
              <w:rPr>
                <w:rFonts w:asciiTheme="majorHAnsi" w:hAnsiTheme="majorHAnsi" w:cstheme="majorHAnsi"/>
                <w:color w:val="000000"/>
                <w:sz w:val="20"/>
                <w:szCs w:val="20"/>
                <w:lang w:val="ro-MD"/>
              </w:rPr>
              <w:t>ă</w:t>
            </w:r>
            <w:r w:rsidRPr="00B13B9A">
              <w:rPr>
                <w:rFonts w:asciiTheme="majorHAnsi" w:hAnsiTheme="majorHAnsi" w:cstheme="majorHAnsi"/>
                <w:color w:val="000000"/>
                <w:sz w:val="20"/>
                <w:szCs w:val="20"/>
                <w:lang w:val="ro-MD"/>
              </w:rPr>
              <w:t xml:space="preserve"> în baza ordinului MSMPS nr. 783 din 11.10.2017, anexa 16 </w:t>
            </w:r>
            <w:r w:rsidR="00D80586" w:rsidRPr="00B13B9A">
              <w:rPr>
                <w:rFonts w:asciiTheme="majorHAnsi" w:hAnsiTheme="majorHAnsi" w:cstheme="majorHAnsi"/>
                <w:color w:val="000000"/>
                <w:sz w:val="20"/>
                <w:szCs w:val="20"/>
                <w:lang w:val="ro-MD"/>
              </w:rPr>
              <w:t>„</w:t>
            </w:r>
            <w:r w:rsidRPr="00B13B9A">
              <w:rPr>
                <w:rFonts w:asciiTheme="majorHAnsi" w:hAnsiTheme="majorHAnsi" w:cstheme="majorHAnsi"/>
                <w:color w:val="000000"/>
                <w:sz w:val="20"/>
                <w:szCs w:val="20"/>
                <w:lang w:val="ro-MD"/>
              </w:rPr>
              <w:t>Regulamentul cu privire la managementul medicamentelor antituberculoase"</w:t>
            </w:r>
          </w:p>
        </w:tc>
        <w:tc>
          <w:tcPr>
            <w:tcW w:w="1344" w:type="dxa"/>
            <w:shd w:val="clear" w:color="auto" w:fill="auto"/>
          </w:tcPr>
          <w:p w14:paraId="61B211D2" w14:textId="77777777" w:rsidR="00FD65B6" w:rsidRPr="00B13B9A" w:rsidRDefault="00FD65B6" w:rsidP="00332FF7">
            <w:pPr>
              <w:jc w:val="both"/>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B13B9A" w14:paraId="2A644B36" w14:textId="77777777" w:rsidTr="00332FF7">
        <w:trPr>
          <w:gridAfter w:val="1"/>
          <w:wAfter w:w="24" w:type="dxa"/>
        </w:trPr>
        <w:tc>
          <w:tcPr>
            <w:tcW w:w="576" w:type="dxa"/>
            <w:shd w:val="clear" w:color="auto" w:fill="auto"/>
          </w:tcPr>
          <w:p w14:paraId="6D1AB3F6" w14:textId="77777777" w:rsidR="00FD65B6" w:rsidRPr="00B13B9A" w:rsidRDefault="00FD65B6" w:rsidP="00332FF7">
            <w:pPr>
              <w:jc w:val="center"/>
              <w:rPr>
                <w:rFonts w:asciiTheme="majorHAnsi" w:hAnsiTheme="majorHAnsi" w:cstheme="majorHAnsi"/>
                <w:b/>
                <w:i/>
                <w:color w:val="000000" w:themeColor="text1"/>
                <w:sz w:val="20"/>
                <w:szCs w:val="20"/>
                <w:lang w:val="ro-MD"/>
              </w:rPr>
            </w:pPr>
          </w:p>
        </w:tc>
        <w:tc>
          <w:tcPr>
            <w:tcW w:w="837" w:type="dxa"/>
            <w:shd w:val="clear" w:color="auto" w:fill="auto"/>
          </w:tcPr>
          <w:p w14:paraId="3476DFED"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2.3</w:t>
            </w:r>
          </w:p>
        </w:tc>
        <w:tc>
          <w:tcPr>
            <w:tcW w:w="2977" w:type="dxa"/>
            <w:shd w:val="clear" w:color="auto" w:fill="auto"/>
          </w:tcPr>
          <w:p w14:paraId="4F794ECE" w14:textId="73BC12B7" w:rsidR="00FD65B6" w:rsidRPr="00B13B9A" w:rsidRDefault="00FD65B6" w:rsidP="00332FF7">
            <w:pPr>
              <w:jc w:val="both"/>
              <w:rPr>
                <w:rFonts w:asciiTheme="majorHAnsi" w:hAnsiTheme="majorHAnsi" w:cstheme="majorHAnsi"/>
                <w:i/>
                <w:color w:val="000000"/>
                <w:sz w:val="20"/>
                <w:szCs w:val="20"/>
                <w:lang w:val="ro-MD"/>
              </w:rPr>
            </w:pPr>
            <w:r w:rsidRPr="00B13B9A">
              <w:rPr>
                <w:rFonts w:asciiTheme="majorHAnsi" w:hAnsiTheme="majorHAnsi" w:cstheme="majorHAnsi"/>
                <w:i/>
                <w:color w:val="000000"/>
                <w:sz w:val="20"/>
                <w:szCs w:val="20"/>
                <w:lang w:val="ro-MD"/>
              </w:rPr>
              <w:t xml:space="preserve">Comunicarea </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i conlucrarea asisten</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 xml:space="preserve">ei medicale primare </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i specializate de ambulatoriu, cu delimitarea concretă a responsabilită</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 xml:space="preserve">ilor </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i atribu</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 xml:space="preserve">iilor la etapa de profilaxie, depistare, diagnostic </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i tratament (pct.4.2.)</w:t>
            </w:r>
          </w:p>
        </w:tc>
        <w:tc>
          <w:tcPr>
            <w:tcW w:w="5670" w:type="dxa"/>
            <w:shd w:val="clear" w:color="auto" w:fill="auto"/>
          </w:tcPr>
          <w:p w14:paraId="7BD10827" w14:textId="4549C04B"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b/>
                <w:i/>
                <w:color w:val="000000"/>
                <w:sz w:val="20"/>
                <w:szCs w:val="20"/>
                <w:u w:val="single"/>
                <w:lang w:val="ro-MD"/>
              </w:rPr>
              <w:t>Scrisoarea MSMPS nr.04/3055 din 09.06.2020:</w:t>
            </w:r>
            <w:r w:rsidRPr="00B13B9A">
              <w:rPr>
                <w:rFonts w:asciiTheme="majorHAnsi" w:hAnsiTheme="majorHAnsi" w:cstheme="majorHAnsi"/>
                <w:color w:val="000000"/>
                <w:sz w:val="20"/>
                <w:szCs w:val="20"/>
                <w:lang w:val="ro-MD"/>
              </w:rPr>
              <w:t xml:space="preserve"> ,,Comunicarea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conlucrarea asisten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ei medicale primare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specializate de ambulatoriu, cu delimitarea concretă a responsabilită</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ilor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atribu</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iilor la etapa de profilaxie, depistare, diagnostic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tratament” - sunt efectuate în baza ordinului IMSMPS nr.783 din 11.10.2017, anexa 4 ,,Regulamentul privind controlul tuberculozei la nivelul asisten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ei medicale primare”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anexa 5 „Controlul tuberculozei la nivelul asisten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ei medicale specializată de ambulatoriu”.</w:t>
            </w:r>
          </w:p>
        </w:tc>
        <w:tc>
          <w:tcPr>
            <w:tcW w:w="2835" w:type="dxa"/>
            <w:shd w:val="clear" w:color="auto" w:fill="auto"/>
          </w:tcPr>
          <w:p w14:paraId="1D32BFC6" w14:textId="15DDB015"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Au fost efectuate în baza ordinului IMSMPS nr.783 din 11.10.2017, anexa 4 ,,Regulamentul privind controlul tuberculozei la nivelul asisten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ei medicale primare”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anexa 5 „Controlul tuberculozei la nivelul asisten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ei medicale specializată de ambulatoriu”</w:t>
            </w:r>
          </w:p>
        </w:tc>
        <w:tc>
          <w:tcPr>
            <w:tcW w:w="1344" w:type="dxa"/>
            <w:shd w:val="clear" w:color="auto" w:fill="auto"/>
          </w:tcPr>
          <w:p w14:paraId="3EF3CF4B" w14:textId="77777777" w:rsidR="00FD65B6" w:rsidRPr="00B13B9A" w:rsidRDefault="00FD65B6" w:rsidP="00332FF7">
            <w:pPr>
              <w:jc w:val="both"/>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B13B9A" w14:paraId="3DF22D0F" w14:textId="77777777" w:rsidTr="00332FF7">
        <w:trPr>
          <w:gridAfter w:val="1"/>
          <w:wAfter w:w="24" w:type="dxa"/>
        </w:trPr>
        <w:tc>
          <w:tcPr>
            <w:tcW w:w="576" w:type="dxa"/>
            <w:shd w:val="clear" w:color="auto" w:fill="auto"/>
          </w:tcPr>
          <w:p w14:paraId="64A61DB9" w14:textId="77777777" w:rsidR="00FD65B6" w:rsidRPr="00B13B9A" w:rsidRDefault="00FD65B6" w:rsidP="00332FF7">
            <w:pPr>
              <w:jc w:val="center"/>
              <w:rPr>
                <w:rFonts w:asciiTheme="majorHAnsi" w:hAnsiTheme="majorHAnsi" w:cstheme="majorHAnsi"/>
                <w:b/>
                <w:i/>
                <w:color w:val="000000" w:themeColor="text1"/>
                <w:sz w:val="20"/>
                <w:szCs w:val="20"/>
                <w:lang w:val="ro-MD"/>
              </w:rPr>
            </w:pPr>
          </w:p>
        </w:tc>
        <w:tc>
          <w:tcPr>
            <w:tcW w:w="837" w:type="dxa"/>
            <w:shd w:val="clear" w:color="auto" w:fill="auto"/>
          </w:tcPr>
          <w:p w14:paraId="53CF2A82"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4</w:t>
            </w:r>
          </w:p>
        </w:tc>
        <w:tc>
          <w:tcPr>
            <w:tcW w:w="2977" w:type="dxa"/>
            <w:shd w:val="clear" w:color="auto" w:fill="auto"/>
          </w:tcPr>
          <w:p w14:paraId="4D9E9112" w14:textId="6EB8C6B1" w:rsidR="00FD65B6" w:rsidRPr="00B13B9A" w:rsidRDefault="00FD65B6" w:rsidP="00332FF7">
            <w:pPr>
              <w:jc w:val="both"/>
              <w:rPr>
                <w:rFonts w:asciiTheme="majorHAnsi" w:hAnsiTheme="majorHAnsi" w:cstheme="majorHAnsi"/>
                <w:i/>
                <w:color w:val="000000"/>
                <w:sz w:val="20"/>
                <w:szCs w:val="20"/>
                <w:lang w:val="ro-MD"/>
              </w:rPr>
            </w:pPr>
            <w:r w:rsidRPr="00B13B9A">
              <w:rPr>
                <w:rFonts w:asciiTheme="majorHAnsi" w:hAnsiTheme="majorHAnsi" w:cstheme="majorHAnsi"/>
                <w:i/>
                <w:color w:val="000000"/>
                <w:sz w:val="20"/>
                <w:szCs w:val="20"/>
                <w:lang w:val="ro-MD"/>
              </w:rPr>
              <w:t xml:space="preserve">Să asigure reglementarea procesului </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i a responsabilită</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ilor delegate privind eviden</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 xml:space="preserve">a </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 xml:space="preserve">i raportarea cheltuielilor pentru tichetele alimentare </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i compensarea cheltuielilor pentru transport (pct.4.10.)</w:t>
            </w:r>
          </w:p>
        </w:tc>
        <w:tc>
          <w:tcPr>
            <w:tcW w:w="5670" w:type="dxa"/>
            <w:shd w:val="clear" w:color="auto" w:fill="auto"/>
          </w:tcPr>
          <w:p w14:paraId="57304331" w14:textId="11065E62"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b/>
                <w:i/>
                <w:color w:val="000000"/>
                <w:sz w:val="20"/>
                <w:szCs w:val="20"/>
                <w:u w:val="single"/>
                <w:lang w:val="ro-MD"/>
              </w:rPr>
              <w:t>Scrisoare MSMPS nr.04/3055 din 09.06.2020:</w:t>
            </w:r>
            <w:r w:rsidRPr="00B13B9A">
              <w:rPr>
                <w:rFonts w:asciiTheme="majorHAnsi" w:hAnsiTheme="majorHAnsi" w:cstheme="majorHAnsi"/>
                <w:color w:val="000000"/>
                <w:sz w:val="20"/>
                <w:szCs w:val="20"/>
                <w:lang w:val="ro-MD"/>
              </w:rPr>
              <w:t xml:space="preserve"> „Ministerul Sănătă</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ii, Muncii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Protec</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iei Sociale, de comun cu Compania Na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ională de Asigurări în Medicină, să asigure reglementarea procesului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a responsabilită</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ilor delegate privind eviden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a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raportarea cheltuielilor pentru tichetele alimentare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compensarea cheltuielilor pentru transport” - sunt asigurate în baza ordinului Ministerul Sănătă</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ii/Compania Na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ională de Asigurări în Medicină nr. 99/52A din 15.02.2017 ,,Cu privire la unele interven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 de cre</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tere a aderen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ei la tratamentul antituberculos în condi</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ii de ambalator”. În cadrul MSMPS la 03.06.2020 a avut loc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edin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a comună a reprezentan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ilor MSMPS, PNCT, CNAM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OSC pentru revizuirea ordinului în cauză, privind mecanismul de motivare al aderen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ei la tratamentul antituberculos în condi</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ii de ambulator (ordinul MS/CNAM nr. 99/52 din 15.02.2017). La această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edin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ă a fost format un grup de lucru care examinează modalită</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ile de modificare a oferirii suportului motiva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ional în formă de tichete de masă/alimentare electronice (card bancar) cât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costul lunar al tichetului alimentar, inclusiv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costul pentru drum tur/retur.</w:t>
            </w:r>
          </w:p>
        </w:tc>
        <w:tc>
          <w:tcPr>
            <w:tcW w:w="2835" w:type="dxa"/>
            <w:shd w:val="clear" w:color="auto" w:fill="auto"/>
          </w:tcPr>
          <w:p w14:paraId="718E9EF7" w14:textId="68F90A3D"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xml:space="preserve">În cadrul MSMPS la 03.06.2020 a avut loc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edin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a comună a reprezentan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ilor MSMPS, PNCT, CNAM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OSC pentru revizuirea ordinului în cauză, privind mecanismul de motivare a aderen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ei la tratamentul antituberculos în condi</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ii de ambulator (ordinul MS/CNAM nr. 99/52 din 15.02.2017). La această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edin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ă a fost format un grup de lucru care examinează modalită</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ile de modificare a oferirii suportului motiva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ional în formă de tichete de masă/alimentare electronice (card bancar)</w:t>
            </w:r>
            <w:r w:rsidR="00693658" w:rsidRPr="00B13B9A">
              <w:rPr>
                <w:rFonts w:asciiTheme="majorHAnsi" w:hAnsiTheme="majorHAnsi" w:cstheme="majorHAnsi"/>
                <w:color w:val="000000"/>
                <w:sz w:val="20"/>
                <w:szCs w:val="20"/>
                <w:lang w:val="ro-MD"/>
              </w:rPr>
              <w:t>,</w:t>
            </w:r>
            <w:r w:rsidRPr="00B13B9A">
              <w:rPr>
                <w:rFonts w:asciiTheme="majorHAnsi" w:hAnsiTheme="majorHAnsi" w:cstheme="majorHAnsi"/>
                <w:color w:val="000000"/>
                <w:sz w:val="20"/>
                <w:szCs w:val="20"/>
                <w:lang w:val="ro-MD"/>
              </w:rPr>
              <w:t xml:space="preserve"> cât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costul lunar al tichetului alimentar, inclusiv costul pentru drum tur/retur</w:t>
            </w:r>
          </w:p>
        </w:tc>
        <w:tc>
          <w:tcPr>
            <w:tcW w:w="1344" w:type="dxa"/>
            <w:shd w:val="clear" w:color="auto" w:fill="auto"/>
          </w:tcPr>
          <w:p w14:paraId="077566B7" w14:textId="77777777" w:rsidR="00FD65B6" w:rsidRPr="00B13B9A" w:rsidRDefault="00FD65B6" w:rsidP="00332FF7">
            <w:pPr>
              <w:jc w:val="both"/>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B13B9A" w14:paraId="4C06DC51" w14:textId="77777777" w:rsidTr="00332FF7">
        <w:trPr>
          <w:gridAfter w:val="1"/>
          <w:wAfter w:w="24" w:type="dxa"/>
        </w:trPr>
        <w:tc>
          <w:tcPr>
            <w:tcW w:w="576" w:type="dxa"/>
            <w:shd w:val="clear" w:color="auto" w:fill="auto"/>
          </w:tcPr>
          <w:p w14:paraId="0EB7633B" w14:textId="77777777" w:rsidR="00FD65B6" w:rsidRPr="00B13B9A" w:rsidRDefault="00FD65B6" w:rsidP="00332FF7">
            <w:pPr>
              <w:jc w:val="center"/>
              <w:rPr>
                <w:rFonts w:asciiTheme="majorHAnsi" w:hAnsiTheme="majorHAnsi" w:cstheme="majorHAnsi"/>
                <w:b/>
                <w:i/>
                <w:color w:val="000000" w:themeColor="text1"/>
                <w:sz w:val="20"/>
                <w:szCs w:val="20"/>
                <w:lang w:val="ro-MD"/>
              </w:rPr>
            </w:pPr>
          </w:p>
        </w:tc>
        <w:tc>
          <w:tcPr>
            <w:tcW w:w="837" w:type="dxa"/>
            <w:shd w:val="clear" w:color="auto" w:fill="auto"/>
          </w:tcPr>
          <w:p w14:paraId="2C668C8D"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6.1</w:t>
            </w:r>
          </w:p>
        </w:tc>
        <w:tc>
          <w:tcPr>
            <w:tcW w:w="2977" w:type="dxa"/>
            <w:shd w:val="clear" w:color="auto" w:fill="auto"/>
          </w:tcPr>
          <w:p w14:paraId="752AC6F3" w14:textId="2646A0E7" w:rsidR="00FD65B6" w:rsidRPr="00B13B9A" w:rsidRDefault="00FD65B6" w:rsidP="00332FF7">
            <w:pPr>
              <w:jc w:val="both"/>
              <w:rPr>
                <w:rFonts w:asciiTheme="majorHAnsi" w:hAnsiTheme="majorHAnsi" w:cstheme="majorHAnsi"/>
                <w:i/>
                <w:color w:val="000000"/>
                <w:sz w:val="20"/>
                <w:szCs w:val="20"/>
                <w:lang w:val="ro-MD"/>
              </w:rPr>
            </w:pPr>
            <w:r w:rsidRPr="00B13B9A">
              <w:rPr>
                <w:rFonts w:asciiTheme="majorHAnsi" w:hAnsiTheme="majorHAnsi" w:cstheme="majorHAnsi"/>
                <w:i/>
                <w:color w:val="000000"/>
                <w:sz w:val="20"/>
                <w:szCs w:val="20"/>
                <w:lang w:val="ro-MD"/>
              </w:rPr>
              <w:t>Documentarea deplină în fi</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ele medicale a investiga</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iilor, diagnosticului, tratamentului pacien</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ilor cu tuberculoză din eviden</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a medicilor speciali</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ti (pct.4.3-4.4)</w:t>
            </w:r>
          </w:p>
        </w:tc>
        <w:tc>
          <w:tcPr>
            <w:tcW w:w="5670" w:type="dxa"/>
            <w:shd w:val="clear" w:color="auto" w:fill="auto"/>
          </w:tcPr>
          <w:p w14:paraId="051F4E4B" w14:textId="3BE2F44B"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b/>
                <w:i/>
                <w:color w:val="000000"/>
                <w:sz w:val="20"/>
                <w:szCs w:val="20"/>
                <w:u w:val="single"/>
                <w:lang w:val="ro-MD"/>
              </w:rPr>
              <w:t>Scrisoare MSMPS nr.04/3055 din 09.06.2020:</w:t>
            </w:r>
            <w:r w:rsidRPr="00B13B9A">
              <w:rPr>
                <w:rFonts w:asciiTheme="majorHAnsi" w:hAnsiTheme="majorHAnsi" w:cstheme="majorHAnsi"/>
                <w:color w:val="000000"/>
                <w:sz w:val="20"/>
                <w:szCs w:val="20"/>
                <w:lang w:val="ro-MD"/>
              </w:rPr>
              <w:t xml:space="preserve"> "Documentarea deplină în fi</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ele medicale a investiga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iilor, diagnosticului, tratamentului pacien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ilor cu tuberculoză din eviden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a medicilor speciali</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ti,, - Este efectuată în cadrul vizitelor de monitorizare descrise în ordinul MSMPS nr. 783 din 11.10.2017, anexa 15 „Regulamentul Unită</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ii de coordonare a PNCT, (cu statut de departament), cu coordonarea teritorială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monitorizarea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evaluarea”.</w:t>
            </w:r>
          </w:p>
        </w:tc>
        <w:tc>
          <w:tcPr>
            <w:tcW w:w="2835" w:type="dxa"/>
            <w:shd w:val="clear" w:color="auto" w:fill="auto"/>
          </w:tcPr>
          <w:p w14:paraId="1D0B4A05" w14:textId="2276B05C"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Este efectuată în cadrul vizitelor de monitorizare descrise în ordinul MSMPS nr. 783 din 11.10.2017, anexa 15 „Regulamentul Unită</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 de coordonare a PNCT (cu statut de departament), coordonarea teritorială</w:t>
            </w:r>
            <w:r w:rsidR="00693658" w:rsidRPr="00B13B9A">
              <w:rPr>
                <w:rFonts w:asciiTheme="majorHAnsi" w:hAnsiTheme="majorHAnsi" w:cstheme="majorHAnsi"/>
                <w:color w:val="000000"/>
                <w:sz w:val="20"/>
                <w:szCs w:val="20"/>
                <w:lang w:val="ro-MD"/>
              </w:rPr>
              <w:t>,</w:t>
            </w:r>
            <w:r w:rsidRPr="00B13B9A">
              <w:rPr>
                <w:rFonts w:asciiTheme="majorHAnsi" w:hAnsiTheme="majorHAnsi" w:cstheme="majorHAnsi"/>
                <w:color w:val="000000"/>
                <w:sz w:val="20"/>
                <w:szCs w:val="20"/>
                <w:lang w:val="ro-MD"/>
              </w:rPr>
              <w:t xml:space="preserve"> monitorizarea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evaluarea”</w:t>
            </w:r>
          </w:p>
        </w:tc>
        <w:tc>
          <w:tcPr>
            <w:tcW w:w="1344" w:type="dxa"/>
            <w:shd w:val="clear" w:color="auto" w:fill="auto"/>
          </w:tcPr>
          <w:p w14:paraId="55237330" w14:textId="77777777" w:rsidR="00FD65B6" w:rsidRPr="00B13B9A" w:rsidRDefault="00FD65B6" w:rsidP="00332FF7">
            <w:pPr>
              <w:jc w:val="both"/>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B13B9A" w14:paraId="7E17D9EC" w14:textId="77777777" w:rsidTr="00332FF7">
        <w:trPr>
          <w:gridAfter w:val="1"/>
          <w:wAfter w:w="24" w:type="dxa"/>
        </w:trPr>
        <w:tc>
          <w:tcPr>
            <w:tcW w:w="576" w:type="dxa"/>
            <w:shd w:val="clear" w:color="auto" w:fill="auto"/>
          </w:tcPr>
          <w:p w14:paraId="3E3EEE23" w14:textId="77777777" w:rsidR="00FD65B6" w:rsidRPr="00B13B9A" w:rsidRDefault="00FD65B6" w:rsidP="00332FF7">
            <w:pPr>
              <w:jc w:val="center"/>
              <w:rPr>
                <w:rFonts w:asciiTheme="majorHAnsi" w:hAnsiTheme="majorHAnsi" w:cstheme="majorHAnsi"/>
                <w:b/>
                <w:i/>
                <w:color w:val="000000" w:themeColor="text1"/>
                <w:sz w:val="20"/>
                <w:szCs w:val="20"/>
                <w:lang w:val="ro-MD"/>
              </w:rPr>
            </w:pPr>
          </w:p>
        </w:tc>
        <w:tc>
          <w:tcPr>
            <w:tcW w:w="837" w:type="dxa"/>
            <w:shd w:val="clear" w:color="auto" w:fill="auto"/>
          </w:tcPr>
          <w:p w14:paraId="0F427EF9"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6.2</w:t>
            </w:r>
          </w:p>
        </w:tc>
        <w:tc>
          <w:tcPr>
            <w:tcW w:w="2977" w:type="dxa"/>
            <w:shd w:val="clear" w:color="auto" w:fill="auto"/>
          </w:tcPr>
          <w:p w14:paraId="050DCA29" w14:textId="21BEE170" w:rsidR="00FD65B6" w:rsidRPr="00B13B9A" w:rsidRDefault="00FD65B6" w:rsidP="00332FF7">
            <w:pPr>
              <w:jc w:val="both"/>
              <w:rPr>
                <w:rFonts w:asciiTheme="majorHAnsi" w:hAnsiTheme="majorHAnsi" w:cstheme="majorHAnsi"/>
                <w:i/>
                <w:color w:val="000000"/>
                <w:sz w:val="20"/>
                <w:szCs w:val="20"/>
                <w:lang w:val="ro-MD"/>
              </w:rPr>
            </w:pPr>
            <w:r w:rsidRPr="00B13B9A">
              <w:rPr>
                <w:rFonts w:asciiTheme="majorHAnsi" w:hAnsiTheme="majorHAnsi" w:cstheme="majorHAnsi"/>
                <w:i/>
                <w:color w:val="000000"/>
                <w:sz w:val="20"/>
                <w:szCs w:val="20"/>
                <w:lang w:val="ro-MD"/>
              </w:rPr>
              <w:t xml:space="preserve">Asigurarea investigării persoanelor din grupul de risc </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i vigilen</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ă sporită potrivit cerin</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elor Protocoalelor Clinice Na</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ionale (pct.4.3)</w:t>
            </w:r>
          </w:p>
        </w:tc>
        <w:tc>
          <w:tcPr>
            <w:tcW w:w="5670" w:type="dxa"/>
            <w:shd w:val="clear" w:color="auto" w:fill="auto"/>
          </w:tcPr>
          <w:p w14:paraId="7D11471B" w14:textId="430B18EB"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b/>
                <w:i/>
                <w:color w:val="000000"/>
                <w:sz w:val="20"/>
                <w:szCs w:val="20"/>
                <w:u w:val="single"/>
                <w:lang w:val="ro-MD"/>
              </w:rPr>
              <w:t>Scrisoare MSMPS nr.04/3055 din 09.06.2020:</w:t>
            </w:r>
            <w:r w:rsidRPr="00B13B9A">
              <w:rPr>
                <w:rFonts w:asciiTheme="majorHAnsi" w:hAnsiTheme="majorHAnsi" w:cstheme="majorHAnsi"/>
                <w:color w:val="000000"/>
                <w:sz w:val="20"/>
                <w:szCs w:val="20"/>
                <w:lang w:val="ro-MD"/>
              </w:rPr>
              <w:t xml:space="preserve"> ,,Asigurarea investigării persoanelor din grupul de risc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vigilen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a sporită potrivit cerin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elor Protocoalelor clinice Na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ionale” - Aceste investiga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ii sunt descrise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sunt efectuate în baza Protocolului clinic Na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ional pentru adult, aprobat prin ordinul MSMPS nr. 441 din 05.05.2020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Protocolului clinic Na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ional pentru copil, aprobat prin ordinul MSMPS nr.440 din 05.05.2020.</w:t>
            </w:r>
          </w:p>
        </w:tc>
        <w:tc>
          <w:tcPr>
            <w:tcW w:w="2835" w:type="dxa"/>
            <w:shd w:val="clear" w:color="auto" w:fill="auto"/>
          </w:tcPr>
          <w:p w14:paraId="1AE1CA33" w14:textId="78EA5818"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Investiga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iile sunt descrise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sunt efectuate în baza Protocolului clinic Na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ional pentru adult, aprobat prin ordinul MSMPS nr. 441 din 05.05.2020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Protocolului clinic Na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ional pentru copil, aprobat prin ordinul MSMPS nr.440 din 05.05.2020</w:t>
            </w:r>
          </w:p>
        </w:tc>
        <w:tc>
          <w:tcPr>
            <w:tcW w:w="1344" w:type="dxa"/>
            <w:shd w:val="clear" w:color="auto" w:fill="auto"/>
          </w:tcPr>
          <w:p w14:paraId="6316D5E0" w14:textId="77777777" w:rsidR="00FD65B6" w:rsidRPr="00B13B9A" w:rsidRDefault="00FD65B6" w:rsidP="00332FF7">
            <w:pPr>
              <w:jc w:val="both"/>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B13B9A" w14:paraId="6BA49E1E" w14:textId="77777777" w:rsidTr="00332FF7">
        <w:trPr>
          <w:gridAfter w:val="1"/>
          <w:wAfter w:w="24" w:type="dxa"/>
        </w:trPr>
        <w:tc>
          <w:tcPr>
            <w:tcW w:w="576" w:type="dxa"/>
            <w:shd w:val="clear" w:color="auto" w:fill="auto"/>
          </w:tcPr>
          <w:p w14:paraId="741033FC" w14:textId="77777777" w:rsidR="00FD65B6" w:rsidRPr="00B13B9A" w:rsidRDefault="00FD65B6" w:rsidP="00332FF7">
            <w:pPr>
              <w:jc w:val="center"/>
              <w:rPr>
                <w:rFonts w:asciiTheme="majorHAnsi" w:hAnsiTheme="majorHAnsi" w:cstheme="majorHAnsi"/>
                <w:b/>
                <w:i/>
                <w:color w:val="000000" w:themeColor="text1"/>
                <w:sz w:val="20"/>
                <w:szCs w:val="20"/>
                <w:lang w:val="ro-MD"/>
              </w:rPr>
            </w:pPr>
          </w:p>
        </w:tc>
        <w:tc>
          <w:tcPr>
            <w:tcW w:w="837" w:type="dxa"/>
            <w:shd w:val="clear" w:color="auto" w:fill="auto"/>
          </w:tcPr>
          <w:p w14:paraId="2CA73120"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6.3</w:t>
            </w:r>
          </w:p>
        </w:tc>
        <w:tc>
          <w:tcPr>
            <w:tcW w:w="2977" w:type="dxa"/>
            <w:shd w:val="clear" w:color="auto" w:fill="auto"/>
          </w:tcPr>
          <w:p w14:paraId="251465BA" w14:textId="43098C32" w:rsidR="00FD65B6" w:rsidRPr="00B13B9A" w:rsidRDefault="00FD65B6" w:rsidP="00332FF7">
            <w:pPr>
              <w:jc w:val="both"/>
              <w:rPr>
                <w:rFonts w:asciiTheme="majorHAnsi" w:hAnsiTheme="majorHAnsi" w:cstheme="majorHAnsi"/>
                <w:i/>
                <w:color w:val="000000"/>
                <w:sz w:val="20"/>
                <w:szCs w:val="20"/>
                <w:lang w:val="ro-MD"/>
              </w:rPr>
            </w:pPr>
            <w:r w:rsidRPr="00B13B9A">
              <w:rPr>
                <w:rFonts w:asciiTheme="majorHAnsi" w:hAnsiTheme="majorHAnsi" w:cstheme="majorHAnsi"/>
                <w:i/>
                <w:color w:val="000000"/>
                <w:sz w:val="20"/>
                <w:szCs w:val="20"/>
                <w:lang w:val="ro-MD"/>
              </w:rPr>
              <w:t>Elaborarea unui plan de ac</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iuni aferent procesului de achizi</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ii publice a produselor alimentare la etapele de planificare, organizare/desfă</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 xml:space="preserve">urare </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i executare, cu desemnarea persoanelor responsabile de evaluarea proceselor (pct.4.8)</w:t>
            </w:r>
          </w:p>
        </w:tc>
        <w:tc>
          <w:tcPr>
            <w:tcW w:w="5670" w:type="dxa"/>
            <w:shd w:val="clear" w:color="auto" w:fill="auto"/>
          </w:tcPr>
          <w:p w14:paraId="1A8F66E4" w14:textId="0772F229" w:rsidR="00FD65B6" w:rsidRPr="00B13B9A" w:rsidRDefault="00FD65B6" w:rsidP="00332FF7">
            <w:pPr>
              <w:pStyle w:val="Bodytext20"/>
              <w:shd w:val="clear" w:color="auto" w:fill="auto"/>
              <w:spacing w:before="0" w:after="0" w:line="240" w:lineRule="auto"/>
              <w:jc w:val="both"/>
              <w:rPr>
                <w:rFonts w:asciiTheme="majorHAnsi" w:hAnsiTheme="majorHAnsi" w:cstheme="majorHAnsi"/>
                <w:sz w:val="20"/>
                <w:szCs w:val="20"/>
                <w:lang w:val="ro-MD"/>
              </w:rPr>
            </w:pPr>
            <w:r w:rsidRPr="00B13B9A">
              <w:rPr>
                <w:rFonts w:asciiTheme="majorHAnsi" w:hAnsiTheme="majorHAnsi" w:cstheme="majorHAnsi"/>
                <w:b/>
                <w:i/>
                <w:color w:val="000000"/>
                <w:sz w:val="20"/>
                <w:szCs w:val="20"/>
                <w:u w:val="single"/>
                <w:lang w:val="ro-MD"/>
              </w:rPr>
              <w:t xml:space="preserve">Scrisoare MS nr.09/7989 din 05.12.2023: </w:t>
            </w:r>
            <w:r w:rsidRPr="00B13B9A">
              <w:rPr>
                <w:rFonts w:asciiTheme="majorHAnsi" w:hAnsiTheme="majorHAnsi" w:cstheme="majorHAnsi"/>
                <w:sz w:val="20"/>
                <w:szCs w:val="20"/>
                <w:lang w:val="ro-MD"/>
              </w:rPr>
              <w:t>Procesul de achizi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ii publice la moment se realizează în baza: Ordinului comun al MS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CNAM nr. 914/215-A din 03.10.2022 cu privire la modificarea Ordinului nr. 99/52-A din 15.02.2017 cu privire la unele interven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de cre</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tere a aderen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ei la tratamentul antituberculos în condi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ii de ambulator, în capitolul III Principii de procurare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 xml:space="preserve">i distribuire a tichetelor alimentare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rambursarea cheltuielilor de transport pacien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ilor care urmează tratament antituberculos în condi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de ambulator, la punctul 22 sunt descrise procedurile de procurare a tichetelor alimentare care se admit în limita mijloacelor financiare contractate, în conformitate cu prevederile Legii privind achizi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iile publice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se efectuează de către Prestator, iar prin punctul 23 prestatorii sunt cei care asigură procurarea tichetelor alimentare pentru to</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 pacien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inclu</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în Liste de către medicul ftiziopneumolog, afla</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 în tratament în condi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de ambulator, cu anexarea documentelor confirmative privind tratamentul supravegheat.</w:t>
            </w:r>
          </w:p>
        </w:tc>
        <w:tc>
          <w:tcPr>
            <w:tcW w:w="2835" w:type="dxa"/>
            <w:shd w:val="clear" w:color="auto" w:fill="auto"/>
          </w:tcPr>
          <w:p w14:paraId="0A6AF5E6" w14:textId="7ED4E3E9"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MS</w:t>
            </w:r>
            <w:r w:rsidR="00693658" w:rsidRPr="00B13B9A">
              <w:rPr>
                <w:rFonts w:asciiTheme="majorHAnsi" w:hAnsiTheme="majorHAnsi" w:cstheme="majorHAnsi"/>
                <w:color w:val="000000"/>
                <w:sz w:val="20"/>
                <w:szCs w:val="20"/>
                <w:lang w:val="ro-MD"/>
              </w:rPr>
              <w:t>,</w:t>
            </w:r>
            <w:r w:rsidRPr="00B13B9A">
              <w:rPr>
                <w:rFonts w:asciiTheme="majorHAnsi" w:hAnsiTheme="majorHAnsi" w:cstheme="majorHAnsi"/>
                <w:color w:val="000000"/>
                <w:sz w:val="20"/>
                <w:szCs w:val="20"/>
                <w:lang w:val="ro-MD"/>
              </w:rPr>
              <w:t xml:space="preserve"> la 5 decembrie curent</w:t>
            </w:r>
            <w:r w:rsidR="00693658" w:rsidRPr="00B13B9A">
              <w:rPr>
                <w:rFonts w:asciiTheme="majorHAnsi" w:hAnsiTheme="majorHAnsi" w:cstheme="majorHAnsi"/>
                <w:color w:val="000000"/>
                <w:sz w:val="20"/>
                <w:szCs w:val="20"/>
                <w:lang w:val="ro-MD"/>
              </w:rPr>
              <w:t>,</w:t>
            </w:r>
            <w:r w:rsidRPr="00B13B9A">
              <w:rPr>
                <w:rFonts w:asciiTheme="majorHAnsi" w:hAnsiTheme="majorHAnsi" w:cstheme="majorHAnsi"/>
                <w:color w:val="000000"/>
                <w:sz w:val="20"/>
                <w:szCs w:val="20"/>
                <w:lang w:val="ro-MD"/>
              </w:rPr>
              <w:t xml:space="preserve"> a informat că, prin </w:t>
            </w:r>
            <w:r w:rsidRPr="00B13B9A">
              <w:rPr>
                <w:rFonts w:asciiTheme="majorHAnsi" w:hAnsiTheme="majorHAnsi" w:cstheme="majorHAnsi"/>
                <w:sz w:val="20"/>
                <w:szCs w:val="20"/>
                <w:lang w:val="ro-MD"/>
              </w:rPr>
              <w:t xml:space="preserve">Ordinul comun al MS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 xml:space="preserve">i CNAM nr. 914/215-A din 03.10.2022 cu privire la modificarea Ordinului nr. 99/52-A din 15.02.2017, a ajustat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stabilit procedurile de procurare a tichetelor alimentare</w:t>
            </w:r>
          </w:p>
        </w:tc>
        <w:tc>
          <w:tcPr>
            <w:tcW w:w="1344" w:type="dxa"/>
            <w:shd w:val="clear" w:color="auto" w:fill="auto"/>
          </w:tcPr>
          <w:p w14:paraId="44682D74" w14:textId="77777777" w:rsidR="00FD65B6" w:rsidRPr="00B13B9A" w:rsidRDefault="00FD65B6" w:rsidP="00332FF7">
            <w:pPr>
              <w:jc w:val="both"/>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B13B9A" w14:paraId="74FAE404" w14:textId="77777777" w:rsidTr="00332FF7">
        <w:trPr>
          <w:gridAfter w:val="1"/>
          <w:wAfter w:w="24" w:type="dxa"/>
          <w:trHeight w:val="3160"/>
        </w:trPr>
        <w:tc>
          <w:tcPr>
            <w:tcW w:w="576" w:type="dxa"/>
            <w:shd w:val="clear" w:color="auto" w:fill="auto"/>
          </w:tcPr>
          <w:p w14:paraId="2552E314" w14:textId="77777777" w:rsidR="00FD65B6" w:rsidRPr="00B13B9A" w:rsidRDefault="00FD65B6" w:rsidP="00332FF7">
            <w:pPr>
              <w:jc w:val="center"/>
              <w:rPr>
                <w:rFonts w:asciiTheme="majorHAnsi" w:hAnsiTheme="majorHAnsi" w:cstheme="majorHAnsi"/>
                <w:b/>
                <w:i/>
                <w:color w:val="000000" w:themeColor="text1"/>
                <w:sz w:val="20"/>
                <w:szCs w:val="20"/>
                <w:lang w:val="ro-MD"/>
              </w:rPr>
            </w:pPr>
          </w:p>
        </w:tc>
        <w:tc>
          <w:tcPr>
            <w:tcW w:w="837" w:type="dxa"/>
            <w:shd w:val="clear" w:color="auto" w:fill="auto"/>
          </w:tcPr>
          <w:p w14:paraId="77DE4B9B"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6.4</w:t>
            </w:r>
          </w:p>
        </w:tc>
        <w:tc>
          <w:tcPr>
            <w:tcW w:w="2977" w:type="dxa"/>
            <w:shd w:val="clear" w:color="auto" w:fill="auto"/>
          </w:tcPr>
          <w:p w14:paraId="2607753E" w14:textId="32B31A2C" w:rsidR="00FD65B6" w:rsidRPr="00B13B9A" w:rsidRDefault="00FD65B6" w:rsidP="00332FF7">
            <w:pPr>
              <w:jc w:val="both"/>
              <w:rPr>
                <w:rFonts w:asciiTheme="majorHAnsi" w:hAnsiTheme="majorHAnsi" w:cstheme="majorHAnsi"/>
                <w:i/>
                <w:color w:val="000000"/>
                <w:sz w:val="20"/>
                <w:szCs w:val="20"/>
                <w:lang w:val="ro-MD"/>
              </w:rPr>
            </w:pPr>
            <w:r w:rsidRPr="00B13B9A">
              <w:rPr>
                <w:rFonts w:asciiTheme="majorHAnsi" w:hAnsiTheme="majorHAnsi" w:cstheme="majorHAnsi"/>
                <w:i/>
                <w:color w:val="000000"/>
                <w:sz w:val="20"/>
                <w:szCs w:val="20"/>
                <w:lang w:val="ro-MD"/>
              </w:rPr>
              <w:t xml:space="preserve">Acordarea tichetelor alimentare </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i rambursarea cheltuielilor pentru transport conform prevederilor normative (pct.4.9)</w:t>
            </w:r>
          </w:p>
        </w:tc>
        <w:tc>
          <w:tcPr>
            <w:tcW w:w="5670" w:type="dxa"/>
            <w:shd w:val="clear" w:color="auto" w:fill="auto"/>
          </w:tcPr>
          <w:p w14:paraId="07298FC9" w14:textId="01AEC80B" w:rsidR="00FD65B6" w:rsidRPr="00B13B9A" w:rsidRDefault="00FD65B6" w:rsidP="00332FF7">
            <w:pPr>
              <w:pStyle w:val="Bodytext20"/>
              <w:shd w:val="clear" w:color="auto" w:fill="auto"/>
              <w:spacing w:before="0" w:after="0" w:line="240" w:lineRule="auto"/>
              <w:jc w:val="both"/>
              <w:rPr>
                <w:rFonts w:asciiTheme="majorHAnsi" w:hAnsiTheme="majorHAnsi" w:cstheme="majorHAnsi"/>
                <w:sz w:val="20"/>
                <w:szCs w:val="20"/>
                <w:lang w:val="ro-MD"/>
              </w:rPr>
            </w:pPr>
            <w:r w:rsidRPr="00B13B9A">
              <w:rPr>
                <w:rFonts w:asciiTheme="majorHAnsi" w:hAnsiTheme="majorHAnsi" w:cstheme="majorHAnsi"/>
                <w:b/>
                <w:i/>
                <w:color w:val="000000"/>
                <w:sz w:val="20"/>
                <w:szCs w:val="20"/>
                <w:u w:val="single"/>
                <w:lang w:val="ro-MD"/>
              </w:rPr>
              <w:t xml:space="preserve">Scrisoare MS nr.09/7989 din 05.12.2023: </w:t>
            </w:r>
            <w:r w:rsidRPr="00B13B9A">
              <w:rPr>
                <w:rFonts w:asciiTheme="majorHAnsi" w:hAnsiTheme="majorHAnsi" w:cstheme="majorHAnsi"/>
                <w:sz w:val="20"/>
                <w:szCs w:val="20"/>
                <w:lang w:val="ro-MD"/>
              </w:rPr>
              <w:t>Procedura se desfă</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 xml:space="preserve">oară în baza Ordinul comun al NS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CNAM nr. 914/215-A din 03.10.2022 cu privire la modificarea Ordinului nr. 99/52-A din 15.02.2017 cu privire la unele interven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de cre</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tere a aderen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ei la tratamentul antituberculos în condi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ii de ambulator. Conform capitolul III Principii de procurare si distribuire a tichetelor alimentare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rambursarea cheltuielilor de transport pacien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ilor care urmează tratament antituberculos în condi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de ambulator, la punctul 20 a Ordinului sus men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ionat, institu</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iile medico-sanitare men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ionate în punctul 3 al prezentului Regulament asigură procurarea tichetelor alimentare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rambursarea cheltuielilor de transport public (tur-retur) pentru pacien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 în limita surselor financiare destinate în acest scop, contractate de către CNAM.</w:t>
            </w:r>
          </w:p>
        </w:tc>
        <w:tc>
          <w:tcPr>
            <w:tcW w:w="2835" w:type="dxa"/>
            <w:shd w:val="clear" w:color="auto" w:fill="auto"/>
          </w:tcPr>
          <w:p w14:paraId="607DD7B4" w14:textId="73E402F0"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MS</w:t>
            </w:r>
            <w:r w:rsidR="00693658" w:rsidRPr="00B13B9A">
              <w:rPr>
                <w:rFonts w:asciiTheme="majorHAnsi" w:hAnsiTheme="majorHAnsi" w:cstheme="majorHAnsi"/>
                <w:color w:val="000000"/>
                <w:sz w:val="20"/>
                <w:szCs w:val="20"/>
                <w:lang w:val="ro-MD"/>
              </w:rPr>
              <w:t>,</w:t>
            </w:r>
            <w:r w:rsidRPr="00B13B9A">
              <w:rPr>
                <w:rFonts w:asciiTheme="majorHAnsi" w:hAnsiTheme="majorHAnsi" w:cstheme="majorHAnsi"/>
                <w:color w:val="000000"/>
                <w:sz w:val="20"/>
                <w:szCs w:val="20"/>
                <w:lang w:val="ro-MD"/>
              </w:rPr>
              <w:t xml:space="preserve"> la 5 decembrie curent</w:t>
            </w:r>
            <w:r w:rsidR="00693658" w:rsidRPr="00B13B9A">
              <w:rPr>
                <w:rFonts w:asciiTheme="majorHAnsi" w:hAnsiTheme="majorHAnsi" w:cstheme="majorHAnsi"/>
                <w:color w:val="000000"/>
                <w:sz w:val="20"/>
                <w:szCs w:val="20"/>
                <w:lang w:val="ro-MD"/>
              </w:rPr>
              <w:t>,</w:t>
            </w:r>
            <w:r w:rsidRPr="00B13B9A">
              <w:rPr>
                <w:rFonts w:asciiTheme="majorHAnsi" w:hAnsiTheme="majorHAnsi" w:cstheme="majorHAnsi"/>
                <w:color w:val="000000"/>
                <w:sz w:val="20"/>
                <w:szCs w:val="20"/>
                <w:lang w:val="ro-MD"/>
              </w:rPr>
              <w:t xml:space="preserve"> a informat că, prin </w:t>
            </w:r>
            <w:r w:rsidRPr="00B13B9A">
              <w:rPr>
                <w:rFonts w:asciiTheme="majorHAnsi" w:hAnsiTheme="majorHAnsi" w:cstheme="majorHAnsi"/>
                <w:sz w:val="20"/>
                <w:szCs w:val="20"/>
                <w:lang w:val="ro-MD"/>
              </w:rPr>
              <w:t xml:space="preserve">Ordinul comun al MS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 xml:space="preserve">i CNAM nr. 914/215-A din 03.10.2022 cu privire la modificarea Ordinului nr. 99/52-A din 15.02.2017, a ajustat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 xml:space="preserve">i stabilit principiile de distribuire a tichetelor alimentare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rambursarea cheltuielilor de transport</w:t>
            </w:r>
          </w:p>
        </w:tc>
        <w:tc>
          <w:tcPr>
            <w:tcW w:w="1344" w:type="dxa"/>
            <w:shd w:val="clear" w:color="auto" w:fill="auto"/>
          </w:tcPr>
          <w:p w14:paraId="56C8EB62" w14:textId="77777777" w:rsidR="00FD65B6" w:rsidRPr="00B13B9A" w:rsidRDefault="00FD65B6" w:rsidP="00332FF7">
            <w:pPr>
              <w:jc w:val="both"/>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B13B9A" w14:paraId="2D898632" w14:textId="77777777" w:rsidTr="00332FF7">
        <w:trPr>
          <w:gridAfter w:val="1"/>
          <w:wAfter w:w="24" w:type="dxa"/>
        </w:trPr>
        <w:tc>
          <w:tcPr>
            <w:tcW w:w="576" w:type="dxa"/>
            <w:shd w:val="clear" w:color="auto" w:fill="auto"/>
          </w:tcPr>
          <w:p w14:paraId="580A705A" w14:textId="77777777" w:rsidR="00FD65B6" w:rsidRPr="00B13B9A" w:rsidRDefault="00FD65B6" w:rsidP="00332FF7">
            <w:pPr>
              <w:jc w:val="center"/>
              <w:rPr>
                <w:rFonts w:asciiTheme="majorHAnsi" w:hAnsiTheme="majorHAnsi" w:cstheme="majorHAnsi"/>
                <w:b/>
                <w:i/>
                <w:color w:val="000000" w:themeColor="text1"/>
                <w:sz w:val="20"/>
                <w:szCs w:val="20"/>
                <w:lang w:val="ro-MD"/>
              </w:rPr>
            </w:pPr>
          </w:p>
        </w:tc>
        <w:tc>
          <w:tcPr>
            <w:tcW w:w="837" w:type="dxa"/>
            <w:shd w:val="clear" w:color="auto" w:fill="auto"/>
          </w:tcPr>
          <w:p w14:paraId="23851320"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6.5</w:t>
            </w:r>
          </w:p>
        </w:tc>
        <w:tc>
          <w:tcPr>
            <w:tcW w:w="2977" w:type="dxa"/>
            <w:shd w:val="clear" w:color="auto" w:fill="auto"/>
          </w:tcPr>
          <w:p w14:paraId="433B71B7" w14:textId="73691149" w:rsidR="00FD65B6" w:rsidRPr="00B13B9A" w:rsidRDefault="00FD65B6" w:rsidP="00332FF7">
            <w:pPr>
              <w:jc w:val="both"/>
              <w:rPr>
                <w:rFonts w:asciiTheme="majorHAnsi" w:hAnsiTheme="majorHAnsi" w:cstheme="majorHAnsi"/>
                <w:i/>
                <w:color w:val="000000"/>
                <w:sz w:val="20"/>
                <w:szCs w:val="20"/>
                <w:lang w:val="ro-MD"/>
              </w:rPr>
            </w:pPr>
            <w:r w:rsidRPr="00B13B9A">
              <w:rPr>
                <w:rFonts w:asciiTheme="majorHAnsi" w:hAnsiTheme="majorHAnsi" w:cstheme="majorHAnsi"/>
                <w:i/>
                <w:color w:val="000000"/>
                <w:sz w:val="20"/>
                <w:szCs w:val="20"/>
                <w:lang w:val="ro-MD"/>
              </w:rPr>
              <w:t>Eviden</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 xml:space="preserve">a </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i raportarea veridică a cheltuielilor pentru alimenta</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 xml:space="preserve">ie </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i transport public de la/la domiciliu pentru tratamentul în condi</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ii de ambulatoriu al persoanelor bolnave cu tuberculoză (pct.4.11)</w:t>
            </w:r>
          </w:p>
        </w:tc>
        <w:tc>
          <w:tcPr>
            <w:tcW w:w="5670" w:type="dxa"/>
            <w:shd w:val="clear" w:color="auto" w:fill="auto"/>
          </w:tcPr>
          <w:p w14:paraId="5A865112" w14:textId="66F1C131"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b/>
                <w:i/>
                <w:color w:val="000000"/>
                <w:sz w:val="20"/>
                <w:szCs w:val="20"/>
                <w:u w:val="single"/>
                <w:lang w:val="ro-MD"/>
              </w:rPr>
              <w:t xml:space="preserve">Scrisoare MS nr.09/7989 din 05.12.2023: </w:t>
            </w:r>
            <w:r w:rsidRPr="00B13B9A">
              <w:rPr>
                <w:rFonts w:asciiTheme="majorHAnsi" w:hAnsiTheme="majorHAnsi" w:cstheme="majorHAnsi"/>
                <w:sz w:val="20"/>
                <w:szCs w:val="20"/>
                <w:lang w:val="ro-MD"/>
              </w:rPr>
              <w:t>Procedura respectiva se desfă</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 xml:space="preserve">oară în baza Ordinul comun al MS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CNAM nr. 914/215-A din 03/10/2022 cu privire la modificarea Ordinului nr. 99/52-A din 15.02.2017 cu privire la unele interven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de cre</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tere a aderen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ei la tratamentul antituberculos în condi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de ambulator, în capitolul IV Dispozi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ii finale, în punctul 40 este descris controlul corectitudinii eliberării tichetelor alimentare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sumelor rambursate pentru cheltuielile de transport conform prezentului Regulament care se efectuează de către CNAM.</w:t>
            </w:r>
          </w:p>
        </w:tc>
        <w:tc>
          <w:tcPr>
            <w:tcW w:w="2835" w:type="dxa"/>
            <w:shd w:val="clear" w:color="auto" w:fill="auto"/>
          </w:tcPr>
          <w:p w14:paraId="6DE10657" w14:textId="53E9FE23"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MS</w:t>
            </w:r>
            <w:r w:rsidR="00693658" w:rsidRPr="00B13B9A">
              <w:rPr>
                <w:rFonts w:asciiTheme="majorHAnsi" w:hAnsiTheme="majorHAnsi" w:cstheme="majorHAnsi"/>
                <w:color w:val="000000"/>
                <w:sz w:val="20"/>
                <w:szCs w:val="20"/>
                <w:lang w:val="ro-MD"/>
              </w:rPr>
              <w:t>,</w:t>
            </w:r>
            <w:r w:rsidRPr="00B13B9A">
              <w:rPr>
                <w:rFonts w:asciiTheme="majorHAnsi" w:hAnsiTheme="majorHAnsi" w:cstheme="majorHAnsi"/>
                <w:color w:val="000000"/>
                <w:sz w:val="20"/>
                <w:szCs w:val="20"/>
                <w:lang w:val="ro-MD"/>
              </w:rPr>
              <w:t xml:space="preserve"> la 5 decembrie curent</w:t>
            </w:r>
            <w:r w:rsidR="00693658" w:rsidRPr="00B13B9A">
              <w:rPr>
                <w:rFonts w:asciiTheme="majorHAnsi" w:hAnsiTheme="majorHAnsi" w:cstheme="majorHAnsi"/>
                <w:color w:val="000000"/>
                <w:sz w:val="20"/>
                <w:szCs w:val="20"/>
                <w:lang w:val="ro-MD"/>
              </w:rPr>
              <w:t>,</w:t>
            </w:r>
            <w:r w:rsidRPr="00B13B9A">
              <w:rPr>
                <w:rFonts w:asciiTheme="majorHAnsi" w:hAnsiTheme="majorHAnsi" w:cstheme="majorHAnsi"/>
                <w:color w:val="000000"/>
                <w:sz w:val="20"/>
                <w:szCs w:val="20"/>
                <w:lang w:val="ro-MD"/>
              </w:rPr>
              <w:t xml:space="preserve"> a informat că, prin </w:t>
            </w:r>
            <w:r w:rsidRPr="00B13B9A">
              <w:rPr>
                <w:rFonts w:asciiTheme="majorHAnsi" w:hAnsiTheme="majorHAnsi" w:cstheme="majorHAnsi"/>
                <w:sz w:val="20"/>
                <w:szCs w:val="20"/>
                <w:lang w:val="ro-MD"/>
              </w:rPr>
              <w:t xml:space="preserve">Ordinul comun al MS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 xml:space="preserve">i CNAM nr. 914/215-A din 03.10.2022 cu privire la modificarea Ordinului nr. 99/52-A din 15.02.2017, a ajustat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 xml:space="preserve">i stabilit controlul corectitudinii eliberării tichetelor alimentare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sumelor rambursate pentru cheltuielile de transport</w:t>
            </w:r>
          </w:p>
        </w:tc>
        <w:tc>
          <w:tcPr>
            <w:tcW w:w="1344" w:type="dxa"/>
            <w:shd w:val="clear" w:color="auto" w:fill="auto"/>
          </w:tcPr>
          <w:p w14:paraId="6CBD1989" w14:textId="77777777" w:rsidR="00FD65B6" w:rsidRPr="00B13B9A" w:rsidRDefault="00FD65B6" w:rsidP="00332FF7">
            <w:pPr>
              <w:jc w:val="both"/>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B13B9A" w14:paraId="36F0C27D" w14:textId="77777777" w:rsidTr="00332FF7">
        <w:tc>
          <w:tcPr>
            <w:tcW w:w="14263" w:type="dxa"/>
            <w:gridSpan w:val="7"/>
            <w:shd w:val="clear" w:color="auto" w:fill="auto"/>
          </w:tcPr>
          <w:p w14:paraId="0FEDF586" w14:textId="42254326"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Ministerului Justi</w:t>
            </w:r>
            <w:r w:rsidR="00B13B9A" w:rsidRPr="00B13B9A">
              <w:rPr>
                <w:rFonts w:asciiTheme="majorHAnsi" w:hAnsiTheme="majorHAnsi" w:cstheme="majorHAnsi"/>
                <w:b/>
                <w:i/>
                <w:color w:val="000000" w:themeColor="text1"/>
                <w:sz w:val="20"/>
                <w:szCs w:val="20"/>
                <w:lang w:val="ro-MD"/>
              </w:rPr>
              <w:t>ț</w:t>
            </w:r>
            <w:r w:rsidRPr="00B13B9A">
              <w:rPr>
                <w:rFonts w:asciiTheme="majorHAnsi" w:hAnsiTheme="majorHAnsi" w:cstheme="majorHAnsi"/>
                <w:b/>
                <w:i/>
                <w:color w:val="000000" w:themeColor="text1"/>
                <w:sz w:val="20"/>
                <w:szCs w:val="20"/>
                <w:lang w:val="ro-MD"/>
              </w:rPr>
              <w:t>iei</w:t>
            </w:r>
          </w:p>
        </w:tc>
      </w:tr>
      <w:tr w:rsidR="00FD65B6" w:rsidRPr="00B13B9A" w14:paraId="476EB8D7" w14:textId="77777777" w:rsidTr="00332FF7">
        <w:trPr>
          <w:gridAfter w:val="1"/>
          <w:wAfter w:w="24" w:type="dxa"/>
        </w:trPr>
        <w:tc>
          <w:tcPr>
            <w:tcW w:w="576" w:type="dxa"/>
            <w:shd w:val="clear" w:color="auto" w:fill="auto"/>
          </w:tcPr>
          <w:p w14:paraId="4D6200B6"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2</w:t>
            </w:r>
          </w:p>
        </w:tc>
        <w:tc>
          <w:tcPr>
            <w:tcW w:w="837" w:type="dxa"/>
            <w:shd w:val="clear" w:color="auto" w:fill="auto"/>
          </w:tcPr>
          <w:p w14:paraId="43C23503"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2.2</w:t>
            </w:r>
          </w:p>
        </w:tc>
        <w:tc>
          <w:tcPr>
            <w:tcW w:w="2977" w:type="dxa"/>
            <w:shd w:val="clear" w:color="auto" w:fill="auto"/>
          </w:tcPr>
          <w:p w14:paraId="0C788757" w14:textId="2060C990" w:rsidR="00FD65B6" w:rsidRPr="00B13B9A" w:rsidRDefault="00FD65B6" w:rsidP="00332FF7">
            <w:pPr>
              <w:jc w:val="both"/>
              <w:rPr>
                <w:rFonts w:asciiTheme="majorHAnsi" w:hAnsiTheme="majorHAnsi" w:cstheme="majorHAnsi"/>
                <w:i/>
                <w:color w:val="000000"/>
                <w:sz w:val="20"/>
                <w:szCs w:val="20"/>
                <w:lang w:val="ro-MD"/>
              </w:rPr>
            </w:pPr>
            <w:r w:rsidRPr="00B13B9A">
              <w:rPr>
                <w:rFonts w:asciiTheme="majorHAnsi" w:hAnsiTheme="majorHAnsi" w:cstheme="majorHAnsi"/>
                <w:i/>
                <w:color w:val="000000"/>
                <w:sz w:val="20"/>
                <w:szCs w:val="20"/>
                <w:lang w:val="ro-MD"/>
              </w:rPr>
              <w:t>pentru implementarea recomandărilor cuprinse în Raportul de audit, cu determinarea ac</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iunilor concrete în vederea înlăturării caren</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 xml:space="preserve">elor </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 xml:space="preserve">i neregulilor constatate, precum </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 xml:space="preserve">i pentru stabilirea termenelor </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i persoanelor responsabile de îndeplinirea acestora</w:t>
            </w:r>
          </w:p>
        </w:tc>
        <w:tc>
          <w:tcPr>
            <w:tcW w:w="5670" w:type="dxa"/>
            <w:shd w:val="clear" w:color="auto" w:fill="auto"/>
          </w:tcPr>
          <w:p w14:paraId="06ECC084" w14:textId="257D1890" w:rsidR="00FD65B6" w:rsidRPr="00B13B9A" w:rsidRDefault="00FD65B6" w:rsidP="00332FF7">
            <w:pPr>
              <w:jc w:val="both"/>
              <w:rPr>
                <w:rFonts w:asciiTheme="majorHAnsi" w:hAnsiTheme="majorHAnsi" w:cstheme="majorHAnsi"/>
                <w:color w:val="000000" w:themeColor="text1"/>
                <w:sz w:val="20"/>
                <w:szCs w:val="20"/>
                <w:lang w:val="ro-MD"/>
              </w:rPr>
            </w:pPr>
            <w:r w:rsidRPr="00B13B9A">
              <w:rPr>
                <w:rFonts w:asciiTheme="majorHAnsi" w:hAnsiTheme="majorHAnsi" w:cstheme="majorHAnsi"/>
                <w:b/>
                <w:i/>
                <w:color w:val="000000" w:themeColor="text1"/>
                <w:sz w:val="20"/>
                <w:szCs w:val="20"/>
                <w:u w:val="single"/>
                <w:lang w:val="ro-MD"/>
              </w:rPr>
              <w:t>Scrisoare MJ din 01.5/5633 din 31.07.2020:</w:t>
            </w:r>
            <w:r w:rsidRPr="00B13B9A">
              <w:rPr>
                <w:rFonts w:asciiTheme="majorHAnsi" w:hAnsiTheme="majorHAnsi" w:cstheme="majorHAnsi"/>
                <w:color w:val="000000" w:themeColor="text1"/>
                <w:sz w:val="20"/>
                <w:szCs w:val="20"/>
                <w:lang w:val="ro-MD"/>
              </w:rPr>
              <w:t xml:space="preserve"> A fost elaborat proiectul de regulament cu privire la acordarea asisten</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ei medicale persoanelor aflate în deten</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 xml:space="preserve">ie. </w:t>
            </w:r>
          </w:p>
          <w:p w14:paraId="43A24C5D" w14:textId="409428FC" w:rsidR="00FD65B6" w:rsidRPr="00B13B9A" w:rsidRDefault="00FD65B6" w:rsidP="00332FF7">
            <w:pPr>
              <w:jc w:val="both"/>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 xml:space="preserve">Actualmente, acesta se află la etapa de avizare </w:t>
            </w:r>
            <w:r w:rsidR="00B13B9A" w:rsidRPr="00B13B9A">
              <w:rPr>
                <w:rFonts w:asciiTheme="majorHAnsi" w:hAnsiTheme="majorHAnsi" w:cstheme="majorHAnsi"/>
                <w:color w:val="000000" w:themeColor="text1"/>
                <w:sz w:val="20"/>
                <w:szCs w:val="20"/>
                <w:lang w:val="ro-MD"/>
              </w:rPr>
              <w:t>ș</w:t>
            </w:r>
            <w:r w:rsidRPr="00B13B9A">
              <w:rPr>
                <w:rFonts w:asciiTheme="majorHAnsi" w:hAnsiTheme="majorHAnsi" w:cstheme="majorHAnsi"/>
                <w:color w:val="000000" w:themeColor="text1"/>
                <w:sz w:val="20"/>
                <w:szCs w:val="20"/>
                <w:lang w:val="ro-MD"/>
              </w:rPr>
              <w:t>i aporbare la Ministerul Justi</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iei.</w:t>
            </w:r>
          </w:p>
          <w:p w14:paraId="44585F68" w14:textId="11B67070" w:rsidR="00FD65B6" w:rsidRPr="00B13B9A" w:rsidRDefault="00FD65B6" w:rsidP="00332FF7">
            <w:pPr>
              <w:jc w:val="both"/>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Totodată, conform Planului de ac</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iuni privind implementarea Programului de control al tuberculozei în sistemul penitenciar pentru anii 2016-2020, aprobat prin ordinul Administra</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iei Na</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ionale a Penitenciarelor nr.168 din 06.09.2018, în anii 2019-2020 s-au înlăturat mai multe obiec</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ii constatate de către Curtea de Conturi.</w:t>
            </w:r>
          </w:p>
          <w:p w14:paraId="0D50E789" w14:textId="5DAD1923" w:rsidR="00FD65B6" w:rsidRPr="00B13B9A" w:rsidRDefault="00FD65B6" w:rsidP="00332FF7">
            <w:pPr>
              <w:jc w:val="both"/>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De asemenea în baza Programului na</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 xml:space="preserve">ional de control a tuberculozei pentru anii 2022-2025 aprobat prin HG nr.107 din 23.02.2022 este anexa nr.8 la prezentul regulament cu stabilirea tematicelor </w:t>
            </w:r>
            <w:r w:rsidR="00B13B9A" w:rsidRPr="00B13B9A">
              <w:rPr>
                <w:rFonts w:asciiTheme="majorHAnsi" w:hAnsiTheme="majorHAnsi" w:cstheme="majorHAnsi"/>
                <w:color w:val="000000" w:themeColor="text1"/>
                <w:sz w:val="20"/>
                <w:szCs w:val="20"/>
                <w:lang w:val="ro-MD"/>
              </w:rPr>
              <w:t>ș</w:t>
            </w:r>
            <w:r w:rsidRPr="00B13B9A">
              <w:rPr>
                <w:rFonts w:asciiTheme="majorHAnsi" w:hAnsiTheme="majorHAnsi" w:cstheme="majorHAnsi"/>
                <w:color w:val="000000" w:themeColor="text1"/>
                <w:sz w:val="20"/>
                <w:szCs w:val="20"/>
                <w:lang w:val="ro-MD"/>
              </w:rPr>
              <w:t>i persoanelor responsabile la răspunsul tuberculozei în institu</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iile penitenciare.</w:t>
            </w:r>
          </w:p>
        </w:tc>
        <w:tc>
          <w:tcPr>
            <w:tcW w:w="2835" w:type="dxa"/>
            <w:shd w:val="clear" w:color="auto" w:fill="auto"/>
          </w:tcPr>
          <w:p w14:paraId="73CF2292" w14:textId="06069513" w:rsidR="00FD65B6" w:rsidRPr="00B13B9A" w:rsidRDefault="00FD65B6" w:rsidP="00332FF7">
            <w:pPr>
              <w:ind w:right="38"/>
              <w:jc w:val="both"/>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Anexa nr.8 la ordinul Ministerului Sănătă</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ii nr.432 din 11.05.2022 Răspunsul la TB în institu</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iile penitenciare.</w:t>
            </w:r>
          </w:p>
          <w:p w14:paraId="6C6E36E5" w14:textId="348202D4" w:rsidR="00FD65B6" w:rsidRPr="00B13B9A" w:rsidRDefault="00FD65B6" w:rsidP="00332FF7">
            <w:pPr>
              <w:ind w:right="38"/>
              <w:jc w:val="both"/>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De asemenea</w:t>
            </w:r>
            <w:r w:rsidR="00693658" w:rsidRPr="00B13B9A">
              <w:rPr>
                <w:rFonts w:asciiTheme="majorHAnsi" w:hAnsiTheme="majorHAnsi" w:cstheme="majorHAnsi"/>
                <w:color w:val="000000" w:themeColor="text1"/>
                <w:sz w:val="20"/>
                <w:szCs w:val="20"/>
                <w:lang w:val="ro-MD"/>
              </w:rPr>
              <w:t>,</w:t>
            </w:r>
            <w:r w:rsidRPr="00B13B9A">
              <w:rPr>
                <w:rFonts w:asciiTheme="majorHAnsi" w:hAnsiTheme="majorHAnsi" w:cstheme="majorHAnsi"/>
                <w:color w:val="000000" w:themeColor="text1"/>
                <w:sz w:val="20"/>
                <w:szCs w:val="20"/>
                <w:lang w:val="ro-MD"/>
              </w:rPr>
              <w:t xml:space="preserve"> în baza Programului na</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ional de control a</w:t>
            </w:r>
            <w:r w:rsidR="00693658" w:rsidRPr="00B13B9A">
              <w:rPr>
                <w:rFonts w:asciiTheme="majorHAnsi" w:hAnsiTheme="majorHAnsi" w:cstheme="majorHAnsi"/>
                <w:color w:val="000000" w:themeColor="text1"/>
                <w:sz w:val="20"/>
                <w:szCs w:val="20"/>
                <w:lang w:val="ro-MD"/>
              </w:rPr>
              <w:t>l</w:t>
            </w:r>
            <w:r w:rsidRPr="00B13B9A">
              <w:rPr>
                <w:rFonts w:asciiTheme="majorHAnsi" w:hAnsiTheme="majorHAnsi" w:cstheme="majorHAnsi"/>
                <w:color w:val="000000" w:themeColor="text1"/>
                <w:sz w:val="20"/>
                <w:szCs w:val="20"/>
                <w:lang w:val="ro-MD"/>
              </w:rPr>
              <w:t xml:space="preserve"> tuberculozei pentru anii 2022-2025</w:t>
            </w:r>
            <w:r w:rsidR="00693658" w:rsidRPr="00B13B9A">
              <w:rPr>
                <w:rFonts w:asciiTheme="majorHAnsi" w:hAnsiTheme="majorHAnsi" w:cstheme="majorHAnsi"/>
                <w:color w:val="000000" w:themeColor="text1"/>
                <w:sz w:val="20"/>
                <w:szCs w:val="20"/>
                <w:lang w:val="ro-MD"/>
              </w:rPr>
              <w:t>,</w:t>
            </w:r>
            <w:r w:rsidRPr="00B13B9A">
              <w:rPr>
                <w:rFonts w:asciiTheme="majorHAnsi" w:hAnsiTheme="majorHAnsi" w:cstheme="majorHAnsi"/>
                <w:color w:val="000000" w:themeColor="text1"/>
                <w:sz w:val="20"/>
                <w:szCs w:val="20"/>
                <w:lang w:val="ro-MD"/>
              </w:rPr>
              <w:t xml:space="preserve"> aprobat prin HG nr.107 din 23.02.2022 este anexa nr.8 la prezentul regulament cu stabilirea tematicelor </w:t>
            </w:r>
            <w:r w:rsidR="00B13B9A" w:rsidRPr="00B13B9A">
              <w:rPr>
                <w:rFonts w:asciiTheme="majorHAnsi" w:hAnsiTheme="majorHAnsi" w:cstheme="majorHAnsi"/>
                <w:color w:val="000000" w:themeColor="text1"/>
                <w:sz w:val="20"/>
                <w:szCs w:val="20"/>
                <w:lang w:val="ro-MD"/>
              </w:rPr>
              <w:t>ș</w:t>
            </w:r>
            <w:r w:rsidRPr="00B13B9A">
              <w:rPr>
                <w:rFonts w:asciiTheme="majorHAnsi" w:hAnsiTheme="majorHAnsi" w:cstheme="majorHAnsi"/>
                <w:color w:val="000000" w:themeColor="text1"/>
                <w:sz w:val="20"/>
                <w:szCs w:val="20"/>
                <w:lang w:val="ro-MD"/>
              </w:rPr>
              <w:t>i persoanelor responsabile la răspunsul tuberculozei în institu</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iile penitenciare</w:t>
            </w:r>
          </w:p>
        </w:tc>
        <w:tc>
          <w:tcPr>
            <w:tcW w:w="1344" w:type="dxa"/>
            <w:shd w:val="clear" w:color="auto" w:fill="auto"/>
          </w:tcPr>
          <w:p w14:paraId="5B3CD2C5" w14:textId="77777777" w:rsidR="00FD65B6" w:rsidRPr="00B13B9A" w:rsidRDefault="00FD65B6" w:rsidP="00332FF7">
            <w:pPr>
              <w:jc w:val="both"/>
              <w:rPr>
                <w:rFonts w:asciiTheme="majorHAnsi" w:hAnsiTheme="majorHAnsi" w:cstheme="majorHAns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B13B9A" w14:paraId="1C2D8EC8" w14:textId="77777777" w:rsidTr="00332FF7">
        <w:trPr>
          <w:gridAfter w:val="1"/>
          <w:wAfter w:w="24" w:type="dxa"/>
        </w:trPr>
        <w:tc>
          <w:tcPr>
            <w:tcW w:w="576" w:type="dxa"/>
            <w:shd w:val="clear" w:color="auto" w:fill="auto"/>
          </w:tcPr>
          <w:p w14:paraId="7DB5F1CF" w14:textId="77777777" w:rsidR="00FD65B6" w:rsidRPr="00B13B9A" w:rsidRDefault="00FD65B6" w:rsidP="00332FF7">
            <w:pPr>
              <w:jc w:val="center"/>
              <w:rPr>
                <w:rFonts w:asciiTheme="majorHAnsi" w:hAnsiTheme="majorHAnsi" w:cstheme="majorHAnsi"/>
                <w:b/>
                <w:i/>
                <w:color w:val="000000" w:themeColor="text1"/>
                <w:sz w:val="20"/>
                <w:szCs w:val="20"/>
                <w:lang w:val="ro-MD"/>
              </w:rPr>
            </w:pPr>
          </w:p>
        </w:tc>
        <w:tc>
          <w:tcPr>
            <w:tcW w:w="837" w:type="dxa"/>
            <w:shd w:val="clear" w:color="auto" w:fill="auto"/>
          </w:tcPr>
          <w:p w14:paraId="480A8D02"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1.1</w:t>
            </w:r>
          </w:p>
        </w:tc>
        <w:tc>
          <w:tcPr>
            <w:tcW w:w="2977" w:type="dxa"/>
            <w:shd w:val="clear" w:color="auto" w:fill="auto"/>
          </w:tcPr>
          <w:p w14:paraId="57D0547A" w14:textId="4F45DFC4" w:rsidR="00FD65B6" w:rsidRPr="00B13B9A" w:rsidRDefault="00FD65B6" w:rsidP="00332FF7">
            <w:pPr>
              <w:jc w:val="both"/>
              <w:rPr>
                <w:rFonts w:asciiTheme="majorHAnsi" w:hAnsiTheme="majorHAnsi" w:cstheme="majorHAnsi"/>
                <w:i/>
                <w:color w:val="000000" w:themeColor="text1"/>
                <w:sz w:val="20"/>
                <w:szCs w:val="20"/>
                <w:lang w:val="ro-MD"/>
              </w:rPr>
            </w:pPr>
            <w:r w:rsidRPr="00B13B9A">
              <w:rPr>
                <w:rFonts w:asciiTheme="majorHAnsi" w:hAnsiTheme="majorHAnsi" w:cstheme="majorHAnsi"/>
                <w:i/>
                <w:color w:val="000000" w:themeColor="text1"/>
                <w:sz w:val="20"/>
                <w:szCs w:val="20"/>
                <w:lang w:val="ro-MD"/>
              </w:rPr>
              <w:t>Examinării de</w:t>
            </w:r>
            <w:r w:rsidR="00B13B9A" w:rsidRPr="00B13B9A">
              <w:rPr>
                <w:rFonts w:asciiTheme="majorHAnsi" w:hAnsiTheme="majorHAnsi" w:cstheme="majorHAnsi"/>
                <w:i/>
                <w:color w:val="000000" w:themeColor="text1"/>
                <w:sz w:val="20"/>
                <w:szCs w:val="20"/>
                <w:lang w:val="ro-MD"/>
              </w:rPr>
              <w:t>ț</w:t>
            </w:r>
            <w:r w:rsidRPr="00B13B9A">
              <w:rPr>
                <w:rFonts w:asciiTheme="majorHAnsi" w:hAnsiTheme="majorHAnsi" w:cstheme="majorHAnsi"/>
                <w:i/>
                <w:color w:val="000000" w:themeColor="text1"/>
                <w:sz w:val="20"/>
                <w:szCs w:val="20"/>
                <w:lang w:val="ro-MD"/>
              </w:rPr>
              <w:t>inu</w:t>
            </w:r>
            <w:r w:rsidR="00B13B9A" w:rsidRPr="00B13B9A">
              <w:rPr>
                <w:rFonts w:asciiTheme="majorHAnsi" w:hAnsiTheme="majorHAnsi" w:cstheme="majorHAnsi"/>
                <w:i/>
                <w:color w:val="000000" w:themeColor="text1"/>
                <w:sz w:val="20"/>
                <w:szCs w:val="20"/>
                <w:lang w:val="ro-MD"/>
              </w:rPr>
              <w:t>ț</w:t>
            </w:r>
            <w:r w:rsidRPr="00B13B9A">
              <w:rPr>
                <w:rFonts w:asciiTheme="majorHAnsi" w:hAnsiTheme="majorHAnsi" w:cstheme="majorHAnsi"/>
                <w:i/>
                <w:color w:val="000000" w:themeColor="text1"/>
                <w:sz w:val="20"/>
                <w:szCs w:val="20"/>
                <w:lang w:val="ro-MD"/>
              </w:rPr>
              <w:t>ilor prin realizarea screening-ului radiografic de două ori pe an (pct.4.15.1.)</w:t>
            </w:r>
          </w:p>
        </w:tc>
        <w:tc>
          <w:tcPr>
            <w:tcW w:w="5670" w:type="dxa"/>
            <w:shd w:val="clear" w:color="auto" w:fill="auto"/>
          </w:tcPr>
          <w:p w14:paraId="6E45A27C" w14:textId="2B395F80"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b/>
                <w:i/>
                <w:color w:val="000000"/>
                <w:sz w:val="20"/>
                <w:szCs w:val="20"/>
                <w:u w:val="single"/>
                <w:lang w:val="ro-MD"/>
              </w:rPr>
              <w:t>Scrisoare MJ din 01.5/5633 din 31.07.2020:</w:t>
            </w:r>
            <w:r w:rsidRPr="00B13B9A">
              <w:rPr>
                <w:rFonts w:asciiTheme="majorHAnsi" w:hAnsiTheme="majorHAnsi" w:cstheme="majorHAnsi"/>
                <w:color w:val="000000"/>
                <w:sz w:val="20"/>
                <w:szCs w:val="20"/>
                <w:lang w:val="ro-MD"/>
              </w:rPr>
              <w:t xml:space="preserve"> Prin intermediul Centrul de achizi</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 publice în sănătate s-a solicitat achizi</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ia de mentenan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ă a utilajului medical, astfel aceasta va fi realizată de către speciali</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ti califica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 în domeniu pe baza de contractare servicii.</w:t>
            </w:r>
          </w:p>
          <w:p w14:paraId="00776AE8" w14:textId="235D2EA0"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În anul 2020 screening-ul radiologic nu a fost posibil de efectuat din cauza situa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iei epidemiologice cu COVID-19 la nivel de </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ară.</w:t>
            </w:r>
          </w:p>
          <w:p w14:paraId="004D0380" w14:textId="38966212"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Odată cu relaxarea restric</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iilor epidemiologice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posibilitatea realizării screening-ul radiologic în institu</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iile penitenciare, acest proces va fi reluat.</w:t>
            </w:r>
          </w:p>
        </w:tc>
        <w:tc>
          <w:tcPr>
            <w:tcW w:w="2835" w:type="dxa"/>
            <w:shd w:val="clear" w:color="auto" w:fill="auto"/>
          </w:tcPr>
          <w:p w14:paraId="258C0857" w14:textId="01FDF956" w:rsidR="00FD65B6" w:rsidRPr="00B13B9A" w:rsidRDefault="00FD65B6" w:rsidP="00332FF7">
            <w:pPr>
              <w:jc w:val="both"/>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Potrivit informa</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iei prezentate de către Ministerul Justi</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iei, procesul de screening radiologic este reluat îndată cu stoparea restric</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iilor COVID-19</w:t>
            </w:r>
          </w:p>
        </w:tc>
        <w:tc>
          <w:tcPr>
            <w:tcW w:w="1344" w:type="dxa"/>
            <w:shd w:val="clear" w:color="auto" w:fill="auto"/>
          </w:tcPr>
          <w:p w14:paraId="0828B17C" w14:textId="77777777" w:rsidR="00FD65B6" w:rsidRPr="00B13B9A" w:rsidRDefault="00FD65B6" w:rsidP="00332FF7">
            <w:pPr>
              <w:jc w:val="both"/>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B13B9A" w14:paraId="104F0052" w14:textId="77777777" w:rsidTr="00332FF7">
        <w:trPr>
          <w:gridAfter w:val="1"/>
          <w:wAfter w:w="24" w:type="dxa"/>
        </w:trPr>
        <w:tc>
          <w:tcPr>
            <w:tcW w:w="576" w:type="dxa"/>
            <w:shd w:val="clear" w:color="auto" w:fill="auto"/>
          </w:tcPr>
          <w:p w14:paraId="1ACB52FE" w14:textId="77777777" w:rsidR="00FD65B6" w:rsidRPr="00B13B9A" w:rsidRDefault="00FD65B6" w:rsidP="00332FF7">
            <w:pPr>
              <w:jc w:val="center"/>
              <w:rPr>
                <w:rFonts w:asciiTheme="majorHAnsi" w:hAnsiTheme="majorHAnsi" w:cstheme="majorHAnsi"/>
                <w:b/>
                <w:i/>
                <w:color w:val="000000" w:themeColor="text1"/>
                <w:sz w:val="20"/>
                <w:szCs w:val="20"/>
                <w:lang w:val="ro-MD"/>
              </w:rPr>
            </w:pPr>
          </w:p>
        </w:tc>
        <w:tc>
          <w:tcPr>
            <w:tcW w:w="837" w:type="dxa"/>
            <w:shd w:val="clear" w:color="auto" w:fill="auto"/>
          </w:tcPr>
          <w:p w14:paraId="053BA6EE"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1.2</w:t>
            </w:r>
          </w:p>
        </w:tc>
        <w:tc>
          <w:tcPr>
            <w:tcW w:w="2977" w:type="dxa"/>
            <w:shd w:val="clear" w:color="auto" w:fill="auto"/>
          </w:tcPr>
          <w:p w14:paraId="5C7FA4F8" w14:textId="77777777" w:rsidR="00FD65B6" w:rsidRPr="00B13B9A" w:rsidRDefault="00FD65B6" w:rsidP="00332FF7">
            <w:pPr>
              <w:jc w:val="both"/>
              <w:rPr>
                <w:rFonts w:asciiTheme="majorHAnsi" w:hAnsiTheme="majorHAnsi" w:cstheme="majorHAnsi"/>
                <w:i/>
                <w:color w:val="000000" w:themeColor="text1"/>
                <w:sz w:val="20"/>
                <w:szCs w:val="20"/>
                <w:lang w:val="ro-MD"/>
              </w:rPr>
            </w:pPr>
            <w:r w:rsidRPr="00B13B9A">
              <w:rPr>
                <w:rFonts w:asciiTheme="majorHAnsi" w:hAnsiTheme="majorHAnsi" w:cstheme="majorHAnsi"/>
                <w:i/>
                <w:color w:val="000000" w:themeColor="text1"/>
                <w:sz w:val="20"/>
                <w:szCs w:val="20"/>
                <w:lang w:val="ro-MD"/>
              </w:rPr>
              <w:t>Examinării radiografice a persoanelor la intrarea în sistemul penitenciar (pct.4.15.2.)</w:t>
            </w:r>
          </w:p>
        </w:tc>
        <w:tc>
          <w:tcPr>
            <w:tcW w:w="5670" w:type="dxa"/>
            <w:shd w:val="clear" w:color="auto" w:fill="auto"/>
          </w:tcPr>
          <w:p w14:paraId="27E893E3" w14:textId="152C8398"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b/>
                <w:i/>
                <w:color w:val="000000"/>
                <w:sz w:val="20"/>
                <w:szCs w:val="20"/>
                <w:u w:val="single"/>
                <w:lang w:val="ro-MD"/>
              </w:rPr>
              <w:t>Scrisoare MJ din 01.5/5633 din 31.07.2020:</w:t>
            </w:r>
            <w:r w:rsidRPr="00B13B9A">
              <w:rPr>
                <w:rFonts w:asciiTheme="majorHAnsi" w:hAnsiTheme="majorHAnsi" w:cstheme="majorHAnsi"/>
                <w:color w:val="000000"/>
                <w:sz w:val="20"/>
                <w:szCs w:val="20"/>
                <w:lang w:val="ro-MD"/>
              </w:rPr>
              <w:t xml:space="preserve"> La moment impedimentul care a servit drept cauză a nerespectării a fost înlăturat, utilajul radiologic din Penitenciarul nr.13 - Chi</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inău este func</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ional.</w:t>
            </w:r>
          </w:p>
        </w:tc>
        <w:tc>
          <w:tcPr>
            <w:tcW w:w="2835" w:type="dxa"/>
            <w:shd w:val="clear" w:color="auto" w:fill="auto"/>
          </w:tcPr>
          <w:p w14:paraId="207E447B" w14:textId="79F1CD4D" w:rsidR="00FD65B6" w:rsidRPr="00B13B9A" w:rsidRDefault="00FD65B6" w:rsidP="00332FF7">
            <w:pPr>
              <w:jc w:val="both"/>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Potrivit informa</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iei prezentate de către Ministerul Justi</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iei, utilajul radiologic din Penitenciarul nr.13 – Chi</w:t>
            </w:r>
            <w:r w:rsidR="00B13B9A" w:rsidRPr="00B13B9A">
              <w:rPr>
                <w:rFonts w:asciiTheme="majorHAnsi" w:hAnsiTheme="majorHAnsi" w:cstheme="majorHAnsi"/>
                <w:color w:val="000000" w:themeColor="text1"/>
                <w:sz w:val="20"/>
                <w:szCs w:val="20"/>
                <w:lang w:val="ro-MD"/>
              </w:rPr>
              <w:t>ș</w:t>
            </w:r>
            <w:r w:rsidRPr="00B13B9A">
              <w:rPr>
                <w:rFonts w:asciiTheme="majorHAnsi" w:hAnsiTheme="majorHAnsi" w:cstheme="majorHAnsi"/>
                <w:color w:val="000000" w:themeColor="text1"/>
                <w:sz w:val="20"/>
                <w:szCs w:val="20"/>
                <w:lang w:val="ro-MD"/>
              </w:rPr>
              <w:t>inău func</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ionează</w:t>
            </w:r>
          </w:p>
        </w:tc>
        <w:tc>
          <w:tcPr>
            <w:tcW w:w="1344" w:type="dxa"/>
            <w:shd w:val="clear" w:color="auto" w:fill="auto"/>
          </w:tcPr>
          <w:p w14:paraId="2715F46F" w14:textId="77777777" w:rsidR="00FD65B6" w:rsidRPr="00B13B9A" w:rsidRDefault="00FD65B6" w:rsidP="00332FF7">
            <w:pPr>
              <w:jc w:val="both"/>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B13B9A" w14:paraId="008331E0" w14:textId="77777777" w:rsidTr="00332FF7">
        <w:trPr>
          <w:gridAfter w:val="1"/>
          <w:wAfter w:w="24" w:type="dxa"/>
        </w:trPr>
        <w:tc>
          <w:tcPr>
            <w:tcW w:w="576" w:type="dxa"/>
            <w:shd w:val="clear" w:color="auto" w:fill="auto"/>
          </w:tcPr>
          <w:p w14:paraId="41CC13E5" w14:textId="77777777" w:rsidR="00FD65B6" w:rsidRPr="00B13B9A" w:rsidRDefault="00FD65B6" w:rsidP="00332FF7">
            <w:pPr>
              <w:jc w:val="center"/>
              <w:rPr>
                <w:rFonts w:asciiTheme="majorHAnsi" w:hAnsiTheme="majorHAnsi" w:cstheme="majorHAnsi"/>
                <w:b/>
                <w:i/>
                <w:color w:val="000000" w:themeColor="text1"/>
                <w:sz w:val="20"/>
                <w:szCs w:val="20"/>
                <w:lang w:val="ro-MD"/>
              </w:rPr>
            </w:pPr>
          </w:p>
        </w:tc>
        <w:tc>
          <w:tcPr>
            <w:tcW w:w="837" w:type="dxa"/>
            <w:shd w:val="clear" w:color="auto" w:fill="auto"/>
          </w:tcPr>
          <w:p w14:paraId="4D240451"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1.3</w:t>
            </w:r>
          </w:p>
        </w:tc>
        <w:tc>
          <w:tcPr>
            <w:tcW w:w="2977" w:type="dxa"/>
            <w:shd w:val="clear" w:color="auto" w:fill="auto"/>
          </w:tcPr>
          <w:p w14:paraId="79C6863E" w14:textId="4C342F0A" w:rsidR="00FD65B6" w:rsidRPr="00B13B9A" w:rsidRDefault="00FD65B6" w:rsidP="00332FF7">
            <w:pPr>
              <w:jc w:val="both"/>
              <w:rPr>
                <w:rFonts w:asciiTheme="majorHAnsi" w:hAnsiTheme="majorHAnsi" w:cstheme="majorHAnsi"/>
                <w:i/>
                <w:color w:val="000000" w:themeColor="text1"/>
                <w:sz w:val="20"/>
                <w:szCs w:val="20"/>
                <w:lang w:val="ro-MD"/>
              </w:rPr>
            </w:pPr>
            <w:r w:rsidRPr="00B13B9A">
              <w:rPr>
                <w:rFonts w:asciiTheme="majorHAnsi" w:hAnsiTheme="majorHAnsi" w:cstheme="majorHAnsi"/>
                <w:i/>
                <w:color w:val="000000" w:themeColor="text1"/>
                <w:sz w:val="20"/>
                <w:szCs w:val="20"/>
                <w:lang w:val="ro-MD"/>
              </w:rPr>
              <w:t>Suficien</w:t>
            </w:r>
            <w:r w:rsidR="00B13B9A" w:rsidRPr="00B13B9A">
              <w:rPr>
                <w:rFonts w:asciiTheme="majorHAnsi" w:hAnsiTheme="majorHAnsi" w:cstheme="majorHAnsi"/>
                <w:i/>
                <w:color w:val="000000" w:themeColor="text1"/>
                <w:sz w:val="20"/>
                <w:szCs w:val="20"/>
                <w:lang w:val="ro-MD"/>
              </w:rPr>
              <w:t>ț</w:t>
            </w:r>
            <w:r w:rsidRPr="00B13B9A">
              <w:rPr>
                <w:rFonts w:asciiTheme="majorHAnsi" w:hAnsiTheme="majorHAnsi" w:cstheme="majorHAnsi"/>
                <w:i/>
                <w:color w:val="000000" w:themeColor="text1"/>
                <w:sz w:val="20"/>
                <w:szCs w:val="20"/>
                <w:lang w:val="ro-MD"/>
              </w:rPr>
              <w:t>ei stocurilor de medicamente necesare în administrarea tratamentului antituberculos, inclusiv prin desfă</w:t>
            </w:r>
            <w:r w:rsidR="00B13B9A" w:rsidRPr="00B13B9A">
              <w:rPr>
                <w:rFonts w:asciiTheme="majorHAnsi" w:hAnsiTheme="majorHAnsi" w:cstheme="majorHAnsi"/>
                <w:i/>
                <w:color w:val="000000" w:themeColor="text1"/>
                <w:sz w:val="20"/>
                <w:szCs w:val="20"/>
                <w:lang w:val="ro-MD"/>
              </w:rPr>
              <w:t>ș</w:t>
            </w:r>
            <w:r w:rsidRPr="00B13B9A">
              <w:rPr>
                <w:rFonts w:asciiTheme="majorHAnsi" w:hAnsiTheme="majorHAnsi" w:cstheme="majorHAnsi"/>
                <w:i/>
                <w:color w:val="000000" w:themeColor="text1"/>
                <w:sz w:val="20"/>
                <w:szCs w:val="20"/>
                <w:lang w:val="ro-MD"/>
              </w:rPr>
              <w:t>urarea regulamentară a procedurilor de inventariere (pct.4.15.4.)</w:t>
            </w:r>
          </w:p>
        </w:tc>
        <w:tc>
          <w:tcPr>
            <w:tcW w:w="5670" w:type="dxa"/>
            <w:shd w:val="clear" w:color="auto" w:fill="auto"/>
          </w:tcPr>
          <w:p w14:paraId="5018EB2A" w14:textId="181305BF"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b/>
                <w:i/>
                <w:color w:val="000000"/>
                <w:sz w:val="20"/>
                <w:szCs w:val="20"/>
                <w:u w:val="single"/>
                <w:lang w:val="ro-MD"/>
              </w:rPr>
              <w:t>Scrisoare MJ din 01.5/5633 din 31.07.2020:</w:t>
            </w:r>
            <w:r w:rsidRPr="00B13B9A">
              <w:rPr>
                <w:rFonts w:asciiTheme="majorHAnsi" w:hAnsiTheme="majorHAnsi" w:cstheme="majorHAnsi"/>
                <w:color w:val="000000"/>
                <w:sz w:val="20"/>
                <w:szCs w:val="20"/>
                <w:lang w:val="ro-MD"/>
              </w:rPr>
              <w:t xml:space="preserve"> Procedura de inventariere se efectuează începând cu 1 noiembrie a fiecărui an, însă procedura de nimicire a medicamentelor este foarte anevoioasă. Direc</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ia medicală a Administra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iei Na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ionale a Penitenciarelor va întreprinde toate măsurile în vederea planificării, consumului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controlului medicamentelor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neadmiterea nimicirii lor. </w:t>
            </w:r>
          </w:p>
          <w:p w14:paraId="670280CC" w14:textId="67F6C606"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Direc</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ia medicală a Administra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iei Na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ionale a Penitenciarelor a estimat necesarul de medicamente antituberculoase de linia I de comun cu speciali</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tii Institu</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iei medico-sanitare publice, Institutului de ftiziopneumologie ,,Chiril Draganiuc"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remisă către Centrul de achizi</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 publice în sănătate.</w:t>
            </w:r>
          </w:p>
        </w:tc>
        <w:tc>
          <w:tcPr>
            <w:tcW w:w="2835" w:type="dxa"/>
            <w:shd w:val="clear" w:color="auto" w:fill="auto"/>
          </w:tcPr>
          <w:p w14:paraId="66140A71" w14:textId="49944354"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Direc</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ia medicală a Administra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iei Na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ionale a Penitenciarelor întreprinde toate măsurile în vederea planificării, consumului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controlului medicamentelor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neadmiterea nimicirii lor. </w:t>
            </w:r>
          </w:p>
          <w:p w14:paraId="29E18651" w14:textId="7823E19F" w:rsidR="00FD65B6" w:rsidRPr="00B13B9A" w:rsidRDefault="00FD65B6" w:rsidP="00332FF7">
            <w:pPr>
              <w:jc w:val="both"/>
              <w:rPr>
                <w:rFonts w:asciiTheme="majorHAnsi" w:hAnsiTheme="majorHAnsi" w:cstheme="majorHAnsi"/>
                <w:color w:val="000000" w:themeColor="text1"/>
                <w:sz w:val="20"/>
                <w:szCs w:val="20"/>
                <w:lang w:val="ro-MD"/>
              </w:rPr>
            </w:pPr>
            <w:r w:rsidRPr="00B13B9A">
              <w:rPr>
                <w:rFonts w:asciiTheme="majorHAnsi" w:hAnsiTheme="majorHAnsi" w:cstheme="majorHAnsi"/>
                <w:color w:val="000000"/>
                <w:sz w:val="20"/>
                <w:szCs w:val="20"/>
                <w:lang w:val="ro-MD"/>
              </w:rPr>
              <w:t>Direc</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ia medicală a Administra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iei Na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ionale a Penitenciarelor a estimat necesarul de medicamente antituberculoase de linia I de comun cu speciali</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tii Institu</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iei medico-sanitare publice, Institutul de ftiziopneumologie </w:t>
            </w:r>
            <w:r w:rsidR="00E92ECC" w:rsidRPr="00B13B9A">
              <w:rPr>
                <w:rFonts w:asciiTheme="majorHAnsi" w:hAnsiTheme="majorHAnsi" w:cstheme="majorHAnsi"/>
                <w:color w:val="000000"/>
                <w:sz w:val="20"/>
                <w:szCs w:val="20"/>
                <w:lang w:val="ro-MD"/>
              </w:rPr>
              <w:t>„</w:t>
            </w:r>
            <w:r w:rsidRPr="00B13B9A">
              <w:rPr>
                <w:rFonts w:asciiTheme="majorHAnsi" w:hAnsiTheme="majorHAnsi" w:cstheme="majorHAnsi"/>
                <w:color w:val="000000"/>
                <w:sz w:val="20"/>
                <w:szCs w:val="20"/>
                <w:lang w:val="ro-MD"/>
              </w:rPr>
              <w:t xml:space="preserve">Chiril Draganiuc"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remisă către Centrul de achizi</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 publice în sănătate</w:t>
            </w:r>
          </w:p>
        </w:tc>
        <w:tc>
          <w:tcPr>
            <w:tcW w:w="1344" w:type="dxa"/>
            <w:shd w:val="clear" w:color="auto" w:fill="auto"/>
          </w:tcPr>
          <w:p w14:paraId="4BEA8F2B" w14:textId="77777777" w:rsidR="00FD65B6" w:rsidRPr="00B13B9A" w:rsidRDefault="00FD65B6" w:rsidP="00332FF7">
            <w:pPr>
              <w:jc w:val="both"/>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B13B9A" w14:paraId="397DDB70" w14:textId="77777777" w:rsidTr="00332FF7">
        <w:trPr>
          <w:gridAfter w:val="1"/>
          <w:wAfter w:w="24" w:type="dxa"/>
        </w:trPr>
        <w:tc>
          <w:tcPr>
            <w:tcW w:w="576" w:type="dxa"/>
            <w:shd w:val="clear" w:color="auto" w:fill="auto"/>
          </w:tcPr>
          <w:p w14:paraId="441D1C44" w14:textId="77777777" w:rsidR="00FD65B6" w:rsidRPr="00B13B9A" w:rsidRDefault="00FD65B6" w:rsidP="00332FF7">
            <w:pPr>
              <w:jc w:val="center"/>
              <w:rPr>
                <w:rFonts w:asciiTheme="majorHAnsi" w:hAnsiTheme="majorHAnsi" w:cstheme="majorHAnsi"/>
                <w:b/>
                <w:i/>
                <w:color w:val="000000" w:themeColor="text1"/>
                <w:sz w:val="20"/>
                <w:szCs w:val="20"/>
                <w:lang w:val="ro-MD"/>
              </w:rPr>
            </w:pPr>
          </w:p>
        </w:tc>
        <w:tc>
          <w:tcPr>
            <w:tcW w:w="837" w:type="dxa"/>
            <w:shd w:val="clear" w:color="auto" w:fill="auto"/>
          </w:tcPr>
          <w:p w14:paraId="2BD237E5"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1.4</w:t>
            </w:r>
          </w:p>
        </w:tc>
        <w:tc>
          <w:tcPr>
            <w:tcW w:w="2977" w:type="dxa"/>
            <w:shd w:val="clear" w:color="auto" w:fill="auto"/>
          </w:tcPr>
          <w:p w14:paraId="3AB70D4E" w14:textId="072933A3" w:rsidR="00FD65B6" w:rsidRPr="00B13B9A" w:rsidRDefault="00FD65B6" w:rsidP="00332FF7">
            <w:pPr>
              <w:jc w:val="both"/>
              <w:rPr>
                <w:rFonts w:asciiTheme="majorHAnsi" w:hAnsiTheme="majorHAnsi" w:cstheme="majorHAnsi"/>
                <w:i/>
                <w:color w:val="000000" w:themeColor="text1"/>
                <w:sz w:val="20"/>
                <w:szCs w:val="20"/>
                <w:lang w:val="ro-MD"/>
              </w:rPr>
            </w:pPr>
            <w:r w:rsidRPr="00B13B9A">
              <w:rPr>
                <w:rFonts w:asciiTheme="majorHAnsi" w:hAnsiTheme="majorHAnsi" w:cstheme="majorHAnsi"/>
                <w:i/>
                <w:color w:val="000000" w:themeColor="text1"/>
                <w:sz w:val="20"/>
                <w:szCs w:val="20"/>
                <w:lang w:val="ro-MD"/>
              </w:rPr>
              <w:t>Condi</w:t>
            </w:r>
            <w:r w:rsidR="00B13B9A" w:rsidRPr="00B13B9A">
              <w:rPr>
                <w:rFonts w:asciiTheme="majorHAnsi" w:hAnsiTheme="majorHAnsi" w:cstheme="majorHAnsi"/>
                <w:i/>
                <w:color w:val="000000" w:themeColor="text1"/>
                <w:sz w:val="20"/>
                <w:szCs w:val="20"/>
                <w:lang w:val="ro-MD"/>
              </w:rPr>
              <w:t>ț</w:t>
            </w:r>
            <w:r w:rsidRPr="00B13B9A">
              <w:rPr>
                <w:rFonts w:asciiTheme="majorHAnsi" w:hAnsiTheme="majorHAnsi" w:cstheme="majorHAnsi"/>
                <w:i/>
                <w:color w:val="000000" w:themeColor="text1"/>
                <w:sz w:val="20"/>
                <w:szCs w:val="20"/>
                <w:lang w:val="ro-MD"/>
              </w:rPr>
              <w:t>iilor necesare în locurile de deten</w:t>
            </w:r>
            <w:r w:rsidR="00B13B9A" w:rsidRPr="00B13B9A">
              <w:rPr>
                <w:rFonts w:asciiTheme="majorHAnsi" w:hAnsiTheme="majorHAnsi" w:cstheme="majorHAnsi"/>
                <w:i/>
                <w:color w:val="000000" w:themeColor="text1"/>
                <w:sz w:val="20"/>
                <w:szCs w:val="20"/>
                <w:lang w:val="ro-MD"/>
              </w:rPr>
              <w:t>ț</w:t>
            </w:r>
            <w:r w:rsidRPr="00B13B9A">
              <w:rPr>
                <w:rFonts w:asciiTheme="majorHAnsi" w:hAnsiTheme="majorHAnsi" w:cstheme="majorHAnsi"/>
                <w:i/>
                <w:color w:val="000000" w:themeColor="text1"/>
                <w:sz w:val="20"/>
                <w:szCs w:val="20"/>
                <w:lang w:val="ro-MD"/>
              </w:rPr>
              <w:t>ie prin instalarea ventila</w:t>
            </w:r>
            <w:r w:rsidR="00B13B9A" w:rsidRPr="00B13B9A">
              <w:rPr>
                <w:rFonts w:asciiTheme="majorHAnsi" w:hAnsiTheme="majorHAnsi" w:cstheme="majorHAnsi"/>
                <w:i/>
                <w:color w:val="000000" w:themeColor="text1"/>
                <w:sz w:val="20"/>
                <w:szCs w:val="20"/>
                <w:lang w:val="ro-MD"/>
              </w:rPr>
              <w:t>ț</w:t>
            </w:r>
            <w:r w:rsidRPr="00B13B9A">
              <w:rPr>
                <w:rFonts w:asciiTheme="majorHAnsi" w:hAnsiTheme="majorHAnsi" w:cstheme="majorHAnsi"/>
                <w:i/>
                <w:color w:val="000000" w:themeColor="text1"/>
                <w:sz w:val="20"/>
                <w:szCs w:val="20"/>
                <w:lang w:val="ro-MD"/>
              </w:rPr>
              <w:t xml:space="preserve">iei mecanice </w:t>
            </w:r>
            <w:r w:rsidR="00B13B9A" w:rsidRPr="00B13B9A">
              <w:rPr>
                <w:rFonts w:asciiTheme="majorHAnsi" w:hAnsiTheme="majorHAnsi" w:cstheme="majorHAnsi"/>
                <w:i/>
                <w:color w:val="000000" w:themeColor="text1"/>
                <w:sz w:val="20"/>
                <w:szCs w:val="20"/>
                <w:lang w:val="ro-MD"/>
              </w:rPr>
              <w:t>ș</w:t>
            </w:r>
            <w:r w:rsidRPr="00B13B9A">
              <w:rPr>
                <w:rFonts w:asciiTheme="majorHAnsi" w:hAnsiTheme="majorHAnsi" w:cstheme="majorHAnsi"/>
                <w:i/>
                <w:color w:val="000000" w:themeColor="text1"/>
                <w:sz w:val="20"/>
                <w:szCs w:val="20"/>
                <w:lang w:val="ro-MD"/>
              </w:rPr>
              <w:t>i iradierea încăperilor cu raze ultraviolete germicide (pct.4.15.5.)</w:t>
            </w:r>
          </w:p>
        </w:tc>
        <w:tc>
          <w:tcPr>
            <w:tcW w:w="5670" w:type="dxa"/>
            <w:shd w:val="clear" w:color="auto" w:fill="auto"/>
          </w:tcPr>
          <w:p w14:paraId="1B863D42" w14:textId="771B06F5"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b/>
                <w:i/>
                <w:color w:val="000000"/>
                <w:sz w:val="20"/>
                <w:szCs w:val="20"/>
                <w:u w:val="single"/>
                <w:lang w:val="ro-MD"/>
              </w:rPr>
              <w:t>Scrisoare MJ din 01.5/5633 din 31.07.2020</w:t>
            </w:r>
            <w:r w:rsidRPr="00B13B9A">
              <w:rPr>
                <w:rFonts w:asciiTheme="majorHAnsi" w:hAnsiTheme="majorHAnsi" w:cstheme="majorHAnsi"/>
                <w:color w:val="000000"/>
                <w:sz w:val="20"/>
                <w:szCs w:val="20"/>
                <w:u w:val="single"/>
                <w:lang w:val="ro-MD"/>
              </w:rPr>
              <w:t>:</w:t>
            </w:r>
            <w:r w:rsidRPr="00B13B9A">
              <w:rPr>
                <w:rFonts w:asciiTheme="majorHAnsi" w:hAnsiTheme="majorHAnsi" w:cstheme="majorHAnsi"/>
                <w:color w:val="000000"/>
                <w:sz w:val="20"/>
                <w:szCs w:val="20"/>
                <w:lang w:val="ro-MD"/>
              </w:rPr>
              <w:t xml:space="preserve"> În anul 2019 s-a achizi</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ionat lămpile germicide sta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ionarei portative, cu înlăturarea tuturor neajunsurilor în sec</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iile ftiziologie nr.1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nr.2 ale Penitenciarului nr.16-Pruncul.</w:t>
            </w:r>
          </w:p>
          <w:p w14:paraId="07E8D13D" w14:textId="4EF9B3BE"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xml:space="preserve">Penitenciarului nr.16-Pruncul este în proces de identificare a unui agent economic pentru proiectarea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instalarea sistemului de ventilare în cadrul sec</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iilor ftiziologie.</w:t>
            </w:r>
          </w:p>
          <w:p w14:paraId="09AFD6D9" w14:textId="53E47041"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Situa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ia este supravegheată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pe măsura necesită</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ilor lămpile germicide vor fi suplinite.</w:t>
            </w:r>
          </w:p>
        </w:tc>
        <w:tc>
          <w:tcPr>
            <w:tcW w:w="2835" w:type="dxa"/>
            <w:shd w:val="clear" w:color="auto" w:fill="auto"/>
          </w:tcPr>
          <w:p w14:paraId="39D1F376" w14:textId="368CEB69"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Au fost achizi</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ionate lămpi germicide sta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ionare portative. Penitenciarul nr.16-Pruncul a instalat sistemul de ventilare în cadrul sec</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iilor ftiziologie.</w:t>
            </w:r>
          </w:p>
          <w:p w14:paraId="4675CB49" w14:textId="41EDDD34" w:rsidR="00FD65B6" w:rsidRPr="00B13B9A" w:rsidRDefault="00FD65B6" w:rsidP="00332FF7">
            <w:pPr>
              <w:jc w:val="both"/>
              <w:rPr>
                <w:rFonts w:asciiTheme="majorHAnsi" w:hAnsiTheme="majorHAnsi" w:cstheme="majorHAnsi"/>
                <w:color w:val="000000" w:themeColor="text1"/>
                <w:sz w:val="20"/>
                <w:szCs w:val="20"/>
                <w:lang w:val="ro-MD"/>
              </w:rPr>
            </w:pPr>
            <w:r w:rsidRPr="00B13B9A">
              <w:rPr>
                <w:rFonts w:asciiTheme="majorHAnsi" w:hAnsiTheme="majorHAnsi" w:cstheme="majorHAnsi"/>
                <w:color w:val="000000"/>
                <w:sz w:val="20"/>
                <w:szCs w:val="20"/>
                <w:lang w:val="ro-MD"/>
              </w:rPr>
              <w:t>Situa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ia este supravegheată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pe măsura necesită</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ilor lămpile germicide vor fi suplinite</w:t>
            </w:r>
          </w:p>
        </w:tc>
        <w:tc>
          <w:tcPr>
            <w:tcW w:w="1344" w:type="dxa"/>
            <w:shd w:val="clear" w:color="auto" w:fill="auto"/>
          </w:tcPr>
          <w:p w14:paraId="30048C0F" w14:textId="77777777" w:rsidR="00FD65B6" w:rsidRPr="00B13B9A" w:rsidRDefault="00FD65B6" w:rsidP="00332FF7">
            <w:pPr>
              <w:jc w:val="both"/>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B13B9A" w14:paraId="4F2311B2" w14:textId="77777777" w:rsidTr="00332FF7">
        <w:tc>
          <w:tcPr>
            <w:tcW w:w="14263" w:type="dxa"/>
            <w:gridSpan w:val="7"/>
            <w:shd w:val="clear" w:color="auto" w:fill="auto"/>
          </w:tcPr>
          <w:p w14:paraId="2C58362C" w14:textId="4602C410"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bCs/>
                <w:i/>
                <w:iCs/>
                <w:sz w:val="20"/>
                <w:szCs w:val="20"/>
                <w:lang w:val="ro-MD"/>
              </w:rPr>
              <w:t>Recomandare Companiei Na</w:t>
            </w:r>
            <w:r w:rsidR="00B13B9A" w:rsidRPr="00B13B9A">
              <w:rPr>
                <w:rFonts w:asciiTheme="majorHAnsi" w:hAnsiTheme="majorHAnsi" w:cstheme="majorHAnsi"/>
                <w:b/>
                <w:bCs/>
                <w:i/>
                <w:iCs/>
                <w:sz w:val="20"/>
                <w:szCs w:val="20"/>
                <w:lang w:val="ro-MD"/>
              </w:rPr>
              <w:t>ț</w:t>
            </w:r>
            <w:r w:rsidRPr="00B13B9A">
              <w:rPr>
                <w:rFonts w:asciiTheme="majorHAnsi" w:hAnsiTheme="majorHAnsi" w:cstheme="majorHAnsi"/>
                <w:b/>
                <w:bCs/>
                <w:i/>
                <w:iCs/>
                <w:sz w:val="20"/>
                <w:szCs w:val="20"/>
                <w:lang w:val="ro-MD"/>
              </w:rPr>
              <w:t>ionale de Asigurări în Medicină</w:t>
            </w:r>
          </w:p>
        </w:tc>
      </w:tr>
      <w:tr w:rsidR="00FD65B6" w:rsidRPr="00B13B9A" w14:paraId="13B623B0" w14:textId="77777777" w:rsidTr="00332FF7">
        <w:trPr>
          <w:gridAfter w:val="1"/>
          <w:wAfter w:w="24" w:type="dxa"/>
        </w:trPr>
        <w:tc>
          <w:tcPr>
            <w:tcW w:w="576" w:type="dxa"/>
            <w:shd w:val="clear" w:color="auto" w:fill="auto"/>
          </w:tcPr>
          <w:p w14:paraId="0F6AC018"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3</w:t>
            </w:r>
          </w:p>
        </w:tc>
        <w:tc>
          <w:tcPr>
            <w:tcW w:w="837" w:type="dxa"/>
            <w:shd w:val="clear" w:color="auto" w:fill="auto"/>
          </w:tcPr>
          <w:p w14:paraId="0D5817D0"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3</w:t>
            </w:r>
          </w:p>
        </w:tc>
        <w:tc>
          <w:tcPr>
            <w:tcW w:w="2977" w:type="dxa"/>
            <w:shd w:val="clear" w:color="auto" w:fill="auto"/>
          </w:tcPr>
          <w:p w14:paraId="079637CB" w14:textId="73879E83" w:rsidR="00FD65B6" w:rsidRPr="00B13B9A" w:rsidRDefault="00FD65B6" w:rsidP="00332FF7">
            <w:pPr>
              <w:jc w:val="both"/>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 xml:space="preserve">Să evalueze corectitudinea calculării, eliberării </w:t>
            </w:r>
            <w:r w:rsidR="00B13B9A" w:rsidRPr="00B13B9A">
              <w:rPr>
                <w:rFonts w:asciiTheme="majorHAnsi" w:hAnsiTheme="majorHAnsi" w:cstheme="majorHAnsi"/>
                <w:color w:val="000000" w:themeColor="text1"/>
                <w:sz w:val="20"/>
                <w:szCs w:val="20"/>
                <w:lang w:val="ro-MD"/>
              </w:rPr>
              <w:t>ș</w:t>
            </w:r>
            <w:r w:rsidRPr="00B13B9A">
              <w:rPr>
                <w:rFonts w:asciiTheme="majorHAnsi" w:hAnsiTheme="majorHAnsi" w:cstheme="majorHAnsi"/>
                <w:color w:val="000000" w:themeColor="text1"/>
                <w:sz w:val="20"/>
                <w:szCs w:val="20"/>
                <w:lang w:val="ro-MD"/>
              </w:rPr>
              <w:t xml:space="preserve">i raportării cheltuielilor pentru suportul alimentar </w:t>
            </w:r>
            <w:r w:rsidR="00B13B9A" w:rsidRPr="00B13B9A">
              <w:rPr>
                <w:rFonts w:asciiTheme="majorHAnsi" w:hAnsiTheme="majorHAnsi" w:cstheme="majorHAnsi"/>
                <w:color w:val="000000" w:themeColor="text1"/>
                <w:sz w:val="20"/>
                <w:szCs w:val="20"/>
                <w:lang w:val="ro-MD"/>
              </w:rPr>
              <w:t>ș</w:t>
            </w:r>
            <w:r w:rsidRPr="00B13B9A">
              <w:rPr>
                <w:rFonts w:asciiTheme="majorHAnsi" w:hAnsiTheme="majorHAnsi" w:cstheme="majorHAnsi"/>
                <w:color w:val="000000" w:themeColor="text1"/>
                <w:sz w:val="20"/>
                <w:szCs w:val="20"/>
                <w:lang w:val="ro-MD"/>
              </w:rPr>
              <w:t>i de transport (pct. 4.9., pct. 4.11.)</w:t>
            </w:r>
          </w:p>
        </w:tc>
        <w:tc>
          <w:tcPr>
            <w:tcW w:w="5670" w:type="dxa"/>
            <w:shd w:val="clear" w:color="auto" w:fill="auto"/>
          </w:tcPr>
          <w:p w14:paraId="46D71801" w14:textId="579CCB99"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b/>
                <w:i/>
                <w:color w:val="000000"/>
                <w:sz w:val="20"/>
                <w:szCs w:val="20"/>
                <w:u w:val="single"/>
                <w:lang w:val="ro-MD"/>
              </w:rPr>
              <w:t>Scrisoare CNAM nr.01-08/1383 din 31.07.2020:</w:t>
            </w:r>
            <w:r w:rsidRPr="00B13B9A">
              <w:rPr>
                <w:rFonts w:asciiTheme="majorHAnsi" w:hAnsiTheme="majorHAnsi" w:cstheme="majorHAnsi"/>
                <w:color w:val="000000"/>
                <w:sz w:val="20"/>
                <w:szCs w:val="20"/>
                <w:lang w:val="ro-MD"/>
              </w:rPr>
              <w:t xml:space="preserve"> Conform Regulamentului cu privire la unele interven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 de cre</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tere a aderen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ei la tratamentul antituberculos în condi</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ii de ambulator, aprobat prin Ordinul comun al MSMPS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CNAM nr.99/52A din 15 februarie 2020 ,,Cu privire la unele interven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 de cre</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tere a aderen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ei la tratamentul antituberculos în condi</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ii de ambulatoriu", CNAM este obligată să asigure cheltuielile legate de tichetele alimentare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rambursarea cheltuielilor de transport public (tur-retur) pentru pacien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 suportate de către institu</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iile medico-sanitare contractate pentru prestarea asisten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ei medicale specializate de ambulator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asisten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ei medicale primare în cadrul AOAM, în limita surselor financiare destinate în acest scop.</w:t>
            </w:r>
            <w:r w:rsidR="00332FF7">
              <w:rPr>
                <w:rFonts w:asciiTheme="majorHAnsi" w:hAnsiTheme="majorHAnsi" w:cstheme="majorHAnsi"/>
                <w:color w:val="000000"/>
                <w:sz w:val="20"/>
                <w:szCs w:val="20"/>
                <w:lang w:val="ro-MD"/>
              </w:rPr>
              <w:t xml:space="preserve"> </w:t>
            </w:r>
            <w:r w:rsidRPr="00B13B9A">
              <w:rPr>
                <w:rFonts w:asciiTheme="majorHAnsi" w:hAnsiTheme="majorHAnsi" w:cstheme="majorHAnsi"/>
                <w:color w:val="000000"/>
                <w:sz w:val="20"/>
                <w:szCs w:val="20"/>
                <w:lang w:val="ro-MD"/>
              </w:rPr>
              <w:t xml:space="preserve">Totodată, CNAM este responsabilă de controlul corectitudinii eliberării tichetelor alimentare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sumelor rambursate pentru cheltuielile de transport în conformitate cu Regulamentul prenotat.</w:t>
            </w:r>
          </w:p>
          <w:p w14:paraId="44C0C7B6" w14:textId="2EB7BAE0"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xml:space="preserve">CNAM a evaluat, în anul 2019, volumul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calitatea serviciilor medicale prestate persoanelor cu tuberculoză în 15 institu</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 medico-sanitare prestatoare de asisten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ă medicală specializată de ambulatoriu.</w:t>
            </w:r>
          </w:p>
          <w:p w14:paraId="32BA79CB" w14:textId="05288072"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Evaluarea procesului de organizare a tratamentului în condi</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 de ambulatoriu a pacien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ilor cu tuberculoză se efectuează în conformitate cu actele normative în vigoare, care prevăd:</w:t>
            </w:r>
          </w:p>
          <w:p w14:paraId="36DF3112" w14:textId="524B2F05"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prestarea serviciilor în volumul prevăzut de Programul unic al asigurării obligatorii de asisten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ă medicală;</w:t>
            </w:r>
          </w:p>
          <w:p w14:paraId="2B6A4E97" w14:textId="26DA546D"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respectarea de către medicii speciali</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ti de profil a Protocoalelor Clinice Na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ionale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Standardelor medicale de diagnostic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tratament;</w:t>
            </w:r>
          </w:p>
          <w:p w14:paraId="2855C289" w14:textId="77777777"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administrarea preparatelor medicamentoase sub supravegherea medicului;</w:t>
            </w:r>
          </w:p>
          <w:p w14:paraId="7D14C6C6" w14:textId="227B96E7"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procurarea tichetelor alimentare în conformitate cu prevederile Legii privind achizi</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iile publice;</w:t>
            </w:r>
          </w:p>
          <w:p w14:paraId="211AA54C" w14:textId="77777777"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corespunderea Listei produselor alimentare recomandate pacientului cu tuberculoză în conformitate cu prevederile actelor normative în vigoare;</w:t>
            </w:r>
          </w:p>
          <w:p w14:paraId="164428C2" w14:textId="77777777"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eliberarea tichetelor alimentare confirmată prin semnătura pacientului;</w:t>
            </w:r>
          </w:p>
          <w:p w14:paraId="4FDC4D47" w14:textId="55DE6AD8"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xml:space="preserve">- corespunderea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confirmarea documentară a cheltuielilor de transport;</w:t>
            </w:r>
          </w:p>
          <w:p w14:paraId="518D7C7A" w14:textId="528EE02B"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gestionarea eficientă de către institu</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iile medicale a mijloacelor financiare provenite din fondurile asigurării obligatorii de asisten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ă medicală.</w:t>
            </w:r>
          </w:p>
          <w:p w14:paraId="3BED2C70" w14:textId="6DF94B5B"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Astfel, în rezultatul evaluărilor efectuate în cadrul serviciului ftiziopneumologic, la nivel de asisten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ă medicală specializată de ambulatoriu, în institu</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iile medicale nu au fost identificate încălcări ale cadrului normativ.</w:t>
            </w:r>
          </w:p>
        </w:tc>
        <w:tc>
          <w:tcPr>
            <w:tcW w:w="2835" w:type="dxa"/>
            <w:shd w:val="clear" w:color="auto" w:fill="auto"/>
          </w:tcPr>
          <w:p w14:paraId="14CE8F8B" w14:textId="7D38F5A9"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xml:space="preserve">CNAM a evaluat volumul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calitatea serviciilor medicale prestate persoanelor cu tuberculoză în </w:t>
            </w:r>
            <w:r w:rsidRPr="00B13B9A">
              <w:rPr>
                <w:rFonts w:asciiTheme="majorHAnsi" w:hAnsiTheme="majorHAnsi" w:cstheme="majorHAnsi"/>
                <w:i/>
                <w:color w:val="000000"/>
                <w:sz w:val="20"/>
                <w:szCs w:val="20"/>
                <w:lang w:val="ro-MD"/>
              </w:rPr>
              <w:t>15 institu</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ii medico-sanitare prestatoare de asisten</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ă medicală specializată de ambulatoriu</w:t>
            </w:r>
          </w:p>
          <w:p w14:paraId="53658C94" w14:textId="77777777" w:rsidR="00FD65B6" w:rsidRPr="00B13B9A" w:rsidRDefault="00FD65B6" w:rsidP="00332FF7">
            <w:pPr>
              <w:jc w:val="both"/>
              <w:rPr>
                <w:rFonts w:asciiTheme="majorHAnsi" w:hAnsiTheme="majorHAnsi" w:cstheme="majorHAnsi"/>
                <w:color w:val="000000" w:themeColor="text1"/>
                <w:sz w:val="20"/>
                <w:szCs w:val="20"/>
                <w:lang w:val="ro-MD"/>
              </w:rPr>
            </w:pPr>
          </w:p>
        </w:tc>
        <w:tc>
          <w:tcPr>
            <w:tcW w:w="1344" w:type="dxa"/>
            <w:shd w:val="clear" w:color="auto" w:fill="auto"/>
          </w:tcPr>
          <w:p w14:paraId="79CEF5BC" w14:textId="77777777" w:rsidR="00FD65B6" w:rsidRPr="00B13B9A" w:rsidRDefault="00FD65B6" w:rsidP="00332FF7">
            <w:pP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B13B9A" w14:paraId="63F7CA68" w14:textId="77777777" w:rsidTr="00332FF7">
        <w:trPr>
          <w:gridAfter w:val="1"/>
          <w:wAfter w:w="24" w:type="dxa"/>
        </w:trPr>
        <w:tc>
          <w:tcPr>
            <w:tcW w:w="576" w:type="dxa"/>
            <w:shd w:val="clear" w:color="auto" w:fill="auto"/>
          </w:tcPr>
          <w:p w14:paraId="4D83CA1D" w14:textId="77777777" w:rsidR="00FD65B6" w:rsidRPr="00B13B9A" w:rsidRDefault="00FD65B6" w:rsidP="00332FF7">
            <w:pPr>
              <w:jc w:val="center"/>
              <w:rPr>
                <w:rFonts w:asciiTheme="majorHAnsi" w:hAnsiTheme="majorHAnsi" w:cstheme="majorHAnsi"/>
                <w:b/>
                <w:i/>
                <w:color w:val="000000" w:themeColor="text1"/>
                <w:sz w:val="20"/>
                <w:szCs w:val="20"/>
                <w:lang w:val="ro-MD"/>
              </w:rPr>
            </w:pPr>
          </w:p>
        </w:tc>
        <w:tc>
          <w:tcPr>
            <w:tcW w:w="837" w:type="dxa"/>
            <w:shd w:val="clear" w:color="auto" w:fill="auto"/>
          </w:tcPr>
          <w:p w14:paraId="53ED96B2"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4</w:t>
            </w:r>
          </w:p>
        </w:tc>
        <w:tc>
          <w:tcPr>
            <w:tcW w:w="2977" w:type="dxa"/>
            <w:shd w:val="clear" w:color="auto" w:fill="auto"/>
          </w:tcPr>
          <w:p w14:paraId="5CBB1489" w14:textId="2CC29DE9"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xml:space="preserve">Să asigure reglementarea procesului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a responsabilită</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ilor delegate privind eviden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a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raportarea cheltuielilor pentru tichetele alimentare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compensarea cheltuielilor pentru transport (pct.4.10.)</w:t>
            </w:r>
          </w:p>
        </w:tc>
        <w:tc>
          <w:tcPr>
            <w:tcW w:w="5670" w:type="dxa"/>
            <w:shd w:val="clear" w:color="auto" w:fill="auto"/>
          </w:tcPr>
          <w:p w14:paraId="100FBEDD" w14:textId="5A1B1AB9"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b/>
                <w:i/>
                <w:color w:val="000000"/>
                <w:sz w:val="20"/>
                <w:szCs w:val="20"/>
                <w:u w:val="single"/>
                <w:lang w:val="ro-MD"/>
              </w:rPr>
              <w:t>Scrisoare CNAM nr.01-08/1383 din 31.07.2020</w:t>
            </w:r>
            <w:r w:rsidRPr="00B13B9A">
              <w:rPr>
                <w:rFonts w:asciiTheme="majorHAnsi" w:hAnsiTheme="majorHAnsi" w:cstheme="majorHAnsi"/>
                <w:color w:val="000000"/>
                <w:sz w:val="20"/>
                <w:szCs w:val="20"/>
                <w:lang w:val="ro-MD"/>
              </w:rPr>
              <w:t xml:space="preserve">: Prin Ordinul comun al MSMPS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CNAM nr.90/16-A din 28.01.2020 ,,Cu privire la modificarea Ordinului MS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CNAM ,,Cu privire la aprobarea formularelor de eviden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ă medicală primară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dărilor de seamă în cadrul asigurării obligatorii de asisten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ă medicală"" a fost aprobat Formularul nr.1-29/d ,,Darea de seamă despre acoperirea cheltuielilor pentru alimenta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transport public de la/la domiciliu pentru tratamentul în condi</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ii de ambulatoriu a persoanelor bolnave de tuberculoză (caz nou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readmis).</w:t>
            </w:r>
          </w:p>
          <w:p w14:paraId="4719D7C3" w14:textId="67C3910D" w:rsidR="00FD65B6" w:rsidRPr="00B13B9A" w:rsidRDefault="00FD65B6" w:rsidP="00332FF7">
            <w:pPr>
              <w:jc w:val="both"/>
              <w:rPr>
                <w:rFonts w:asciiTheme="majorHAnsi" w:hAnsiTheme="majorHAnsi" w:cstheme="majorHAnsi"/>
                <w:color w:val="000000"/>
                <w:sz w:val="20"/>
                <w:szCs w:val="20"/>
                <w:u w:val="single"/>
                <w:lang w:val="ro-MD"/>
              </w:rPr>
            </w:pPr>
            <w:r w:rsidRPr="00B13B9A">
              <w:rPr>
                <w:rFonts w:asciiTheme="majorHAnsi" w:hAnsiTheme="majorHAnsi" w:cstheme="majorHAnsi"/>
                <w:color w:val="000000"/>
                <w:sz w:val="20"/>
                <w:szCs w:val="20"/>
                <w:lang w:val="ro-MD"/>
              </w:rPr>
              <w:t>Totodată, Formularul sus men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ionat con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ine eviden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a personificată a cheltuielilor pentru alimenta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transport public.</w:t>
            </w:r>
          </w:p>
        </w:tc>
        <w:tc>
          <w:tcPr>
            <w:tcW w:w="2835" w:type="dxa"/>
            <w:shd w:val="clear" w:color="auto" w:fill="auto"/>
          </w:tcPr>
          <w:p w14:paraId="45772583" w14:textId="01BC6CEE"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xml:space="preserve">Prin Ordinul comun al MSMPS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CNAM nr.90/16-A din 28.01.2020</w:t>
            </w:r>
            <w:r w:rsidR="00E92ECC" w:rsidRPr="00B13B9A">
              <w:rPr>
                <w:rFonts w:asciiTheme="majorHAnsi" w:hAnsiTheme="majorHAnsi" w:cstheme="majorHAnsi"/>
                <w:color w:val="000000"/>
                <w:sz w:val="20"/>
                <w:szCs w:val="20"/>
                <w:lang w:val="ro-MD"/>
              </w:rPr>
              <w:t>,</w:t>
            </w:r>
            <w:r w:rsidRPr="00B13B9A">
              <w:rPr>
                <w:rFonts w:asciiTheme="majorHAnsi" w:hAnsiTheme="majorHAnsi" w:cstheme="majorHAnsi"/>
                <w:color w:val="000000"/>
                <w:sz w:val="20"/>
                <w:szCs w:val="20"/>
                <w:lang w:val="ro-MD"/>
              </w:rPr>
              <w:t xml:space="preserve"> a fost aprobat Formularul nr.1-29/d ,,Darea de seamă despre acoperirea cheltuielilor pentru alimenta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transport public de la/la domiciliu pentru tratamentul în condi</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 de ambulatoriu a persoanelor bolnave de tuberculoză</w:t>
            </w:r>
            <w:r w:rsidR="00E92ECC" w:rsidRPr="00B13B9A">
              <w:rPr>
                <w:rFonts w:asciiTheme="majorHAnsi" w:hAnsiTheme="majorHAnsi" w:cstheme="majorHAnsi"/>
                <w:color w:val="000000"/>
                <w:sz w:val="20"/>
                <w:szCs w:val="20"/>
                <w:lang w:val="ro-MD"/>
              </w:rPr>
              <w:t>”</w:t>
            </w:r>
            <w:r w:rsidRPr="00B13B9A">
              <w:rPr>
                <w:rFonts w:asciiTheme="majorHAnsi" w:hAnsiTheme="majorHAnsi" w:cstheme="majorHAnsi"/>
                <w:color w:val="000000"/>
                <w:sz w:val="20"/>
                <w:szCs w:val="20"/>
                <w:lang w:val="ro-MD"/>
              </w:rPr>
              <w:t>. Acest formular con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ine eviden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a personificată a cheltuielilor pentru alimenta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transport public </w:t>
            </w:r>
          </w:p>
        </w:tc>
        <w:tc>
          <w:tcPr>
            <w:tcW w:w="1344" w:type="dxa"/>
            <w:shd w:val="clear" w:color="auto" w:fill="auto"/>
          </w:tcPr>
          <w:p w14:paraId="06E6EBFC" w14:textId="77777777" w:rsidR="00FD65B6" w:rsidRPr="00B13B9A" w:rsidRDefault="00FD65B6" w:rsidP="00332FF7">
            <w:pP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1924A7" w14:paraId="5445E888" w14:textId="77777777" w:rsidTr="00332FF7">
        <w:tc>
          <w:tcPr>
            <w:tcW w:w="14263" w:type="dxa"/>
            <w:gridSpan w:val="7"/>
            <w:shd w:val="clear" w:color="auto" w:fill="auto"/>
          </w:tcPr>
          <w:p w14:paraId="341CE9E6" w14:textId="369959B9"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Maternită</w:t>
            </w:r>
            <w:r w:rsidR="00B13B9A" w:rsidRPr="00B13B9A">
              <w:rPr>
                <w:rFonts w:asciiTheme="majorHAnsi" w:hAnsiTheme="majorHAnsi" w:cstheme="majorHAnsi"/>
                <w:b/>
                <w:i/>
                <w:color w:val="000000" w:themeColor="text1"/>
                <w:sz w:val="20"/>
                <w:szCs w:val="20"/>
                <w:lang w:val="ro-MD"/>
              </w:rPr>
              <w:t>ț</w:t>
            </w:r>
            <w:r w:rsidRPr="00B13B9A">
              <w:rPr>
                <w:rFonts w:asciiTheme="majorHAnsi" w:hAnsiTheme="majorHAnsi" w:cstheme="majorHAnsi"/>
                <w:b/>
                <w:i/>
                <w:color w:val="000000" w:themeColor="text1"/>
                <w:sz w:val="20"/>
                <w:szCs w:val="20"/>
                <w:lang w:val="ro-MD"/>
              </w:rPr>
              <w:t>ii Municipale nr.2, Chi</w:t>
            </w:r>
            <w:r w:rsidR="00B13B9A" w:rsidRPr="00B13B9A">
              <w:rPr>
                <w:rFonts w:asciiTheme="majorHAnsi" w:hAnsiTheme="majorHAnsi" w:cstheme="majorHAnsi"/>
                <w:b/>
                <w:i/>
                <w:color w:val="000000" w:themeColor="text1"/>
                <w:sz w:val="20"/>
                <w:szCs w:val="20"/>
                <w:lang w:val="ro-MD"/>
              </w:rPr>
              <w:t>ș</w:t>
            </w:r>
            <w:r w:rsidRPr="00B13B9A">
              <w:rPr>
                <w:rFonts w:asciiTheme="majorHAnsi" w:hAnsiTheme="majorHAnsi" w:cstheme="majorHAnsi"/>
                <w:b/>
                <w:i/>
                <w:color w:val="000000" w:themeColor="text1"/>
                <w:sz w:val="20"/>
                <w:szCs w:val="20"/>
                <w:lang w:val="ro-MD"/>
              </w:rPr>
              <w:t>inău</w:t>
            </w:r>
          </w:p>
        </w:tc>
      </w:tr>
      <w:tr w:rsidR="00FD65B6" w:rsidRPr="00B13B9A" w14:paraId="7BE297EA" w14:textId="77777777" w:rsidTr="00332FF7">
        <w:trPr>
          <w:gridAfter w:val="1"/>
          <w:wAfter w:w="24" w:type="dxa"/>
        </w:trPr>
        <w:tc>
          <w:tcPr>
            <w:tcW w:w="576" w:type="dxa"/>
            <w:shd w:val="clear" w:color="auto" w:fill="auto"/>
          </w:tcPr>
          <w:p w14:paraId="18F68A4B"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4</w:t>
            </w:r>
          </w:p>
        </w:tc>
        <w:tc>
          <w:tcPr>
            <w:tcW w:w="837" w:type="dxa"/>
            <w:shd w:val="clear" w:color="auto" w:fill="auto"/>
          </w:tcPr>
          <w:p w14:paraId="45240D67"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6</w:t>
            </w:r>
          </w:p>
        </w:tc>
        <w:tc>
          <w:tcPr>
            <w:tcW w:w="2977" w:type="dxa"/>
            <w:shd w:val="clear" w:color="auto" w:fill="auto"/>
          </w:tcPr>
          <w:p w14:paraId="1322FE10" w14:textId="72DA1FEF"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xml:space="preserve">Să asigure planificarea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administrarea vaccinului BCG, în scopul diminuării indicatorului de pierderi (pct.4.12.)</w:t>
            </w:r>
          </w:p>
        </w:tc>
        <w:tc>
          <w:tcPr>
            <w:tcW w:w="5670" w:type="dxa"/>
            <w:shd w:val="clear" w:color="auto" w:fill="auto"/>
          </w:tcPr>
          <w:p w14:paraId="407976E4" w14:textId="5A72EC69"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b/>
                <w:i/>
                <w:color w:val="000000"/>
                <w:sz w:val="20"/>
                <w:szCs w:val="20"/>
                <w:u w:val="single"/>
                <w:lang w:val="ro-MD"/>
              </w:rPr>
              <w:t>Prin scrisoarea nr.177 din 29.11.2023</w:t>
            </w:r>
            <w:r w:rsidRPr="00B13B9A">
              <w:rPr>
                <w:rFonts w:asciiTheme="majorHAnsi" w:hAnsiTheme="majorHAnsi" w:cstheme="majorHAnsi"/>
                <w:color w:val="000000"/>
                <w:sz w:val="20"/>
                <w:szCs w:val="20"/>
                <w:lang w:val="ro-MD"/>
              </w:rPr>
              <w:t xml:space="preserve"> IMSP Maternitatea Municipală nr.2 informează că, în perioada când se atestă un număr mic de na</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teri în institu</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ie, pentru a eficientiza stocurile de vaccin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a asigura planificarea corectă, precum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a diminua pierderile de vaccin, în caz de externare din maternitate a nou-născutului fără vaccinarea BCG, mamele sunt informate despre necesitatea de a reveni în maternitate la data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ora programată pentru a efectua vaccinarea respectivă. Informa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ia este înregistrată în documenta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ia medicală primară din sta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ionar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confirmată prin semnătura mamei. </w:t>
            </w:r>
          </w:p>
        </w:tc>
        <w:tc>
          <w:tcPr>
            <w:tcW w:w="2835" w:type="dxa"/>
            <w:shd w:val="clear" w:color="auto" w:fill="auto"/>
          </w:tcPr>
          <w:p w14:paraId="0ED2E2D2" w14:textId="5AA3CAE0"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În scopul diminuării indicatorului de pierderi</w:t>
            </w:r>
            <w:r w:rsidR="00E92ECC" w:rsidRPr="00B13B9A">
              <w:rPr>
                <w:rFonts w:asciiTheme="majorHAnsi" w:hAnsiTheme="majorHAnsi" w:cstheme="majorHAnsi"/>
                <w:color w:val="000000"/>
                <w:sz w:val="20"/>
                <w:szCs w:val="20"/>
                <w:lang w:val="ro-MD"/>
              </w:rPr>
              <w:t>,</w:t>
            </w:r>
            <w:r w:rsidRPr="00B13B9A">
              <w:rPr>
                <w:rFonts w:asciiTheme="majorHAnsi" w:hAnsiTheme="majorHAnsi" w:cstheme="majorHAnsi"/>
                <w:color w:val="000000"/>
                <w:sz w:val="20"/>
                <w:szCs w:val="20"/>
                <w:lang w:val="ro-MD"/>
              </w:rPr>
              <w:t xml:space="preserve"> IMSP Maternitatea Municipală nr.2 a asigurat planificarea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administrarea vaccinului BCG </w:t>
            </w:r>
          </w:p>
        </w:tc>
        <w:tc>
          <w:tcPr>
            <w:tcW w:w="1344" w:type="dxa"/>
            <w:shd w:val="clear" w:color="auto" w:fill="auto"/>
          </w:tcPr>
          <w:p w14:paraId="4B544B89" w14:textId="77777777" w:rsidR="00FD65B6" w:rsidRPr="00B13B9A" w:rsidRDefault="00FD65B6" w:rsidP="00332FF7">
            <w:pP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1924A7" w14:paraId="53D3D831" w14:textId="77777777" w:rsidTr="00332FF7">
        <w:trPr>
          <w:trHeight w:val="161"/>
        </w:trPr>
        <w:tc>
          <w:tcPr>
            <w:tcW w:w="14263" w:type="dxa"/>
            <w:gridSpan w:val="7"/>
            <w:shd w:val="clear" w:color="auto" w:fill="auto"/>
          </w:tcPr>
          <w:p w14:paraId="3EEAE159" w14:textId="2DBD2F91"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Spitalului Clinic Municipal nr.1, Chi</w:t>
            </w:r>
            <w:r w:rsidR="00B13B9A" w:rsidRPr="00B13B9A">
              <w:rPr>
                <w:rFonts w:asciiTheme="majorHAnsi" w:hAnsiTheme="majorHAnsi" w:cstheme="majorHAnsi"/>
                <w:b/>
                <w:i/>
                <w:color w:val="000000" w:themeColor="text1"/>
                <w:sz w:val="20"/>
                <w:szCs w:val="20"/>
                <w:lang w:val="ro-MD"/>
              </w:rPr>
              <w:t>ș</w:t>
            </w:r>
            <w:r w:rsidRPr="00B13B9A">
              <w:rPr>
                <w:rFonts w:asciiTheme="majorHAnsi" w:hAnsiTheme="majorHAnsi" w:cstheme="majorHAnsi"/>
                <w:b/>
                <w:i/>
                <w:color w:val="000000" w:themeColor="text1"/>
                <w:sz w:val="20"/>
                <w:szCs w:val="20"/>
                <w:lang w:val="ro-MD"/>
              </w:rPr>
              <w:t>inău</w:t>
            </w:r>
          </w:p>
        </w:tc>
      </w:tr>
      <w:tr w:rsidR="00FD65B6" w:rsidRPr="00B13B9A" w14:paraId="21FCE271" w14:textId="77777777" w:rsidTr="00332FF7">
        <w:trPr>
          <w:gridAfter w:val="1"/>
          <w:wAfter w:w="24" w:type="dxa"/>
        </w:trPr>
        <w:tc>
          <w:tcPr>
            <w:tcW w:w="576" w:type="dxa"/>
            <w:shd w:val="clear" w:color="auto" w:fill="auto"/>
          </w:tcPr>
          <w:p w14:paraId="0119A6DF"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5</w:t>
            </w:r>
          </w:p>
        </w:tc>
        <w:tc>
          <w:tcPr>
            <w:tcW w:w="837" w:type="dxa"/>
            <w:shd w:val="clear" w:color="auto" w:fill="auto"/>
          </w:tcPr>
          <w:p w14:paraId="50236F09"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 xml:space="preserve">6 </w:t>
            </w:r>
          </w:p>
        </w:tc>
        <w:tc>
          <w:tcPr>
            <w:tcW w:w="2977" w:type="dxa"/>
            <w:shd w:val="clear" w:color="auto" w:fill="auto"/>
          </w:tcPr>
          <w:p w14:paraId="7A6784AF" w14:textId="39FFFD03"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xml:space="preserve">Să asigure planificarea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administrarea vaccinului BCG, în scopul diminuării indicatorului de pierderi (pct.4.12.)</w:t>
            </w:r>
          </w:p>
        </w:tc>
        <w:tc>
          <w:tcPr>
            <w:tcW w:w="5670" w:type="dxa"/>
            <w:shd w:val="clear" w:color="auto" w:fill="auto"/>
          </w:tcPr>
          <w:p w14:paraId="705A1FC3" w14:textId="4CD9AF08"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b/>
                <w:i/>
                <w:color w:val="000000"/>
                <w:sz w:val="20"/>
                <w:szCs w:val="20"/>
                <w:lang w:val="ro-MD"/>
              </w:rPr>
              <w:t>Prin scrisoarea nr.05-4/1196 din 30.11.2023</w:t>
            </w:r>
            <w:r w:rsidRPr="00B13B9A">
              <w:rPr>
                <w:rFonts w:asciiTheme="majorHAnsi" w:hAnsiTheme="majorHAnsi" w:cstheme="majorHAnsi"/>
                <w:color w:val="000000"/>
                <w:sz w:val="20"/>
                <w:szCs w:val="20"/>
                <w:lang w:val="ro-MD"/>
              </w:rPr>
              <w:t xml:space="preserve"> administra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ia IMSP SCM ”Gheorghe Paladi” a prezentat informa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iile cu referire la măsurile întreprinse privind realizarea recomandării înaintate. Astfel, au fost organizate seminare de instruire a asistentelor din cabinetele de vaccinări în cadrul căruia au fost familiarizate cu principiile de vaccinare BCG, planificarea corectă a dozelor de vaccinare, modalitatea de administrare a vaccinurilor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evenimentele adverse post imunizare care pot apărea. Personalul a fost evaluat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atestate prin oferirea certificatelor ce permit activitatea de imunizare BCG. Pe parcursul anilor 2020-2022 rata de acoperire vaccinală cu vaccin BCG a constituit circa 93,5%. S-a redus factorul de pierdere a vaccinului BCG de la 2 la 1,7 – 1,8 ceea ce se încadrează în limitele normei. </w:t>
            </w:r>
          </w:p>
        </w:tc>
        <w:tc>
          <w:tcPr>
            <w:tcW w:w="2835" w:type="dxa"/>
            <w:shd w:val="clear" w:color="auto" w:fill="auto"/>
          </w:tcPr>
          <w:p w14:paraId="4C817526" w14:textId="1E40B535"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Au fost efectuate seminare de instruire a asistentelor din cabinetele de vaccinări. Pe parcursul anilor 2020-2022 rata de acoperire vaccinală cu vaccin BCG a constituit circa 93,5%. S-a redus factorul de pierdere a vaccinului BCG de la 2 la 1,7 – 1,8</w:t>
            </w:r>
            <w:r w:rsidR="00E92ECC" w:rsidRPr="00B13B9A">
              <w:rPr>
                <w:rFonts w:asciiTheme="majorHAnsi" w:hAnsiTheme="majorHAnsi" w:cstheme="majorHAnsi"/>
                <w:color w:val="000000"/>
                <w:sz w:val="20"/>
                <w:szCs w:val="20"/>
                <w:lang w:val="ro-MD"/>
              </w:rPr>
              <w:t>,</w:t>
            </w:r>
            <w:r w:rsidRPr="00B13B9A">
              <w:rPr>
                <w:rFonts w:asciiTheme="majorHAnsi" w:hAnsiTheme="majorHAnsi" w:cstheme="majorHAnsi"/>
                <w:color w:val="000000"/>
                <w:sz w:val="20"/>
                <w:szCs w:val="20"/>
                <w:lang w:val="ro-MD"/>
              </w:rPr>
              <w:t xml:space="preserve"> ceea ce se încadrează în limitele normei</w:t>
            </w:r>
          </w:p>
        </w:tc>
        <w:tc>
          <w:tcPr>
            <w:tcW w:w="1344" w:type="dxa"/>
            <w:shd w:val="clear" w:color="auto" w:fill="auto"/>
          </w:tcPr>
          <w:p w14:paraId="1D780FA5" w14:textId="77777777" w:rsidR="00FD65B6" w:rsidRPr="00B13B9A" w:rsidRDefault="00FD65B6" w:rsidP="00332FF7">
            <w:pP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B13B9A" w14:paraId="5F51EAEF" w14:textId="77777777" w:rsidTr="00332FF7">
        <w:tc>
          <w:tcPr>
            <w:tcW w:w="14263" w:type="dxa"/>
            <w:gridSpan w:val="7"/>
            <w:shd w:val="clear" w:color="auto" w:fill="auto"/>
          </w:tcPr>
          <w:p w14:paraId="7D87D70C" w14:textId="43020D8A"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Departamentului Perinatologic, mun. Băl</w:t>
            </w:r>
            <w:r w:rsidR="00B13B9A" w:rsidRPr="00B13B9A">
              <w:rPr>
                <w:rFonts w:asciiTheme="majorHAnsi" w:hAnsiTheme="majorHAnsi" w:cstheme="majorHAnsi"/>
                <w:b/>
                <w:i/>
                <w:color w:val="000000" w:themeColor="text1"/>
                <w:sz w:val="20"/>
                <w:szCs w:val="20"/>
                <w:lang w:val="ro-MD"/>
              </w:rPr>
              <w:t>ț</w:t>
            </w:r>
            <w:r w:rsidRPr="00B13B9A">
              <w:rPr>
                <w:rFonts w:asciiTheme="majorHAnsi" w:hAnsiTheme="majorHAnsi" w:cstheme="majorHAnsi"/>
                <w:b/>
                <w:i/>
                <w:color w:val="000000" w:themeColor="text1"/>
                <w:sz w:val="20"/>
                <w:szCs w:val="20"/>
                <w:lang w:val="ro-MD"/>
              </w:rPr>
              <w:t>i (actualmente Centrul Perinatologic, Băl</w:t>
            </w:r>
            <w:r w:rsidR="00B13B9A" w:rsidRPr="00B13B9A">
              <w:rPr>
                <w:rFonts w:asciiTheme="majorHAnsi" w:hAnsiTheme="majorHAnsi" w:cstheme="majorHAnsi"/>
                <w:b/>
                <w:i/>
                <w:color w:val="000000" w:themeColor="text1"/>
                <w:sz w:val="20"/>
                <w:szCs w:val="20"/>
                <w:lang w:val="ro-MD"/>
              </w:rPr>
              <w:t>ț</w:t>
            </w:r>
            <w:r w:rsidRPr="00B13B9A">
              <w:rPr>
                <w:rFonts w:asciiTheme="majorHAnsi" w:hAnsiTheme="majorHAnsi" w:cstheme="majorHAnsi"/>
                <w:b/>
                <w:i/>
                <w:color w:val="000000" w:themeColor="text1"/>
                <w:sz w:val="20"/>
                <w:szCs w:val="20"/>
                <w:lang w:val="ro-MD"/>
              </w:rPr>
              <w:t>i)</w:t>
            </w:r>
          </w:p>
        </w:tc>
      </w:tr>
      <w:tr w:rsidR="00FD65B6" w:rsidRPr="00B13B9A" w14:paraId="7BDF01E8" w14:textId="77777777" w:rsidTr="00332FF7">
        <w:trPr>
          <w:gridAfter w:val="1"/>
          <w:wAfter w:w="24" w:type="dxa"/>
        </w:trPr>
        <w:tc>
          <w:tcPr>
            <w:tcW w:w="576" w:type="dxa"/>
            <w:shd w:val="clear" w:color="auto" w:fill="auto"/>
          </w:tcPr>
          <w:p w14:paraId="64AEAB2A"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6</w:t>
            </w:r>
          </w:p>
        </w:tc>
        <w:tc>
          <w:tcPr>
            <w:tcW w:w="837" w:type="dxa"/>
            <w:shd w:val="clear" w:color="auto" w:fill="auto"/>
          </w:tcPr>
          <w:p w14:paraId="1BE94A05"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6</w:t>
            </w:r>
          </w:p>
        </w:tc>
        <w:tc>
          <w:tcPr>
            <w:tcW w:w="2977" w:type="dxa"/>
            <w:shd w:val="clear" w:color="auto" w:fill="auto"/>
          </w:tcPr>
          <w:p w14:paraId="5FC95A89" w14:textId="098B24C4"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xml:space="preserve">Să asigure planificarea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administrarea vaccinului BCG, în scopul diminuării indicatorului de pierderi (pct.4.12.)</w:t>
            </w:r>
          </w:p>
        </w:tc>
        <w:tc>
          <w:tcPr>
            <w:tcW w:w="5670" w:type="dxa"/>
            <w:shd w:val="clear" w:color="auto" w:fill="auto"/>
          </w:tcPr>
          <w:p w14:paraId="4AA326DD" w14:textId="42A26D82" w:rsidR="00FD65B6" w:rsidRPr="00B13B9A" w:rsidRDefault="00FD65B6" w:rsidP="00332FF7">
            <w:pPr>
              <w:jc w:val="center"/>
              <w:rPr>
                <w:rFonts w:asciiTheme="majorHAnsi" w:hAnsiTheme="majorHAnsi" w:cstheme="majorHAnsi"/>
                <w:b/>
                <w:i/>
                <w:color w:val="000000"/>
                <w:sz w:val="20"/>
                <w:szCs w:val="20"/>
                <w:lang w:val="ro-MD"/>
              </w:rPr>
            </w:pPr>
            <w:r w:rsidRPr="00B13B9A">
              <w:rPr>
                <w:rFonts w:asciiTheme="majorHAnsi" w:hAnsiTheme="majorHAnsi" w:cstheme="majorHAnsi"/>
                <w:b/>
                <w:i/>
                <w:color w:val="000000"/>
                <w:sz w:val="20"/>
                <w:szCs w:val="20"/>
                <w:lang w:val="ro-MD"/>
              </w:rPr>
              <w:t>Nu a prezentat informa</w:t>
            </w:r>
            <w:r w:rsidR="00B13B9A" w:rsidRPr="00B13B9A">
              <w:rPr>
                <w:rFonts w:asciiTheme="majorHAnsi" w:hAnsiTheme="majorHAnsi" w:cstheme="majorHAnsi"/>
                <w:b/>
                <w:i/>
                <w:color w:val="000000"/>
                <w:sz w:val="20"/>
                <w:szCs w:val="20"/>
                <w:lang w:val="ro-MD"/>
              </w:rPr>
              <w:t>ț</w:t>
            </w:r>
            <w:r w:rsidRPr="00B13B9A">
              <w:rPr>
                <w:rFonts w:asciiTheme="majorHAnsi" w:hAnsiTheme="majorHAnsi" w:cstheme="majorHAnsi"/>
                <w:b/>
                <w:i/>
                <w:color w:val="000000"/>
                <w:sz w:val="20"/>
                <w:szCs w:val="20"/>
                <w:lang w:val="ro-MD"/>
              </w:rPr>
              <w:t>i</w:t>
            </w:r>
            <w:r w:rsidR="00E92ECC" w:rsidRPr="00B13B9A">
              <w:rPr>
                <w:rFonts w:asciiTheme="majorHAnsi" w:hAnsiTheme="majorHAnsi" w:cstheme="majorHAnsi"/>
                <w:b/>
                <w:i/>
                <w:color w:val="000000"/>
                <w:sz w:val="20"/>
                <w:szCs w:val="20"/>
                <w:lang w:val="ro-MD"/>
              </w:rPr>
              <w:t>i</w:t>
            </w:r>
          </w:p>
        </w:tc>
        <w:tc>
          <w:tcPr>
            <w:tcW w:w="2835" w:type="dxa"/>
            <w:shd w:val="clear" w:color="auto" w:fill="auto"/>
          </w:tcPr>
          <w:p w14:paraId="7016D81B" w14:textId="53F6769E"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La solicitare entitatea nu a prezentat informa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w:t>
            </w:r>
          </w:p>
        </w:tc>
        <w:tc>
          <w:tcPr>
            <w:tcW w:w="1344" w:type="dxa"/>
            <w:shd w:val="clear" w:color="auto" w:fill="auto"/>
          </w:tcPr>
          <w:p w14:paraId="376D6C42" w14:textId="77777777" w:rsidR="00FD65B6" w:rsidRPr="00B13B9A" w:rsidRDefault="00FD65B6" w:rsidP="00332FF7">
            <w:pP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neimplementată</w:t>
            </w:r>
          </w:p>
        </w:tc>
      </w:tr>
    </w:tbl>
    <w:p w14:paraId="35590AA2" w14:textId="77777777" w:rsidR="00FD65B6" w:rsidRPr="00B13B9A" w:rsidRDefault="00FD65B6" w:rsidP="0062601E">
      <w:pPr>
        <w:pStyle w:val="af0"/>
        <w:tabs>
          <w:tab w:val="left" w:pos="9072"/>
        </w:tabs>
        <w:spacing w:line="276" w:lineRule="auto"/>
        <w:rPr>
          <w:rFonts w:asciiTheme="majorHAnsi" w:hAnsiTheme="majorHAnsi" w:cstheme="majorHAnsi"/>
          <w:i/>
          <w:sz w:val="20"/>
          <w:szCs w:val="20"/>
          <w:lang w:val="ro-MD"/>
        </w:rPr>
        <w:sectPr w:rsidR="00FD65B6" w:rsidRPr="00B13B9A" w:rsidSect="00332FF7">
          <w:pgSz w:w="15840" w:h="12240" w:orient="landscape"/>
          <w:pgMar w:top="1276" w:right="1134" w:bottom="760" w:left="1134" w:header="709" w:footer="709" w:gutter="0"/>
          <w:cols w:space="708"/>
          <w:docGrid w:linePitch="360"/>
        </w:sectPr>
      </w:pPr>
    </w:p>
    <w:p w14:paraId="33F9AB50" w14:textId="77777777" w:rsidR="00A046DD" w:rsidRPr="00B13B9A" w:rsidRDefault="00A046DD">
      <w:pPr>
        <w:pStyle w:val="cn"/>
        <w:spacing w:line="276" w:lineRule="auto"/>
        <w:ind w:right="71"/>
        <w:jc w:val="both"/>
        <w:rPr>
          <w:rFonts w:asciiTheme="majorHAnsi" w:eastAsiaTheme="minorHAnsi" w:hAnsiTheme="majorHAnsi" w:cstheme="majorHAnsi"/>
          <w:lang w:val="ro-MD" w:eastAsia="en-US"/>
        </w:rPr>
      </w:pPr>
    </w:p>
    <w:sectPr w:rsidR="00A046DD" w:rsidRPr="00B13B9A" w:rsidSect="007F68A0">
      <w:pgSz w:w="12240" w:h="15840"/>
      <w:pgMar w:top="1134" w:right="7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E05CA" w14:textId="77777777" w:rsidR="001E562B" w:rsidRDefault="001E562B" w:rsidP="009E7FD2">
      <w:pPr>
        <w:spacing w:after="0" w:line="240" w:lineRule="auto"/>
      </w:pPr>
      <w:r>
        <w:separator/>
      </w:r>
    </w:p>
  </w:endnote>
  <w:endnote w:type="continuationSeparator" w:id="0">
    <w:p w14:paraId="15FCDD40" w14:textId="77777777" w:rsidR="001E562B" w:rsidRDefault="001E562B" w:rsidP="009E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195"/>
      <w:docPartObj>
        <w:docPartGallery w:val="Page Numbers (Bottom of Page)"/>
        <w:docPartUnique/>
      </w:docPartObj>
    </w:sdtPr>
    <w:sdtEndPr>
      <w:rPr>
        <w:noProof/>
      </w:rPr>
    </w:sdtEndPr>
    <w:sdtContent>
      <w:p w14:paraId="1F87651F" w14:textId="5A91B50F" w:rsidR="001924A7" w:rsidRDefault="001924A7">
        <w:pPr>
          <w:pStyle w:val="ac"/>
          <w:jc w:val="right"/>
        </w:pPr>
        <w:r>
          <w:fldChar w:fldCharType="begin"/>
        </w:r>
        <w:r>
          <w:instrText xml:space="preserve"> PAGE   \* MERGEFORMAT </w:instrText>
        </w:r>
        <w:r>
          <w:fldChar w:fldCharType="separate"/>
        </w:r>
        <w:r w:rsidR="002E38BE">
          <w:rPr>
            <w:noProof/>
          </w:rPr>
          <w:t>79</w:t>
        </w:r>
        <w:r>
          <w:rPr>
            <w:noProof/>
          </w:rPr>
          <w:fldChar w:fldCharType="end"/>
        </w:r>
      </w:p>
    </w:sdtContent>
  </w:sdt>
  <w:p w14:paraId="283F25FD" w14:textId="77777777" w:rsidR="001924A7" w:rsidRDefault="001924A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E565B" w14:textId="77777777" w:rsidR="001E562B" w:rsidRDefault="001E562B" w:rsidP="009E7FD2">
      <w:pPr>
        <w:spacing w:after="0" w:line="240" w:lineRule="auto"/>
      </w:pPr>
      <w:r>
        <w:separator/>
      </w:r>
    </w:p>
  </w:footnote>
  <w:footnote w:type="continuationSeparator" w:id="0">
    <w:p w14:paraId="1ACC2C3B" w14:textId="77777777" w:rsidR="001E562B" w:rsidRDefault="001E562B" w:rsidP="009E7FD2">
      <w:pPr>
        <w:spacing w:after="0" w:line="240" w:lineRule="auto"/>
      </w:pPr>
      <w:r>
        <w:continuationSeparator/>
      </w:r>
    </w:p>
  </w:footnote>
  <w:footnote w:id="1">
    <w:p w14:paraId="2FEF9A84" w14:textId="4B506CA2" w:rsidR="001924A7" w:rsidRPr="00BF2A2F" w:rsidRDefault="001924A7" w:rsidP="00BF2A2F">
      <w:pPr>
        <w:pStyle w:val="a5"/>
        <w:jc w:val="both"/>
        <w:rPr>
          <w:rFonts w:asciiTheme="majorHAnsi" w:hAnsiTheme="majorHAnsi" w:cstheme="majorHAnsi"/>
          <w:sz w:val="20"/>
          <w:vertAlign w:val="baseline"/>
          <w:lang w:val="ru-MD"/>
        </w:rPr>
      </w:pPr>
      <w:r w:rsidRPr="00BF2A2F">
        <w:rPr>
          <w:rStyle w:val="a9"/>
          <w:rFonts w:asciiTheme="majorHAnsi" w:hAnsiTheme="majorHAnsi" w:cstheme="majorHAnsi"/>
          <w:lang w:val="ru-MD"/>
        </w:rPr>
        <w:footnoteRef/>
      </w:r>
      <w:r w:rsidRPr="00BF2A2F">
        <w:rPr>
          <w:rFonts w:asciiTheme="majorHAnsi" w:hAnsiTheme="majorHAnsi" w:cstheme="majorHAnsi"/>
          <w:sz w:val="20"/>
          <w:vertAlign w:val="baseline"/>
          <w:lang w:val="ru-MD"/>
        </w:rPr>
        <w:t xml:space="preserve"> ПП №559 от 28.06.2001 „О Национальной программе по контролю туберкулеза на 2001-2005 годы” (утратило силу); ПП №1409 от 30.12.2005 „О Национальной программе по контролю туберкулеза на 2006-2010 годы” (утратило силу); ПП №1171 от 21.12.2010 „О Национальной программе по контролю туберкулеза на 2011-2015 годы” (утратило силу); ПП №1160 от 20.10.2016 „О Национальной программе по контролю туберкулеза на 2016-2020 годы”; ПП №107 от 23.02.2022 „О Национальной программе противодействия туберкулезу на 2022–2025 годы”.</w:t>
      </w:r>
      <w:r w:rsidRPr="00BF2A2F">
        <w:rPr>
          <w:rFonts w:asciiTheme="majorHAnsi" w:hAnsiTheme="majorHAnsi" w:cstheme="majorHAnsi"/>
          <w:sz w:val="20"/>
          <w:lang w:val="ru-MD"/>
        </w:rPr>
        <w:t>.</w:t>
      </w:r>
    </w:p>
  </w:footnote>
  <w:footnote w:id="2">
    <w:p w14:paraId="58BBC5B6" w14:textId="528953DC" w:rsidR="001924A7" w:rsidRPr="00770882" w:rsidRDefault="001924A7" w:rsidP="00E97FAE">
      <w:pPr>
        <w:pStyle w:val="a5"/>
        <w:jc w:val="both"/>
        <w:rPr>
          <w:rFonts w:asciiTheme="majorHAnsi" w:hAnsiTheme="majorHAnsi" w:cstheme="majorHAnsi"/>
          <w:sz w:val="20"/>
          <w:vertAlign w:val="baseline"/>
          <w:lang w:val="ru-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sidRPr="00770882">
        <w:rPr>
          <w:rFonts w:asciiTheme="majorHAnsi" w:hAnsiTheme="majorHAnsi" w:cstheme="majorHAnsi"/>
          <w:sz w:val="20"/>
          <w:vertAlign w:val="baseline"/>
          <w:lang w:val="ru-MD"/>
        </w:rPr>
        <w:t>Закон о бухгалтерском учете и финансовой отчетности №287 от 15.12.2017.</w:t>
      </w:r>
    </w:p>
  </w:footnote>
  <w:footnote w:id="3">
    <w:p w14:paraId="24ED4CB5" w14:textId="33C848A8" w:rsidR="001924A7" w:rsidRPr="00770882" w:rsidRDefault="001924A7" w:rsidP="00BF2A2F">
      <w:pPr>
        <w:pStyle w:val="a5"/>
        <w:jc w:val="both"/>
        <w:rPr>
          <w:rFonts w:asciiTheme="majorHAnsi" w:hAnsiTheme="majorHAnsi" w:cstheme="majorHAnsi"/>
          <w:sz w:val="20"/>
          <w:vertAlign w:val="baseline"/>
          <w:lang w:val="ru-MD"/>
        </w:rPr>
      </w:pPr>
      <w:r w:rsidRPr="00770882">
        <w:rPr>
          <w:rStyle w:val="a9"/>
          <w:rFonts w:asciiTheme="majorHAnsi" w:hAnsiTheme="majorHAnsi" w:cstheme="majorHAnsi"/>
          <w:lang w:val="ru-MD"/>
        </w:rPr>
        <w:footnoteRef/>
      </w:r>
      <w:r w:rsidRPr="00770882">
        <w:rPr>
          <w:rFonts w:asciiTheme="majorHAnsi" w:hAnsiTheme="majorHAnsi" w:cstheme="majorHAnsi"/>
          <w:sz w:val="20"/>
          <w:vertAlign w:val="baseline"/>
          <w:lang w:val="ru-MD"/>
        </w:rPr>
        <w:t xml:space="preserve"> Приказ МФ №118 от 06.08.2013 „Об утверждении Национальных стандартов бухгалтерского учета”, с последующими изменениями и дополнениями.</w:t>
      </w:r>
    </w:p>
  </w:footnote>
  <w:footnote w:id="4">
    <w:p w14:paraId="3EA485EF" w14:textId="6EE51691" w:rsidR="001924A7" w:rsidRPr="00BF2A2F" w:rsidRDefault="001924A7" w:rsidP="00BF2A2F">
      <w:pPr>
        <w:pStyle w:val="a5"/>
        <w:jc w:val="both"/>
        <w:rPr>
          <w:rFonts w:asciiTheme="majorHAnsi" w:hAnsiTheme="majorHAnsi" w:cstheme="majorHAnsi"/>
          <w:sz w:val="20"/>
          <w:lang w:val="ru-MD"/>
        </w:rPr>
      </w:pPr>
      <w:r w:rsidRPr="00BF2A2F">
        <w:rPr>
          <w:rStyle w:val="a9"/>
          <w:rFonts w:asciiTheme="majorHAnsi" w:hAnsiTheme="majorHAnsi" w:cstheme="majorHAnsi"/>
          <w:lang w:val="ru-MD"/>
        </w:rPr>
        <w:footnoteRef/>
      </w:r>
      <w:r w:rsidRPr="00BF2A2F">
        <w:rPr>
          <w:rFonts w:asciiTheme="majorHAnsi" w:hAnsiTheme="majorHAnsi" w:cstheme="majorHAnsi"/>
          <w:sz w:val="20"/>
          <w:lang w:val="ru-MD"/>
        </w:rPr>
        <w:t xml:space="preserve"> </w:t>
      </w:r>
      <w:r w:rsidRPr="00BF2A2F">
        <w:rPr>
          <w:rFonts w:asciiTheme="majorHAnsi" w:hAnsiTheme="majorHAnsi" w:cstheme="majorHAnsi"/>
          <w:sz w:val="20"/>
          <w:vertAlign w:val="baseline"/>
          <w:lang w:val="ru-MD"/>
        </w:rPr>
        <w:t>П. 22 k), п. 23 Положения об организации и функционировании ПМСУ ИФП "Кирилл Драганюк", утвержденного Приказом МЗ №407 от 05.05.2023.</w:t>
      </w:r>
    </w:p>
  </w:footnote>
  <w:footnote w:id="5">
    <w:p w14:paraId="37CE3DBE" w14:textId="77777777" w:rsidR="001924A7" w:rsidRPr="00BF2A2F" w:rsidRDefault="001924A7" w:rsidP="001472C4">
      <w:pPr>
        <w:pStyle w:val="a5"/>
        <w:jc w:val="both"/>
        <w:rPr>
          <w:rFonts w:asciiTheme="majorHAnsi" w:hAnsiTheme="majorHAnsi" w:cstheme="majorHAnsi"/>
          <w:sz w:val="20"/>
          <w:lang w:val="ru-MD"/>
        </w:rPr>
      </w:pPr>
      <w:r w:rsidRPr="00BF2A2F">
        <w:rPr>
          <w:rStyle w:val="a9"/>
          <w:rFonts w:asciiTheme="majorHAnsi" w:hAnsiTheme="majorHAnsi" w:cstheme="majorHAnsi"/>
          <w:lang w:val="ru-MD"/>
        </w:rPr>
        <w:footnoteRef/>
      </w:r>
      <w:r w:rsidRPr="00BF2A2F">
        <w:rPr>
          <w:rFonts w:asciiTheme="majorHAnsi" w:hAnsiTheme="majorHAnsi" w:cstheme="majorHAnsi"/>
          <w:sz w:val="20"/>
          <w:lang w:val="ru-MD"/>
        </w:rPr>
        <w:t xml:space="preserve"> </w:t>
      </w:r>
      <w:r w:rsidRPr="00BF2A2F">
        <w:rPr>
          <w:rFonts w:asciiTheme="majorHAnsi" w:hAnsiTheme="majorHAnsi" w:cstheme="majorHAnsi"/>
          <w:sz w:val="20"/>
          <w:vertAlign w:val="baseline"/>
          <w:lang w:val="ru-MD"/>
        </w:rPr>
        <w:t>П.40 Положения об организации и функционировании ПМСУ ИФП "Кирилл Драганюк", утвержденного Приказом МЗ №407 от 05.05.2023.</w:t>
      </w:r>
    </w:p>
  </w:footnote>
  <w:footnote w:id="6">
    <w:p w14:paraId="69C2FE43" w14:textId="77777777" w:rsidR="001924A7" w:rsidRPr="00BF2A2F" w:rsidRDefault="001924A7" w:rsidP="001472C4">
      <w:pPr>
        <w:spacing w:after="0" w:line="276" w:lineRule="auto"/>
        <w:jc w:val="both"/>
        <w:rPr>
          <w:rFonts w:asciiTheme="majorHAnsi" w:hAnsiTheme="majorHAnsi" w:cstheme="majorHAnsi"/>
          <w:sz w:val="20"/>
          <w:szCs w:val="20"/>
          <w:lang w:val="ru-MD"/>
        </w:rPr>
      </w:pPr>
      <w:r w:rsidRPr="00BF2A2F">
        <w:rPr>
          <w:rStyle w:val="a9"/>
          <w:rFonts w:asciiTheme="majorHAnsi" w:hAnsiTheme="majorHAnsi" w:cstheme="majorHAnsi"/>
          <w:szCs w:val="20"/>
          <w:lang w:val="ru-MD"/>
        </w:rPr>
        <w:footnoteRef/>
      </w:r>
      <w:r w:rsidRPr="00BF2A2F">
        <w:rPr>
          <w:rFonts w:asciiTheme="majorHAnsi" w:hAnsiTheme="majorHAnsi" w:cstheme="majorHAnsi"/>
          <w:sz w:val="20"/>
          <w:szCs w:val="20"/>
          <w:lang w:val="ru-MD"/>
        </w:rPr>
        <w:t xml:space="preserve"> Подробная информация о полномочиях представлена в приложении №1 к настоящему Отчету аудита</w:t>
      </w:r>
      <w:r w:rsidRPr="00BF2A2F">
        <w:rPr>
          <w:rFonts w:asciiTheme="majorHAnsi" w:eastAsia="Times New Roman" w:hAnsiTheme="majorHAnsi" w:cstheme="majorHAnsi"/>
          <w:sz w:val="20"/>
          <w:szCs w:val="20"/>
          <w:lang w:val="ru-MD"/>
        </w:rPr>
        <w:t>.</w:t>
      </w:r>
    </w:p>
  </w:footnote>
  <w:footnote w:id="7">
    <w:p w14:paraId="5F3D6D30" w14:textId="3B56C311" w:rsidR="001924A7" w:rsidRPr="00BF2A2F" w:rsidRDefault="001924A7" w:rsidP="00BF2A2F">
      <w:pPr>
        <w:pStyle w:val="a5"/>
        <w:jc w:val="both"/>
        <w:rPr>
          <w:rFonts w:asciiTheme="majorHAnsi" w:hAnsiTheme="majorHAnsi" w:cstheme="majorHAnsi"/>
          <w:sz w:val="20"/>
          <w:vertAlign w:val="baseline"/>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sidRPr="00D557B4">
        <w:rPr>
          <w:rFonts w:asciiTheme="majorHAnsi" w:eastAsia="Times New Roman" w:hAnsiTheme="majorHAnsi" w:cstheme="majorHAnsi"/>
          <w:sz w:val="20"/>
          <w:vertAlign w:val="baseline"/>
          <w:lang w:val="ru-MD"/>
        </w:rPr>
        <w:t>Постановление Счетной палаты №2 от 24.01.2020 „О Системе профессиональных деклараций INTOSAI</w:t>
      </w:r>
      <w:r w:rsidRPr="00BF2A2F">
        <w:rPr>
          <w:rFonts w:asciiTheme="majorHAnsi" w:eastAsia="Times New Roman" w:hAnsiTheme="majorHAnsi" w:cstheme="majorHAnsi"/>
          <w:sz w:val="20"/>
          <w:vertAlign w:val="baseline"/>
          <w:lang w:val="ro-MD"/>
        </w:rPr>
        <w:t>”.</w:t>
      </w:r>
    </w:p>
  </w:footnote>
  <w:footnote w:id="8">
    <w:p w14:paraId="5292C3AC" w14:textId="000CE1E1" w:rsidR="001924A7" w:rsidRPr="00BF2A2F" w:rsidRDefault="001924A7" w:rsidP="00BF2A2F">
      <w:pPr>
        <w:pStyle w:val="a5"/>
        <w:jc w:val="both"/>
        <w:rPr>
          <w:rFonts w:asciiTheme="majorHAnsi" w:hAnsiTheme="majorHAnsi" w:cstheme="majorHAnsi"/>
          <w:sz w:val="20"/>
          <w:vertAlign w:val="baseline"/>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vertAlign w:val="baseline"/>
          <w:lang w:val="ro-MD"/>
        </w:rPr>
        <w:t xml:space="preserve"> </w:t>
      </w:r>
      <w:r w:rsidRPr="00582C70">
        <w:rPr>
          <w:rFonts w:asciiTheme="majorHAnsi" w:eastAsia="Times New Roman" w:hAnsiTheme="majorHAnsi" w:cstheme="majorHAnsi"/>
          <w:sz w:val="20"/>
          <w:vertAlign w:val="baseline"/>
          <w:lang w:val="ru-MD"/>
        </w:rPr>
        <w:t>Постановление Счетной палаты №19 от 05.04.2019 „Об утверждении Кодекса этики Счетной палаты”.</w:t>
      </w:r>
      <w:r w:rsidRPr="00BF2A2F">
        <w:rPr>
          <w:rFonts w:asciiTheme="majorHAnsi" w:eastAsia="Times New Roman" w:hAnsiTheme="majorHAnsi" w:cstheme="majorHAnsi"/>
          <w:sz w:val="20"/>
          <w:vertAlign w:val="baseline"/>
          <w:lang w:val="ro-MD"/>
        </w:rPr>
        <w:t xml:space="preserve"> </w:t>
      </w:r>
    </w:p>
  </w:footnote>
  <w:footnote w:id="9">
    <w:p w14:paraId="72C98172" w14:textId="1ABD7CF1" w:rsidR="001924A7" w:rsidRPr="00387A3F" w:rsidRDefault="001924A7" w:rsidP="0045040C">
      <w:pPr>
        <w:pStyle w:val="a5"/>
        <w:jc w:val="both"/>
        <w:rPr>
          <w:rFonts w:asciiTheme="majorHAnsi" w:hAnsiTheme="majorHAnsi" w:cstheme="majorHAnsi"/>
          <w:sz w:val="20"/>
          <w:lang w:val="ru-RU"/>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sidRPr="00387A3F">
        <w:rPr>
          <w:rFonts w:asciiTheme="majorHAnsi" w:hAnsiTheme="majorHAnsi" w:cstheme="majorHAnsi"/>
          <w:sz w:val="20"/>
          <w:vertAlign w:val="baseline"/>
          <w:lang w:val="ro-MD"/>
        </w:rPr>
        <w:t xml:space="preserve">Приказ №329 от 25.11.2003 </w:t>
      </w:r>
      <w:r w:rsidRPr="00BF2A2F">
        <w:rPr>
          <w:rFonts w:asciiTheme="majorHAnsi" w:hAnsiTheme="majorHAnsi" w:cstheme="majorHAnsi"/>
          <w:sz w:val="20"/>
          <w:vertAlign w:val="baseline"/>
          <w:lang w:val="ro-MD"/>
        </w:rPr>
        <w:t>„</w:t>
      </w:r>
      <w:r w:rsidRPr="00387A3F">
        <w:rPr>
          <w:rFonts w:asciiTheme="majorHAnsi" w:hAnsiTheme="majorHAnsi" w:cstheme="majorHAnsi"/>
          <w:sz w:val="20"/>
          <w:vertAlign w:val="baseline"/>
          <w:lang w:val="ro-MD"/>
        </w:rPr>
        <w:t>О создании публичных медико-санитарных учреждений”</w:t>
      </w:r>
      <w:r>
        <w:rPr>
          <w:rFonts w:asciiTheme="majorHAnsi" w:hAnsiTheme="majorHAnsi" w:cstheme="majorHAnsi"/>
          <w:sz w:val="20"/>
          <w:vertAlign w:val="baseline"/>
          <w:lang w:val="ru-RU"/>
        </w:rPr>
        <w:t>.</w:t>
      </w:r>
    </w:p>
  </w:footnote>
  <w:footnote w:id="10">
    <w:p w14:paraId="60A3E2FC" w14:textId="6E43179B" w:rsidR="001924A7" w:rsidRPr="00BF2A2F" w:rsidRDefault="001924A7" w:rsidP="0045040C">
      <w:pPr>
        <w:pStyle w:val="a5"/>
        <w:jc w:val="both"/>
        <w:rPr>
          <w:rFonts w:asciiTheme="majorHAnsi" w:hAnsiTheme="majorHAnsi" w:cstheme="majorHAnsi"/>
          <w:sz w:val="20"/>
          <w:vertAlign w:val="baseline"/>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sidRPr="00387A3F">
        <w:rPr>
          <w:rFonts w:asciiTheme="majorHAnsi" w:hAnsiTheme="majorHAnsi" w:cstheme="majorHAnsi"/>
          <w:sz w:val="20"/>
          <w:vertAlign w:val="baseline"/>
          <w:lang w:val="ro-MD"/>
        </w:rPr>
        <w:t>Приказ МЗТСЗ был отменен Приказом Министерства здравоохранения</w:t>
      </w:r>
      <w:r w:rsidRPr="00BF2A2F">
        <w:rPr>
          <w:rFonts w:asciiTheme="majorHAnsi" w:hAnsiTheme="majorHAnsi" w:cstheme="majorHAnsi"/>
          <w:sz w:val="20"/>
          <w:vertAlign w:val="baseline"/>
          <w:lang w:val="ro-MD"/>
        </w:rPr>
        <w:t xml:space="preserve"> от 14.03.2005 „</w:t>
      </w:r>
      <w:r w:rsidRPr="00387A3F">
        <w:rPr>
          <w:rFonts w:asciiTheme="majorHAnsi" w:hAnsiTheme="majorHAnsi" w:cstheme="majorHAnsi"/>
          <w:sz w:val="20"/>
          <w:vertAlign w:val="baseline"/>
          <w:lang w:val="ro-MD"/>
        </w:rPr>
        <w:t>О слиянии ПМСУ Туберкулезная больница с</w:t>
      </w:r>
      <w:r>
        <w:rPr>
          <w:rFonts w:asciiTheme="majorHAnsi" w:hAnsiTheme="majorHAnsi" w:cstheme="majorHAnsi"/>
          <w:sz w:val="20"/>
          <w:vertAlign w:val="baseline"/>
          <w:lang w:val="ru-RU"/>
        </w:rPr>
        <w:t>.</w:t>
      </w:r>
      <w:r w:rsidRPr="00387A3F">
        <w:rPr>
          <w:rFonts w:asciiTheme="majorHAnsi" w:hAnsiTheme="majorHAnsi" w:cstheme="majorHAnsi"/>
          <w:sz w:val="20"/>
          <w:vertAlign w:val="baseline"/>
          <w:lang w:val="ro-MD"/>
        </w:rPr>
        <w:t xml:space="preserve"> Ворничень с ПМСУ ИФП „Кирилл Драганюк”</w:t>
      </w:r>
      <w:r w:rsidRPr="00BF2A2F">
        <w:rPr>
          <w:rFonts w:asciiTheme="majorHAnsi" w:hAnsiTheme="majorHAnsi" w:cstheme="majorHAnsi"/>
          <w:sz w:val="20"/>
          <w:vertAlign w:val="baseline"/>
          <w:lang w:val="ro-MD"/>
        </w:rPr>
        <w:t>”.</w:t>
      </w:r>
    </w:p>
  </w:footnote>
  <w:footnote w:id="11">
    <w:p w14:paraId="3C2CC0EA" w14:textId="624F425D" w:rsidR="001924A7" w:rsidRPr="00BF2A2F" w:rsidRDefault="001924A7" w:rsidP="00BC59D8">
      <w:pPr>
        <w:pStyle w:val="a5"/>
        <w:jc w:val="both"/>
        <w:rPr>
          <w:rFonts w:asciiTheme="majorHAnsi" w:hAnsiTheme="majorHAnsi" w:cstheme="majorHAnsi"/>
          <w:sz w:val="20"/>
          <w:lang w:val="ro-MD"/>
        </w:rPr>
      </w:pPr>
      <w:r w:rsidRPr="00BF2A2F">
        <w:rPr>
          <w:rFonts w:asciiTheme="majorHAnsi" w:hAnsiTheme="majorHAnsi" w:cstheme="majorHAnsi"/>
          <w:sz w:val="20"/>
          <w:lang w:val="ro-MD"/>
        </w:rPr>
        <w:footnoteRef/>
      </w:r>
      <w:r w:rsidRPr="00BF2A2F">
        <w:rPr>
          <w:rFonts w:asciiTheme="majorHAnsi" w:hAnsiTheme="majorHAnsi" w:cstheme="majorHAnsi"/>
          <w:sz w:val="20"/>
          <w:lang w:val="ro-MD"/>
        </w:rPr>
        <w:t xml:space="preserve"> </w:t>
      </w:r>
      <w:r w:rsidRPr="00BF2A2F">
        <w:rPr>
          <w:rFonts w:asciiTheme="majorHAnsi" w:hAnsiTheme="majorHAnsi" w:cstheme="majorHAnsi"/>
          <w:sz w:val="20"/>
          <w:vertAlign w:val="baseline"/>
          <w:lang w:val="ro-MD"/>
        </w:rPr>
        <w:t xml:space="preserve"> </w:t>
      </w:r>
      <w:r>
        <w:rPr>
          <w:rFonts w:asciiTheme="majorHAnsi" w:hAnsiTheme="majorHAnsi" w:cstheme="majorHAnsi"/>
          <w:sz w:val="20"/>
          <w:vertAlign w:val="baseline"/>
          <w:lang w:val="ru-RU"/>
        </w:rPr>
        <w:t>Приказ</w:t>
      </w:r>
      <w:r w:rsidRPr="00387A3F">
        <w:rPr>
          <w:rFonts w:asciiTheme="majorHAnsi" w:hAnsiTheme="majorHAnsi" w:cstheme="majorHAnsi"/>
          <w:sz w:val="20"/>
          <w:vertAlign w:val="baseline"/>
          <w:lang w:val="ru-RU"/>
        </w:rPr>
        <w:t xml:space="preserve"> </w:t>
      </w:r>
      <w:r>
        <w:rPr>
          <w:rFonts w:asciiTheme="majorHAnsi" w:hAnsiTheme="majorHAnsi" w:cstheme="majorHAnsi"/>
          <w:sz w:val="20"/>
          <w:vertAlign w:val="baseline"/>
          <w:lang w:val="ru-RU"/>
        </w:rPr>
        <w:t>МЗ</w:t>
      </w:r>
      <w:r w:rsidRPr="00387A3F">
        <w:rPr>
          <w:rFonts w:asciiTheme="majorHAnsi" w:hAnsiTheme="majorHAnsi" w:cstheme="majorHAnsi"/>
          <w:sz w:val="20"/>
          <w:vertAlign w:val="baseline"/>
          <w:lang w:val="ru-RU"/>
        </w:rPr>
        <w:t xml:space="preserve"> №</w:t>
      </w:r>
      <w:r w:rsidRPr="00BF2A2F">
        <w:rPr>
          <w:rFonts w:asciiTheme="majorHAnsi" w:hAnsiTheme="majorHAnsi" w:cstheme="majorHAnsi"/>
          <w:sz w:val="20"/>
          <w:vertAlign w:val="baseline"/>
          <w:lang w:val="ro-MD"/>
        </w:rPr>
        <w:t xml:space="preserve">781 от 18.10.2011  </w:t>
      </w:r>
      <w:r>
        <w:rPr>
          <w:rFonts w:asciiTheme="majorHAnsi" w:hAnsiTheme="majorHAnsi" w:cstheme="majorHAnsi"/>
          <w:sz w:val="20"/>
          <w:vertAlign w:val="baseline"/>
          <w:lang w:val="ru-RU"/>
        </w:rPr>
        <w:t xml:space="preserve">о реорганизации некоторых </w:t>
      </w:r>
      <w:r w:rsidRPr="00387A3F">
        <w:rPr>
          <w:rFonts w:asciiTheme="majorHAnsi" w:hAnsiTheme="majorHAnsi" w:cstheme="majorHAnsi"/>
          <w:sz w:val="20"/>
          <w:vertAlign w:val="baseline"/>
          <w:lang w:val="ro-MD"/>
        </w:rPr>
        <w:t>публичных медико-санитарных учреждений</w:t>
      </w:r>
      <w:r w:rsidRPr="00BF2A2F">
        <w:rPr>
          <w:rFonts w:asciiTheme="majorHAnsi" w:hAnsiTheme="majorHAnsi" w:cstheme="majorHAnsi"/>
          <w:sz w:val="20"/>
          <w:vertAlign w:val="baseline"/>
          <w:lang w:val="ro-MD"/>
        </w:rPr>
        <w:t>.</w:t>
      </w:r>
    </w:p>
  </w:footnote>
  <w:footnote w:id="12">
    <w:p w14:paraId="0A19389D" w14:textId="44302A71" w:rsidR="001924A7" w:rsidRPr="00BF2A2F" w:rsidRDefault="001924A7" w:rsidP="00BC59D8">
      <w:pPr>
        <w:pStyle w:val="a5"/>
        <w:jc w:val="both"/>
        <w:rPr>
          <w:rFonts w:asciiTheme="majorHAnsi" w:hAnsiTheme="majorHAnsi" w:cstheme="majorHAnsi"/>
          <w:sz w:val="20"/>
          <w:vertAlign w:val="baseline"/>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sidRPr="00387A3F">
        <w:rPr>
          <w:rFonts w:asciiTheme="majorHAnsi" w:hAnsiTheme="majorHAnsi" w:cstheme="majorHAnsi"/>
          <w:sz w:val="20"/>
          <w:vertAlign w:val="baseline"/>
          <w:lang w:val="ro-MD"/>
        </w:rPr>
        <w:t>Акт приема-передачи предприятия</w:t>
      </w:r>
      <w:r w:rsidRPr="00BF2A2F">
        <w:rPr>
          <w:rFonts w:asciiTheme="majorHAnsi" w:hAnsiTheme="majorHAnsi" w:cstheme="majorHAnsi"/>
          <w:sz w:val="20"/>
          <w:vertAlign w:val="baseline"/>
          <w:lang w:val="ro-MD"/>
        </w:rPr>
        <w:t xml:space="preserve">, </w:t>
      </w:r>
      <w:r>
        <w:rPr>
          <w:rFonts w:asciiTheme="majorHAnsi" w:hAnsiTheme="majorHAnsi" w:cstheme="majorHAnsi"/>
          <w:sz w:val="20"/>
          <w:vertAlign w:val="baseline"/>
          <w:lang w:val="ru-RU"/>
        </w:rPr>
        <w:t>подразделения</w:t>
      </w:r>
      <w:r w:rsidRPr="00BF2A2F">
        <w:rPr>
          <w:rFonts w:asciiTheme="majorHAnsi" w:hAnsiTheme="majorHAnsi" w:cstheme="majorHAnsi"/>
          <w:sz w:val="20"/>
          <w:vertAlign w:val="baseline"/>
          <w:lang w:val="ro-MD"/>
        </w:rPr>
        <w:t xml:space="preserve"> от 01.02.2012, </w:t>
      </w:r>
      <w:r>
        <w:rPr>
          <w:rFonts w:asciiTheme="majorHAnsi" w:hAnsiTheme="majorHAnsi" w:cstheme="majorHAnsi"/>
          <w:sz w:val="20"/>
          <w:vertAlign w:val="baseline"/>
          <w:lang w:val="ru-RU"/>
        </w:rPr>
        <w:t>утвержденный МЗ</w:t>
      </w:r>
      <w:r w:rsidRPr="00BF2A2F">
        <w:rPr>
          <w:rFonts w:asciiTheme="majorHAnsi" w:hAnsiTheme="majorHAnsi" w:cstheme="majorHAnsi"/>
          <w:sz w:val="20"/>
          <w:vertAlign w:val="baseline"/>
          <w:lang w:val="ro-MD"/>
        </w:rPr>
        <w:t xml:space="preserve"> 22.02.2012.</w:t>
      </w:r>
    </w:p>
  </w:footnote>
  <w:footnote w:id="13">
    <w:p w14:paraId="2E63B089" w14:textId="5948FD63" w:rsidR="001924A7" w:rsidRPr="00BF2A2F" w:rsidRDefault="001924A7" w:rsidP="00BF2A2F">
      <w:pPr>
        <w:pStyle w:val="a5"/>
        <w:jc w:val="both"/>
        <w:rPr>
          <w:rFonts w:asciiTheme="majorHAnsi" w:hAnsiTheme="majorHAnsi" w:cstheme="majorHAnsi"/>
          <w:sz w:val="20"/>
          <w:vertAlign w:val="baseline"/>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vertAlign w:val="baseline"/>
          <w:lang w:val="ro-MD"/>
        </w:rPr>
        <w:t xml:space="preserve"> </w:t>
      </w:r>
      <w:r>
        <w:rPr>
          <w:rFonts w:asciiTheme="majorHAnsi" w:hAnsiTheme="majorHAnsi" w:cstheme="majorHAnsi"/>
          <w:sz w:val="20"/>
          <w:vertAlign w:val="baseline"/>
          <w:lang w:val="ru-RU"/>
        </w:rPr>
        <w:t>Ст</w:t>
      </w:r>
      <w:r w:rsidRPr="00BF2A2F">
        <w:rPr>
          <w:rFonts w:asciiTheme="majorHAnsi" w:hAnsiTheme="majorHAnsi" w:cstheme="majorHAnsi"/>
          <w:sz w:val="20"/>
          <w:vertAlign w:val="baseline"/>
          <w:lang w:val="ro-MD"/>
        </w:rPr>
        <w:t xml:space="preserve">.22 </w:t>
      </w:r>
      <w:r w:rsidRPr="00485956">
        <w:rPr>
          <w:rFonts w:asciiTheme="majorHAnsi" w:hAnsiTheme="majorHAnsi" w:cstheme="majorHAnsi"/>
          <w:sz w:val="20"/>
          <w:vertAlign w:val="baseline"/>
          <w:lang w:val="ro-MD"/>
        </w:rPr>
        <w:t>Закона о разграничении публичной собственности №29 от 05.04.2018</w:t>
      </w:r>
      <w:r w:rsidRPr="00BF2A2F">
        <w:rPr>
          <w:rFonts w:asciiTheme="majorHAnsi" w:hAnsiTheme="majorHAnsi" w:cstheme="majorHAnsi"/>
          <w:sz w:val="20"/>
          <w:vertAlign w:val="baseline"/>
          <w:lang w:val="ro-MD"/>
        </w:rPr>
        <w:t>.</w:t>
      </w:r>
    </w:p>
  </w:footnote>
  <w:footnote w:id="14">
    <w:p w14:paraId="405C9838" w14:textId="1993FCBE" w:rsidR="001924A7" w:rsidRPr="00BF2A2F" w:rsidRDefault="001924A7" w:rsidP="00F25383">
      <w:pPr>
        <w:pStyle w:val="a5"/>
        <w:jc w:val="both"/>
        <w:rPr>
          <w:rFonts w:asciiTheme="majorHAnsi" w:hAnsiTheme="majorHAnsi" w:cstheme="majorHAnsi"/>
          <w:sz w:val="20"/>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sidRPr="00485956">
        <w:rPr>
          <w:rFonts w:asciiTheme="majorHAnsi" w:hAnsiTheme="majorHAnsi" w:cstheme="majorHAnsi"/>
          <w:sz w:val="20"/>
          <w:vertAlign w:val="baseline"/>
          <w:lang w:val="ro-MD"/>
        </w:rPr>
        <w:t>Закон о разграничении публичной собственности №29 от 05.04.2018</w:t>
      </w:r>
      <w:r w:rsidRPr="00BF2A2F">
        <w:rPr>
          <w:rFonts w:asciiTheme="majorHAnsi" w:hAnsiTheme="majorHAnsi" w:cstheme="majorHAnsi"/>
          <w:sz w:val="20"/>
          <w:vertAlign w:val="baseline"/>
          <w:lang w:val="ro-MD"/>
        </w:rPr>
        <w:t>.</w:t>
      </w:r>
    </w:p>
  </w:footnote>
  <w:footnote w:id="15">
    <w:p w14:paraId="3CFEC508" w14:textId="77777777" w:rsidR="001924A7" w:rsidRPr="00BF2A2F" w:rsidRDefault="001924A7" w:rsidP="00F25383">
      <w:pPr>
        <w:pStyle w:val="a5"/>
        <w:jc w:val="both"/>
        <w:rPr>
          <w:rFonts w:asciiTheme="majorHAnsi" w:hAnsiTheme="majorHAnsi" w:cstheme="majorHAnsi"/>
          <w:sz w:val="20"/>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sidRPr="00BF2A2F">
        <w:rPr>
          <w:rFonts w:asciiTheme="majorHAnsi" w:hAnsiTheme="majorHAnsi" w:cstheme="majorHAnsi"/>
          <w:sz w:val="20"/>
          <w:vertAlign w:val="baseline"/>
          <w:lang w:val="ro-MD"/>
        </w:rPr>
        <w:t>8042200.060; 8042200.001.01.</w:t>
      </w:r>
    </w:p>
  </w:footnote>
  <w:footnote w:id="16">
    <w:p w14:paraId="250A24FC" w14:textId="77777777" w:rsidR="001924A7" w:rsidRPr="003221A7" w:rsidRDefault="001924A7" w:rsidP="00485956">
      <w:pPr>
        <w:pStyle w:val="a5"/>
        <w:jc w:val="both"/>
        <w:rPr>
          <w:rFonts w:asciiTheme="majorHAnsi" w:hAnsiTheme="majorHAnsi" w:cstheme="majorHAnsi"/>
          <w:sz w:val="20"/>
          <w:lang w:val="ru-MD"/>
        </w:rPr>
      </w:pPr>
      <w:r w:rsidRPr="003221A7">
        <w:rPr>
          <w:rStyle w:val="a9"/>
          <w:rFonts w:asciiTheme="majorHAnsi" w:hAnsiTheme="majorHAnsi" w:cstheme="majorHAnsi"/>
          <w:lang w:val="ru-MD"/>
        </w:rPr>
        <w:footnoteRef/>
      </w:r>
      <w:r w:rsidRPr="003221A7">
        <w:rPr>
          <w:rFonts w:asciiTheme="majorHAnsi" w:hAnsiTheme="majorHAnsi" w:cstheme="majorHAnsi"/>
          <w:sz w:val="20"/>
          <w:lang w:val="ru-MD"/>
        </w:rPr>
        <w:t xml:space="preserve"> </w:t>
      </w:r>
      <w:r w:rsidRPr="003221A7">
        <w:rPr>
          <w:rFonts w:asciiTheme="majorHAnsi" w:hAnsiTheme="majorHAnsi" w:cstheme="majorHAnsi"/>
          <w:sz w:val="20"/>
          <w:vertAlign w:val="baseline"/>
          <w:lang w:val="ru-MD"/>
        </w:rPr>
        <w:t>8042208425.02; 8042208425.03.</w:t>
      </w:r>
    </w:p>
  </w:footnote>
  <w:footnote w:id="17">
    <w:p w14:paraId="245A7645" w14:textId="77777777" w:rsidR="001924A7" w:rsidRPr="003221A7" w:rsidRDefault="001924A7" w:rsidP="00485956">
      <w:pPr>
        <w:pStyle w:val="a5"/>
        <w:jc w:val="both"/>
        <w:rPr>
          <w:rFonts w:asciiTheme="majorHAnsi" w:hAnsiTheme="majorHAnsi" w:cstheme="majorHAnsi"/>
          <w:sz w:val="20"/>
          <w:vertAlign w:val="baseline"/>
          <w:lang w:val="ru-MD"/>
        </w:rPr>
      </w:pPr>
      <w:r w:rsidRPr="003221A7">
        <w:rPr>
          <w:rStyle w:val="a9"/>
          <w:rFonts w:asciiTheme="majorHAnsi" w:hAnsiTheme="majorHAnsi" w:cstheme="majorHAnsi"/>
          <w:lang w:val="ru-MD"/>
        </w:rPr>
        <w:footnoteRef/>
      </w:r>
      <w:r w:rsidRPr="003221A7">
        <w:rPr>
          <w:rFonts w:asciiTheme="majorHAnsi" w:hAnsiTheme="majorHAnsi" w:cstheme="majorHAnsi"/>
          <w:sz w:val="20"/>
          <w:vertAlign w:val="baseline"/>
          <w:lang w:val="ru-MD"/>
        </w:rPr>
        <w:t xml:space="preserve"> 8042208425.05.</w:t>
      </w:r>
    </w:p>
  </w:footnote>
  <w:footnote w:id="18">
    <w:p w14:paraId="0575BB58" w14:textId="08A35595" w:rsidR="001924A7" w:rsidRPr="003221A7" w:rsidRDefault="001924A7" w:rsidP="00F27552">
      <w:pPr>
        <w:pStyle w:val="a5"/>
        <w:jc w:val="both"/>
        <w:rPr>
          <w:rFonts w:asciiTheme="majorHAnsi" w:hAnsiTheme="majorHAnsi" w:cstheme="majorHAnsi"/>
          <w:sz w:val="20"/>
          <w:lang w:val="ru-MD"/>
        </w:rPr>
      </w:pPr>
      <w:r w:rsidRPr="003221A7">
        <w:rPr>
          <w:rStyle w:val="a9"/>
          <w:rFonts w:asciiTheme="majorHAnsi" w:hAnsiTheme="majorHAnsi" w:cstheme="majorHAnsi"/>
          <w:lang w:val="ru-MD"/>
        </w:rPr>
        <w:footnoteRef/>
      </w:r>
      <w:r w:rsidRPr="003221A7">
        <w:rPr>
          <w:rFonts w:asciiTheme="majorHAnsi" w:hAnsiTheme="majorHAnsi" w:cstheme="majorHAnsi"/>
          <w:sz w:val="20"/>
          <w:lang w:val="ru-MD"/>
        </w:rPr>
        <w:t xml:space="preserve"> </w:t>
      </w:r>
      <w:r w:rsidRPr="003221A7">
        <w:rPr>
          <w:rFonts w:asciiTheme="majorHAnsi" w:hAnsiTheme="majorHAnsi" w:cstheme="majorHAnsi"/>
          <w:color w:val="000000" w:themeColor="text1"/>
          <w:sz w:val="20"/>
          <w:vertAlign w:val="baseline"/>
          <w:lang w:val="ru-MD"/>
        </w:rPr>
        <w:t>В 2021 году –  82,2 тыс. леев, в 2022 году – 82,3 тыс. леев, в 2023 году – 41,1 тыс. леев.</w:t>
      </w:r>
    </w:p>
  </w:footnote>
  <w:footnote w:id="19">
    <w:p w14:paraId="289C3E8D" w14:textId="74BFD131" w:rsidR="001924A7" w:rsidRPr="003221A7" w:rsidRDefault="001924A7" w:rsidP="00BF2A2F">
      <w:pPr>
        <w:pStyle w:val="a5"/>
        <w:jc w:val="both"/>
        <w:rPr>
          <w:rFonts w:asciiTheme="majorHAnsi" w:hAnsiTheme="majorHAnsi" w:cstheme="majorHAnsi"/>
          <w:sz w:val="20"/>
          <w:vertAlign w:val="baseline"/>
          <w:lang w:val="ru-MD"/>
        </w:rPr>
      </w:pPr>
      <w:r w:rsidRPr="003221A7">
        <w:rPr>
          <w:rStyle w:val="a9"/>
          <w:rFonts w:asciiTheme="majorHAnsi" w:hAnsiTheme="majorHAnsi" w:cstheme="majorHAnsi"/>
          <w:lang w:val="ru-MD"/>
        </w:rPr>
        <w:footnoteRef/>
      </w:r>
      <w:r w:rsidRPr="003221A7">
        <w:rPr>
          <w:rFonts w:asciiTheme="majorHAnsi" w:hAnsiTheme="majorHAnsi" w:cstheme="majorHAnsi"/>
          <w:sz w:val="20"/>
          <w:lang w:val="ru-MD"/>
        </w:rPr>
        <w:t xml:space="preserve"> </w:t>
      </w:r>
      <w:r w:rsidRPr="003221A7">
        <w:rPr>
          <w:rFonts w:asciiTheme="majorHAnsi" w:hAnsiTheme="majorHAnsi" w:cstheme="majorHAnsi"/>
          <w:sz w:val="20"/>
          <w:vertAlign w:val="baseline"/>
          <w:lang w:val="ru-MD"/>
        </w:rPr>
        <w:t>НСБУ Расходы, Приложение №3, п.9.</w:t>
      </w:r>
    </w:p>
  </w:footnote>
  <w:footnote w:id="20">
    <w:p w14:paraId="4077A138" w14:textId="7E898142" w:rsidR="001924A7" w:rsidRPr="00BF2A2F" w:rsidRDefault="001924A7" w:rsidP="00F27552">
      <w:pPr>
        <w:tabs>
          <w:tab w:val="left" w:pos="284"/>
          <w:tab w:val="left" w:pos="993"/>
        </w:tabs>
        <w:spacing w:after="0" w:line="240" w:lineRule="auto"/>
        <w:jc w:val="both"/>
        <w:rPr>
          <w:rFonts w:asciiTheme="majorHAnsi" w:hAnsiTheme="majorHAnsi" w:cstheme="majorHAnsi"/>
          <w:sz w:val="20"/>
          <w:szCs w:val="20"/>
          <w:lang w:val="ro-MD"/>
        </w:rPr>
      </w:pPr>
      <w:r w:rsidRPr="003221A7">
        <w:rPr>
          <w:rStyle w:val="a9"/>
          <w:rFonts w:asciiTheme="majorHAnsi" w:hAnsiTheme="majorHAnsi" w:cstheme="majorHAnsi"/>
          <w:szCs w:val="20"/>
          <w:lang w:val="ru-MD"/>
        </w:rPr>
        <w:footnoteRef/>
      </w:r>
      <w:r w:rsidRPr="003221A7">
        <w:rPr>
          <w:rFonts w:asciiTheme="majorHAnsi" w:hAnsiTheme="majorHAnsi" w:cstheme="majorHAnsi"/>
          <w:sz w:val="20"/>
          <w:szCs w:val="20"/>
          <w:lang w:val="ru-MD"/>
        </w:rPr>
        <w:t xml:space="preserve"> ПП №338 от 21.03.2003 „Об утверждении Каталога основных средств и нематериальных активов”; Приказ Министерства финансов №77 от 29.06.2022 „Об утверждении Каталога основных средств и нематериальных активов для бюджетных органов/учреждений”.</w:t>
      </w:r>
    </w:p>
  </w:footnote>
  <w:footnote w:id="21">
    <w:p w14:paraId="7BC96645" w14:textId="4754AB0E" w:rsidR="001924A7" w:rsidRPr="00BF2A2F" w:rsidRDefault="001924A7" w:rsidP="00BF2A2F">
      <w:pPr>
        <w:pStyle w:val="a5"/>
        <w:jc w:val="both"/>
        <w:rPr>
          <w:rFonts w:asciiTheme="majorHAnsi" w:hAnsiTheme="majorHAnsi" w:cstheme="majorHAnsi"/>
          <w:sz w:val="20"/>
          <w:vertAlign w:val="baseline"/>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Pr>
          <w:rFonts w:asciiTheme="majorHAnsi" w:hAnsiTheme="majorHAnsi" w:cstheme="majorHAnsi"/>
          <w:sz w:val="20"/>
          <w:vertAlign w:val="baseline"/>
          <w:lang w:val="ro-MD"/>
        </w:rPr>
        <w:t>Ст</w:t>
      </w:r>
      <w:r w:rsidRPr="00BF2A2F">
        <w:rPr>
          <w:rFonts w:asciiTheme="majorHAnsi" w:hAnsiTheme="majorHAnsi" w:cstheme="majorHAnsi"/>
          <w:sz w:val="20"/>
          <w:vertAlign w:val="baseline"/>
          <w:lang w:val="ro-MD"/>
        </w:rPr>
        <w:t xml:space="preserve">.14 </w:t>
      </w:r>
      <w:r>
        <w:rPr>
          <w:rFonts w:asciiTheme="majorHAnsi" w:hAnsiTheme="majorHAnsi" w:cstheme="majorHAnsi"/>
          <w:sz w:val="20"/>
          <w:vertAlign w:val="baseline"/>
          <w:lang w:val="ru-RU"/>
        </w:rPr>
        <w:t>Закона о приватизации жилищного фонда №</w:t>
      </w:r>
      <w:r w:rsidRPr="00BF2A2F">
        <w:rPr>
          <w:rFonts w:asciiTheme="majorHAnsi" w:hAnsiTheme="majorHAnsi" w:cstheme="majorHAnsi"/>
          <w:sz w:val="20"/>
          <w:vertAlign w:val="baseline"/>
          <w:lang w:val="ro-MD"/>
        </w:rPr>
        <w:t>1324 от 10.03.1993.</w:t>
      </w:r>
    </w:p>
  </w:footnote>
  <w:footnote w:id="22">
    <w:p w14:paraId="66E7A2D8" w14:textId="082D45C6" w:rsidR="001924A7" w:rsidRPr="00BF2A2F" w:rsidRDefault="001924A7" w:rsidP="00BF2A2F">
      <w:pPr>
        <w:pStyle w:val="a5"/>
        <w:jc w:val="both"/>
        <w:rPr>
          <w:rFonts w:asciiTheme="majorHAnsi" w:hAnsiTheme="majorHAnsi" w:cstheme="majorHAnsi"/>
          <w:sz w:val="20"/>
          <w:vertAlign w:val="baseline"/>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Pr>
          <w:rFonts w:asciiTheme="majorHAnsi" w:hAnsiTheme="majorHAnsi" w:cstheme="majorHAnsi"/>
          <w:sz w:val="20"/>
          <w:vertAlign w:val="baseline"/>
          <w:lang w:val="ro-MD"/>
        </w:rPr>
        <w:t>Ст</w:t>
      </w:r>
      <w:r w:rsidRPr="00BF2A2F">
        <w:rPr>
          <w:rFonts w:asciiTheme="majorHAnsi" w:hAnsiTheme="majorHAnsi" w:cstheme="majorHAnsi"/>
          <w:sz w:val="20"/>
          <w:vertAlign w:val="baseline"/>
          <w:lang w:val="ro-MD"/>
        </w:rPr>
        <w:t xml:space="preserve">.17 </w:t>
      </w:r>
      <w:r w:rsidRPr="00B0309C">
        <w:rPr>
          <w:rFonts w:asciiTheme="majorHAnsi" w:hAnsiTheme="majorHAnsi" w:cstheme="majorHAnsi"/>
          <w:sz w:val="20"/>
          <w:vertAlign w:val="baseline"/>
          <w:lang w:val="ro-MD"/>
        </w:rPr>
        <w:t xml:space="preserve">Закона об управлении публичной собственностью и ее разгосударствлении </w:t>
      </w:r>
      <w:r>
        <w:rPr>
          <w:rFonts w:asciiTheme="majorHAnsi" w:hAnsiTheme="majorHAnsi" w:cstheme="majorHAnsi"/>
          <w:sz w:val="20"/>
          <w:vertAlign w:val="baseline"/>
          <w:lang w:val="ru-RU"/>
        </w:rPr>
        <w:t>№</w:t>
      </w:r>
      <w:r w:rsidRPr="00BF2A2F">
        <w:rPr>
          <w:rFonts w:asciiTheme="majorHAnsi" w:hAnsiTheme="majorHAnsi" w:cstheme="majorHAnsi"/>
          <w:sz w:val="20"/>
          <w:vertAlign w:val="baseline"/>
          <w:lang w:val="ro-MD"/>
        </w:rPr>
        <w:t>121 от 04.05.2007.</w:t>
      </w:r>
    </w:p>
  </w:footnote>
  <w:footnote w:id="23">
    <w:p w14:paraId="6C3B16BA" w14:textId="056C580A" w:rsidR="001924A7" w:rsidRPr="00BF2A2F" w:rsidRDefault="001924A7" w:rsidP="002A13D1">
      <w:pPr>
        <w:pStyle w:val="a5"/>
        <w:jc w:val="both"/>
        <w:rPr>
          <w:rFonts w:asciiTheme="majorHAnsi" w:hAnsiTheme="majorHAnsi" w:cstheme="majorHAnsi"/>
          <w:sz w:val="20"/>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sidRPr="00EB108A">
        <w:rPr>
          <w:rFonts w:asciiTheme="majorHAnsi" w:hAnsiTheme="majorHAnsi" w:cstheme="majorHAnsi"/>
          <w:sz w:val="20"/>
          <w:vertAlign w:val="baseline"/>
          <w:lang w:val="ro-MD"/>
        </w:rPr>
        <w:t>Приложение №</w:t>
      </w:r>
      <w:r w:rsidRPr="00BF2A2F">
        <w:rPr>
          <w:rFonts w:asciiTheme="majorHAnsi" w:hAnsiTheme="majorHAnsi" w:cstheme="majorHAnsi"/>
          <w:sz w:val="20"/>
          <w:vertAlign w:val="baseline"/>
          <w:lang w:val="ro-MD"/>
        </w:rPr>
        <w:t xml:space="preserve">1 </w:t>
      </w:r>
      <w:r w:rsidRPr="00EB108A">
        <w:rPr>
          <w:rFonts w:asciiTheme="majorHAnsi" w:hAnsiTheme="majorHAnsi" w:cstheme="majorHAnsi"/>
          <w:sz w:val="20"/>
          <w:vertAlign w:val="baseline"/>
          <w:lang w:val="ro-MD"/>
        </w:rPr>
        <w:t>к</w:t>
      </w:r>
      <w:r w:rsidRPr="00BF2A2F">
        <w:rPr>
          <w:rFonts w:asciiTheme="majorHAnsi" w:hAnsiTheme="majorHAnsi" w:cstheme="majorHAnsi"/>
          <w:sz w:val="20"/>
          <w:vertAlign w:val="baseline"/>
          <w:lang w:val="ro-MD"/>
        </w:rPr>
        <w:t xml:space="preserve"> ПП №161 от 07.03.2019 „</w:t>
      </w:r>
      <w:r w:rsidRPr="00EB108A">
        <w:rPr>
          <w:rFonts w:asciiTheme="majorHAnsi" w:hAnsiTheme="majorHAnsi" w:cstheme="majorHAnsi"/>
          <w:sz w:val="20"/>
          <w:vertAlign w:val="baseline"/>
          <w:lang w:val="ro-MD"/>
        </w:rPr>
        <w:t>Об утверждении Перечня земельных участков публичной собственности государства, находящихся в управлении Агентства публичной собственности</w:t>
      </w:r>
      <w:r w:rsidRPr="00BF2A2F">
        <w:rPr>
          <w:rFonts w:asciiTheme="majorHAnsi" w:hAnsiTheme="majorHAnsi" w:cstheme="majorHAnsi"/>
          <w:sz w:val="20"/>
          <w:vertAlign w:val="baseline"/>
          <w:lang w:val="ro-MD"/>
        </w:rPr>
        <w:t>”.</w:t>
      </w:r>
    </w:p>
  </w:footnote>
  <w:footnote w:id="24">
    <w:p w14:paraId="4683DBF6" w14:textId="2CDAE7F0" w:rsidR="001924A7" w:rsidRPr="00BF2A2F" w:rsidRDefault="001924A7" w:rsidP="00F672E7">
      <w:pPr>
        <w:pStyle w:val="a5"/>
        <w:jc w:val="both"/>
        <w:rPr>
          <w:rFonts w:asciiTheme="majorHAnsi" w:hAnsiTheme="majorHAnsi" w:cstheme="majorHAnsi"/>
          <w:sz w:val="20"/>
          <w:vertAlign w:val="baseline"/>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Pr>
          <w:rFonts w:asciiTheme="majorHAnsi" w:hAnsiTheme="majorHAnsi" w:cstheme="majorHAnsi"/>
          <w:sz w:val="20"/>
          <w:vertAlign w:val="baseline"/>
          <w:lang w:val="ru-RU"/>
        </w:rPr>
        <w:t>Закон о разграничении публичной собственности №</w:t>
      </w:r>
      <w:r w:rsidRPr="00BF2A2F">
        <w:rPr>
          <w:rFonts w:asciiTheme="majorHAnsi" w:hAnsiTheme="majorHAnsi" w:cstheme="majorHAnsi"/>
          <w:sz w:val="20"/>
          <w:vertAlign w:val="baseline"/>
          <w:lang w:val="ro-MD"/>
        </w:rPr>
        <w:t>29 от 05.04.2018.</w:t>
      </w:r>
    </w:p>
  </w:footnote>
  <w:footnote w:id="25">
    <w:p w14:paraId="1CE4B666" w14:textId="422F7231" w:rsidR="001924A7" w:rsidRPr="00BF2A2F" w:rsidRDefault="001924A7" w:rsidP="00EB108A">
      <w:pPr>
        <w:pStyle w:val="a5"/>
        <w:jc w:val="both"/>
        <w:rPr>
          <w:rFonts w:asciiTheme="majorHAnsi" w:hAnsiTheme="majorHAnsi" w:cstheme="majorHAnsi"/>
          <w:sz w:val="20"/>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vertAlign w:val="baseline"/>
          <w:lang w:val="ro-MD"/>
        </w:rPr>
        <w:t xml:space="preserve"> </w:t>
      </w:r>
      <w:r w:rsidRPr="00EB108A">
        <w:rPr>
          <w:rFonts w:asciiTheme="majorHAnsi" w:hAnsiTheme="majorHAnsi" w:cstheme="majorHAnsi"/>
          <w:sz w:val="20"/>
          <w:vertAlign w:val="baseline"/>
          <w:lang w:val="ro-MD"/>
        </w:rPr>
        <w:t>Закон о нормативной цене и порядке купли-продажи земли №1308 от 25.07.1997, с последующими изменениями</w:t>
      </w:r>
      <w:r w:rsidRPr="00BF2A2F">
        <w:rPr>
          <w:rFonts w:asciiTheme="majorHAnsi" w:hAnsiTheme="majorHAnsi" w:cstheme="majorHAnsi"/>
          <w:sz w:val="20"/>
          <w:vertAlign w:val="baseline"/>
          <w:lang w:val="ro-MD"/>
        </w:rPr>
        <w:t>.</w:t>
      </w:r>
    </w:p>
  </w:footnote>
  <w:footnote w:id="26">
    <w:p w14:paraId="1102E721" w14:textId="07D81A8D" w:rsidR="001924A7" w:rsidRPr="00BF2A2F" w:rsidRDefault="001924A7" w:rsidP="002B3BC4">
      <w:pPr>
        <w:pStyle w:val="a5"/>
        <w:jc w:val="both"/>
        <w:rPr>
          <w:rFonts w:asciiTheme="majorHAnsi" w:hAnsiTheme="majorHAnsi" w:cstheme="majorHAnsi"/>
          <w:sz w:val="20"/>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sidRPr="00BF2A2F">
        <w:rPr>
          <w:rFonts w:asciiTheme="majorHAnsi" w:hAnsiTheme="majorHAnsi" w:cstheme="majorHAnsi"/>
          <w:sz w:val="20"/>
          <w:vertAlign w:val="baseline"/>
          <w:lang w:val="ro-MD"/>
        </w:rPr>
        <w:t>ПП №949 от 25.11.2013 „</w:t>
      </w:r>
      <w:r w:rsidRPr="00224786">
        <w:rPr>
          <w:rFonts w:asciiTheme="majorHAnsi" w:hAnsiTheme="majorHAnsi" w:cstheme="majorHAnsi"/>
          <w:sz w:val="20"/>
          <w:vertAlign w:val="baseline"/>
          <w:lang w:val="ro-MD"/>
        </w:rPr>
        <w:t xml:space="preserve">Об утверждении </w:t>
      </w:r>
      <w:r w:rsidRPr="00224786">
        <w:rPr>
          <w:rFonts w:asciiTheme="majorHAnsi" w:hAnsiTheme="majorHAnsi" w:cstheme="majorHAnsi"/>
          <w:sz w:val="20"/>
          <w:vertAlign w:val="baseline"/>
          <w:lang w:val="ru-RU"/>
        </w:rPr>
        <w:t>Положени</w:t>
      </w:r>
      <w:r>
        <w:rPr>
          <w:rFonts w:asciiTheme="majorHAnsi" w:hAnsiTheme="majorHAnsi" w:cstheme="majorHAnsi"/>
          <w:sz w:val="20"/>
          <w:vertAlign w:val="baseline"/>
          <w:lang w:val="ru-RU"/>
        </w:rPr>
        <w:t>я</w:t>
      </w:r>
      <w:r w:rsidRPr="00224786">
        <w:rPr>
          <w:rFonts w:asciiTheme="majorHAnsi" w:hAnsiTheme="majorHAnsi" w:cstheme="majorHAnsi"/>
          <w:sz w:val="20"/>
          <w:vertAlign w:val="baseline"/>
          <w:lang w:val="ru-RU"/>
        </w:rPr>
        <w:t xml:space="preserve"> о зонах санитарной охраны водозаборов</w:t>
      </w:r>
      <w:r w:rsidRPr="00BF2A2F">
        <w:rPr>
          <w:rFonts w:asciiTheme="majorHAnsi" w:hAnsiTheme="majorHAnsi" w:cstheme="majorHAnsi"/>
          <w:sz w:val="20"/>
          <w:vertAlign w:val="baseline"/>
          <w:lang w:val="ro-MD"/>
        </w:rPr>
        <w:t>”.</w:t>
      </w:r>
    </w:p>
  </w:footnote>
  <w:footnote w:id="27">
    <w:p w14:paraId="3F9102FB" w14:textId="2F2BFDBA" w:rsidR="001924A7" w:rsidRPr="00BF2A2F" w:rsidRDefault="001924A7" w:rsidP="00E411AC">
      <w:pPr>
        <w:pStyle w:val="a5"/>
        <w:jc w:val="both"/>
        <w:rPr>
          <w:rFonts w:asciiTheme="majorHAnsi" w:hAnsiTheme="majorHAnsi" w:cstheme="majorHAnsi"/>
          <w:sz w:val="20"/>
          <w:vertAlign w:val="baseline"/>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Pr>
          <w:rFonts w:asciiTheme="majorHAnsi" w:hAnsiTheme="majorHAnsi" w:cstheme="majorHAnsi"/>
          <w:sz w:val="20"/>
          <w:vertAlign w:val="baseline"/>
          <w:lang w:val="ru-RU"/>
        </w:rPr>
        <w:t>Приказ</w:t>
      </w:r>
      <w:r w:rsidRPr="006A2C5C">
        <w:rPr>
          <w:rFonts w:asciiTheme="majorHAnsi" w:hAnsiTheme="majorHAnsi" w:cstheme="majorHAnsi"/>
          <w:sz w:val="20"/>
          <w:vertAlign w:val="baseline"/>
          <w:lang w:val="ru-RU"/>
        </w:rPr>
        <w:t xml:space="preserve"> </w:t>
      </w:r>
      <w:r>
        <w:rPr>
          <w:rFonts w:asciiTheme="majorHAnsi" w:hAnsiTheme="majorHAnsi" w:cstheme="majorHAnsi"/>
          <w:sz w:val="20"/>
          <w:vertAlign w:val="baseline"/>
          <w:lang w:val="ru-RU"/>
        </w:rPr>
        <w:t>МЗ</w:t>
      </w:r>
      <w:r w:rsidRPr="006A2C5C">
        <w:rPr>
          <w:rFonts w:asciiTheme="majorHAnsi" w:hAnsiTheme="majorHAnsi" w:cstheme="majorHAnsi"/>
          <w:sz w:val="20"/>
          <w:vertAlign w:val="baseline"/>
          <w:lang w:val="ru-RU"/>
        </w:rPr>
        <w:t xml:space="preserve"> №</w:t>
      </w:r>
      <w:r w:rsidRPr="00BF2A2F">
        <w:rPr>
          <w:rFonts w:asciiTheme="majorHAnsi" w:hAnsiTheme="majorHAnsi" w:cstheme="majorHAnsi"/>
          <w:sz w:val="20"/>
          <w:vertAlign w:val="baseline"/>
          <w:lang w:val="ro-MD"/>
        </w:rPr>
        <w:t>163 от 01.02.2013.</w:t>
      </w:r>
    </w:p>
  </w:footnote>
  <w:footnote w:id="28">
    <w:p w14:paraId="1563C035" w14:textId="7A3A5ED0" w:rsidR="001924A7" w:rsidRPr="00BF2A2F" w:rsidRDefault="001924A7" w:rsidP="00E50618">
      <w:pPr>
        <w:pStyle w:val="a5"/>
        <w:jc w:val="both"/>
        <w:rPr>
          <w:rFonts w:asciiTheme="majorHAnsi" w:hAnsiTheme="majorHAnsi" w:cstheme="majorHAnsi"/>
          <w:sz w:val="20"/>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Pr>
          <w:rFonts w:asciiTheme="majorHAnsi" w:hAnsiTheme="majorHAnsi" w:cstheme="majorHAnsi"/>
          <w:color w:val="000000" w:themeColor="text1"/>
          <w:sz w:val="20"/>
          <w:vertAlign w:val="baseline"/>
          <w:lang w:val="ru-RU"/>
        </w:rPr>
        <w:t>Приказ</w:t>
      </w:r>
      <w:r w:rsidRPr="009A5A63">
        <w:rPr>
          <w:rFonts w:asciiTheme="majorHAnsi" w:hAnsiTheme="majorHAnsi" w:cstheme="majorHAnsi"/>
          <w:color w:val="000000" w:themeColor="text1"/>
          <w:sz w:val="20"/>
          <w:vertAlign w:val="baseline"/>
          <w:lang w:val="ru-RU"/>
        </w:rPr>
        <w:t xml:space="preserve"> </w:t>
      </w:r>
      <w:r>
        <w:rPr>
          <w:rFonts w:asciiTheme="majorHAnsi" w:hAnsiTheme="majorHAnsi" w:cstheme="majorHAnsi"/>
          <w:color w:val="000000" w:themeColor="text1"/>
          <w:sz w:val="20"/>
          <w:vertAlign w:val="baseline"/>
          <w:lang w:val="ru-RU"/>
        </w:rPr>
        <w:t>МЗ</w:t>
      </w:r>
      <w:r w:rsidRPr="009A5A63">
        <w:rPr>
          <w:rFonts w:asciiTheme="majorHAnsi" w:hAnsiTheme="majorHAnsi" w:cstheme="majorHAnsi"/>
          <w:color w:val="000000" w:themeColor="text1"/>
          <w:sz w:val="20"/>
          <w:vertAlign w:val="baseline"/>
          <w:lang w:val="ru-RU"/>
        </w:rPr>
        <w:t xml:space="preserve"> №</w:t>
      </w:r>
      <w:r w:rsidRPr="00BF2A2F">
        <w:rPr>
          <w:rFonts w:asciiTheme="majorHAnsi" w:hAnsiTheme="majorHAnsi" w:cstheme="majorHAnsi"/>
          <w:color w:val="000000" w:themeColor="text1"/>
          <w:sz w:val="20"/>
          <w:vertAlign w:val="baseline"/>
          <w:lang w:val="ro-MD"/>
        </w:rPr>
        <w:t>381 от 21.04.2022 „</w:t>
      </w:r>
      <w:r w:rsidRPr="001D1AC2">
        <w:rPr>
          <w:rFonts w:asciiTheme="majorHAnsi" w:hAnsiTheme="majorHAnsi" w:cstheme="majorHAnsi"/>
          <w:color w:val="000000" w:themeColor="text1"/>
          <w:sz w:val="20"/>
          <w:vertAlign w:val="baseline"/>
          <w:lang w:val="ro-MD"/>
        </w:rPr>
        <w:t>О создании рабочей группы</w:t>
      </w:r>
      <w:r w:rsidRPr="00BF2A2F">
        <w:rPr>
          <w:rFonts w:asciiTheme="majorHAnsi" w:hAnsiTheme="majorHAnsi" w:cstheme="majorHAnsi"/>
          <w:color w:val="000000" w:themeColor="text1"/>
          <w:sz w:val="20"/>
          <w:vertAlign w:val="baseline"/>
          <w:lang w:val="ro-MD"/>
        </w:rPr>
        <w:t>”.</w:t>
      </w:r>
    </w:p>
  </w:footnote>
  <w:footnote w:id="29">
    <w:p w14:paraId="7098F479" w14:textId="693849AB" w:rsidR="001924A7" w:rsidRPr="00BF2A2F" w:rsidRDefault="001924A7" w:rsidP="00FC6750">
      <w:pPr>
        <w:pStyle w:val="a5"/>
        <w:jc w:val="both"/>
        <w:rPr>
          <w:rFonts w:asciiTheme="majorHAnsi" w:hAnsiTheme="majorHAnsi" w:cstheme="majorHAnsi"/>
          <w:sz w:val="20"/>
          <w:vertAlign w:val="baseline"/>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sidRPr="00192231">
        <w:rPr>
          <w:rFonts w:asciiTheme="majorHAnsi" w:hAnsiTheme="majorHAnsi" w:cstheme="majorHAnsi"/>
          <w:color w:val="000000" w:themeColor="text1"/>
          <w:sz w:val="20"/>
          <w:vertAlign w:val="baseline"/>
          <w:lang w:val="ro-MD"/>
        </w:rPr>
        <w:t xml:space="preserve">Градостроительный сертификат № </w:t>
      </w:r>
      <w:r w:rsidRPr="00BF2A2F">
        <w:rPr>
          <w:rFonts w:asciiTheme="majorHAnsi" w:hAnsiTheme="majorHAnsi" w:cstheme="majorHAnsi"/>
          <w:color w:val="000000" w:themeColor="text1"/>
          <w:sz w:val="20"/>
          <w:vertAlign w:val="baseline"/>
          <w:lang w:val="ro-MD"/>
        </w:rPr>
        <w:t xml:space="preserve">9 от 22.05.2006, </w:t>
      </w:r>
      <w:r>
        <w:rPr>
          <w:rFonts w:asciiTheme="majorHAnsi" w:hAnsiTheme="majorHAnsi" w:cstheme="majorHAnsi"/>
          <w:color w:val="000000" w:themeColor="text1"/>
          <w:sz w:val="20"/>
          <w:vertAlign w:val="baseline"/>
          <w:lang w:val="ru-RU"/>
        </w:rPr>
        <w:t>выданный Примэрией с. Ворничень, р-на Стрэшень</w:t>
      </w:r>
      <w:r w:rsidRPr="00BF2A2F">
        <w:rPr>
          <w:rFonts w:asciiTheme="majorHAnsi" w:hAnsiTheme="majorHAnsi" w:cstheme="majorHAnsi"/>
          <w:color w:val="000000" w:themeColor="text1"/>
          <w:sz w:val="20"/>
          <w:vertAlign w:val="baseline"/>
          <w:lang w:val="ro-MD"/>
        </w:rPr>
        <w:t>.</w:t>
      </w:r>
    </w:p>
  </w:footnote>
  <w:footnote w:id="30">
    <w:p w14:paraId="3B57434B" w14:textId="2EE6B3F1" w:rsidR="001924A7" w:rsidRPr="00BF2A2F" w:rsidRDefault="001924A7" w:rsidP="00FC6750">
      <w:pPr>
        <w:pStyle w:val="a5"/>
        <w:jc w:val="both"/>
        <w:rPr>
          <w:rFonts w:asciiTheme="majorHAnsi" w:hAnsiTheme="majorHAnsi" w:cstheme="majorHAnsi"/>
          <w:sz w:val="20"/>
          <w:vertAlign w:val="baseline"/>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vertAlign w:val="baseline"/>
          <w:lang w:val="ro-MD"/>
        </w:rPr>
        <w:t xml:space="preserve"> </w:t>
      </w:r>
      <w:r w:rsidRPr="00192231">
        <w:rPr>
          <w:rFonts w:asciiTheme="majorHAnsi" w:hAnsiTheme="majorHAnsi" w:cstheme="majorHAnsi"/>
          <w:sz w:val="20"/>
          <w:vertAlign w:val="baseline"/>
          <w:lang w:val="ro-MD"/>
        </w:rPr>
        <w:t>Проект исполнения</w:t>
      </w:r>
      <w:r w:rsidRPr="00BF2A2F">
        <w:rPr>
          <w:rFonts w:asciiTheme="majorHAnsi" w:hAnsiTheme="majorHAnsi" w:cstheme="majorHAnsi"/>
          <w:sz w:val="20"/>
          <w:vertAlign w:val="baseline"/>
          <w:lang w:val="ro-MD"/>
        </w:rPr>
        <w:t xml:space="preserve"> „</w:t>
      </w:r>
      <w:r w:rsidRPr="00192231">
        <w:rPr>
          <w:rFonts w:asciiTheme="majorHAnsi" w:hAnsiTheme="majorHAnsi" w:cstheme="majorHAnsi"/>
          <w:sz w:val="20"/>
          <w:vertAlign w:val="baseline"/>
          <w:lang w:val="ro-MD"/>
        </w:rPr>
        <w:t xml:space="preserve">Реконструкция туберкулезной больницы с. Ворничень, р-на Стрэшень. Лечебный корпус №2", разработанный КО </w:t>
      </w:r>
      <w:r w:rsidRPr="00BF2A2F">
        <w:rPr>
          <w:rFonts w:asciiTheme="majorHAnsi" w:hAnsiTheme="majorHAnsi" w:cstheme="majorHAnsi"/>
          <w:sz w:val="20"/>
          <w:vertAlign w:val="baseline"/>
          <w:lang w:val="ro-MD"/>
        </w:rPr>
        <w:t xml:space="preserve">„ROSTRAL” </w:t>
      </w:r>
      <w:r w:rsidRPr="00192231">
        <w:rPr>
          <w:rFonts w:asciiTheme="majorHAnsi" w:hAnsiTheme="majorHAnsi" w:cstheme="majorHAnsi"/>
          <w:sz w:val="20"/>
          <w:vertAlign w:val="baseline"/>
          <w:lang w:val="ro-MD"/>
        </w:rPr>
        <w:t>ООО</w:t>
      </w:r>
      <w:r w:rsidRPr="00BF2A2F">
        <w:rPr>
          <w:rFonts w:asciiTheme="majorHAnsi" w:hAnsiTheme="majorHAnsi" w:cstheme="majorHAnsi"/>
          <w:sz w:val="20"/>
          <w:vertAlign w:val="baseline"/>
          <w:lang w:val="ro-MD"/>
        </w:rPr>
        <w:t>.</w:t>
      </w:r>
    </w:p>
  </w:footnote>
  <w:footnote w:id="31">
    <w:p w14:paraId="3FA4F40D" w14:textId="7349FC1F" w:rsidR="001924A7" w:rsidRPr="00BF2A2F" w:rsidRDefault="001924A7" w:rsidP="00FC6750">
      <w:pPr>
        <w:pStyle w:val="a5"/>
        <w:jc w:val="both"/>
        <w:rPr>
          <w:rFonts w:asciiTheme="majorHAnsi" w:hAnsiTheme="majorHAnsi" w:cstheme="majorHAnsi"/>
          <w:sz w:val="20"/>
          <w:vertAlign w:val="baseline"/>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sidRPr="00192231">
        <w:rPr>
          <w:rFonts w:asciiTheme="majorHAnsi" w:hAnsiTheme="majorHAnsi" w:cstheme="majorHAnsi"/>
          <w:sz w:val="20"/>
          <w:vertAlign w:val="baseline"/>
          <w:lang w:val="ro-MD"/>
        </w:rPr>
        <w:t>Договор подряда №</w:t>
      </w:r>
      <w:r w:rsidRPr="00BF2A2F">
        <w:rPr>
          <w:rFonts w:asciiTheme="majorHAnsi" w:hAnsiTheme="majorHAnsi" w:cstheme="majorHAnsi"/>
          <w:sz w:val="20"/>
          <w:vertAlign w:val="baseline"/>
          <w:lang w:val="ro-MD"/>
        </w:rPr>
        <w:t xml:space="preserve">10 от 24.03.2008, </w:t>
      </w:r>
      <w:r w:rsidRPr="00192231">
        <w:rPr>
          <w:rFonts w:asciiTheme="majorHAnsi" w:hAnsiTheme="majorHAnsi" w:cstheme="majorHAnsi"/>
          <w:sz w:val="20"/>
          <w:vertAlign w:val="baseline"/>
          <w:lang w:val="ro-MD"/>
        </w:rPr>
        <w:t>заключенный с Министерством здравоохранения</w:t>
      </w:r>
      <w:r w:rsidRPr="00BF2A2F">
        <w:rPr>
          <w:rFonts w:asciiTheme="majorHAnsi" w:hAnsiTheme="majorHAnsi" w:cstheme="majorHAnsi"/>
          <w:sz w:val="20"/>
          <w:vertAlign w:val="baseline"/>
          <w:lang w:val="ro-MD"/>
        </w:rPr>
        <w:t>.</w:t>
      </w:r>
    </w:p>
  </w:footnote>
  <w:footnote w:id="32">
    <w:p w14:paraId="2F1008A6" w14:textId="64267D9C" w:rsidR="001924A7" w:rsidRPr="00BF2A2F" w:rsidRDefault="001924A7" w:rsidP="00FC6750">
      <w:pPr>
        <w:pStyle w:val="a5"/>
        <w:jc w:val="both"/>
        <w:rPr>
          <w:rFonts w:asciiTheme="majorHAnsi" w:hAnsiTheme="majorHAnsi" w:cstheme="majorHAnsi"/>
          <w:sz w:val="20"/>
          <w:vertAlign w:val="baseline"/>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vertAlign w:val="baseline"/>
          <w:lang w:val="ro-MD"/>
        </w:rPr>
        <w:t xml:space="preserve"> </w:t>
      </w:r>
      <w:r w:rsidRPr="00192231">
        <w:rPr>
          <w:rFonts w:asciiTheme="majorHAnsi" w:hAnsiTheme="majorHAnsi" w:cstheme="majorHAnsi"/>
          <w:sz w:val="20"/>
          <w:vertAlign w:val="baseline"/>
          <w:lang w:val="ro-MD"/>
        </w:rPr>
        <w:t>Кадастровый №</w:t>
      </w:r>
      <w:r w:rsidRPr="00BF2A2F">
        <w:rPr>
          <w:rFonts w:asciiTheme="majorHAnsi" w:hAnsiTheme="majorHAnsi" w:cstheme="majorHAnsi"/>
          <w:color w:val="000000" w:themeColor="text1"/>
          <w:sz w:val="20"/>
          <w:vertAlign w:val="baseline"/>
          <w:lang w:val="ro-MD"/>
        </w:rPr>
        <w:t xml:space="preserve">8042208387.12 </w:t>
      </w:r>
      <w:r w:rsidRPr="00192231">
        <w:rPr>
          <w:rFonts w:asciiTheme="majorHAnsi" w:hAnsiTheme="majorHAnsi" w:cstheme="majorHAnsi"/>
          <w:color w:val="000000" w:themeColor="text1"/>
          <w:sz w:val="20"/>
          <w:vertAlign w:val="baseline"/>
          <w:lang w:val="ro-MD"/>
        </w:rPr>
        <w:t>площадью</w:t>
      </w:r>
      <w:r w:rsidRPr="00BF2A2F">
        <w:rPr>
          <w:rFonts w:asciiTheme="majorHAnsi" w:hAnsiTheme="majorHAnsi" w:cstheme="majorHAnsi"/>
          <w:color w:val="000000" w:themeColor="text1"/>
          <w:sz w:val="20"/>
          <w:vertAlign w:val="baseline"/>
          <w:lang w:val="ro-MD"/>
        </w:rPr>
        <w:t xml:space="preserve"> 509,3 </w:t>
      </w:r>
      <w:r w:rsidRPr="00192231">
        <w:rPr>
          <w:rFonts w:asciiTheme="majorHAnsi" w:hAnsiTheme="majorHAnsi" w:cstheme="majorHAnsi"/>
          <w:color w:val="000000" w:themeColor="text1"/>
          <w:sz w:val="20"/>
          <w:vertAlign w:val="baseline"/>
          <w:lang w:val="ro-MD"/>
        </w:rPr>
        <w:t>кв</w:t>
      </w:r>
      <w:r w:rsidRPr="00BF2A2F">
        <w:rPr>
          <w:rFonts w:asciiTheme="majorHAnsi" w:hAnsiTheme="majorHAnsi" w:cstheme="majorHAnsi"/>
          <w:color w:val="000000" w:themeColor="text1"/>
          <w:sz w:val="20"/>
          <w:vertAlign w:val="baseline"/>
          <w:lang w:val="ro-MD"/>
        </w:rPr>
        <w:t>.</w:t>
      </w:r>
      <w:r w:rsidRPr="00192231">
        <w:rPr>
          <w:rFonts w:asciiTheme="majorHAnsi" w:hAnsiTheme="majorHAnsi" w:cstheme="majorHAnsi"/>
          <w:color w:val="000000" w:themeColor="text1"/>
          <w:sz w:val="20"/>
          <w:vertAlign w:val="baseline"/>
          <w:lang w:val="ro-MD"/>
        </w:rPr>
        <w:t>м</w:t>
      </w:r>
      <w:r w:rsidRPr="00BF2A2F">
        <w:rPr>
          <w:rFonts w:asciiTheme="majorHAnsi" w:hAnsiTheme="majorHAnsi" w:cstheme="majorHAnsi"/>
          <w:color w:val="000000" w:themeColor="text1"/>
          <w:sz w:val="20"/>
          <w:vertAlign w:val="baseline"/>
          <w:lang w:val="ro-MD"/>
        </w:rPr>
        <w:t xml:space="preserve">. </w:t>
      </w:r>
      <w:r>
        <w:rPr>
          <w:rFonts w:asciiTheme="majorHAnsi" w:hAnsiTheme="majorHAnsi" w:cstheme="majorHAnsi"/>
          <w:color w:val="000000" w:themeColor="text1"/>
          <w:sz w:val="20"/>
          <w:vertAlign w:val="baseline"/>
          <w:lang w:val="ru-RU"/>
        </w:rPr>
        <w:t>и</w:t>
      </w:r>
      <w:r w:rsidRPr="00BF2A2F">
        <w:rPr>
          <w:rFonts w:asciiTheme="majorHAnsi" w:hAnsiTheme="majorHAnsi" w:cstheme="majorHAnsi"/>
          <w:color w:val="000000" w:themeColor="text1"/>
          <w:sz w:val="20"/>
          <w:vertAlign w:val="baseline"/>
          <w:lang w:val="ro-MD"/>
        </w:rPr>
        <w:t xml:space="preserve"> 8042208387.13 </w:t>
      </w:r>
      <w:r>
        <w:rPr>
          <w:rFonts w:asciiTheme="majorHAnsi" w:hAnsiTheme="majorHAnsi" w:cstheme="majorHAnsi"/>
          <w:color w:val="000000" w:themeColor="text1"/>
          <w:sz w:val="20"/>
          <w:vertAlign w:val="baseline"/>
          <w:lang w:val="ru-RU"/>
        </w:rPr>
        <w:t>площадью</w:t>
      </w:r>
      <w:r w:rsidRPr="00BF2A2F">
        <w:rPr>
          <w:rFonts w:asciiTheme="majorHAnsi" w:hAnsiTheme="majorHAnsi" w:cstheme="majorHAnsi"/>
          <w:color w:val="000000" w:themeColor="text1"/>
          <w:sz w:val="20"/>
          <w:vertAlign w:val="baseline"/>
          <w:lang w:val="ro-MD"/>
        </w:rPr>
        <w:t xml:space="preserve"> 1135,20 </w:t>
      </w:r>
      <w:r>
        <w:rPr>
          <w:rFonts w:asciiTheme="majorHAnsi" w:hAnsiTheme="majorHAnsi" w:cstheme="majorHAnsi"/>
          <w:color w:val="000000" w:themeColor="text1"/>
          <w:sz w:val="20"/>
          <w:vertAlign w:val="baseline"/>
          <w:lang w:val="ru-RU"/>
        </w:rPr>
        <w:t>кв</w:t>
      </w:r>
      <w:r w:rsidRPr="00BF2A2F">
        <w:rPr>
          <w:rFonts w:asciiTheme="majorHAnsi" w:hAnsiTheme="majorHAnsi" w:cstheme="majorHAnsi"/>
          <w:color w:val="000000" w:themeColor="text1"/>
          <w:sz w:val="20"/>
          <w:vertAlign w:val="baseline"/>
          <w:lang w:val="ro-MD"/>
        </w:rPr>
        <w:t>.</w:t>
      </w:r>
      <w:r>
        <w:rPr>
          <w:rFonts w:asciiTheme="majorHAnsi" w:hAnsiTheme="majorHAnsi" w:cstheme="majorHAnsi"/>
          <w:color w:val="000000" w:themeColor="text1"/>
          <w:sz w:val="20"/>
          <w:vertAlign w:val="baseline"/>
          <w:lang w:val="ru-RU"/>
        </w:rPr>
        <w:t>м</w:t>
      </w:r>
      <w:r w:rsidRPr="00BF2A2F">
        <w:rPr>
          <w:rFonts w:asciiTheme="majorHAnsi" w:hAnsiTheme="majorHAnsi" w:cstheme="majorHAnsi"/>
          <w:color w:val="000000" w:themeColor="text1"/>
          <w:sz w:val="20"/>
          <w:vertAlign w:val="baseline"/>
          <w:lang w:val="ro-MD"/>
        </w:rPr>
        <w:t>.</w:t>
      </w:r>
    </w:p>
  </w:footnote>
  <w:footnote w:id="33">
    <w:p w14:paraId="66BC713D" w14:textId="60634D61" w:rsidR="001924A7" w:rsidRPr="00BF2A2F" w:rsidRDefault="001924A7" w:rsidP="00FC6750">
      <w:pPr>
        <w:pStyle w:val="a5"/>
        <w:jc w:val="both"/>
        <w:rPr>
          <w:rFonts w:asciiTheme="majorHAnsi" w:hAnsiTheme="majorHAnsi" w:cstheme="majorHAnsi"/>
          <w:sz w:val="20"/>
          <w:vertAlign w:val="baseline"/>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vertAlign w:val="baseline"/>
          <w:lang w:val="ro-MD"/>
        </w:rPr>
        <w:t xml:space="preserve"> </w:t>
      </w:r>
      <w:r w:rsidRPr="00192231">
        <w:rPr>
          <w:rFonts w:asciiTheme="majorHAnsi" w:hAnsiTheme="majorHAnsi" w:cstheme="majorHAnsi"/>
          <w:color w:val="000000" w:themeColor="text1"/>
          <w:sz w:val="20"/>
          <w:vertAlign w:val="baseline"/>
          <w:lang w:val="ro-MD"/>
        </w:rPr>
        <w:t>Отчет предварит</w:t>
      </w:r>
      <w:r>
        <w:rPr>
          <w:rFonts w:asciiTheme="majorHAnsi" w:hAnsiTheme="majorHAnsi" w:cstheme="majorHAnsi"/>
          <w:color w:val="000000" w:themeColor="text1"/>
          <w:sz w:val="20"/>
          <w:vertAlign w:val="baseline"/>
          <w:lang w:val="ro-MD"/>
        </w:rPr>
        <w:t>ельной технической экспертизы №</w:t>
      </w:r>
      <w:r w:rsidRPr="00BF2A2F">
        <w:rPr>
          <w:rFonts w:asciiTheme="majorHAnsi" w:hAnsiTheme="majorHAnsi" w:cstheme="majorHAnsi"/>
          <w:color w:val="000000" w:themeColor="text1"/>
          <w:sz w:val="20"/>
          <w:vertAlign w:val="baseline"/>
          <w:lang w:val="ro-MD"/>
        </w:rPr>
        <w:t xml:space="preserve">459-12-20/t, </w:t>
      </w:r>
      <w:r>
        <w:rPr>
          <w:rFonts w:asciiTheme="majorHAnsi" w:hAnsiTheme="majorHAnsi" w:cstheme="majorHAnsi"/>
          <w:color w:val="000000" w:themeColor="text1"/>
          <w:sz w:val="20"/>
          <w:vertAlign w:val="baseline"/>
          <w:lang w:val="ru-RU"/>
        </w:rPr>
        <w:t>составленный</w:t>
      </w:r>
      <w:r w:rsidRPr="00BF2A2F">
        <w:rPr>
          <w:rFonts w:asciiTheme="majorHAnsi" w:hAnsiTheme="majorHAnsi" w:cstheme="majorHAnsi"/>
          <w:color w:val="000000" w:themeColor="text1"/>
          <w:sz w:val="20"/>
          <w:vertAlign w:val="baseline"/>
          <w:lang w:val="ro-MD"/>
        </w:rPr>
        <w:t xml:space="preserve"> SCPC </w:t>
      </w:r>
      <w:r>
        <w:rPr>
          <w:rFonts w:asciiTheme="majorHAnsi" w:hAnsiTheme="majorHAnsi" w:cstheme="majorHAnsi"/>
          <w:color w:val="000000" w:themeColor="text1"/>
          <w:sz w:val="20"/>
          <w:vertAlign w:val="baseline"/>
          <w:lang w:val="ru-RU"/>
        </w:rPr>
        <w:t>ООО в</w:t>
      </w:r>
      <w:r w:rsidRPr="00BF2A2F">
        <w:rPr>
          <w:rFonts w:asciiTheme="majorHAnsi" w:hAnsiTheme="majorHAnsi" w:cstheme="majorHAnsi"/>
          <w:color w:val="000000" w:themeColor="text1"/>
          <w:sz w:val="20"/>
          <w:vertAlign w:val="baseline"/>
          <w:lang w:val="ro-MD"/>
        </w:rPr>
        <w:t xml:space="preserve"> 2020</w:t>
      </w:r>
      <w:r>
        <w:rPr>
          <w:rFonts w:asciiTheme="majorHAnsi" w:hAnsiTheme="majorHAnsi" w:cstheme="majorHAnsi"/>
          <w:color w:val="000000" w:themeColor="text1"/>
          <w:sz w:val="20"/>
          <w:vertAlign w:val="baseline"/>
          <w:lang w:val="ru-RU"/>
        </w:rPr>
        <w:t xml:space="preserve"> году</w:t>
      </w:r>
      <w:r w:rsidRPr="00BF2A2F">
        <w:rPr>
          <w:rFonts w:asciiTheme="majorHAnsi" w:hAnsiTheme="majorHAnsi" w:cstheme="majorHAnsi"/>
          <w:color w:val="000000" w:themeColor="text1"/>
          <w:sz w:val="20"/>
          <w:vertAlign w:val="baseline"/>
          <w:lang w:val="ro-MD"/>
        </w:rPr>
        <w:t>.</w:t>
      </w:r>
    </w:p>
  </w:footnote>
  <w:footnote w:id="34">
    <w:p w14:paraId="31EBBF10" w14:textId="0E6C78E0" w:rsidR="001924A7" w:rsidRPr="0013018D" w:rsidRDefault="001924A7" w:rsidP="00FC6750">
      <w:pPr>
        <w:pStyle w:val="a5"/>
        <w:jc w:val="both"/>
        <w:rPr>
          <w:rFonts w:asciiTheme="majorHAnsi" w:hAnsiTheme="majorHAnsi" w:cstheme="majorHAnsi"/>
          <w:sz w:val="20"/>
          <w:lang w:val="ru-RU"/>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sidRPr="0013018D">
        <w:rPr>
          <w:rFonts w:asciiTheme="majorHAnsi" w:hAnsiTheme="majorHAnsi" w:cstheme="majorHAnsi"/>
          <w:sz w:val="20"/>
          <w:vertAlign w:val="baseline"/>
          <w:lang w:val="ro-MD"/>
        </w:rPr>
        <w:t xml:space="preserve">Приказ №25 от 23.12.2009 Министерства регионального развития и строительства </w:t>
      </w:r>
      <w:r w:rsidRPr="00BF2A2F">
        <w:rPr>
          <w:rFonts w:asciiTheme="majorHAnsi" w:hAnsiTheme="majorHAnsi" w:cstheme="majorHAnsi"/>
          <w:sz w:val="20"/>
          <w:vertAlign w:val="baseline"/>
          <w:lang w:val="ro-MD"/>
        </w:rPr>
        <w:t>„</w:t>
      </w:r>
      <w:r w:rsidRPr="0013018D">
        <w:rPr>
          <w:rFonts w:asciiTheme="majorHAnsi" w:hAnsiTheme="majorHAnsi" w:cstheme="majorHAnsi"/>
          <w:sz w:val="20"/>
          <w:vertAlign w:val="baseline"/>
          <w:lang w:val="ro-MD"/>
        </w:rPr>
        <w:t>Об утверждении Карты сейсмического зонирования Республики Молдова”шкала 1:400 000, 2010 год)"</w:t>
      </w:r>
      <w:r>
        <w:rPr>
          <w:rFonts w:asciiTheme="majorHAnsi" w:hAnsiTheme="majorHAnsi" w:cstheme="majorHAnsi"/>
          <w:sz w:val="20"/>
          <w:vertAlign w:val="baseline"/>
          <w:lang w:val="ru-RU"/>
        </w:rPr>
        <w:t>.</w:t>
      </w:r>
    </w:p>
  </w:footnote>
  <w:footnote w:id="35">
    <w:p w14:paraId="2E55F642" w14:textId="42007DCB" w:rsidR="001924A7" w:rsidRPr="00BF2A2F" w:rsidRDefault="001924A7" w:rsidP="00BF2A2F">
      <w:pPr>
        <w:pStyle w:val="a5"/>
        <w:jc w:val="both"/>
        <w:rPr>
          <w:rFonts w:asciiTheme="majorHAnsi" w:hAnsiTheme="majorHAnsi" w:cstheme="majorHAnsi"/>
          <w:sz w:val="20"/>
          <w:vertAlign w:val="baseline"/>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Pr>
          <w:rFonts w:asciiTheme="majorHAnsi" w:hAnsiTheme="majorHAnsi" w:cstheme="majorHAnsi"/>
          <w:color w:val="000000" w:themeColor="text1"/>
          <w:sz w:val="20"/>
          <w:vertAlign w:val="baseline"/>
          <w:lang w:val="ro-MD"/>
        </w:rPr>
        <w:t>ПСП №</w:t>
      </w:r>
      <w:r w:rsidRPr="00BF2A2F">
        <w:rPr>
          <w:rFonts w:asciiTheme="majorHAnsi" w:hAnsiTheme="majorHAnsi" w:cstheme="majorHAnsi"/>
          <w:color w:val="000000" w:themeColor="text1"/>
          <w:sz w:val="20"/>
          <w:vertAlign w:val="baseline"/>
          <w:lang w:val="ro-MD"/>
        </w:rPr>
        <w:t xml:space="preserve">46 от 05.07.2018, </w:t>
      </w:r>
      <w:r>
        <w:rPr>
          <w:rFonts w:asciiTheme="majorHAnsi" w:hAnsiTheme="majorHAnsi" w:cstheme="majorHAnsi"/>
          <w:color w:val="000000" w:themeColor="text1"/>
          <w:sz w:val="20"/>
          <w:vertAlign w:val="baseline"/>
          <w:lang w:val="ro-MD"/>
        </w:rPr>
        <w:t>ПСП №</w:t>
      </w:r>
      <w:r w:rsidRPr="00BF2A2F">
        <w:rPr>
          <w:rFonts w:asciiTheme="majorHAnsi" w:hAnsiTheme="majorHAnsi" w:cstheme="majorHAnsi"/>
          <w:color w:val="000000" w:themeColor="text1"/>
          <w:sz w:val="20"/>
          <w:vertAlign w:val="baseline"/>
          <w:lang w:val="ro-MD"/>
        </w:rPr>
        <w:t xml:space="preserve">24 от 26.06.2020, </w:t>
      </w:r>
      <w:r>
        <w:rPr>
          <w:rFonts w:asciiTheme="majorHAnsi" w:hAnsiTheme="majorHAnsi" w:cstheme="majorHAnsi"/>
          <w:color w:val="000000" w:themeColor="text1"/>
          <w:sz w:val="20"/>
          <w:vertAlign w:val="baseline"/>
          <w:lang w:val="ro-MD"/>
        </w:rPr>
        <w:t>ПСП №</w:t>
      </w:r>
      <w:r w:rsidRPr="00BF2A2F">
        <w:rPr>
          <w:rFonts w:asciiTheme="majorHAnsi" w:hAnsiTheme="majorHAnsi" w:cstheme="majorHAnsi"/>
          <w:color w:val="000000" w:themeColor="text1"/>
          <w:sz w:val="20"/>
          <w:vertAlign w:val="baseline"/>
          <w:lang w:val="ro-MD"/>
        </w:rPr>
        <w:t xml:space="preserve">36 от 28.07.2022 </w:t>
      </w:r>
      <w:r>
        <w:rPr>
          <w:rFonts w:asciiTheme="majorHAnsi" w:hAnsiTheme="majorHAnsi" w:cstheme="majorHAnsi"/>
          <w:color w:val="000000" w:themeColor="text1"/>
          <w:sz w:val="20"/>
          <w:vertAlign w:val="baseline"/>
          <w:lang w:val="ru-RU"/>
        </w:rPr>
        <w:t>и</w:t>
      </w:r>
      <w:r w:rsidRPr="00BF2A2F">
        <w:rPr>
          <w:rFonts w:asciiTheme="majorHAnsi" w:hAnsiTheme="majorHAnsi" w:cstheme="majorHAnsi"/>
          <w:color w:val="000000" w:themeColor="text1"/>
          <w:sz w:val="20"/>
          <w:vertAlign w:val="baseline"/>
          <w:lang w:val="ro-MD"/>
        </w:rPr>
        <w:t xml:space="preserve"> </w:t>
      </w:r>
      <w:r>
        <w:rPr>
          <w:rFonts w:asciiTheme="majorHAnsi" w:hAnsiTheme="majorHAnsi" w:cstheme="majorHAnsi"/>
          <w:color w:val="000000" w:themeColor="text1"/>
          <w:sz w:val="20"/>
          <w:vertAlign w:val="baseline"/>
          <w:lang w:val="ro-MD"/>
        </w:rPr>
        <w:t>ПСП №</w:t>
      </w:r>
      <w:r w:rsidRPr="00BF2A2F">
        <w:rPr>
          <w:rFonts w:asciiTheme="majorHAnsi" w:hAnsiTheme="majorHAnsi" w:cstheme="majorHAnsi"/>
          <w:color w:val="000000" w:themeColor="text1"/>
          <w:sz w:val="20"/>
          <w:vertAlign w:val="baseline"/>
          <w:lang w:val="ro-MD"/>
        </w:rPr>
        <w:t>37 от 04.07.2023.</w:t>
      </w:r>
    </w:p>
  </w:footnote>
  <w:footnote w:id="36">
    <w:p w14:paraId="591942F4" w14:textId="22829203" w:rsidR="001924A7" w:rsidRPr="00744F21" w:rsidRDefault="001924A7" w:rsidP="007E41F7">
      <w:pPr>
        <w:spacing w:after="0"/>
        <w:jc w:val="both"/>
        <w:rPr>
          <w:rFonts w:asciiTheme="majorHAnsi" w:hAnsiTheme="majorHAnsi" w:cstheme="majorHAnsi"/>
          <w:b/>
          <w:bCs/>
          <w:color w:val="333333"/>
          <w:sz w:val="20"/>
          <w:szCs w:val="20"/>
          <w:lang w:val="ru-MD"/>
        </w:rPr>
      </w:pPr>
      <w:r w:rsidRPr="00BF2A2F">
        <w:rPr>
          <w:rStyle w:val="a9"/>
          <w:rFonts w:asciiTheme="majorHAnsi" w:hAnsiTheme="majorHAnsi" w:cstheme="majorHAnsi"/>
          <w:szCs w:val="20"/>
          <w:lang w:val="ro-MD"/>
        </w:rPr>
        <w:footnoteRef/>
      </w:r>
      <w:r w:rsidRPr="00BF2A2F">
        <w:rPr>
          <w:rFonts w:asciiTheme="majorHAnsi" w:hAnsiTheme="majorHAnsi" w:cstheme="majorHAnsi"/>
          <w:sz w:val="20"/>
          <w:szCs w:val="20"/>
          <w:lang w:val="ro-MD"/>
        </w:rPr>
        <w:t xml:space="preserve"> </w:t>
      </w:r>
      <w:r w:rsidRPr="00744F21">
        <w:rPr>
          <w:rStyle w:val="af"/>
          <w:rFonts w:asciiTheme="majorHAnsi" w:hAnsiTheme="majorHAnsi" w:cstheme="majorHAnsi"/>
          <w:b w:val="0"/>
          <w:color w:val="000000"/>
          <w:sz w:val="20"/>
          <w:szCs w:val="20"/>
          <w:lang w:val="ru-MD"/>
        </w:rPr>
        <w:t>Ст. 9  k) Закона о разграничении публичной собственности №</w:t>
      </w:r>
      <w:r w:rsidRPr="00744F21">
        <w:rPr>
          <w:rFonts w:asciiTheme="majorHAnsi" w:hAnsiTheme="majorHAnsi" w:cstheme="majorHAnsi"/>
          <w:color w:val="333333"/>
          <w:sz w:val="20"/>
          <w:szCs w:val="20"/>
          <w:lang w:val="ru-MD"/>
        </w:rPr>
        <w:t>29 от 05.04.2018</w:t>
      </w:r>
      <w:r w:rsidRPr="00744F21">
        <w:rPr>
          <w:rStyle w:val="af"/>
          <w:rFonts w:asciiTheme="majorHAnsi" w:hAnsiTheme="majorHAnsi" w:cstheme="majorHAnsi"/>
          <w:b w:val="0"/>
          <w:bCs w:val="0"/>
          <w:color w:val="333333"/>
          <w:sz w:val="20"/>
          <w:szCs w:val="20"/>
          <w:lang w:val="ru-MD"/>
        </w:rPr>
        <w:t>.</w:t>
      </w:r>
    </w:p>
  </w:footnote>
  <w:footnote w:id="37">
    <w:p w14:paraId="30B09F9B" w14:textId="2B48951E" w:rsidR="001924A7" w:rsidRPr="00744F21" w:rsidRDefault="001924A7" w:rsidP="00744F21">
      <w:pPr>
        <w:pStyle w:val="a5"/>
        <w:jc w:val="both"/>
        <w:rPr>
          <w:rFonts w:asciiTheme="majorHAnsi" w:hAnsiTheme="majorHAnsi" w:cstheme="majorHAnsi"/>
          <w:sz w:val="20"/>
          <w:vertAlign w:val="baseline"/>
          <w:lang w:val="ru-MD"/>
        </w:rPr>
      </w:pPr>
      <w:r w:rsidRPr="00744F21">
        <w:rPr>
          <w:rStyle w:val="a9"/>
          <w:rFonts w:asciiTheme="majorHAnsi" w:hAnsiTheme="majorHAnsi" w:cstheme="majorHAnsi"/>
          <w:lang w:val="ru-MD"/>
        </w:rPr>
        <w:footnoteRef/>
      </w:r>
      <w:r w:rsidRPr="00744F21">
        <w:rPr>
          <w:rFonts w:asciiTheme="majorHAnsi" w:hAnsiTheme="majorHAnsi" w:cstheme="majorHAnsi"/>
          <w:sz w:val="20"/>
          <w:lang w:val="ru-MD"/>
        </w:rPr>
        <w:t xml:space="preserve"> </w:t>
      </w:r>
      <w:r w:rsidRPr="00744F21">
        <w:rPr>
          <w:rStyle w:val="af"/>
          <w:rFonts w:asciiTheme="majorHAnsi" w:hAnsiTheme="majorHAnsi" w:cstheme="majorHAnsi"/>
          <w:b w:val="0"/>
          <w:color w:val="000000"/>
          <w:sz w:val="20"/>
          <w:vertAlign w:val="baseline"/>
          <w:lang w:val="ru-MD"/>
        </w:rPr>
        <w:t xml:space="preserve">Согласно ст. 5 Закона </w:t>
      </w:r>
      <w:r w:rsidRPr="00744F21">
        <w:rPr>
          <w:rFonts w:asciiTheme="majorHAnsi" w:hAnsiTheme="majorHAnsi" w:cstheme="majorHAnsi"/>
          <w:bCs/>
          <w:color w:val="000000"/>
          <w:sz w:val="20"/>
          <w:vertAlign w:val="baseline"/>
          <w:lang w:val="ru-MD"/>
        </w:rPr>
        <w:t xml:space="preserve">о разграничении публичной собственности </w:t>
      </w:r>
      <w:r w:rsidRPr="00744F21">
        <w:rPr>
          <w:rStyle w:val="af"/>
          <w:rFonts w:asciiTheme="majorHAnsi" w:hAnsiTheme="majorHAnsi" w:cstheme="majorHAnsi"/>
          <w:b w:val="0"/>
          <w:color w:val="000000"/>
          <w:sz w:val="20"/>
          <w:vertAlign w:val="baseline"/>
          <w:lang w:val="ru-MD"/>
        </w:rPr>
        <w:t>№</w:t>
      </w:r>
      <w:r w:rsidRPr="00744F21">
        <w:rPr>
          <w:rFonts w:asciiTheme="majorHAnsi" w:hAnsiTheme="majorHAnsi" w:cstheme="majorHAnsi"/>
          <w:color w:val="333333"/>
          <w:sz w:val="20"/>
          <w:vertAlign w:val="baseline"/>
          <w:lang w:val="ru-MD"/>
        </w:rPr>
        <w:t>29 от 05.04.2018</w:t>
      </w:r>
      <w:r w:rsidRPr="00744F21">
        <w:rPr>
          <w:rStyle w:val="af"/>
          <w:rFonts w:asciiTheme="majorHAnsi" w:hAnsiTheme="majorHAnsi" w:cstheme="majorHAnsi"/>
          <w:b w:val="0"/>
          <w:bCs w:val="0"/>
          <w:color w:val="333333"/>
          <w:sz w:val="20"/>
          <w:vertAlign w:val="baseline"/>
          <w:lang w:val="ru-MD"/>
        </w:rPr>
        <w:t xml:space="preserve">, </w:t>
      </w:r>
      <w:r w:rsidRPr="00744F21">
        <w:rPr>
          <w:rFonts w:asciiTheme="majorHAnsi" w:hAnsiTheme="majorHAnsi" w:cstheme="majorHAnsi"/>
          <w:color w:val="333333"/>
          <w:sz w:val="20"/>
          <w:vertAlign w:val="baseline"/>
          <w:lang w:val="ru-MD"/>
        </w:rPr>
        <w:t>имущество публичной сферы не может быть отчуждено или включено в уставный капитал юридических лиц, на него не может быть обращено принудительное взыскание, не может быть включено в дебиторскую массу в случае несостоятельности/банкротства юридического лица, не может быть объектом вещной гарантии и не может быть приобретено физическими или юридическими лицами вследствие приобретательной давности</w:t>
      </w:r>
      <w:r w:rsidRPr="00744F21">
        <w:rPr>
          <w:rStyle w:val="af"/>
          <w:rFonts w:asciiTheme="majorHAnsi" w:hAnsiTheme="majorHAnsi" w:cstheme="majorHAnsi"/>
          <w:b w:val="0"/>
          <w:bCs w:val="0"/>
          <w:color w:val="333333"/>
          <w:sz w:val="20"/>
          <w:vertAlign w:val="baseline"/>
          <w:lang w:val="ru-MD"/>
        </w:rPr>
        <w:t>.</w:t>
      </w:r>
    </w:p>
  </w:footnote>
  <w:footnote w:id="38">
    <w:p w14:paraId="0F98081F" w14:textId="1A65BBE0" w:rsidR="001924A7" w:rsidRPr="00BF2A2F" w:rsidRDefault="001924A7" w:rsidP="00BF2A2F">
      <w:pPr>
        <w:pStyle w:val="a5"/>
        <w:jc w:val="both"/>
        <w:rPr>
          <w:rFonts w:asciiTheme="majorHAnsi" w:hAnsiTheme="majorHAnsi" w:cstheme="majorHAnsi"/>
          <w:sz w:val="20"/>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Pr>
          <w:rFonts w:asciiTheme="majorHAnsi" w:hAnsiTheme="majorHAnsi" w:cstheme="majorHAnsi"/>
          <w:sz w:val="20"/>
          <w:vertAlign w:val="baseline"/>
          <w:lang w:val="ro-MD"/>
        </w:rPr>
        <w:t>Письмо Министерства финансов №</w:t>
      </w:r>
      <w:r w:rsidRPr="00BF2A2F">
        <w:rPr>
          <w:rFonts w:asciiTheme="majorHAnsi" w:hAnsiTheme="majorHAnsi" w:cstheme="majorHAnsi"/>
          <w:sz w:val="20"/>
          <w:vertAlign w:val="baseline"/>
          <w:lang w:val="ro-MD"/>
        </w:rPr>
        <w:t>05-10/93 от 24.11.2023.</w:t>
      </w:r>
    </w:p>
  </w:footnote>
  <w:footnote w:id="39">
    <w:p w14:paraId="73E98D97" w14:textId="5942DCB9" w:rsidR="001924A7" w:rsidRPr="00BF2A2F" w:rsidRDefault="001924A7" w:rsidP="001B7683">
      <w:pPr>
        <w:pStyle w:val="a5"/>
        <w:jc w:val="both"/>
        <w:rPr>
          <w:rFonts w:asciiTheme="majorHAnsi" w:hAnsiTheme="majorHAnsi" w:cstheme="majorHAnsi"/>
          <w:sz w:val="20"/>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sidRPr="00D65863">
        <w:rPr>
          <w:rFonts w:asciiTheme="majorHAnsi" w:hAnsiTheme="majorHAnsi" w:cstheme="majorHAnsi"/>
          <w:sz w:val="20"/>
          <w:vertAlign w:val="baseline"/>
          <w:lang w:val="ro-MD"/>
        </w:rPr>
        <w:t>Например, субъект владеет холодильной камерой (214,9 тыс. леев), которая, согласно бухгалтерскому учету, была введена в эксплуатацию в 2012 году, с начислением ее износа, однако устройство хранится новой/неиспользованной в отделении. Одновременно, были идентифицированы 2 вентилятора Laerdal Servi (194,8 тыс. леев), распределенные в отделения для использования в 2022 году, однако они хранятся новые в коробках, с начислением их износа. Так же, 3 аппарата интенсивной терапии Lumis (146,3 тыс. лев) хранятся новыми в коробках в отделении, хотя они были распределены и введены в эксплуатацию в 2022 году</w:t>
      </w:r>
      <w:r w:rsidRPr="00BF2A2F">
        <w:rPr>
          <w:rFonts w:asciiTheme="majorHAnsi" w:hAnsiTheme="majorHAnsi" w:cstheme="majorHAnsi"/>
          <w:sz w:val="20"/>
          <w:vertAlign w:val="baseline"/>
          <w:lang w:val="ro-MD"/>
        </w:rPr>
        <w:t>.</w:t>
      </w:r>
    </w:p>
  </w:footnote>
  <w:footnote w:id="40">
    <w:p w14:paraId="7668BD43" w14:textId="53D5CA6D" w:rsidR="001924A7" w:rsidRPr="00BF2A2F" w:rsidRDefault="001924A7" w:rsidP="003012B3">
      <w:pPr>
        <w:pStyle w:val="a5"/>
        <w:jc w:val="both"/>
        <w:rPr>
          <w:rFonts w:asciiTheme="majorHAnsi" w:hAnsiTheme="majorHAnsi" w:cstheme="majorHAnsi"/>
          <w:sz w:val="20"/>
          <w:vertAlign w:val="baseline"/>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sidRPr="00BF2A2F">
        <w:rPr>
          <w:rFonts w:asciiTheme="majorHAnsi" w:hAnsiTheme="majorHAnsi" w:cstheme="majorHAnsi"/>
          <w:sz w:val="20"/>
          <w:vertAlign w:val="baseline"/>
          <w:lang w:val="ro-MD"/>
        </w:rPr>
        <w:t>П.4 ПП №500 от 12.05.1998 „</w:t>
      </w:r>
      <w:r>
        <w:rPr>
          <w:rFonts w:asciiTheme="majorHAnsi" w:hAnsiTheme="majorHAnsi" w:cstheme="majorHAnsi"/>
          <w:sz w:val="20"/>
          <w:vertAlign w:val="baseline"/>
          <w:lang w:val="ru-RU"/>
        </w:rPr>
        <w:t xml:space="preserve">Об утверждении </w:t>
      </w:r>
      <w:r w:rsidRPr="00194C5B">
        <w:rPr>
          <w:rFonts w:asciiTheme="majorHAnsi" w:hAnsiTheme="majorHAnsi" w:cstheme="majorHAnsi"/>
          <w:sz w:val="20"/>
          <w:vertAlign w:val="baseline"/>
          <w:lang w:val="ru-RU"/>
        </w:rPr>
        <w:t>Положени</w:t>
      </w:r>
      <w:r>
        <w:rPr>
          <w:rFonts w:asciiTheme="majorHAnsi" w:hAnsiTheme="majorHAnsi" w:cstheme="majorHAnsi"/>
          <w:sz w:val="20"/>
          <w:vertAlign w:val="baseline"/>
          <w:lang w:val="ru-RU"/>
        </w:rPr>
        <w:t>я</w:t>
      </w:r>
      <w:r w:rsidRPr="00194C5B">
        <w:rPr>
          <w:rFonts w:asciiTheme="majorHAnsi" w:hAnsiTheme="majorHAnsi" w:cstheme="majorHAnsi"/>
          <w:sz w:val="20"/>
          <w:vertAlign w:val="baseline"/>
          <w:lang w:val="ru-RU"/>
        </w:rPr>
        <w:t xml:space="preserve"> о списании пришедших в негодность ценностей, относящихся к основным средствам</w:t>
      </w:r>
      <w:r w:rsidRPr="00BF2A2F">
        <w:rPr>
          <w:rFonts w:asciiTheme="majorHAnsi" w:hAnsiTheme="majorHAnsi" w:cstheme="majorHAnsi"/>
          <w:sz w:val="20"/>
          <w:vertAlign w:val="baseline"/>
          <w:lang w:val="ro-MD"/>
        </w:rPr>
        <w:t>”.</w:t>
      </w:r>
    </w:p>
  </w:footnote>
  <w:footnote w:id="41">
    <w:p w14:paraId="66500C28" w14:textId="4B1DA96C" w:rsidR="001924A7" w:rsidRPr="00BF2A2F" w:rsidRDefault="001924A7" w:rsidP="003012B3">
      <w:pPr>
        <w:pStyle w:val="a5"/>
        <w:jc w:val="both"/>
        <w:rPr>
          <w:rFonts w:asciiTheme="majorHAnsi" w:hAnsiTheme="majorHAnsi" w:cstheme="majorHAnsi"/>
          <w:sz w:val="20"/>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sidRPr="00922F5D">
        <w:rPr>
          <w:rFonts w:asciiTheme="majorHAnsi" w:hAnsiTheme="majorHAnsi" w:cstheme="majorHAnsi"/>
          <w:sz w:val="20"/>
          <w:vertAlign w:val="baseline"/>
          <w:lang w:val="ro-MD"/>
        </w:rPr>
        <w:t>Приказ Директора ПМСУ №74 от 25.08.2023 „О создании комиссии по списанию пришедших в негодность ценностей, относящихся к основным средствам”</w:t>
      </w:r>
      <w:r w:rsidRPr="00BF2A2F">
        <w:rPr>
          <w:rFonts w:asciiTheme="majorHAnsi" w:hAnsiTheme="majorHAnsi" w:cstheme="majorHAnsi"/>
          <w:sz w:val="20"/>
          <w:vertAlign w:val="baseline"/>
          <w:lang w:val="ro-MD"/>
        </w:rPr>
        <w:t>.</w:t>
      </w:r>
    </w:p>
  </w:footnote>
  <w:footnote w:id="42">
    <w:p w14:paraId="5FF8880B" w14:textId="33B38925" w:rsidR="001924A7" w:rsidRPr="00BF2A2F" w:rsidRDefault="001924A7" w:rsidP="000D43FD">
      <w:pPr>
        <w:pStyle w:val="a5"/>
        <w:jc w:val="both"/>
        <w:rPr>
          <w:rFonts w:asciiTheme="majorHAnsi" w:hAnsiTheme="majorHAnsi" w:cstheme="majorHAnsi"/>
          <w:sz w:val="20"/>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Pr>
          <w:rFonts w:asciiTheme="majorHAnsi" w:hAnsiTheme="majorHAnsi" w:cstheme="majorHAnsi"/>
          <w:sz w:val="20"/>
          <w:vertAlign w:val="baseline"/>
          <w:lang w:val="ro-MD"/>
        </w:rPr>
        <w:t>Ст</w:t>
      </w:r>
      <w:r w:rsidRPr="00BF2A2F">
        <w:rPr>
          <w:rFonts w:asciiTheme="majorHAnsi" w:hAnsiTheme="majorHAnsi" w:cstheme="majorHAnsi"/>
          <w:sz w:val="20"/>
          <w:vertAlign w:val="baseline"/>
          <w:lang w:val="ro-MD"/>
        </w:rPr>
        <w:t xml:space="preserve">.42 </w:t>
      </w:r>
      <w:r w:rsidRPr="00922F5D">
        <w:rPr>
          <w:rFonts w:asciiTheme="majorHAnsi" w:hAnsiTheme="majorHAnsi" w:cstheme="majorHAnsi"/>
          <w:sz w:val="20"/>
          <w:vertAlign w:val="baseline"/>
          <w:lang w:val="ro-MD"/>
        </w:rPr>
        <w:t>Приказа министра Финансов №</w:t>
      </w:r>
      <w:r w:rsidRPr="00BF2A2F">
        <w:rPr>
          <w:rFonts w:asciiTheme="majorHAnsi" w:hAnsiTheme="majorHAnsi" w:cstheme="majorHAnsi"/>
          <w:sz w:val="20"/>
          <w:vertAlign w:val="baseline"/>
          <w:lang w:val="ro-MD"/>
        </w:rPr>
        <w:t>60 от 29.05.2012 „</w:t>
      </w:r>
      <w:r w:rsidRPr="00922F5D">
        <w:rPr>
          <w:rFonts w:asciiTheme="majorHAnsi" w:hAnsiTheme="majorHAnsi" w:cstheme="majorHAnsi"/>
          <w:sz w:val="20"/>
          <w:vertAlign w:val="baseline"/>
          <w:lang w:val="ru-RU"/>
        </w:rPr>
        <w:t>Об утверждении Положения о порядке проведения инвентаризации</w:t>
      </w:r>
      <w:r w:rsidRPr="00BF2A2F">
        <w:rPr>
          <w:rFonts w:asciiTheme="majorHAnsi" w:hAnsiTheme="majorHAnsi" w:cstheme="majorHAnsi"/>
          <w:sz w:val="20"/>
          <w:vertAlign w:val="baseline"/>
          <w:lang w:val="ro-MD"/>
        </w:rPr>
        <w:t>”.</w:t>
      </w:r>
    </w:p>
  </w:footnote>
  <w:footnote w:id="43">
    <w:p w14:paraId="69D7E024" w14:textId="73FD8E84" w:rsidR="001924A7" w:rsidRPr="00BF2A2F" w:rsidRDefault="001924A7" w:rsidP="00896273">
      <w:pPr>
        <w:pStyle w:val="a5"/>
        <w:jc w:val="both"/>
        <w:rPr>
          <w:rFonts w:asciiTheme="majorHAnsi" w:hAnsiTheme="majorHAnsi" w:cstheme="majorHAnsi"/>
          <w:sz w:val="20"/>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Pr>
          <w:rFonts w:asciiTheme="majorHAnsi" w:hAnsiTheme="majorHAnsi" w:cstheme="majorHAnsi"/>
          <w:sz w:val="20"/>
          <w:vertAlign w:val="baseline"/>
          <w:lang w:val="ro-MD" w:eastAsia="ro-RO"/>
        </w:rPr>
        <w:t>Приложение №</w:t>
      </w:r>
      <w:r w:rsidRPr="00BF2A2F">
        <w:rPr>
          <w:rFonts w:asciiTheme="majorHAnsi" w:hAnsiTheme="majorHAnsi" w:cstheme="majorHAnsi"/>
          <w:sz w:val="20"/>
          <w:vertAlign w:val="baseline"/>
          <w:lang w:val="ro-MD" w:eastAsia="ro-RO"/>
        </w:rPr>
        <w:t xml:space="preserve">1 </w:t>
      </w:r>
      <w:r>
        <w:rPr>
          <w:rFonts w:asciiTheme="majorHAnsi" w:hAnsiTheme="majorHAnsi" w:cstheme="majorHAnsi"/>
          <w:sz w:val="20"/>
          <w:vertAlign w:val="baseline"/>
          <w:lang w:val="ru-RU" w:eastAsia="ro-RO"/>
        </w:rPr>
        <w:t xml:space="preserve">к </w:t>
      </w:r>
      <w:r w:rsidRPr="00896273">
        <w:rPr>
          <w:rFonts w:asciiTheme="majorHAnsi" w:hAnsiTheme="majorHAnsi" w:cstheme="majorHAnsi"/>
          <w:sz w:val="20"/>
          <w:vertAlign w:val="baseline"/>
          <w:lang w:val="ru-RU" w:eastAsia="ro-RO"/>
        </w:rPr>
        <w:t>Положени</w:t>
      </w:r>
      <w:r>
        <w:rPr>
          <w:rFonts w:asciiTheme="majorHAnsi" w:hAnsiTheme="majorHAnsi" w:cstheme="majorHAnsi"/>
          <w:sz w:val="20"/>
          <w:vertAlign w:val="baseline"/>
          <w:lang w:val="ru-RU" w:eastAsia="ro-RO"/>
        </w:rPr>
        <w:t>ю</w:t>
      </w:r>
      <w:r w:rsidRPr="00896273">
        <w:rPr>
          <w:rFonts w:asciiTheme="majorHAnsi" w:hAnsiTheme="majorHAnsi" w:cstheme="majorHAnsi"/>
          <w:sz w:val="20"/>
          <w:vertAlign w:val="baseline"/>
          <w:lang w:val="ru-RU" w:eastAsia="ro-RO"/>
        </w:rPr>
        <w:t xml:space="preserve"> об оплате труда работников публичных медико-санитарных учреждений, включенных в систему обязательного медицинского страхования</w:t>
      </w:r>
      <w:r w:rsidRPr="00BF2A2F">
        <w:rPr>
          <w:rFonts w:asciiTheme="majorHAnsi" w:hAnsiTheme="majorHAnsi" w:cstheme="majorHAnsi"/>
          <w:sz w:val="20"/>
          <w:vertAlign w:val="baseline"/>
          <w:lang w:val="ro-MD" w:eastAsia="ro-RO"/>
        </w:rPr>
        <w:t xml:space="preserve">, </w:t>
      </w:r>
      <w:r>
        <w:rPr>
          <w:rFonts w:asciiTheme="majorHAnsi" w:hAnsiTheme="majorHAnsi" w:cstheme="majorHAnsi"/>
          <w:sz w:val="20"/>
          <w:vertAlign w:val="baseline"/>
          <w:lang w:val="ru-RU" w:eastAsia="ro-RO"/>
        </w:rPr>
        <w:t>утвержденному</w:t>
      </w:r>
      <w:r w:rsidRPr="00BF2A2F">
        <w:rPr>
          <w:rFonts w:asciiTheme="majorHAnsi" w:hAnsiTheme="majorHAnsi" w:cstheme="majorHAnsi"/>
          <w:sz w:val="20"/>
          <w:vertAlign w:val="baseline"/>
          <w:lang w:val="ro-MD" w:eastAsia="ro-RO"/>
        </w:rPr>
        <w:t xml:space="preserve"> ПП №837 от 06.07.2016, </w:t>
      </w:r>
      <w:r w:rsidRPr="00896273">
        <w:rPr>
          <w:rFonts w:asciiTheme="majorHAnsi" w:hAnsiTheme="majorHAnsi" w:cstheme="majorHAnsi"/>
          <w:sz w:val="20"/>
          <w:vertAlign w:val="baseline"/>
          <w:lang w:val="ro-MD" w:eastAsia="ro-RO"/>
        </w:rPr>
        <w:t>с последующими изменениями</w:t>
      </w:r>
      <w:r w:rsidRPr="00BF2A2F">
        <w:rPr>
          <w:rFonts w:asciiTheme="majorHAnsi" w:hAnsiTheme="majorHAnsi" w:cstheme="majorHAnsi"/>
          <w:sz w:val="20"/>
          <w:vertAlign w:val="baseline"/>
          <w:lang w:val="ro-MD" w:eastAsia="ro-RO"/>
        </w:rPr>
        <w:t>.</w:t>
      </w:r>
    </w:p>
  </w:footnote>
  <w:footnote w:id="44">
    <w:p w14:paraId="4FA91796" w14:textId="77777777" w:rsidR="001924A7" w:rsidRPr="00BF2A2F" w:rsidRDefault="001924A7" w:rsidP="00EE088D">
      <w:pPr>
        <w:pStyle w:val="a5"/>
        <w:jc w:val="both"/>
        <w:rPr>
          <w:rFonts w:asciiTheme="majorHAnsi" w:hAnsiTheme="majorHAnsi" w:cstheme="majorHAnsi"/>
          <w:sz w:val="20"/>
          <w:vertAlign w:val="baseline"/>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sidRPr="00BF2A2F">
        <w:rPr>
          <w:rFonts w:asciiTheme="majorHAnsi" w:hAnsiTheme="majorHAnsi" w:cstheme="majorHAnsi"/>
          <w:sz w:val="20"/>
          <w:vertAlign w:val="baseline"/>
          <w:lang w:val="ro-MD"/>
        </w:rPr>
        <w:t>Ordinul MSMPS nr. 318 от 26.03.2020 „Cu privire la acordarea asistenței medicale persoanelor care întrunesc criteriile definiției de caz COVID-19”.</w:t>
      </w:r>
    </w:p>
  </w:footnote>
  <w:footnote w:id="45">
    <w:p w14:paraId="45D41E15" w14:textId="77777777" w:rsidR="001924A7" w:rsidRPr="00BF2A2F" w:rsidRDefault="001924A7" w:rsidP="00815146">
      <w:pPr>
        <w:pStyle w:val="a5"/>
        <w:jc w:val="both"/>
        <w:rPr>
          <w:rFonts w:asciiTheme="majorHAnsi" w:hAnsiTheme="majorHAnsi" w:cstheme="majorHAnsi"/>
          <w:sz w:val="20"/>
          <w:vertAlign w:val="baseline"/>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sidRPr="00BF2A2F">
        <w:rPr>
          <w:rFonts w:asciiTheme="majorHAnsi" w:hAnsiTheme="majorHAnsi" w:cstheme="majorHAnsi"/>
          <w:sz w:val="20"/>
          <w:vertAlign w:val="baseline"/>
          <w:lang w:val="ro-MD"/>
        </w:rPr>
        <w:t>Ordinul MSMPS nr. 466 от 15.05.2020 „Cu privire la motivarea personalului”.</w:t>
      </w:r>
    </w:p>
  </w:footnote>
  <w:footnote w:id="46">
    <w:p w14:paraId="6870FAB9" w14:textId="77777777" w:rsidR="001924A7" w:rsidRPr="00BF2A2F" w:rsidRDefault="001924A7" w:rsidP="00815146">
      <w:pPr>
        <w:pStyle w:val="a5"/>
        <w:jc w:val="both"/>
        <w:rPr>
          <w:rFonts w:asciiTheme="majorHAnsi" w:hAnsiTheme="majorHAnsi" w:cstheme="majorHAnsi"/>
          <w:sz w:val="20"/>
          <w:vertAlign w:val="baseline"/>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vertAlign w:val="baseline"/>
          <w:lang w:val="ro-MD"/>
        </w:rPr>
        <w:t xml:space="preserve"> </w:t>
      </w:r>
      <w:r>
        <w:rPr>
          <w:rFonts w:asciiTheme="majorHAnsi" w:hAnsiTheme="majorHAnsi" w:cstheme="majorHAnsi"/>
          <w:sz w:val="20"/>
          <w:vertAlign w:val="baseline"/>
          <w:lang w:val="ro-MD"/>
        </w:rPr>
        <w:t>Ст</w:t>
      </w:r>
      <w:r w:rsidRPr="00BF2A2F">
        <w:rPr>
          <w:rFonts w:asciiTheme="majorHAnsi" w:hAnsiTheme="majorHAnsi" w:cstheme="majorHAnsi"/>
          <w:sz w:val="20"/>
          <w:vertAlign w:val="baseline"/>
          <w:lang w:val="ro-MD"/>
        </w:rPr>
        <w:t>. 23 din Legea finanțelor publice și responsabilității bugetar-fiscale nr. 181 от 25.07.2014.</w:t>
      </w:r>
    </w:p>
  </w:footnote>
  <w:footnote w:id="47">
    <w:p w14:paraId="435ADE35" w14:textId="4632576C" w:rsidR="001924A7" w:rsidRPr="00BF2A2F" w:rsidRDefault="001924A7" w:rsidP="00BF2A2F">
      <w:pPr>
        <w:pStyle w:val="a5"/>
        <w:jc w:val="both"/>
        <w:rPr>
          <w:rFonts w:asciiTheme="majorHAnsi" w:hAnsiTheme="majorHAnsi" w:cstheme="majorHAnsi"/>
          <w:sz w:val="20"/>
          <w:vertAlign w:val="baseline"/>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vertAlign w:val="baseline"/>
          <w:lang w:val="ro-MD"/>
        </w:rPr>
        <w:t xml:space="preserve"> П. 11 din ПП № 156 от 11.02.2002 „Cu privire la funcționarea Companiei Naționale de Asigurări în Medicină”.</w:t>
      </w:r>
    </w:p>
  </w:footnote>
  <w:footnote w:id="48">
    <w:p w14:paraId="46564998" w14:textId="77777777" w:rsidR="001924A7" w:rsidRPr="00BF2A2F" w:rsidRDefault="001924A7" w:rsidP="00815146">
      <w:pPr>
        <w:pStyle w:val="a5"/>
        <w:jc w:val="both"/>
        <w:rPr>
          <w:rFonts w:asciiTheme="majorHAnsi" w:hAnsiTheme="majorHAnsi" w:cstheme="majorHAnsi"/>
          <w:sz w:val="20"/>
          <w:vertAlign w:val="baseline"/>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sidRPr="00BF2A2F">
        <w:rPr>
          <w:rFonts w:asciiTheme="majorHAnsi" w:hAnsiTheme="majorHAnsi" w:cstheme="majorHAnsi"/>
          <w:sz w:val="20"/>
          <w:vertAlign w:val="baseline"/>
          <w:lang w:val="ro-MD"/>
        </w:rPr>
        <w:t>Demersul CNAM nr.01-13/19 от 30.04.2020.</w:t>
      </w:r>
    </w:p>
  </w:footnote>
  <w:footnote w:id="49">
    <w:p w14:paraId="30AB6E47" w14:textId="16AAD107" w:rsidR="001924A7" w:rsidRPr="00BF2A2F" w:rsidRDefault="001924A7" w:rsidP="00070ACE">
      <w:pPr>
        <w:pStyle w:val="a5"/>
        <w:jc w:val="both"/>
        <w:rPr>
          <w:rFonts w:asciiTheme="majorHAnsi" w:hAnsiTheme="majorHAnsi" w:cstheme="majorHAnsi"/>
          <w:sz w:val="20"/>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Pr>
          <w:rFonts w:asciiTheme="majorHAnsi" w:hAnsiTheme="majorHAnsi" w:cstheme="majorHAnsi"/>
          <w:sz w:val="20"/>
          <w:vertAlign w:val="baseline"/>
          <w:lang w:val="ru-RU"/>
        </w:rPr>
        <w:t>Запрос НМСК №</w:t>
      </w:r>
      <w:r w:rsidRPr="00BF2A2F">
        <w:rPr>
          <w:rFonts w:asciiTheme="majorHAnsi" w:hAnsiTheme="majorHAnsi" w:cstheme="majorHAnsi"/>
          <w:sz w:val="20"/>
          <w:vertAlign w:val="baseline"/>
          <w:lang w:val="ro-MD"/>
        </w:rPr>
        <w:t>01-13/28 от 10.08.2020.</w:t>
      </w:r>
    </w:p>
  </w:footnote>
  <w:footnote w:id="50">
    <w:p w14:paraId="13ED7161" w14:textId="77777777" w:rsidR="001924A7" w:rsidRPr="00BF2A2F" w:rsidRDefault="001924A7" w:rsidP="00CD4DA8">
      <w:pPr>
        <w:pStyle w:val="a5"/>
        <w:jc w:val="both"/>
        <w:rPr>
          <w:rFonts w:asciiTheme="majorHAnsi" w:hAnsiTheme="majorHAnsi" w:cstheme="majorHAnsi"/>
          <w:sz w:val="20"/>
          <w:vertAlign w:val="baseline"/>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sidRPr="00D25F88">
        <w:rPr>
          <w:rFonts w:asciiTheme="majorHAnsi" w:hAnsiTheme="majorHAnsi" w:cstheme="majorHAnsi"/>
          <w:sz w:val="20"/>
          <w:vertAlign w:val="baseline"/>
          <w:lang w:val="ro-MD"/>
        </w:rPr>
        <w:t>Приказ МЗТСЗ №243 от 09.03.2020 „О стимулировании персонала”; Приказ МЗТСЗ №466 от 15.05.2020 „О стимулировании персонала”</w:t>
      </w:r>
      <w:r w:rsidRPr="00BF2A2F">
        <w:rPr>
          <w:rFonts w:asciiTheme="majorHAnsi" w:hAnsiTheme="majorHAnsi" w:cstheme="majorHAnsi"/>
          <w:sz w:val="20"/>
          <w:vertAlign w:val="baseline"/>
          <w:lang w:val="ro-MD"/>
        </w:rPr>
        <w:t>.</w:t>
      </w:r>
    </w:p>
  </w:footnote>
  <w:footnote w:id="51">
    <w:p w14:paraId="245A14B4" w14:textId="3B7F5C24" w:rsidR="001924A7" w:rsidRPr="00BF2A2F" w:rsidRDefault="001924A7" w:rsidP="00BF2A2F">
      <w:pPr>
        <w:pStyle w:val="a5"/>
        <w:jc w:val="both"/>
        <w:rPr>
          <w:rFonts w:asciiTheme="majorHAnsi" w:hAnsiTheme="majorHAnsi" w:cstheme="majorHAnsi"/>
          <w:sz w:val="20"/>
          <w:vertAlign w:val="baseline"/>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sidRPr="00BF2A2F">
        <w:rPr>
          <w:rFonts w:asciiTheme="majorHAnsi" w:hAnsiTheme="majorHAnsi" w:cstheme="majorHAnsi"/>
          <w:sz w:val="20"/>
          <w:vertAlign w:val="baseline"/>
          <w:lang w:val="ro-MD"/>
        </w:rPr>
        <w:t xml:space="preserve">П. 20 </w:t>
      </w:r>
      <w:r>
        <w:rPr>
          <w:rFonts w:asciiTheme="majorHAnsi" w:hAnsiTheme="majorHAnsi" w:cstheme="majorHAnsi"/>
          <w:sz w:val="20"/>
          <w:vertAlign w:val="baseline"/>
          <w:lang w:val="ro-MD"/>
        </w:rPr>
        <w:t>Приложени</w:t>
      </w:r>
      <w:r w:rsidRPr="00DA482E">
        <w:rPr>
          <w:rFonts w:asciiTheme="majorHAnsi" w:hAnsiTheme="majorHAnsi" w:cstheme="majorHAnsi"/>
          <w:sz w:val="20"/>
          <w:vertAlign w:val="baseline"/>
          <w:lang w:val="ro-MD"/>
        </w:rPr>
        <w:t>я</w:t>
      </w:r>
      <w:r>
        <w:rPr>
          <w:rFonts w:asciiTheme="majorHAnsi" w:hAnsiTheme="majorHAnsi" w:cstheme="majorHAnsi"/>
          <w:sz w:val="20"/>
          <w:vertAlign w:val="baseline"/>
          <w:lang w:val="ro-MD"/>
        </w:rPr>
        <w:t xml:space="preserve"> №</w:t>
      </w:r>
      <w:r w:rsidRPr="00BF2A2F">
        <w:rPr>
          <w:rFonts w:asciiTheme="majorHAnsi" w:hAnsiTheme="majorHAnsi" w:cstheme="majorHAnsi"/>
          <w:sz w:val="20"/>
          <w:vertAlign w:val="baseline"/>
          <w:lang w:val="ro-MD"/>
        </w:rPr>
        <w:t xml:space="preserve">3 </w:t>
      </w:r>
      <w:r w:rsidRPr="00DA482E">
        <w:rPr>
          <w:rFonts w:asciiTheme="majorHAnsi" w:hAnsiTheme="majorHAnsi" w:cstheme="majorHAnsi"/>
          <w:sz w:val="20"/>
          <w:vertAlign w:val="baseline"/>
          <w:lang w:val="ro-MD"/>
        </w:rPr>
        <w:t>к</w:t>
      </w:r>
      <w:r w:rsidRPr="00BF2A2F">
        <w:rPr>
          <w:rFonts w:asciiTheme="majorHAnsi" w:hAnsiTheme="majorHAnsi" w:cstheme="majorHAnsi"/>
          <w:sz w:val="20"/>
          <w:vertAlign w:val="baseline"/>
          <w:lang w:val="ro-MD"/>
        </w:rPr>
        <w:t xml:space="preserve"> ПП № 1231 от 12.12.2018 „</w:t>
      </w:r>
      <w:r>
        <w:rPr>
          <w:rFonts w:asciiTheme="majorHAnsi" w:hAnsiTheme="majorHAnsi" w:cstheme="majorHAnsi"/>
          <w:sz w:val="20"/>
          <w:vertAlign w:val="baseline"/>
          <w:lang w:val="ru-RU"/>
        </w:rPr>
        <w:t>О введении в действие положений</w:t>
      </w:r>
      <w:r w:rsidRPr="00BF2A2F">
        <w:rPr>
          <w:rFonts w:asciiTheme="majorHAnsi" w:hAnsiTheme="majorHAnsi" w:cstheme="majorHAnsi"/>
          <w:sz w:val="20"/>
          <w:vertAlign w:val="baseline"/>
          <w:lang w:val="ro-MD"/>
        </w:rPr>
        <w:t xml:space="preserve"> </w:t>
      </w:r>
      <w:r w:rsidRPr="00DA482E">
        <w:rPr>
          <w:rFonts w:asciiTheme="majorHAnsi" w:hAnsiTheme="majorHAnsi" w:cstheme="majorHAnsi"/>
          <w:sz w:val="20"/>
          <w:vertAlign w:val="baseline"/>
          <w:lang w:val="ro-MD"/>
        </w:rPr>
        <w:t>Закона № 270/2018 о единой системе оплаты труда в бюджетной сфере</w:t>
      </w:r>
      <w:r w:rsidRPr="00BF2A2F">
        <w:rPr>
          <w:rFonts w:asciiTheme="majorHAnsi" w:hAnsiTheme="majorHAnsi" w:cstheme="majorHAnsi"/>
          <w:sz w:val="20"/>
          <w:vertAlign w:val="baseline"/>
          <w:lang w:val="ro-MD"/>
        </w:rPr>
        <w:t xml:space="preserve">”.  </w:t>
      </w:r>
    </w:p>
  </w:footnote>
  <w:footnote w:id="52">
    <w:p w14:paraId="2ED8F9DC" w14:textId="733BBF2D" w:rsidR="001924A7" w:rsidRPr="00BF2A2F" w:rsidRDefault="001924A7" w:rsidP="00BF2A2F">
      <w:pPr>
        <w:pStyle w:val="a5"/>
        <w:jc w:val="both"/>
        <w:rPr>
          <w:rFonts w:asciiTheme="majorHAnsi" w:hAnsiTheme="majorHAnsi" w:cstheme="majorHAnsi"/>
          <w:sz w:val="20"/>
          <w:vertAlign w:val="baseline"/>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sidRPr="00BF2A2F">
        <w:rPr>
          <w:rFonts w:asciiTheme="majorHAnsi" w:hAnsiTheme="majorHAnsi" w:cstheme="majorHAnsi"/>
          <w:sz w:val="20"/>
          <w:vertAlign w:val="baseline"/>
          <w:lang w:val="ro-MD"/>
        </w:rPr>
        <w:t>ПП №837 от 06.07.2016 „</w:t>
      </w:r>
      <w:r>
        <w:rPr>
          <w:rFonts w:asciiTheme="majorHAnsi" w:hAnsiTheme="majorHAnsi" w:cstheme="majorHAnsi"/>
          <w:sz w:val="20"/>
          <w:vertAlign w:val="baseline"/>
          <w:lang w:val="ru-RU"/>
        </w:rPr>
        <w:t>Об утверждении</w:t>
      </w:r>
      <w:r w:rsidRPr="00BF2A2F">
        <w:rPr>
          <w:rFonts w:asciiTheme="majorHAnsi" w:hAnsiTheme="majorHAnsi" w:cstheme="majorHAnsi"/>
          <w:sz w:val="20"/>
          <w:vertAlign w:val="baseline"/>
          <w:lang w:val="ro-MD"/>
        </w:rPr>
        <w:t xml:space="preserve"> </w:t>
      </w:r>
      <w:r w:rsidRPr="00D25F88">
        <w:rPr>
          <w:rFonts w:asciiTheme="majorHAnsi" w:hAnsiTheme="majorHAnsi" w:cstheme="majorHAnsi"/>
          <w:sz w:val="20"/>
          <w:vertAlign w:val="baseline"/>
          <w:lang w:val="ru-RU"/>
        </w:rPr>
        <w:t>Положени</w:t>
      </w:r>
      <w:r>
        <w:rPr>
          <w:rFonts w:asciiTheme="majorHAnsi" w:hAnsiTheme="majorHAnsi" w:cstheme="majorHAnsi"/>
          <w:sz w:val="20"/>
          <w:vertAlign w:val="baseline"/>
          <w:lang w:val="ru-RU"/>
        </w:rPr>
        <w:t>я</w:t>
      </w:r>
      <w:r w:rsidRPr="00D25F88">
        <w:rPr>
          <w:rFonts w:asciiTheme="majorHAnsi" w:hAnsiTheme="majorHAnsi" w:cstheme="majorHAnsi"/>
          <w:sz w:val="20"/>
          <w:vertAlign w:val="baseline"/>
          <w:lang w:val="ru-RU"/>
        </w:rPr>
        <w:t xml:space="preserve"> об оплате труда работников публичных медико-санитарных учреждений, включенных в систему обязательного медицинского страхования</w:t>
      </w:r>
      <w:r w:rsidRPr="00BF2A2F">
        <w:rPr>
          <w:rFonts w:asciiTheme="majorHAnsi" w:hAnsiTheme="majorHAnsi" w:cstheme="majorHAnsi"/>
          <w:sz w:val="20"/>
          <w:vertAlign w:val="baseline"/>
          <w:lang w:val="ro-MD"/>
        </w:rPr>
        <w:t>”.</w:t>
      </w:r>
    </w:p>
  </w:footnote>
  <w:footnote w:id="53">
    <w:p w14:paraId="7E54E82D" w14:textId="2A74338A" w:rsidR="001924A7" w:rsidRPr="00BF2A2F" w:rsidRDefault="001924A7" w:rsidP="002E194B">
      <w:pPr>
        <w:pStyle w:val="a5"/>
        <w:jc w:val="both"/>
        <w:rPr>
          <w:rFonts w:asciiTheme="majorHAnsi" w:hAnsiTheme="majorHAnsi" w:cstheme="majorHAnsi"/>
          <w:sz w:val="20"/>
          <w:vertAlign w:val="baseline"/>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vertAlign w:val="baseline"/>
          <w:lang w:val="ro-MD"/>
        </w:rPr>
        <w:t xml:space="preserve"> </w:t>
      </w:r>
      <w:r>
        <w:rPr>
          <w:rFonts w:asciiTheme="majorHAnsi" w:hAnsiTheme="majorHAnsi" w:cstheme="majorHAnsi"/>
          <w:sz w:val="20"/>
          <w:vertAlign w:val="baseline"/>
          <w:lang w:val="ro-MD"/>
        </w:rPr>
        <w:t>Приказ МЗТСЗ №</w:t>
      </w:r>
      <w:r w:rsidRPr="00BF2A2F">
        <w:rPr>
          <w:rFonts w:asciiTheme="majorHAnsi" w:hAnsiTheme="majorHAnsi" w:cstheme="majorHAnsi"/>
          <w:sz w:val="20"/>
          <w:vertAlign w:val="baseline"/>
          <w:lang w:val="ro-MD"/>
        </w:rPr>
        <w:t>243 от 09.03.2020 „</w:t>
      </w:r>
      <w:r>
        <w:rPr>
          <w:rFonts w:asciiTheme="majorHAnsi" w:hAnsiTheme="majorHAnsi" w:cstheme="majorHAnsi"/>
          <w:sz w:val="20"/>
          <w:vertAlign w:val="baseline"/>
          <w:lang w:val="ro-MD"/>
        </w:rPr>
        <w:t>О стимулировании персонала</w:t>
      </w:r>
      <w:r w:rsidRPr="00BF2A2F">
        <w:rPr>
          <w:rFonts w:asciiTheme="majorHAnsi" w:hAnsiTheme="majorHAnsi" w:cstheme="majorHAnsi"/>
          <w:sz w:val="20"/>
          <w:vertAlign w:val="baseline"/>
          <w:lang w:val="ro-MD"/>
        </w:rPr>
        <w:t xml:space="preserve">”; </w:t>
      </w:r>
      <w:r>
        <w:rPr>
          <w:rFonts w:asciiTheme="majorHAnsi" w:hAnsiTheme="majorHAnsi" w:cstheme="majorHAnsi"/>
          <w:sz w:val="20"/>
          <w:vertAlign w:val="baseline"/>
          <w:lang w:val="ro-MD"/>
        </w:rPr>
        <w:t>Приказ МЗТСЗ №</w:t>
      </w:r>
      <w:r w:rsidRPr="00BF2A2F">
        <w:rPr>
          <w:rFonts w:asciiTheme="majorHAnsi" w:hAnsiTheme="majorHAnsi" w:cstheme="majorHAnsi"/>
          <w:sz w:val="20"/>
          <w:vertAlign w:val="baseline"/>
          <w:lang w:val="ro-MD"/>
        </w:rPr>
        <w:t>466 от 15.05.2020 „</w:t>
      </w:r>
      <w:r>
        <w:rPr>
          <w:rFonts w:asciiTheme="majorHAnsi" w:hAnsiTheme="majorHAnsi" w:cstheme="majorHAnsi"/>
          <w:sz w:val="20"/>
          <w:vertAlign w:val="baseline"/>
          <w:lang w:val="ro-MD"/>
        </w:rPr>
        <w:t>О стимулировании персонала</w:t>
      </w:r>
      <w:r w:rsidRPr="00BF2A2F">
        <w:rPr>
          <w:rFonts w:asciiTheme="majorHAnsi" w:hAnsiTheme="majorHAnsi" w:cstheme="majorHAnsi"/>
          <w:sz w:val="20"/>
          <w:vertAlign w:val="baseline"/>
          <w:lang w:val="ro-MD"/>
        </w:rPr>
        <w:t>”.</w:t>
      </w:r>
    </w:p>
  </w:footnote>
  <w:footnote w:id="54">
    <w:p w14:paraId="62CF16DF" w14:textId="3D01D427" w:rsidR="001924A7" w:rsidRPr="00BF2A2F" w:rsidRDefault="001924A7" w:rsidP="002E194B">
      <w:pPr>
        <w:pStyle w:val="a5"/>
        <w:jc w:val="both"/>
        <w:rPr>
          <w:rFonts w:asciiTheme="majorHAnsi" w:hAnsiTheme="majorHAnsi" w:cstheme="majorHAnsi"/>
          <w:sz w:val="20"/>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Pr>
          <w:rFonts w:asciiTheme="majorHAnsi" w:hAnsiTheme="majorHAnsi" w:cstheme="majorHAnsi"/>
          <w:sz w:val="20"/>
          <w:vertAlign w:val="baseline"/>
          <w:lang w:val="ru-RU"/>
        </w:rPr>
        <w:t>Письмо МЗТСЗ №</w:t>
      </w:r>
      <w:r w:rsidRPr="00BF2A2F">
        <w:rPr>
          <w:rFonts w:asciiTheme="majorHAnsi" w:hAnsiTheme="majorHAnsi" w:cstheme="majorHAnsi"/>
          <w:bCs/>
          <w:sz w:val="20"/>
          <w:vertAlign w:val="baseline"/>
          <w:lang w:val="ro-MD" w:eastAsia="ro-RO"/>
        </w:rPr>
        <w:t>17/3893 от 13.07.2020.</w:t>
      </w:r>
    </w:p>
  </w:footnote>
  <w:footnote w:id="55">
    <w:p w14:paraId="659F3A42" w14:textId="7C2A44CE" w:rsidR="001924A7" w:rsidRPr="00BF2A2F" w:rsidRDefault="001924A7" w:rsidP="00077A62">
      <w:pPr>
        <w:pStyle w:val="a5"/>
        <w:jc w:val="both"/>
        <w:rPr>
          <w:rFonts w:asciiTheme="majorHAnsi" w:hAnsiTheme="majorHAnsi" w:cstheme="majorHAnsi"/>
          <w:sz w:val="20"/>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Pr>
          <w:rFonts w:asciiTheme="majorHAnsi" w:hAnsiTheme="majorHAnsi" w:cstheme="majorHAnsi"/>
          <w:sz w:val="20"/>
          <w:vertAlign w:val="baseline"/>
          <w:lang w:val="ro-MD"/>
        </w:rPr>
        <w:t>Ст</w:t>
      </w:r>
      <w:r w:rsidRPr="00BF2A2F">
        <w:rPr>
          <w:rFonts w:asciiTheme="majorHAnsi" w:hAnsiTheme="majorHAnsi" w:cstheme="majorHAnsi"/>
          <w:sz w:val="20"/>
          <w:vertAlign w:val="baseline"/>
          <w:lang w:val="ro-MD"/>
        </w:rPr>
        <w:t xml:space="preserve">.116 </w:t>
      </w:r>
      <w:r>
        <w:rPr>
          <w:rFonts w:asciiTheme="majorHAnsi" w:hAnsiTheme="majorHAnsi" w:cstheme="majorHAnsi"/>
          <w:sz w:val="20"/>
          <w:vertAlign w:val="baseline"/>
          <w:lang w:val="ro-MD"/>
        </w:rPr>
        <w:t>Трудового кодекса №</w:t>
      </w:r>
      <w:r w:rsidRPr="00BF2A2F">
        <w:rPr>
          <w:rFonts w:asciiTheme="majorHAnsi" w:hAnsiTheme="majorHAnsi" w:cstheme="majorHAnsi"/>
          <w:sz w:val="20"/>
          <w:vertAlign w:val="baseline"/>
          <w:lang w:val="ro-MD"/>
        </w:rPr>
        <w:t>154 от 28.03.2003.</w:t>
      </w:r>
    </w:p>
  </w:footnote>
  <w:footnote w:id="56">
    <w:p w14:paraId="1E7F3A39" w14:textId="6842A609" w:rsidR="001924A7" w:rsidRPr="00BF2A2F" w:rsidRDefault="001924A7" w:rsidP="00BF2A2F">
      <w:pPr>
        <w:pStyle w:val="a5"/>
        <w:jc w:val="both"/>
        <w:rPr>
          <w:rFonts w:asciiTheme="majorHAnsi" w:hAnsiTheme="majorHAnsi" w:cstheme="majorHAnsi"/>
          <w:sz w:val="20"/>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Pr>
          <w:rFonts w:asciiTheme="majorHAnsi" w:hAnsiTheme="majorHAnsi" w:cstheme="majorHAnsi"/>
          <w:sz w:val="20"/>
          <w:vertAlign w:val="baseline"/>
          <w:lang w:val="ro-MD"/>
        </w:rPr>
        <w:t>Ст</w:t>
      </w:r>
      <w:r w:rsidRPr="00BF2A2F">
        <w:rPr>
          <w:rFonts w:asciiTheme="majorHAnsi" w:hAnsiTheme="majorHAnsi" w:cstheme="majorHAnsi"/>
          <w:sz w:val="20"/>
          <w:vertAlign w:val="baseline"/>
          <w:lang w:val="ro-MD"/>
        </w:rPr>
        <w:t xml:space="preserve">.118 </w:t>
      </w:r>
      <w:r>
        <w:rPr>
          <w:rFonts w:asciiTheme="majorHAnsi" w:hAnsiTheme="majorHAnsi" w:cstheme="majorHAnsi"/>
          <w:sz w:val="20"/>
          <w:vertAlign w:val="baseline"/>
          <w:lang w:val="ro-MD"/>
        </w:rPr>
        <w:t>Трудового кодекса №</w:t>
      </w:r>
      <w:r w:rsidRPr="00BF2A2F">
        <w:rPr>
          <w:rFonts w:asciiTheme="majorHAnsi" w:hAnsiTheme="majorHAnsi" w:cstheme="majorHAnsi"/>
          <w:sz w:val="20"/>
          <w:vertAlign w:val="baseline"/>
          <w:lang w:val="ro-MD"/>
        </w:rPr>
        <w:t>154 от 28.03.2003.</w:t>
      </w:r>
    </w:p>
  </w:footnote>
  <w:footnote w:id="57">
    <w:p w14:paraId="2324BC57" w14:textId="5D881CAC" w:rsidR="001924A7" w:rsidRPr="00BF2A2F" w:rsidRDefault="001924A7" w:rsidP="0051798D">
      <w:pPr>
        <w:pStyle w:val="a5"/>
        <w:jc w:val="both"/>
        <w:rPr>
          <w:rFonts w:asciiTheme="majorHAnsi" w:hAnsiTheme="majorHAnsi" w:cstheme="majorHAnsi"/>
          <w:sz w:val="20"/>
          <w:lang w:val="ro-MD"/>
        </w:rPr>
      </w:pPr>
      <w:r w:rsidRPr="00BF2A2F">
        <w:rPr>
          <w:rStyle w:val="a9"/>
          <w:rFonts w:asciiTheme="majorHAnsi" w:hAnsiTheme="majorHAnsi" w:cstheme="majorHAnsi"/>
          <w:lang w:val="ro-MD"/>
        </w:rPr>
        <w:footnoteRef/>
      </w:r>
      <w:r>
        <w:rPr>
          <w:rFonts w:asciiTheme="majorHAnsi" w:hAnsiTheme="majorHAnsi" w:cstheme="majorHAnsi"/>
          <w:sz w:val="20"/>
          <w:lang w:val="ro-MD"/>
        </w:rPr>
        <w:t xml:space="preserve"> </w:t>
      </w:r>
      <w:r w:rsidRPr="00BF2A2F">
        <w:rPr>
          <w:rFonts w:asciiTheme="majorHAnsi" w:hAnsiTheme="majorHAnsi" w:cstheme="majorHAnsi"/>
          <w:sz w:val="20"/>
          <w:vertAlign w:val="baseline"/>
          <w:lang w:val="ro-MD"/>
        </w:rPr>
        <w:t>П.82 – п.89</w:t>
      </w:r>
      <w:r>
        <w:rPr>
          <w:rFonts w:asciiTheme="majorHAnsi" w:hAnsiTheme="majorHAnsi" w:cstheme="majorHAnsi"/>
          <w:sz w:val="20"/>
          <w:vertAlign w:val="baseline"/>
          <w:lang w:val="ru-RU"/>
        </w:rPr>
        <w:t xml:space="preserve"> </w:t>
      </w:r>
      <w:r w:rsidRPr="00E43E66">
        <w:rPr>
          <w:rFonts w:asciiTheme="majorHAnsi" w:hAnsiTheme="majorHAnsi" w:cstheme="majorHAnsi"/>
          <w:sz w:val="20"/>
          <w:vertAlign w:val="baseline"/>
          <w:lang w:val="ro-MD"/>
        </w:rPr>
        <w:t>Национального стандарта бухгалтерского учета</w:t>
      </w:r>
      <w:r w:rsidRPr="00BF2A2F">
        <w:rPr>
          <w:rFonts w:asciiTheme="majorHAnsi" w:hAnsiTheme="majorHAnsi" w:cstheme="majorHAnsi"/>
          <w:sz w:val="20"/>
          <w:vertAlign w:val="baseline"/>
          <w:lang w:val="ro-MD"/>
        </w:rPr>
        <w:t xml:space="preserve"> „</w:t>
      </w:r>
      <w:r w:rsidRPr="00E43E66">
        <w:rPr>
          <w:rFonts w:asciiTheme="majorHAnsi" w:eastAsia="Times New Roman" w:hAnsiTheme="majorHAnsi" w:cstheme="majorHAnsi"/>
          <w:bCs/>
          <w:sz w:val="20"/>
          <w:vertAlign w:val="baseline"/>
          <w:lang w:val="ro-MD"/>
        </w:rPr>
        <w:t>Собственный капитал и обязательства</w:t>
      </w:r>
      <w:r w:rsidRPr="00BF2A2F">
        <w:rPr>
          <w:rFonts w:asciiTheme="majorHAnsi" w:eastAsia="Times New Roman" w:hAnsiTheme="majorHAnsi" w:cstheme="majorHAnsi"/>
          <w:bCs/>
          <w:sz w:val="20"/>
          <w:vertAlign w:val="baseline"/>
          <w:lang w:val="ro-MD"/>
        </w:rPr>
        <w:t xml:space="preserve">”, </w:t>
      </w:r>
      <w:r>
        <w:rPr>
          <w:rFonts w:asciiTheme="majorHAnsi" w:eastAsia="Times New Roman" w:hAnsiTheme="majorHAnsi" w:cstheme="majorHAnsi"/>
          <w:bCs/>
          <w:sz w:val="20"/>
          <w:vertAlign w:val="baseline"/>
          <w:lang w:val="ro-MD"/>
        </w:rPr>
        <w:t>утвержденный Приказом МФ №</w:t>
      </w:r>
      <w:r w:rsidRPr="00BF2A2F">
        <w:rPr>
          <w:rFonts w:asciiTheme="majorHAnsi" w:eastAsia="Times New Roman" w:hAnsiTheme="majorHAnsi" w:cstheme="majorHAnsi"/>
          <w:bCs/>
          <w:sz w:val="20"/>
          <w:vertAlign w:val="baseline"/>
          <w:lang w:val="ro-MD"/>
        </w:rPr>
        <w:t>118 от 06.08.2013.</w:t>
      </w:r>
    </w:p>
  </w:footnote>
  <w:footnote w:id="58">
    <w:p w14:paraId="66D9C408" w14:textId="1186535B" w:rsidR="001924A7" w:rsidRPr="00BF2A2F" w:rsidRDefault="001924A7" w:rsidP="00C10BD2">
      <w:pPr>
        <w:pStyle w:val="a5"/>
        <w:jc w:val="both"/>
        <w:rPr>
          <w:rFonts w:asciiTheme="majorHAnsi" w:hAnsiTheme="majorHAnsi" w:cstheme="majorHAnsi"/>
          <w:sz w:val="20"/>
          <w:vertAlign w:val="baseline"/>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vertAlign w:val="baseline"/>
          <w:lang w:val="ro-MD"/>
        </w:rPr>
        <w:t xml:space="preserve"> </w:t>
      </w:r>
      <w:r>
        <w:rPr>
          <w:rFonts w:asciiTheme="majorHAnsi" w:hAnsiTheme="majorHAnsi" w:cstheme="majorHAnsi"/>
          <w:sz w:val="20"/>
          <w:vertAlign w:val="baseline"/>
          <w:lang w:val="ro-MD"/>
        </w:rPr>
        <w:t>Закон о государственных закупках №131 от 03.07.2015</w:t>
      </w:r>
      <w:r w:rsidRPr="00BF2A2F">
        <w:rPr>
          <w:rFonts w:asciiTheme="majorHAnsi" w:hAnsiTheme="majorHAnsi" w:cstheme="majorHAnsi"/>
          <w:sz w:val="20"/>
          <w:vertAlign w:val="baseline"/>
          <w:lang w:val="ro-MD"/>
        </w:rPr>
        <w:t>.</w:t>
      </w:r>
    </w:p>
  </w:footnote>
  <w:footnote w:id="59">
    <w:p w14:paraId="4723A7DE" w14:textId="4F0755A9" w:rsidR="001924A7" w:rsidRPr="00BF2A2F" w:rsidRDefault="001924A7" w:rsidP="0006432A">
      <w:pPr>
        <w:pStyle w:val="a5"/>
        <w:jc w:val="both"/>
        <w:rPr>
          <w:rFonts w:asciiTheme="majorHAnsi" w:hAnsiTheme="majorHAnsi" w:cstheme="majorHAnsi"/>
          <w:sz w:val="20"/>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Pr>
          <w:rFonts w:asciiTheme="majorHAnsi" w:hAnsiTheme="majorHAnsi" w:cstheme="majorHAnsi"/>
          <w:sz w:val="20"/>
          <w:vertAlign w:val="baseline"/>
          <w:lang w:val="ro-MD"/>
        </w:rPr>
        <w:t>Ст</w:t>
      </w:r>
      <w:r w:rsidRPr="00BF2A2F">
        <w:rPr>
          <w:rFonts w:asciiTheme="majorHAnsi" w:hAnsiTheme="majorHAnsi" w:cstheme="majorHAnsi"/>
          <w:sz w:val="20"/>
          <w:vertAlign w:val="baseline"/>
          <w:lang w:val="ro-MD"/>
        </w:rPr>
        <w:t xml:space="preserve">. 76 (1) </w:t>
      </w:r>
      <w:r>
        <w:rPr>
          <w:rFonts w:asciiTheme="majorHAnsi" w:hAnsiTheme="majorHAnsi" w:cstheme="majorHAnsi"/>
          <w:sz w:val="20"/>
          <w:vertAlign w:val="baseline"/>
          <w:lang w:val="ro-MD"/>
        </w:rPr>
        <w:t>Закона о государственных закупках №131 от 03.07.2015</w:t>
      </w:r>
      <w:r w:rsidRPr="00BF2A2F">
        <w:rPr>
          <w:rFonts w:asciiTheme="majorHAnsi" w:hAnsiTheme="majorHAnsi" w:cstheme="majorHAnsi"/>
          <w:sz w:val="20"/>
          <w:vertAlign w:val="baseline"/>
          <w:lang w:val="ro-MD" w:eastAsia="ro-MD"/>
        </w:rPr>
        <w:t>.</w:t>
      </w:r>
    </w:p>
  </w:footnote>
  <w:footnote w:id="60">
    <w:p w14:paraId="5E72D981" w14:textId="3B308390" w:rsidR="001924A7" w:rsidRPr="00BF2A2F" w:rsidRDefault="001924A7" w:rsidP="0006432A">
      <w:pPr>
        <w:pStyle w:val="a5"/>
        <w:jc w:val="both"/>
        <w:rPr>
          <w:rFonts w:asciiTheme="majorHAnsi" w:hAnsiTheme="majorHAnsi" w:cstheme="majorHAnsi"/>
          <w:sz w:val="20"/>
          <w:vertAlign w:val="baseline"/>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sidRPr="00BF2A2F">
        <w:rPr>
          <w:rFonts w:asciiTheme="majorHAnsi" w:hAnsiTheme="majorHAnsi" w:cstheme="majorHAnsi"/>
          <w:sz w:val="20"/>
          <w:vertAlign w:val="baseline"/>
          <w:lang w:val="ro-MD"/>
        </w:rPr>
        <w:t xml:space="preserve">„Globeinvent” </w:t>
      </w:r>
      <w:r>
        <w:rPr>
          <w:rFonts w:asciiTheme="majorHAnsi" w:hAnsiTheme="majorHAnsi" w:cstheme="majorHAnsi"/>
          <w:sz w:val="20"/>
          <w:vertAlign w:val="baseline"/>
          <w:lang w:val="ru-RU"/>
        </w:rPr>
        <w:t>ООО</w:t>
      </w:r>
      <w:r w:rsidRPr="00BF2A2F">
        <w:rPr>
          <w:rFonts w:asciiTheme="majorHAnsi" w:hAnsiTheme="majorHAnsi" w:cstheme="majorHAnsi"/>
          <w:sz w:val="20"/>
          <w:vertAlign w:val="baseline"/>
          <w:lang w:val="ro-MD"/>
        </w:rPr>
        <w:t>.</w:t>
      </w:r>
    </w:p>
  </w:footnote>
  <w:footnote w:id="61">
    <w:p w14:paraId="1A219A20" w14:textId="2B65D81C" w:rsidR="001924A7" w:rsidRPr="00BF2A2F" w:rsidRDefault="001924A7" w:rsidP="00BF2A2F">
      <w:pPr>
        <w:pStyle w:val="a5"/>
        <w:jc w:val="both"/>
        <w:rPr>
          <w:rFonts w:asciiTheme="majorHAnsi" w:hAnsiTheme="majorHAnsi" w:cstheme="majorHAnsi"/>
          <w:sz w:val="20"/>
          <w:vertAlign w:val="baseline"/>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sidRPr="00BF2A2F">
        <w:rPr>
          <w:rFonts w:asciiTheme="majorHAnsi" w:hAnsiTheme="majorHAnsi" w:cstheme="majorHAnsi"/>
          <w:sz w:val="20"/>
          <w:vertAlign w:val="baseline"/>
          <w:lang w:val="ro-MD"/>
        </w:rPr>
        <w:t xml:space="preserve">„Globeinvent” </w:t>
      </w:r>
      <w:r>
        <w:rPr>
          <w:rFonts w:asciiTheme="majorHAnsi" w:hAnsiTheme="majorHAnsi" w:cstheme="majorHAnsi"/>
          <w:sz w:val="20"/>
          <w:vertAlign w:val="baseline"/>
          <w:lang w:val="ru-RU"/>
        </w:rPr>
        <w:t>ООО</w:t>
      </w:r>
      <w:r w:rsidRPr="00BF2A2F">
        <w:rPr>
          <w:rFonts w:asciiTheme="majorHAnsi" w:hAnsiTheme="majorHAnsi" w:cstheme="majorHAnsi"/>
          <w:sz w:val="20"/>
          <w:vertAlign w:val="baseline"/>
          <w:lang w:val="ro-MD"/>
        </w:rPr>
        <w:t>.</w:t>
      </w:r>
    </w:p>
  </w:footnote>
  <w:footnote w:id="62">
    <w:p w14:paraId="308EDA51" w14:textId="29A691A2" w:rsidR="001924A7" w:rsidRPr="00BF2A2F" w:rsidRDefault="001924A7" w:rsidP="00E00173">
      <w:pPr>
        <w:pStyle w:val="a5"/>
        <w:jc w:val="both"/>
        <w:rPr>
          <w:rFonts w:asciiTheme="majorHAnsi" w:hAnsiTheme="majorHAnsi" w:cstheme="majorHAnsi"/>
          <w:sz w:val="20"/>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Pr>
          <w:rFonts w:asciiTheme="majorHAnsi" w:hAnsiTheme="majorHAnsi" w:cstheme="majorHAnsi"/>
          <w:sz w:val="20"/>
          <w:vertAlign w:val="baseline"/>
          <w:lang w:val="ro-MD"/>
        </w:rPr>
        <w:t>Ст</w:t>
      </w:r>
      <w:r w:rsidRPr="00BF2A2F">
        <w:rPr>
          <w:rFonts w:asciiTheme="majorHAnsi" w:hAnsiTheme="majorHAnsi" w:cstheme="majorHAnsi"/>
          <w:sz w:val="20"/>
          <w:vertAlign w:val="baseline"/>
          <w:lang w:val="ro-MD"/>
        </w:rPr>
        <w:t xml:space="preserve">.7 </w:t>
      </w:r>
      <w:r>
        <w:rPr>
          <w:rFonts w:asciiTheme="majorHAnsi" w:hAnsiTheme="majorHAnsi" w:cstheme="majorHAnsi"/>
          <w:sz w:val="20"/>
          <w:vertAlign w:val="baseline"/>
          <w:lang w:val="ro-MD"/>
        </w:rPr>
        <w:t>Закона о государственных закупках №131 от 03.07.2015</w:t>
      </w:r>
      <w:r w:rsidRPr="00BF2A2F">
        <w:rPr>
          <w:rFonts w:asciiTheme="majorHAnsi" w:hAnsiTheme="majorHAnsi" w:cstheme="majorHAnsi"/>
          <w:sz w:val="20"/>
          <w:vertAlign w:val="baseline"/>
          <w:lang w:val="ro-MD"/>
        </w:rPr>
        <w:t>.</w:t>
      </w:r>
    </w:p>
  </w:footnote>
  <w:footnote w:id="63">
    <w:p w14:paraId="4B29D229" w14:textId="72EB4843" w:rsidR="001924A7" w:rsidRPr="00BF2A2F" w:rsidRDefault="001924A7" w:rsidP="00896667">
      <w:pPr>
        <w:pStyle w:val="a5"/>
        <w:jc w:val="both"/>
        <w:rPr>
          <w:rFonts w:asciiTheme="majorHAnsi" w:hAnsiTheme="majorHAnsi" w:cstheme="majorHAnsi"/>
          <w:sz w:val="20"/>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Pr>
          <w:rFonts w:asciiTheme="majorHAnsi" w:hAnsiTheme="majorHAnsi" w:cstheme="majorHAnsi"/>
          <w:sz w:val="20"/>
          <w:vertAlign w:val="baseline"/>
          <w:lang w:val="ro-MD"/>
        </w:rPr>
        <w:t>Ст</w:t>
      </w:r>
      <w:r w:rsidRPr="00BF2A2F">
        <w:rPr>
          <w:rFonts w:asciiTheme="majorHAnsi" w:hAnsiTheme="majorHAnsi" w:cstheme="majorHAnsi"/>
          <w:sz w:val="20"/>
          <w:vertAlign w:val="baseline"/>
          <w:lang w:val="ro-MD"/>
        </w:rPr>
        <w:t xml:space="preserve">.2 (1) </w:t>
      </w:r>
      <w:r>
        <w:rPr>
          <w:rFonts w:asciiTheme="majorHAnsi" w:hAnsiTheme="majorHAnsi" w:cstheme="majorHAnsi"/>
          <w:sz w:val="20"/>
          <w:vertAlign w:val="baseline"/>
          <w:lang w:val="ro-MD"/>
        </w:rPr>
        <w:t>Закона о государственных закупках №131 от 03.07.2015</w:t>
      </w:r>
      <w:r w:rsidRPr="00BF2A2F">
        <w:rPr>
          <w:rFonts w:asciiTheme="majorHAnsi" w:hAnsiTheme="majorHAnsi" w:cstheme="majorHAnsi"/>
          <w:sz w:val="20"/>
          <w:vertAlign w:val="baseline"/>
          <w:lang w:val="ro-MD"/>
        </w:rPr>
        <w:t>.</w:t>
      </w:r>
    </w:p>
  </w:footnote>
  <w:footnote w:id="64">
    <w:p w14:paraId="0F205692" w14:textId="21D5B6F7" w:rsidR="001924A7" w:rsidRPr="00BF2A2F" w:rsidRDefault="001924A7" w:rsidP="00896667">
      <w:pPr>
        <w:pStyle w:val="a5"/>
        <w:jc w:val="both"/>
        <w:rPr>
          <w:rFonts w:asciiTheme="majorHAnsi" w:hAnsiTheme="majorHAnsi" w:cstheme="majorHAnsi"/>
          <w:sz w:val="20"/>
          <w:vertAlign w:val="baseline"/>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sidRPr="00BF2A2F">
        <w:rPr>
          <w:rFonts w:asciiTheme="majorHAnsi" w:hAnsiTheme="majorHAnsi" w:cstheme="majorHAnsi"/>
          <w:sz w:val="20"/>
          <w:vertAlign w:val="baseline"/>
          <w:lang w:val="ro-MD"/>
        </w:rPr>
        <w:t>ПП № 665 от 27.05.2016 „</w:t>
      </w:r>
      <w:r w:rsidRPr="00896667">
        <w:rPr>
          <w:rFonts w:asciiTheme="majorHAnsi" w:hAnsiTheme="majorHAnsi" w:cstheme="majorHAnsi"/>
          <w:sz w:val="20"/>
          <w:vertAlign w:val="baseline"/>
          <w:lang w:val="ro-MD"/>
        </w:rPr>
        <w:t xml:space="preserve">Об утверждении Положения о государственных закупках </w:t>
      </w:r>
      <w:r>
        <w:rPr>
          <w:rFonts w:asciiTheme="majorHAnsi" w:hAnsiTheme="majorHAnsi" w:cstheme="majorHAnsi"/>
          <w:sz w:val="20"/>
          <w:vertAlign w:val="baseline"/>
          <w:lang w:val="ru-RU"/>
        </w:rPr>
        <w:t>небольш</w:t>
      </w:r>
      <w:r w:rsidRPr="00896667">
        <w:rPr>
          <w:rFonts w:asciiTheme="majorHAnsi" w:hAnsiTheme="majorHAnsi" w:cstheme="majorHAnsi"/>
          <w:sz w:val="20"/>
          <w:vertAlign w:val="baseline"/>
          <w:lang w:val="ro-MD"/>
        </w:rPr>
        <w:t>ой стоимости</w:t>
      </w:r>
      <w:r w:rsidRPr="00BF2A2F">
        <w:rPr>
          <w:rFonts w:asciiTheme="majorHAnsi" w:hAnsiTheme="majorHAnsi" w:cstheme="majorHAnsi"/>
          <w:sz w:val="20"/>
          <w:vertAlign w:val="baseline"/>
          <w:lang w:val="ro-MD"/>
        </w:rPr>
        <w:t xml:space="preserve">” (утратило силу </w:t>
      </w:r>
      <w:r>
        <w:rPr>
          <w:rFonts w:asciiTheme="majorHAnsi" w:hAnsiTheme="majorHAnsi" w:cstheme="majorHAnsi"/>
          <w:sz w:val="20"/>
          <w:vertAlign w:val="baseline"/>
          <w:lang w:val="ru-RU"/>
        </w:rPr>
        <w:t>с</w:t>
      </w:r>
      <w:r w:rsidRPr="00BF2A2F">
        <w:rPr>
          <w:rFonts w:asciiTheme="majorHAnsi" w:hAnsiTheme="majorHAnsi" w:cstheme="majorHAnsi"/>
          <w:sz w:val="20"/>
          <w:vertAlign w:val="baseline"/>
          <w:lang w:val="ro-MD"/>
        </w:rPr>
        <w:t xml:space="preserve"> 01.07.2023).</w:t>
      </w:r>
    </w:p>
  </w:footnote>
  <w:footnote w:id="65">
    <w:p w14:paraId="0BE8E840" w14:textId="06B3332C" w:rsidR="001924A7" w:rsidRPr="00BF2A2F" w:rsidRDefault="001924A7" w:rsidP="00896667">
      <w:pPr>
        <w:pStyle w:val="a5"/>
        <w:jc w:val="both"/>
        <w:rPr>
          <w:rFonts w:asciiTheme="majorHAnsi" w:hAnsiTheme="majorHAnsi" w:cstheme="majorHAnsi"/>
          <w:sz w:val="20"/>
          <w:vertAlign w:val="baseline"/>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Pr>
          <w:rFonts w:asciiTheme="majorHAnsi" w:hAnsiTheme="majorHAnsi" w:cstheme="majorHAnsi"/>
          <w:color w:val="000000" w:themeColor="text1"/>
          <w:sz w:val="20"/>
          <w:vertAlign w:val="baseline"/>
          <w:lang w:val="ro-MD"/>
        </w:rPr>
        <w:t>Ст</w:t>
      </w:r>
      <w:r w:rsidRPr="00BF2A2F">
        <w:rPr>
          <w:rFonts w:asciiTheme="majorHAnsi" w:hAnsiTheme="majorHAnsi" w:cstheme="majorHAnsi"/>
          <w:color w:val="000000" w:themeColor="text1"/>
          <w:sz w:val="20"/>
          <w:vertAlign w:val="baseline"/>
          <w:lang w:val="ro-MD"/>
        </w:rPr>
        <w:t xml:space="preserve">.46 </w:t>
      </w:r>
      <w:r>
        <w:rPr>
          <w:rFonts w:asciiTheme="majorHAnsi" w:hAnsiTheme="majorHAnsi" w:cstheme="majorHAnsi"/>
          <w:color w:val="000000" w:themeColor="text1"/>
          <w:sz w:val="20"/>
          <w:vertAlign w:val="baseline"/>
          <w:lang w:val="ro-MD"/>
        </w:rPr>
        <w:t>Закона о государственных закупках №131 от 03.07.2015</w:t>
      </w:r>
      <w:r w:rsidRPr="00BF2A2F">
        <w:rPr>
          <w:rFonts w:asciiTheme="majorHAnsi" w:hAnsiTheme="majorHAnsi" w:cstheme="majorHAnsi"/>
          <w:color w:val="000000" w:themeColor="text1"/>
          <w:sz w:val="20"/>
          <w:vertAlign w:val="baseline"/>
          <w:lang w:val="ro-MD"/>
        </w:rPr>
        <w:t>.</w:t>
      </w:r>
    </w:p>
  </w:footnote>
  <w:footnote w:id="66">
    <w:p w14:paraId="544BBE77" w14:textId="7D976EC0" w:rsidR="001924A7" w:rsidRPr="00BF2A2F" w:rsidRDefault="001924A7" w:rsidP="00896667">
      <w:pPr>
        <w:pStyle w:val="a5"/>
        <w:jc w:val="both"/>
        <w:rPr>
          <w:rFonts w:asciiTheme="majorHAnsi" w:hAnsiTheme="majorHAnsi" w:cstheme="majorHAnsi"/>
          <w:sz w:val="20"/>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sidRPr="00BF2A2F">
        <w:rPr>
          <w:rFonts w:asciiTheme="majorHAnsi" w:hAnsiTheme="majorHAnsi" w:cstheme="majorHAnsi"/>
          <w:sz w:val="20"/>
          <w:vertAlign w:val="baseline"/>
          <w:lang w:val="ro-MD"/>
        </w:rPr>
        <w:t>ПП № 494 от 08.07.2020 „</w:t>
      </w:r>
      <w:r w:rsidRPr="00896667">
        <w:rPr>
          <w:rFonts w:asciiTheme="majorHAnsi" w:hAnsiTheme="majorHAnsi" w:cstheme="majorHAnsi"/>
          <w:sz w:val="20"/>
          <w:vertAlign w:val="baseline"/>
          <w:lang w:val="ro-MD"/>
        </w:rPr>
        <w:t>Об утверждении Положения о государственных закупках, необходимых для профилактики и борьбы с инфекцией COVID-19</w:t>
      </w:r>
      <w:r w:rsidRPr="00BF2A2F">
        <w:rPr>
          <w:rFonts w:asciiTheme="majorHAnsi" w:hAnsiTheme="majorHAnsi" w:cstheme="majorHAnsi"/>
          <w:sz w:val="20"/>
          <w:vertAlign w:val="baseline"/>
          <w:lang w:val="ro-MD"/>
        </w:rPr>
        <w:t>”.</w:t>
      </w:r>
    </w:p>
  </w:footnote>
  <w:footnote w:id="67">
    <w:p w14:paraId="7E345882" w14:textId="0C49138A" w:rsidR="001924A7" w:rsidRPr="00BF2A2F" w:rsidRDefault="001924A7" w:rsidP="00BF2A2F">
      <w:pPr>
        <w:pStyle w:val="a5"/>
        <w:jc w:val="both"/>
        <w:rPr>
          <w:rFonts w:asciiTheme="majorHAnsi" w:hAnsiTheme="majorHAnsi" w:cstheme="majorHAnsi"/>
          <w:sz w:val="20"/>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sidRPr="007303D1">
        <w:rPr>
          <w:rFonts w:asciiTheme="majorHAnsi" w:hAnsiTheme="majorHAnsi" w:cstheme="majorHAnsi"/>
          <w:sz w:val="20"/>
          <w:vertAlign w:val="baseline"/>
          <w:lang w:val="ro-MD"/>
        </w:rPr>
        <w:t>Приказ МЗ №238 от 31.07.2009 „Об улучшении питания пациентов в больничных медико-санитарных учреждениях”.</w:t>
      </w:r>
    </w:p>
  </w:footnote>
  <w:footnote w:id="68">
    <w:p w14:paraId="56766E46" w14:textId="16733D2F" w:rsidR="001924A7" w:rsidRPr="00BF2A2F" w:rsidRDefault="001924A7" w:rsidP="001423B2">
      <w:pPr>
        <w:pStyle w:val="a5"/>
        <w:jc w:val="both"/>
        <w:rPr>
          <w:rFonts w:asciiTheme="majorHAnsi" w:hAnsiTheme="majorHAnsi" w:cstheme="majorHAnsi"/>
          <w:sz w:val="20"/>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sidRPr="00BF2A2F">
        <w:rPr>
          <w:rFonts w:asciiTheme="majorHAnsi" w:hAnsiTheme="majorHAnsi" w:cstheme="majorHAnsi"/>
          <w:sz w:val="20"/>
          <w:vertAlign w:val="baseline"/>
          <w:lang w:val="ro-MD"/>
        </w:rPr>
        <w:t xml:space="preserve">П.13-14 </w:t>
      </w:r>
      <w:r w:rsidRPr="007303D1">
        <w:rPr>
          <w:rFonts w:asciiTheme="majorHAnsi" w:hAnsiTheme="majorHAnsi" w:cstheme="majorHAnsi"/>
          <w:sz w:val="20"/>
          <w:vertAlign w:val="baseline"/>
          <w:lang w:val="ro-MD"/>
        </w:rPr>
        <w:t>Приказа №</w:t>
      </w:r>
      <w:r w:rsidRPr="00BF2A2F">
        <w:rPr>
          <w:rFonts w:asciiTheme="majorHAnsi" w:hAnsiTheme="majorHAnsi" w:cstheme="majorHAnsi"/>
          <w:sz w:val="20"/>
          <w:vertAlign w:val="baseline"/>
          <w:lang w:val="ro-MD"/>
        </w:rPr>
        <w:t>238 от 31.07.2009 „</w:t>
      </w:r>
      <w:r w:rsidRPr="007303D1">
        <w:rPr>
          <w:rFonts w:asciiTheme="majorHAnsi" w:hAnsiTheme="majorHAnsi" w:cstheme="majorHAnsi"/>
          <w:sz w:val="20"/>
          <w:vertAlign w:val="baseline"/>
          <w:lang w:val="ro-MD"/>
        </w:rPr>
        <w:t>Об улучшении питания пациентов в больничных медико-санитарных учреждениях</w:t>
      </w:r>
      <w:r w:rsidRPr="00BF2A2F">
        <w:rPr>
          <w:rFonts w:asciiTheme="majorHAnsi" w:hAnsiTheme="majorHAnsi" w:cstheme="majorHAnsi"/>
          <w:sz w:val="20"/>
          <w:vertAlign w:val="baseline"/>
          <w:lang w:val="ro-MD"/>
        </w:rPr>
        <w:t>”.</w:t>
      </w:r>
    </w:p>
  </w:footnote>
  <w:footnote w:id="69">
    <w:p w14:paraId="5FF2DE95" w14:textId="446D40AF" w:rsidR="001924A7" w:rsidRPr="00BF2A2F" w:rsidRDefault="001924A7" w:rsidP="006C7DDE">
      <w:pPr>
        <w:pStyle w:val="a5"/>
        <w:jc w:val="both"/>
        <w:rPr>
          <w:rFonts w:asciiTheme="majorHAnsi" w:hAnsiTheme="majorHAnsi" w:cstheme="majorHAnsi"/>
          <w:sz w:val="20"/>
          <w:vertAlign w:val="baseline"/>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sidRPr="00BF2A2F">
        <w:rPr>
          <w:rFonts w:asciiTheme="majorHAnsi" w:hAnsiTheme="majorHAnsi" w:cstheme="majorHAnsi"/>
          <w:sz w:val="20"/>
          <w:vertAlign w:val="baseline"/>
          <w:lang w:val="ro-MD"/>
        </w:rPr>
        <w:t xml:space="preserve">П.19 </w:t>
      </w:r>
      <w:r>
        <w:rPr>
          <w:rFonts w:asciiTheme="majorHAnsi" w:hAnsiTheme="majorHAnsi" w:cstheme="majorHAnsi"/>
          <w:sz w:val="20"/>
          <w:vertAlign w:val="baseline"/>
          <w:lang w:val="ru-RU"/>
        </w:rPr>
        <w:t>Приказа №</w:t>
      </w:r>
      <w:r w:rsidRPr="00BF2A2F">
        <w:rPr>
          <w:rFonts w:asciiTheme="majorHAnsi" w:hAnsiTheme="majorHAnsi" w:cstheme="majorHAnsi"/>
          <w:sz w:val="20"/>
          <w:vertAlign w:val="baseline"/>
          <w:lang w:val="ro-MD"/>
        </w:rPr>
        <w:t>238 от 31.07.2009 „</w:t>
      </w:r>
      <w:r w:rsidRPr="007303D1">
        <w:rPr>
          <w:rFonts w:asciiTheme="majorHAnsi" w:hAnsiTheme="majorHAnsi" w:cstheme="majorHAnsi"/>
          <w:sz w:val="20"/>
          <w:vertAlign w:val="baseline"/>
          <w:lang w:val="ro-MD"/>
        </w:rPr>
        <w:t>Об улучшении питания пациентов в больничных медико-санитарных учреждениях</w:t>
      </w:r>
      <w:r w:rsidRPr="00BF2A2F">
        <w:rPr>
          <w:rFonts w:asciiTheme="majorHAnsi" w:hAnsiTheme="majorHAnsi" w:cstheme="majorHAnsi"/>
          <w:sz w:val="20"/>
          <w:vertAlign w:val="baseline"/>
          <w:lang w:val="ro-MD"/>
        </w:rPr>
        <w:t>”.</w:t>
      </w:r>
    </w:p>
  </w:footnote>
  <w:footnote w:id="70">
    <w:p w14:paraId="73DA5DC2" w14:textId="1ADD5924" w:rsidR="001924A7" w:rsidRPr="00BF2A2F" w:rsidRDefault="001924A7" w:rsidP="00BF2A2F">
      <w:pPr>
        <w:pStyle w:val="a5"/>
        <w:jc w:val="both"/>
        <w:rPr>
          <w:rFonts w:asciiTheme="majorHAnsi" w:hAnsiTheme="majorHAnsi" w:cstheme="majorHAnsi"/>
          <w:sz w:val="20"/>
          <w:vertAlign w:val="baseline"/>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sidRPr="00BF2A2F">
        <w:rPr>
          <w:rFonts w:asciiTheme="majorHAnsi" w:hAnsiTheme="majorHAnsi" w:cstheme="majorHAnsi"/>
          <w:sz w:val="20"/>
          <w:vertAlign w:val="baseline"/>
          <w:lang w:val="ro-MD"/>
        </w:rPr>
        <w:t xml:space="preserve">I </w:t>
      </w:r>
      <w:r w:rsidRPr="009A229C">
        <w:rPr>
          <w:rFonts w:asciiTheme="majorHAnsi" w:hAnsiTheme="majorHAnsi" w:cstheme="majorHAnsi"/>
          <w:sz w:val="20"/>
          <w:vertAlign w:val="baseline"/>
          <w:lang w:val="ro-MD"/>
        </w:rPr>
        <w:t>полугодие</w:t>
      </w:r>
      <w:r w:rsidRPr="00BF2A2F">
        <w:rPr>
          <w:rFonts w:asciiTheme="majorHAnsi" w:hAnsiTheme="majorHAnsi" w:cstheme="majorHAnsi"/>
          <w:sz w:val="20"/>
          <w:vertAlign w:val="baseline"/>
          <w:lang w:val="ro-MD"/>
        </w:rPr>
        <w:t xml:space="preserve"> 2023</w:t>
      </w:r>
      <w:r w:rsidRPr="009A229C">
        <w:rPr>
          <w:rFonts w:asciiTheme="majorHAnsi" w:hAnsiTheme="majorHAnsi" w:cstheme="majorHAnsi"/>
          <w:sz w:val="20"/>
          <w:vertAlign w:val="baseline"/>
          <w:lang w:val="ro-MD"/>
        </w:rPr>
        <w:t xml:space="preserve"> года</w:t>
      </w:r>
      <w:r w:rsidRPr="00BF2A2F">
        <w:rPr>
          <w:rFonts w:asciiTheme="majorHAnsi" w:hAnsiTheme="majorHAnsi" w:cstheme="majorHAnsi"/>
          <w:sz w:val="20"/>
          <w:vertAlign w:val="baseline"/>
          <w:lang w:val="ro-MD"/>
        </w:rPr>
        <w:t>.</w:t>
      </w:r>
    </w:p>
  </w:footnote>
  <w:footnote w:id="71">
    <w:p w14:paraId="5D135A50" w14:textId="6396EF61" w:rsidR="001924A7" w:rsidRPr="00BF2A2F" w:rsidRDefault="001924A7" w:rsidP="009A229C">
      <w:pPr>
        <w:pStyle w:val="a5"/>
        <w:jc w:val="both"/>
        <w:rPr>
          <w:rFonts w:asciiTheme="majorHAnsi" w:hAnsiTheme="majorHAnsi" w:cstheme="majorHAnsi"/>
          <w:sz w:val="20"/>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Pr>
          <w:rFonts w:asciiTheme="majorHAnsi" w:hAnsiTheme="majorHAnsi" w:cstheme="majorHAnsi"/>
          <w:sz w:val="20"/>
          <w:vertAlign w:val="baseline"/>
          <w:lang w:val="ro-MD"/>
        </w:rPr>
        <w:t>Ст</w:t>
      </w:r>
      <w:r w:rsidRPr="00BF2A2F">
        <w:rPr>
          <w:rFonts w:asciiTheme="majorHAnsi" w:hAnsiTheme="majorHAnsi" w:cstheme="majorHAnsi"/>
          <w:sz w:val="20"/>
          <w:vertAlign w:val="baseline"/>
          <w:lang w:val="ro-MD"/>
        </w:rPr>
        <w:t xml:space="preserve">.11 </w:t>
      </w:r>
      <w:r w:rsidRPr="00121B23">
        <w:rPr>
          <w:rFonts w:asciiTheme="majorHAnsi" w:hAnsiTheme="majorHAnsi" w:cstheme="majorHAnsi"/>
          <w:sz w:val="20"/>
          <w:vertAlign w:val="baseline"/>
          <w:lang w:val="ro-MD"/>
        </w:rPr>
        <w:t>Закона о бухгалтерском учете и финансовой отчетности №</w:t>
      </w:r>
      <w:r w:rsidRPr="00BF2A2F">
        <w:rPr>
          <w:rFonts w:asciiTheme="majorHAnsi" w:hAnsiTheme="majorHAnsi" w:cstheme="majorHAnsi"/>
          <w:sz w:val="20"/>
          <w:vertAlign w:val="baseline"/>
          <w:lang w:val="ro-MD"/>
        </w:rPr>
        <w:t>287 от 15.12.2017.</w:t>
      </w:r>
    </w:p>
  </w:footnote>
  <w:footnote w:id="72">
    <w:p w14:paraId="08073C29" w14:textId="0C47675D" w:rsidR="001924A7" w:rsidRPr="00BF2A2F" w:rsidRDefault="001924A7" w:rsidP="00C721F6">
      <w:pPr>
        <w:pStyle w:val="a5"/>
        <w:jc w:val="both"/>
        <w:rPr>
          <w:rFonts w:asciiTheme="majorHAnsi" w:hAnsiTheme="majorHAnsi" w:cstheme="majorHAnsi"/>
          <w:sz w:val="20"/>
          <w:vertAlign w:val="baseline"/>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sidRPr="00BF2A2F">
        <w:rPr>
          <w:rFonts w:asciiTheme="majorHAnsi" w:hAnsiTheme="majorHAnsi" w:cstheme="majorHAnsi"/>
          <w:sz w:val="20"/>
          <w:vertAlign w:val="baseline"/>
          <w:lang w:val="ro-MD"/>
        </w:rPr>
        <w:t xml:space="preserve">ПП №1020 </w:t>
      </w:r>
      <w:r>
        <w:rPr>
          <w:rFonts w:asciiTheme="majorHAnsi" w:hAnsiTheme="majorHAnsi" w:cstheme="majorHAnsi"/>
          <w:sz w:val="20"/>
          <w:vertAlign w:val="baseline"/>
          <w:lang w:val="ru-RU"/>
        </w:rPr>
        <w:t>от</w:t>
      </w:r>
      <w:r w:rsidRPr="00BF2A2F">
        <w:rPr>
          <w:rFonts w:asciiTheme="majorHAnsi" w:hAnsiTheme="majorHAnsi" w:cstheme="majorHAnsi"/>
          <w:sz w:val="20"/>
          <w:vertAlign w:val="baseline"/>
          <w:lang w:val="ro-MD"/>
        </w:rPr>
        <w:t xml:space="preserve"> 29.12.2011 „</w:t>
      </w:r>
      <w:r>
        <w:rPr>
          <w:rFonts w:asciiTheme="majorHAnsi" w:hAnsiTheme="majorHAnsi" w:cstheme="majorHAnsi"/>
          <w:sz w:val="20"/>
          <w:vertAlign w:val="baseline"/>
          <w:lang w:val="ru-RU"/>
        </w:rPr>
        <w:t>О</w:t>
      </w:r>
      <w:r w:rsidRPr="00C721F6">
        <w:rPr>
          <w:rFonts w:asciiTheme="majorHAnsi" w:hAnsiTheme="majorHAnsi" w:cstheme="majorHAnsi"/>
          <w:sz w:val="20"/>
          <w:vertAlign w:val="baseline"/>
          <w:lang w:val="ru-RU"/>
        </w:rPr>
        <w:t xml:space="preserve"> тарифах на медико-санитарные услуги</w:t>
      </w:r>
      <w:r w:rsidRPr="00BF2A2F">
        <w:rPr>
          <w:rFonts w:asciiTheme="majorHAnsi" w:hAnsiTheme="majorHAnsi" w:cstheme="majorHAnsi"/>
          <w:sz w:val="20"/>
          <w:vertAlign w:val="baseline"/>
          <w:lang w:val="ro-MD"/>
        </w:rPr>
        <w:t>”.</w:t>
      </w:r>
    </w:p>
  </w:footnote>
  <w:footnote w:id="73">
    <w:p w14:paraId="05DFF939" w14:textId="5DC355EF" w:rsidR="001924A7" w:rsidRPr="00BF2A2F" w:rsidRDefault="001924A7" w:rsidP="0097278E">
      <w:pPr>
        <w:pStyle w:val="a5"/>
        <w:jc w:val="both"/>
        <w:rPr>
          <w:rFonts w:asciiTheme="majorHAnsi" w:hAnsiTheme="majorHAnsi" w:cstheme="majorHAnsi"/>
          <w:sz w:val="20"/>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Pr>
          <w:rFonts w:asciiTheme="majorHAnsi" w:hAnsiTheme="majorHAnsi" w:cstheme="majorHAnsi"/>
          <w:color w:val="000000" w:themeColor="text1"/>
          <w:sz w:val="20"/>
          <w:vertAlign w:val="baseline"/>
          <w:lang w:val="ru-RU"/>
        </w:rPr>
        <w:t>В</w:t>
      </w:r>
      <w:r w:rsidRPr="00BF2A2F">
        <w:rPr>
          <w:rFonts w:asciiTheme="majorHAnsi" w:hAnsiTheme="majorHAnsi" w:cstheme="majorHAnsi"/>
          <w:color w:val="000000" w:themeColor="text1"/>
          <w:sz w:val="20"/>
          <w:vertAlign w:val="baseline"/>
          <w:lang w:val="ro-MD"/>
        </w:rPr>
        <w:t xml:space="preserve"> 2021</w:t>
      </w:r>
      <w:r>
        <w:rPr>
          <w:rFonts w:asciiTheme="majorHAnsi" w:hAnsiTheme="majorHAnsi" w:cstheme="majorHAnsi"/>
          <w:color w:val="000000" w:themeColor="text1"/>
          <w:sz w:val="20"/>
          <w:vertAlign w:val="baseline"/>
          <w:lang w:val="ru-RU"/>
        </w:rPr>
        <w:t xml:space="preserve"> году</w:t>
      </w:r>
      <w:r w:rsidRPr="00BF2A2F">
        <w:rPr>
          <w:rFonts w:asciiTheme="majorHAnsi" w:hAnsiTheme="majorHAnsi" w:cstheme="majorHAnsi"/>
          <w:color w:val="000000" w:themeColor="text1"/>
          <w:sz w:val="20"/>
          <w:vertAlign w:val="baseline"/>
          <w:lang w:val="ro-MD"/>
        </w:rPr>
        <w:t xml:space="preserve"> – 82,2 </w:t>
      </w:r>
      <w:r>
        <w:rPr>
          <w:rFonts w:asciiTheme="majorHAnsi" w:hAnsiTheme="majorHAnsi" w:cstheme="majorHAnsi"/>
          <w:color w:val="000000" w:themeColor="text1"/>
          <w:sz w:val="20"/>
          <w:vertAlign w:val="baseline"/>
          <w:lang w:val="ru-RU"/>
        </w:rPr>
        <w:t>тыс. леев</w:t>
      </w:r>
      <w:r w:rsidRPr="00BF2A2F">
        <w:rPr>
          <w:rFonts w:asciiTheme="majorHAnsi" w:hAnsiTheme="majorHAnsi" w:cstheme="majorHAnsi"/>
          <w:color w:val="000000" w:themeColor="text1"/>
          <w:sz w:val="20"/>
          <w:vertAlign w:val="baseline"/>
          <w:lang w:val="ro-MD"/>
        </w:rPr>
        <w:t>, 2022</w:t>
      </w:r>
      <w:r>
        <w:rPr>
          <w:rFonts w:asciiTheme="majorHAnsi" w:hAnsiTheme="majorHAnsi" w:cstheme="majorHAnsi"/>
          <w:color w:val="000000" w:themeColor="text1"/>
          <w:sz w:val="20"/>
          <w:vertAlign w:val="baseline"/>
          <w:lang w:val="ru-RU"/>
        </w:rPr>
        <w:t xml:space="preserve"> году</w:t>
      </w:r>
      <w:r w:rsidRPr="00BF2A2F">
        <w:rPr>
          <w:rFonts w:asciiTheme="majorHAnsi" w:hAnsiTheme="majorHAnsi" w:cstheme="majorHAnsi"/>
          <w:color w:val="000000" w:themeColor="text1"/>
          <w:sz w:val="20"/>
          <w:vertAlign w:val="baseline"/>
          <w:lang w:val="ro-MD"/>
        </w:rPr>
        <w:t xml:space="preserve"> – 82,2 </w:t>
      </w:r>
      <w:r>
        <w:rPr>
          <w:rFonts w:asciiTheme="majorHAnsi" w:hAnsiTheme="majorHAnsi" w:cstheme="majorHAnsi"/>
          <w:color w:val="000000" w:themeColor="text1"/>
          <w:sz w:val="20"/>
          <w:vertAlign w:val="baseline"/>
          <w:lang w:val="ro-MD"/>
        </w:rPr>
        <w:t>тыс. леев</w:t>
      </w:r>
      <w:r w:rsidRPr="00BF2A2F">
        <w:rPr>
          <w:rFonts w:asciiTheme="majorHAnsi" w:hAnsiTheme="majorHAnsi" w:cstheme="majorHAnsi"/>
          <w:color w:val="000000" w:themeColor="text1"/>
          <w:sz w:val="20"/>
          <w:vertAlign w:val="baseline"/>
          <w:lang w:val="ro-MD"/>
        </w:rPr>
        <w:t xml:space="preserve">, 2023 </w:t>
      </w:r>
      <w:r>
        <w:rPr>
          <w:rFonts w:asciiTheme="majorHAnsi" w:hAnsiTheme="majorHAnsi" w:cstheme="majorHAnsi"/>
          <w:color w:val="000000" w:themeColor="text1"/>
          <w:sz w:val="20"/>
          <w:vertAlign w:val="baseline"/>
          <w:lang w:val="ru-RU"/>
        </w:rPr>
        <w:t xml:space="preserve">году </w:t>
      </w:r>
      <w:r w:rsidRPr="00BF2A2F">
        <w:rPr>
          <w:rFonts w:asciiTheme="majorHAnsi" w:hAnsiTheme="majorHAnsi" w:cstheme="majorHAnsi"/>
          <w:color w:val="000000" w:themeColor="text1"/>
          <w:sz w:val="20"/>
          <w:vertAlign w:val="baseline"/>
          <w:lang w:val="ro-MD"/>
        </w:rPr>
        <w:t xml:space="preserve">– 41,1 </w:t>
      </w:r>
      <w:r>
        <w:rPr>
          <w:rFonts w:asciiTheme="majorHAnsi" w:hAnsiTheme="majorHAnsi" w:cstheme="majorHAnsi"/>
          <w:color w:val="000000" w:themeColor="text1"/>
          <w:sz w:val="20"/>
          <w:vertAlign w:val="baseline"/>
          <w:lang w:val="ro-MD"/>
        </w:rPr>
        <w:t>тыс. леев</w:t>
      </w:r>
      <w:r w:rsidRPr="00BF2A2F">
        <w:rPr>
          <w:rFonts w:asciiTheme="majorHAnsi" w:hAnsiTheme="majorHAnsi" w:cstheme="majorHAnsi"/>
          <w:color w:val="000000" w:themeColor="text1"/>
          <w:sz w:val="20"/>
          <w:vertAlign w:val="baseline"/>
          <w:lang w:val="ro-MD"/>
        </w:rPr>
        <w:t xml:space="preserve">. </w:t>
      </w:r>
    </w:p>
  </w:footnote>
  <w:footnote w:id="74">
    <w:p w14:paraId="136D90C2" w14:textId="366BEE65" w:rsidR="001924A7" w:rsidRPr="00BF2A2F" w:rsidRDefault="001924A7" w:rsidP="0097278E">
      <w:pPr>
        <w:pStyle w:val="a5"/>
        <w:jc w:val="both"/>
        <w:rPr>
          <w:rFonts w:asciiTheme="majorHAnsi" w:hAnsiTheme="majorHAnsi" w:cstheme="majorHAnsi"/>
          <w:color w:val="000000" w:themeColor="text1"/>
          <w:sz w:val="20"/>
          <w:vertAlign w:val="baseline"/>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Pr>
          <w:rFonts w:asciiTheme="majorHAnsi" w:hAnsiTheme="majorHAnsi" w:cstheme="majorHAnsi"/>
          <w:color w:val="000000" w:themeColor="text1"/>
          <w:sz w:val="20"/>
          <w:vertAlign w:val="baseline"/>
          <w:lang w:val="ru-RU"/>
        </w:rPr>
        <w:t>В</w:t>
      </w:r>
      <w:r w:rsidRPr="00BF2A2F">
        <w:rPr>
          <w:rFonts w:asciiTheme="majorHAnsi" w:hAnsiTheme="majorHAnsi" w:cstheme="majorHAnsi"/>
          <w:color w:val="000000" w:themeColor="text1"/>
          <w:sz w:val="20"/>
          <w:vertAlign w:val="baseline"/>
          <w:lang w:val="ro-MD"/>
        </w:rPr>
        <w:t xml:space="preserve"> 2021</w:t>
      </w:r>
      <w:r>
        <w:rPr>
          <w:rFonts w:asciiTheme="majorHAnsi" w:hAnsiTheme="majorHAnsi" w:cstheme="majorHAnsi"/>
          <w:color w:val="000000" w:themeColor="text1"/>
          <w:sz w:val="20"/>
          <w:vertAlign w:val="baseline"/>
          <w:lang w:val="ru-RU"/>
        </w:rPr>
        <w:t xml:space="preserve"> году</w:t>
      </w:r>
      <w:r w:rsidRPr="00BF2A2F">
        <w:rPr>
          <w:rFonts w:asciiTheme="majorHAnsi" w:hAnsiTheme="majorHAnsi" w:cstheme="majorHAnsi"/>
          <w:color w:val="000000" w:themeColor="text1"/>
          <w:sz w:val="20"/>
          <w:vertAlign w:val="baseline"/>
          <w:lang w:val="ro-MD"/>
        </w:rPr>
        <w:t xml:space="preserve"> – 60,76 </w:t>
      </w:r>
      <w:r>
        <w:rPr>
          <w:rFonts w:asciiTheme="majorHAnsi" w:hAnsiTheme="majorHAnsi" w:cstheme="majorHAnsi"/>
          <w:color w:val="000000" w:themeColor="text1"/>
          <w:sz w:val="20"/>
          <w:vertAlign w:val="baseline"/>
          <w:lang w:val="ro-MD"/>
        </w:rPr>
        <w:t>тыс. леев</w:t>
      </w:r>
      <w:r w:rsidRPr="00BF2A2F">
        <w:rPr>
          <w:rFonts w:asciiTheme="majorHAnsi" w:hAnsiTheme="majorHAnsi" w:cstheme="majorHAnsi"/>
          <w:color w:val="000000" w:themeColor="text1"/>
          <w:sz w:val="20"/>
          <w:vertAlign w:val="baseline"/>
          <w:lang w:val="ro-MD"/>
        </w:rPr>
        <w:t>, 2022</w:t>
      </w:r>
      <w:r>
        <w:rPr>
          <w:rFonts w:asciiTheme="majorHAnsi" w:hAnsiTheme="majorHAnsi" w:cstheme="majorHAnsi"/>
          <w:color w:val="000000" w:themeColor="text1"/>
          <w:sz w:val="20"/>
          <w:vertAlign w:val="baseline"/>
          <w:lang w:val="ru-RU"/>
        </w:rPr>
        <w:t xml:space="preserve"> году</w:t>
      </w:r>
      <w:r w:rsidRPr="00BF2A2F">
        <w:rPr>
          <w:rFonts w:asciiTheme="majorHAnsi" w:hAnsiTheme="majorHAnsi" w:cstheme="majorHAnsi"/>
          <w:color w:val="000000" w:themeColor="text1"/>
          <w:sz w:val="20"/>
          <w:vertAlign w:val="baseline"/>
          <w:lang w:val="ro-MD"/>
        </w:rPr>
        <w:t xml:space="preserve"> – 60,76 </w:t>
      </w:r>
      <w:r>
        <w:rPr>
          <w:rFonts w:asciiTheme="majorHAnsi" w:hAnsiTheme="majorHAnsi" w:cstheme="majorHAnsi"/>
          <w:color w:val="000000" w:themeColor="text1"/>
          <w:sz w:val="20"/>
          <w:vertAlign w:val="baseline"/>
          <w:lang w:val="ro-MD"/>
        </w:rPr>
        <w:t>тыс. леев</w:t>
      </w:r>
      <w:r w:rsidRPr="00BF2A2F">
        <w:rPr>
          <w:rFonts w:asciiTheme="majorHAnsi" w:hAnsiTheme="majorHAnsi" w:cstheme="majorHAnsi"/>
          <w:color w:val="000000" w:themeColor="text1"/>
          <w:sz w:val="20"/>
          <w:vertAlign w:val="baseline"/>
          <w:lang w:val="ro-MD"/>
        </w:rPr>
        <w:t>, 2023</w:t>
      </w:r>
      <w:r>
        <w:rPr>
          <w:rFonts w:asciiTheme="majorHAnsi" w:hAnsiTheme="majorHAnsi" w:cstheme="majorHAnsi"/>
          <w:color w:val="000000" w:themeColor="text1"/>
          <w:sz w:val="20"/>
          <w:vertAlign w:val="baseline"/>
          <w:lang w:val="ru-RU"/>
        </w:rPr>
        <w:t xml:space="preserve"> году</w:t>
      </w:r>
      <w:r w:rsidRPr="00BF2A2F">
        <w:rPr>
          <w:rFonts w:asciiTheme="majorHAnsi" w:hAnsiTheme="majorHAnsi" w:cstheme="majorHAnsi"/>
          <w:color w:val="000000" w:themeColor="text1"/>
          <w:sz w:val="20"/>
          <w:vertAlign w:val="baseline"/>
          <w:lang w:val="ro-MD"/>
        </w:rPr>
        <w:t xml:space="preserve"> – 30,38 </w:t>
      </w:r>
      <w:r>
        <w:rPr>
          <w:rFonts w:asciiTheme="majorHAnsi" w:hAnsiTheme="majorHAnsi" w:cstheme="majorHAnsi"/>
          <w:color w:val="000000" w:themeColor="text1"/>
          <w:sz w:val="20"/>
          <w:vertAlign w:val="baseline"/>
          <w:lang w:val="ro-MD"/>
        </w:rPr>
        <w:t>тыс. леев</w:t>
      </w:r>
      <w:r w:rsidRPr="00BF2A2F">
        <w:rPr>
          <w:rFonts w:asciiTheme="majorHAnsi" w:hAnsiTheme="majorHAnsi" w:cstheme="majorHAnsi"/>
          <w:color w:val="000000" w:themeColor="text1"/>
          <w:sz w:val="20"/>
          <w:vertAlign w:val="baseline"/>
          <w:lang w:val="ro-MD"/>
        </w:rPr>
        <w:t>.</w:t>
      </w:r>
    </w:p>
    <w:p w14:paraId="6D571773" w14:textId="77777777" w:rsidR="001924A7" w:rsidRPr="00BF2A2F" w:rsidRDefault="001924A7" w:rsidP="0097278E">
      <w:pPr>
        <w:pStyle w:val="a5"/>
        <w:jc w:val="both"/>
        <w:rPr>
          <w:rFonts w:asciiTheme="majorHAnsi" w:hAnsiTheme="majorHAnsi" w:cstheme="majorHAnsi"/>
          <w:sz w:val="20"/>
          <w:lang w:val="ro-MD"/>
        </w:rPr>
      </w:pPr>
      <w:r w:rsidRPr="00BF2A2F">
        <w:rPr>
          <w:rFonts w:asciiTheme="majorHAnsi" w:hAnsiTheme="majorHAnsi" w:cstheme="majorHAnsi"/>
          <w:sz w:val="20"/>
          <w:lang w:val="ro-MD"/>
        </w:rPr>
        <w:t xml:space="preserve"> </w:t>
      </w:r>
    </w:p>
  </w:footnote>
  <w:footnote w:id="75">
    <w:p w14:paraId="55596EB6" w14:textId="214416CF" w:rsidR="001924A7" w:rsidRPr="00BF2A2F" w:rsidRDefault="001924A7" w:rsidP="0056408F">
      <w:pPr>
        <w:pStyle w:val="a5"/>
        <w:jc w:val="both"/>
        <w:rPr>
          <w:rFonts w:asciiTheme="majorHAnsi" w:hAnsiTheme="majorHAnsi" w:cstheme="majorHAnsi"/>
          <w:sz w:val="20"/>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sidRPr="00633470">
        <w:rPr>
          <w:rFonts w:asciiTheme="majorHAnsi" w:hAnsiTheme="majorHAnsi" w:cstheme="majorHAnsi"/>
          <w:sz w:val="20"/>
          <w:vertAlign w:val="baseline"/>
          <w:lang w:val="ro-MD"/>
        </w:rPr>
        <w:t>Приказ Министерства Здравоохранения №28 от 16.01.2006 „О хранении лекарственных средств, парафармацевтических препаратов и медицинских изделий"</w:t>
      </w:r>
      <w:r w:rsidRPr="00BF2A2F">
        <w:rPr>
          <w:rFonts w:asciiTheme="majorHAnsi" w:hAnsiTheme="majorHAnsi" w:cstheme="majorHAnsi"/>
          <w:sz w:val="20"/>
          <w:vertAlign w:val="baseline"/>
          <w:lang w:val="ro-MD"/>
        </w:rPr>
        <w:t xml:space="preserve">. </w:t>
      </w:r>
    </w:p>
  </w:footnote>
  <w:footnote w:id="76">
    <w:p w14:paraId="2282A5CE" w14:textId="1D787C24" w:rsidR="001924A7" w:rsidRPr="00BF2A2F" w:rsidRDefault="001924A7" w:rsidP="0056408F">
      <w:pPr>
        <w:pStyle w:val="a5"/>
        <w:jc w:val="both"/>
        <w:rPr>
          <w:rFonts w:asciiTheme="majorHAnsi" w:hAnsiTheme="majorHAnsi" w:cstheme="majorHAnsi"/>
          <w:sz w:val="20"/>
          <w:lang w:val="ro-MD"/>
        </w:rPr>
      </w:pPr>
      <w:r w:rsidRPr="00BF2A2F">
        <w:rPr>
          <w:rStyle w:val="a9"/>
          <w:rFonts w:asciiTheme="majorHAnsi" w:hAnsiTheme="majorHAnsi" w:cstheme="majorHAnsi"/>
          <w:lang w:val="ro-MD"/>
        </w:rPr>
        <w:footnoteRef/>
      </w:r>
      <w:r w:rsidRPr="00BF2A2F">
        <w:rPr>
          <w:rFonts w:asciiTheme="majorHAnsi" w:hAnsiTheme="majorHAnsi" w:cstheme="majorHAnsi"/>
          <w:sz w:val="20"/>
          <w:lang w:val="ro-MD"/>
        </w:rPr>
        <w:t xml:space="preserve"> </w:t>
      </w:r>
      <w:r w:rsidRPr="00CD5B24">
        <w:rPr>
          <w:rFonts w:asciiTheme="majorHAnsi" w:hAnsiTheme="majorHAnsi" w:cstheme="majorHAnsi"/>
          <w:sz w:val="20"/>
          <w:vertAlign w:val="baseline"/>
          <w:lang w:val="ro-MD"/>
        </w:rPr>
        <w:t xml:space="preserve">Глава </w:t>
      </w:r>
      <w:r w:rsidRPr="00BF2A2F">
        <w:rPr>
          <w:rFonts w:asciiTheme="majorHAnsi" w:hAnsiTheme="majorHAnsi" w:cstheme="majorHAnsi"/>
          <w:sz w:val="20"/>
          <w:vertAlign w:val="baseline"/>
          <w:lang w:val="ro-MD"/>
        </w:rPr>
        <w:t xml:space="preserve">4 </w:t>
      </w:r>
      <w:r>
        <w:rPr>
          <w:rFonts w:asciiTheme="majorHAnsi" w:hAnsiTheme="majorHAnsi" w:cstheme="majorHAnsi"/>
          <w:sz w:val="20"/>
          <w:vertAlign w:val="baseline"/>
          <w:lang w:val="ro-MD"/>
        </w:rPr>
        <w:t>Приложени</w:t>
      </w:r>
      <w:r w:rsidRPr="00CD5B24">
        <w:rPr>
          <w:rFonts w:asciiTheme="majorHAnsi" w:hAnsiTheme="majorHAnsi" w:cstheme="majorHAnsi"/>
          <w:sz w:val="20"/>
          <w:vertAlign w:val="baseline"/>
          <w:lang w:val="ro-MD"/>
        </w:rPr>
        <w:t xml:space="preserve">я </w:t>
      </w:r>
      <w:r>
        <w:rPr>
          <w:rFonts w:asciiTheme="majorHAnsi" w:hAnsiTheme="majorHAnsi" w:cstheme="majorHAnsi"/>
          <w:sz w:val="20"/>
          <w:vertAlign w:val="baseline"/>
          <w:lang w:val="ro-MD"/>
        </w:rPr>
        <w:t>№</w:t>
      </w:r>
      <w:r w:rsidRPr="00BF2A2F">
        <w:rPr>
          <w:rFonts w:asciiTheme="majorHAnsi" w:hAnsiTheme="majorHAnsi" w:cstheme="majorHAnsi"/>
          <w:sz w:val="20"/>
          <w:vertAlign w:val="baseline"/>
          <w:lang w:val="ro-MD"/>
        </w:rPr>
        <w:t xml:space="preserve">16 </w:t>
      </w:r>
      <w:r w:rsidRPr="00CD5B24">
        <w:rPr>
          <w:rFonts w:asciiTheme="majorHAnsi" w:hAnsiTheme="majorHAnsi" w:cstheme="majorHAnsi"/>
          <w:sz w:val="20"/>
          <w:vertAlign w:val="baseline"/>
          <w:lang w:val="ro-MD"/>
        </w:rPr>
        <w:t>к</w:t>
      </w:r>
      <w:r w:rsidRPr="00BF2A2F">
        <w:rPr>
          <w:rFonts w:asciiTheme="majorHAnsi" w:hAnsiTheme="majorHAnsi" w:cstheme="majorHAnsi"/>
          <w:sz w:val="20"/>
          <w:vertAlign w:val="baseline"/>
          <w:lang w:val="ro-MD"/>
        </w:rPr>
        <w:t xml:space="preserve"> </w:t>
      </w:r>
      <w:r w:rsidRPr="00CD5B24">
        <w:rPr>
          <w:rFonts w:asciiTheme="majorHAnsi" w:hAnsiTheme="majorHAnsi" w:cstheme="majorHAnsi"/>
          <w:sz w:val="20"/>
          <w:vertAlign w:val="baseline"/>
          <w:lang w:val="ro-MD"/>
        </w:rPr>
        <w:t>Приказу МЗ №</w:t>
      </w:r>
      <w:r w:rsidRPr="00BF2A2F">
        <w:rPr>
          <w:rFonts w:asciiTheme="majorHAnsi" w:hAnsiTheme="majorHAnsi" w:cstheme="majorHAnsi"/>
          <w:sz w:val="20"/>
          <w:vertAlign w:val="baseline"/>
          <w:lang w:val="ro-MD"/>
        </w:rPr>
        <w:t>432 от 11.05.2022 „</w:t>
      </w:r>
      <w:r w:rsidRPr="00CD5B24">
        <w:rPr>
          <w:rFonts w:asciiTheme="majorHAnsi" w:hAnsiTheme="majorHAnsi" w:cstheme="majorHAnsi"/>
          <w:sz w:val="20"/>
          <w:vertAlign w:val="baseline"/>
          <w:lang w:val="ro-MD"/>
        </w:rPr>
        <w:t xml:space="preserve">О внедрении </w:t>
      </w:r>
      <w:r w:rsidRPr="00CD5B24">
        <w:rPr>
          <w:rFonts w:asciiTheme="majorHAnsi" w:hAnsiTheme="majorHAnsi" w:cstheme="majorHAnsi"/>
          <w:sz w:val="20"/>
          <w:vertAlign w:val="baseline"/>
          <w:lang w:val="ru-RU"/>
        </w:rPr>
        <w:t>Национальн</w:t>
      </w:r>
      <w:r>
        <w:rPr>
          <w:rFonts w:asciiTheme="majorHAnsi" w:hAnsiTheme="majorHAnsi" w:cstheme="majorHAnsi"/>
          <w:sz w:val="20"/>
          <w:vertAlign w:val="baseline"/>
          <w:lang w:val="ru-RU"/>
        </w:rPr>
        <w:t>ой</w:t>
      </w:r>
      <w:r w:rsidRPr="00CD5B24">
        <w:rPr>
          <w:rFonts w:asciiTheme="majorHAnsi" w:hAnsiTheme="majorHAnsi" w:cstheme="majorHAnsi"/>
          <w:sz w:val="20"/>
          <w:vertAlign w:val="baseline"/>
          <w:lang w:val="ru-RU"/>
        </w:rPr>
        <w:t xml:space="preserve"> программ</w:t>
      </w:r>
      <w:r>
        <w:rPr>
          <w:rFonts w:asciiTheme="majorHAnsi" w:hAnsiTheme="majorHAnsi" w:cstheme="majorHAnsi"/>
          <w:sz w:val="20"/>
          <w:vertAlign w:val="baseline"/>
          <w:lang w:val="ru-RU"/>
        </w:rPr>
        <w:t>ы</w:t>
      </w:r>
      <w:r w:rsidRPr="00CD5B24">
        <w:rPr>
          <w:rFonts w:asciiTheme="majorHAnsi" w:hAnsiTheme="majorHAnsi" w:cstheme="majorHAnsi"/>
          <w:sz w:val="20"/>
          <w:vertAlign w:val="baseline"/>
          <w:lang w:val="ru-RU"/>
        </w:rPr>
        <w:t xml:space="preserve"> противодействия туберкулезу на 2022–2025 годы</w:t>
      </w:r>
      <w:r w:rsidRPr="00BF2A2F">
        <w:rPr>
          <w:rFonts w:asciiTheme="majorHAnsi" w:hAnsiTheme="majorHAnsi" w:cstheme="majorHAnsi"/>
          <w:sz w:val="20"/>
          <w:vertAlign w:val="baseline"/>
          <w:lang w:val="ro-MD"/>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7A01"/>
    <w:multiLevelType w:val="hybridMultilevel"/>
    <w:tmpl w:val="841225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B0D2D"/>
    <w:multiLevelType w:val="hybridMultilevel"/>
    <w:tmpl w:val="38D6FD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A12A04"/>
    <w:multiLevelType w:val="hybridMultilevel"/>
    <w:tmpl w:val="0A6E9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8331E"/>
    <w:multiLevelType w:val="hybridMultilevel"/>
    <w:tmpl w:val="6590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03E57"/>
    <w:multiLevelType w:val="hybridMultilevel"/>
    <w:tmpl w:val="7CAA25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13530F"/>
    <w:multiLevelType w:val="hybridMultilevel"/>
    <w:tmpl w:val="CF72FB2E"/>
    <w:lvl w:ilvl="0" w:tplc="856846D6">
      <w:start w:val="1"/>
      <w:numFmt w:val="upperRoman"/>
      <w:lvlText w:val="%1."/>
      <w:lvlJc w:val="left"/>
      <w:pPr>
        <w:ind w:left="6030" w:hanging="720"/>
      </w:pPr>
      <w:rPr>
        <w:rFonts w:hint="default"/>
      </w:rPr>
    </w:lvl>
    <w:lvl w:ilvl="1" w:tplc="08180019">
      <w:start w:val="1"/>
      <w:numFmt w:val="lowerLetter"/>
      <w:lvlText w:val="%2."/>
      <w:lvlJc w:val="left"/>
      <w:pPr>
        <w:ind w:left="6300" w:hanging="360"/>
      </w:pPr>
    </w:lvl>
    <w:lvl w:ilvl="2" w:tplc="0818001B" w:tentative="1">
      <w:start w:val="1"/>
      <w:numFmt w:val="lowerRoman"/>
      <w:lvlText w:val="%3."/>
      <w:lvlJc w:val="right"/>
      <w:pPr>
        <w:ind w:left="7020" w:hanging="180"/>
      </w:pPr>
    </w:lvl>
    <w:lvl w:ilvl="3" w:tplc="0818000F" w:tentative="1">
      <w:start w:val="1"/>
      <w:numFmt w:val="decimal"/>
      <w:lvlText w:val="%4."/>
      <w:lvlJc w:val="left"/>
      <w:pPr>
        <w:ind w:left="7740" w:hanging="360"/>
      </w:pPr>
    </w:lvl>
    <w:lvl w:ilvl="4" w:tplc="08180019" w:tentative="1">
      <w:start w:val="1"/>
      <w:numFmt w:val="lowerLetter"/>
      <w:lvlText w:val="%5."/>
      <w:lvlJc w:val="left"/>
      <w:pPr>
        <w:ind w:left="8460" w:hanging="360"/>
      </w:pPr>
    </w:lvl>
    <w:lvl w:ilvl="5" w:tplc="0818001B" w:tentative="1">
      <w:start w:val="1"/>
      <w:numFmt w:val="lowerRoman"/>
      <w:lvlText w:val="%6."/>
      <w:lvlJc w:val="right"/>
      <w:pPr>
        <w:ind w:left="9180" w:hanging="180"/>
      </w:pPr>
    </w:lvl>
    <w:lvl w:ilvl="6" w:tplc="0818000F" w:tentative="1">
      <w:start w:val="1"/>
      <w:numFmt w:val="decimal"/>
      <w:lvlText w:val="%7."/>
      <w:lvlJc w:val="left"/>
      <w:pPr>
        <w:ind w:left="9900" w:hanging="360"/>
      </w:pPr>
    </w:lvl>
    <w:lvl w:ilvl="7" w:tplc="08180019" w:tentative="1">
      <w:start w:val="1"/>
      <w:numFmt w:val="lowerLetter"/>
      <w:lvlText w:val="%8."/>
      <w:lvlJc w:val="left"/>
      <w:pPr>
        <w:ind w:left="10620" w:hanging="360"/>
      </w:pPr>
    </w:lvl>
    <w:lvl w:ilvl="8" w:tplc="0818001B" w:tentative="1">
      <w:start w:val="1"/>
      <w:numFmt w:val="lowerRoman"/>
      <w:lvlText w:val="%9."/>
      <w:lvlJc w:val="right"/>
      <w:pPr>
        <w:ind w:left="11340" w:hanging="180"/>
      </w:pPr>
    </w:lvl>
  </w:abstractNum>
  <w:abstractNum w:abstractNumId="6" w15:restartNumberingAfterBreak="0">
    <w:nsid w:val="46A7427C"/>
    <w:multiLevelType w:val="hybridMultilevel"/>
    <w:tmpl w:val="A28E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5279E"/>
    <w:multiLevelType w:val="hybridMultilevel"/>
    <w:tmpl w:val="634CC6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7B457A"/>
    <w:multiLevelType w:val="hybridMultilevel"/>
    <w:tmpl w:val="A3B03D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04DF9"/>
    <w:multiLevelType w:val="multilevel"/>
    <w:tmpl w:val="81DA05B8"/>
    <w:lvl w:ilvl="0">
      <w:start w:val="4"/>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1004" w:hanging="720"/>
      </w:pPr>
      <w:rPr>
        <w:rFonts w:hint="default"/>
        <w:b/>
        <w:i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EC358B"/>
    <w:multiLevelType w:val="hybridMultilevel"/>
    <w:tmpl w:val="E2AA4B16"/>
    <w:lvl w:ilvl="0" w:tplc="04090001">
      <w:start w:val="1"/>
      <w:numFmt w:val="bullet"/>
      <w:lvlText w:val=""/>
      <w:lvlJc w:val="left"/>
      <w:pPr>
        <w:ind w:left="1778" w:hanging="360"/>
      </w:pPr>
      <w:rPr>
        <w:rFonts w:ascii="Symbol" w:hAnsi="Symbol" w:hint="default"/>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1">
      <w:start w:val="1"/>
      <w:numFmt w:val="bullet"/>
      <w:lvlText w:val=""/>
      <w:lvlJc w:val="left"/>
      <w:pPr>
        <w:ind w:left="3229" w:hanging="360"/>
      </w:pPr>
      <w:rPr>
        <w:rFonts w:ascii="Symbol" w:hAnsi="Symbol" w:hint="default"/>
      </w:r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656928BF"/>
    <w:multiLevelType w:val="hybridMultilevel"/>
    <w:tmpl w:val="DE7251B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672539B2"/>
    <w:multiLevelType w:val="hybridMultilevel"/>
    <w:tmpl w:val="67CC71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EF4D09"/>
    <w:multiLevelType w:val="hybridMultilevel"/>
    <w:tmpl w:val="18446DBA"/>
    <w:lvl w:ilvl="0" w:tplc="FA681336">
      <w:start w:val="1"/>
      <w:numFmt w:val="decimal"/>
      <w:lvlText w:val="%1."/>
      <w:lvlJc w:val="left"/>
      <w:pPr>
        <w:ind w:left="1069" w:hanging="360"/>
      </w:pPr>
      <w:rPr>
        <w:rFonts w:asciiTheme="majorHAnsi" w:eastAsiaTheme="minorHAnsi" w:hAnsiTheme="majorHAnsi" w:cstheme="majorHAnsi"/>
        <w:b w:val="0"/>
        <w:i/>
        <w:color w:val="000000"/>
        <w:u w:val="none"/>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4" w15:restartNumberingAfterBreak="0">
    <w:nsid w:val="724B766E"/>
    <w:multiLevelType w:val="hybridMultilevel"/>
    <w:tmpl w:val="351A8F98"/>
    <w:lvl w:ilvl="0" w:tplc="0419000F">
      <w:start w:val="1"/>
      <w:numFmt w:val="decimal"/>
      <w:lvlText w:val="%1."/>
      <w:lvlJc w:val="left"/>
      <w:pPr>
        <w:ind w:left="1069" w:hanging="360"/>
      </w:pPr>
      <w:rPr>
        <w:b w:val="0"/>
        <w:i/>
        <w:color w:val="000000"/>
        <w:u w:val="none"/>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1"/>
  </w:num>
  <w:num w:numId="6">
    <w:abstractNumId w:val="12"/>
  </w:num>
  <w:num w:numId="7">
    <w:abstractNumId w:val="4"/>
  </w:num>
  <w:num w:numId="8">
    <w:abstractNumId w:val="13"/>
  </w:num>
  <w:num w:numId="9">
    <w:abstractNumId w:val="8"/>
  </w:num>
  <w:num w:numId="10">
    <w:abstractNumId w:val="9"/>
  </w:num>
  <w:num w:numId="11">
    <w:abstractNumId w:val="10"/>
  </w:num>
  <w:num w:numId="12">
    <w:abstractNumId w:val="11"/>
  </w:num>
  <w:num w:numId="13">
    <w:abstractNumId w:val="3"/>
  </w:num>
  <w:num w:numId="14">
    <w:abstractNumId w:val="6"/>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5B"/>
    <w:rsid w:val="000000A2"/>
    <w:rsid w:val="00000291"/>
    <w:rsid w:val="00006719"/>
    <w:rsid w:val="00010558"/>
    <w:rsid w:val="00012402"/>
    <w:rsid w:val="00013D24"/>
    <w:rsid w:val="000202E7"/>
    <w:rsid w:val="00021DAB"/>
    <w:rsid w:val="00021F74"/>
    <w:rsid w:val="000222A8"/>
    <w:rsid w:val="00024F81"/>
    <w:rsid w:val="0002731B"/>
    <w:rsid w:val="00027B88"/>
    <w:rsid w:val="00030F4D"/>
    <w:rsid w:val="00031D88"/>
    <w:rsid w:val="000376A8"/>
    <w:rsid w:val="0004030C"/>
    <w:rsid w:val="00040D19"/>
    <w:rsid w:val="00044A30"/>
    <w:rsid w:val="00046446"/>
    <w:rsid w:val="000470E7"/>
    <w:rsid w:val="0005144E"/>
    <w:rsid w:val="00053BC3"/>
    <w:rsid w:val="00054CE0"/>
    <w:rsid w:val="000603F4"/>
    <w:rsid w:val="000636D2"/>
    <w:rsid w:val="0006432A"/>
    <w:rsid w:val="0006445C"/>
    <w:rsid w:val="00067991"/>
    <w:rsid w:val="00070ACE"/>
    <w:rsid w:val="00071D0F"/>
    <w:rsid w:val="0007264E"/>
    <w:rsid w:val="00077A62"/>
    <w:rsid w:val="00077FEE"/>
    <w:rsid w:val="0008104C"/>
    <w:rsid w:val="00082422"/>
    <w:rsid w:val="00082D69"/>
    <w:rsid w:val="00085AB8"/>
    <w:rsid w:val="00085E08"/>
    <w:rsid w:val="000906C3"/>
    <w:rsid w:val="000940E4"/>
    <w:rsid w:val="00095F75"/>
    <w:rsid w:val="000962F2"/>
    <w:rsid w:val="000965FF"/>
    <w:rsid w:val="0009703A"/>
    <w:rsid w:val="000A02BD"/>
    <w:rsid w:val="000A1279"/>
    <w:rsid w:val="000A2E99"/>
    <w:rsid w:val="000A5AB9"/>
    <w:rsid w:val="000A6AE9"/>
    <w:rsid w:val="000B206B"/>
    <w:rsid w:val="000B5FCD"/>
    <w:rsid w:val="000C2354"/>
    <w:rsid w:val="000C3597"/>
    <w:rsid w:val="000C6F18"/>
    <w:rsid w:val="000C7DCA"/>
    <w:rsid w:val="000D36A9"/>
    <w:rsid w:val="000D43FD"/>
    <w:rsid w:val="000D4C4D"/>
    <w:rsid w:val="000D5889"/>
    <w:rsid w:val="000D61C7"/>
    <w:rsid w:val="000E2C2D"/>
    <w:rsid w:val="000E77D3"/>
    <w:rsid w:val="000F7C39"/>
    <w:rsid w:val="001002B3"/>
    <w:rsid w:val="00102FA5"/>
    <w:rsid w:val="00103535"/>
    <w:rsid w:val="00104556"/>
    <w:rsid w:val="00105B68"/>
    <w:rsid w:val="001063AB"/>
    <w:rsid w:val="00110E89"/>
    <w:rsid w:val="00111AF8"/>
    <w:rsid w:val="00111DD0"/>
    <w:rsid w:val="0011361D"/>
    <w:rsid w:val="001159D9"/>
    <w:rsid w:val="00116D11"/>
    <w:rsid w:val="00117481"/>
    <w:rsid w:val="00117653"/>
    <w:rsid w:val="001179CC"/>
    <w:rsid w:val="00120E5E"/>
    <w:rsid w:val="00121B23"/>
    <w:rsid w:val="00121C49"/>
    <w:rsid w:val="00122D04"/>
    <w:rsid w:val="0012305A"/>
    <w:rsid w:val="001255DA"/>
    <w:rsid w:val="00125FAD"/>
    <w:rsid w:val="0012633C"/>
    <w:rsid w:val="0013018D"/>
    <w:rsid w:val="00130A65"/>
    <w:rsid w:val="00131F2D"/>
    <w:rsid w:val="00137557"/>
    <w:rsid w:val="001417C7"/>
    <w:rsid w:val="001421F2"/>
    <w:rsid w:val="00142200"/>
    <w:rsid w:val="001423B2"/>
    <w:rsid w:val="00142892"/>
    <w:rsid w:val="00145067"/>
    <w:rsid w:val="001457CE"/>
    <w:rsid w:val="001472C4"/>
    <w:rsid w:val="00147F26"/>
    <w:rsid w:val="00155240"/>
    <w:rsid w:val="00163C06"/>
    <w:rsid w:val="0017222A"/>
    <w:rsid w:val="0018169A"/>
    <w:rsid w:val="00181824"/>
    <w:rsid w:val="001820B2"/>
    <w:rsid w:val="00182C85"/>
    <w:rsid w:val="00184562"/>
    <w:rsid w:val="00185DB9"/>
    <w:rsid w:val="00185FFF"/>
    <w:rsid w:val="00192231"/>
    <w:rsid w:val="001924A7"/>
    <w:rsid w:val="001942DA"/>
    <w:rsid w:val="00194332"/>
    <w:rsid w:val="0019446E"/>
    <w:rsid w:val="001945F5"/>
    <w:rsid w:val="00194C5B"/>
    <w:rsid w:val="00195700"/>
    <w:rsid w:val="001A0799"/>
    <w:rsid w:val="001A0E43"/>
    <w:rsid w:val="001A16A0"/>
    <w:rsid w:val="001A49ED"/>
    <w:rsid w:val="001B5D3D"/>
    <w:rsid w:val="001B5DBE"/>
    <w:rsid w:val="001B6264"/>
    <w:rsid w:val="001B7683"/>
    <w:rsid w:val="001C174A"/>
    <w:rsid w:val="001C3F94"/>
    <w:rsid w:val="001C4994"/>
    <w:rsid w:val="001C6DA5"/>
    <w:rsid w:val="001D1AC2"/>
    <w:rsid w:val="001D1E13"/>
    <w:rsid w:val="001D2A23"/>
    <w:rsid w:val="001D625E"/>
    <w:rsid w:val="001D7055"/>
    <w:rsid w:val="001D7AAD"/>
    <w:rsid w:val="001E2550"/>
    <w:rsid w:val="001E3FAF"/>
    <w:rsid w:val="001E452A"/>
    <w:rsid w:val="001E4DA6"/>
    <w:rsid w:val="001E5179"/>
    <w:rsid w:val="001E5470"/>
    <w:rsid w:val="001E562B"/>
    <w:rsid w:val="001E5721"/>
    <w:rsid w:val="001E775F"/>
    <w:rsid w:val="001F0EA2"/>
    <w:rsid w:val="001F1448"/>
    <w:rsid w:val="001F3368"/>
    <w:rsid w:val="001F35E8"/>
    <w:rsid w:val="001F5976"/>
    <w:rsid w:val="001F6437"/>
    <w:rsid w:val="002012E5"/>
    <w:rsid w:val="002101A1"/>
    <w:rsid w:val="00210817"/>
    <w:rsid w:val="00211AE7"/>
    <w:rsid w:val="0021414A"/>
    <w:rsid w:val="00214199"/>
    <w:rsid w:val="00215F7B"/>
    <w:rsid w:val="00216673"/>
    <w:rsid w:val="00216A02"/>
    <w:rsid w:val="002206BC"/>
    <w:rsid w:val="0022264B"/>
    <w:rsid w:val="00222739"/>
    <w:rsid w:val="00224662"/>
    <w:rsid w:val="00224786"/>
    <w:rsid w:val="002279A8"/>
    <w:rsid w:val="00230444"/>
    <w:rsid w:val="0023258A"/>
    <w:rsid w:val="00237C25"/>
    <w:rsid w:val="002403DB"/>
    <w:rsid w:val="002418A9"/>
    <w:rsid w:val="00241AB3"/>
    <w:rsid w:val="00242BA5"/>
    <w:rsid w:val="00243171"/>
    <w:rsid w:val="00243845"/>
    <w:rsid w:val="002446BB"/>
    <w:rsid w:val="00245373"/>
    <w:rsid w:val="00251DE9"/>
    <w:rsid w:val="00251EC7"/>
    <w:rsid w:val="00255AE6"/>
    <w:rsid w:val="0025760E"/>
    <w:rsid w:val="00262B24"/>
    <w:rsid w:val="0026385B"/>
    <w:rsid w:val="00263E95"/>
    <w:rsid w:val="00264DD3"/>
    <w:rsid w:val="0026741B"/>
    <w:rsid w:val="00270FEF"/>
    <w:rsid w:val="00271904"/>
    <w:rsid w:val="00272014"/>
    <w:rsid w:val="00272A6E"/>
    <w:rsid w:val="00272ED2"/>
    <w:rsid w:val="002733E9"/>
    <w:rsid w:val="00273639"/>
    <w:rsid w:val="002801D0"/>
    <w:rsid w:val="00281A21"/>
    <w:rsid w:val="002820A9"/>
    <w:rsid w:val="00282378"/>
    <w:rsid w:val="0028256D"/>
    <w:rsid w:val="002860CE"/>
    <w:rsid w:val="00290F4E"/>
    <w:rsid w:val="00291943"/>
    <w:rsid w:val="00292BC2"/>
    <w:rsid w:val="00292FBD"/>
    <w:rsid w:val="002932FC"/>
    <w:rsid w:val="00294F27"/>
    <w:rsid w:val="00295418"/>
    <w:rsid w:val="00297296"/>
    <w:rsid w:val="002973EB"/>
    <w:rsid w:val="00297EEE"/>
    <w:rsid w:val="002A10A1"/>
    <w:rsid w:val="002A13D1"/>
    <w:rsid w:val="002A2FA9"/>
    <w:rsid w:val="002A3B29"/>
    <w:rsid w:val="002A4B2D"/>
    <w:rsid w:val="002A6520"/>
    <w:rsid w:val="002A7177"/>
    <w:rsid w:val="002A72AD"/>
    <w:rsid w:val="002B06FF"/>
    <w:rsid w:val="002B16B2"/>
    <w:rsid w:val="002B2299"/>
    <w:rsid w:val="002B2480"/>
    <w:rsid w:val="002B3BC4"/>
    <w:rsid w:val="002B3DB6"/>
    <w:rsid w:val="002B51D6"/>
    <w:rsid w:val="002B5A3A"/>
    <w:rsid w:val="002B7B86"/>
    <w:rsid w:val="002C0AA0"/>
    <w:rsid w:val="002C2596"/>
    <w:rsid w:val="002C339A"/>
    <w:rsid w:val="002C33A9"/>
    <w:rsid w:val="002C572A"/>
    <w:rsid w:val="002D0DBF"/>
    <w:rsid w:val="002D753C"/>
    <w:rsid w:val="002E037C"/>
    <w:rsid w:val="002E12C9"/>
    <w:rsid w:val="002E194B"/>
    <w:rsid w:val="002E1E64"/>
    <w:rsid w:val="002E344E"/>
    <w:rsid w:val="002E38BE"/>
    <w:rsid w:val="002E3BA3"/>
    <w:rsid w:val="002F35A3"/>
    <w:rsid w:val="002F3A86"/>
    <w:rsid w:val="002F3E36"/>
    <w:rsid w:val="002F5C19"/>
    <w:rsid w:val="003012B3"/>
    <w:rsid w:val="003018A6"/>
    <w:rsid w:val="00302BD2"/>
    <w:rsid w:val="0030467B"/>
    <w:rsid w:val="00304C60"/>
    <w:rsid w:val="00305CD4"/>
    <w:rsid w:val="003101B7"/>
    <w:rsid w:val="003101EC"/>
    <w:rsid w:val="003102AA"/>
    <w:rsid w:val="00312814"/>
    <w:rsid w:val="003137E7"/>
    <w:rsid w:val="00314B87"/>
    <w:rsid w:val="00314C6D"/>
    <w:rsid w:val="003171E9"/>
    <w:rsid w:val="003210C3"/>
    <w:rsid w:val="003221A7"/>
    <w:rsid w:val="00325F44"/>
    <w:rsid w:val="003268FB"/>
    <w:rsid w:val="00327DF0"/>
    <w:rsid w:val="00330637"/>
    <w:rsid w:val="003324EC"/>
    <w:rsid w:val="00332D4F"/>
    <w:rsid w:val="00332FF7"/>
    <w:rsid w:val="003343A7"/>
    <w:rsid w:val="00337CCA"/>
    <w:rsid w:val="0034468A"/>
    <w:rsid w:val="00345AAD"/>
    <w:rsid w:val="00350A1E"/>
    <w:rsid w:val="00351522"/>
    <w:rsid w:val="00352525"/>
    <w:rsid w:val="0036390A"/>
    <w:rsid w:val="003657D1"/>
    <w:rsid w:val="003717AE"/>
    <w:rsid w:val="00371912"/>
    <w:rsid w:val="00373157"/>
    <w:rsid w:val="003739E0"/>
    <w:rsid w:val="003803F6"/>
    <w:rsid w:val="00380FAC"/>
    <w:rsid w:val="00381BAC"/>
    <w:rsid w:val="00383C42"/>
    <w:rsid w:val="00385E8C"/>
    <w:rsid w:val="00387A3F"/>
    <w:rsid w:val="003914B9"/>
    <w:rsid w:val="0039320C"/>
    <w:rsid w:val="00393D46"/>
    <w:rsid w:val="003962F1"/>
    <w:rsid w:val="00396F30"/>
    <w:rsid w:val="0039787E"/>
    <w:rsid w:val="003A2627"/>
    <w:rsid w:val="003A2F51"/>
    <w:rsid w:val="003A32F8"/>
    <w:rsid w:val="003A601C"/>
    <w:rsid w:val="003B222F"/>
    <w:rsid w:val="003B2861"/>
    <w:rsid w:val="003B2934"/>
    <w:rsid w:val="003B29AC"/>
    <w:rsid w:val="003B4D5C"/>
    <w:rsid w:val="003B51A0"/>
    <w:rsid w:val="003B7971"/>
    <w:rsid w:val="003B7DC3"/>
    <w:rsid w:val="003C181C"/>
    <w:rsid w:val="003C3E4D"/>
    <w:rsid w:val="003C4A28"/>
    <w:rsid w:val="003C567A"/>
    <w:rsid w:val="003C67A9"/>
    <w:rsid w:val="003D080C"/>
    <w:rsid w:val="003D08A6"/>
    <w:rsid w:val="003D2A18"/>
    <w:rsid w:val="003D34CB"/>
    <w:rsid w:val="003D4000"/>
    <w:rsid w:val="003D5F17"/>
    <w:rsid w:val="003E0B85"/>
    <w:rsid w:val="003E1FB0"/>
    <w:rsid w:val="003E31BE"/>
    <w:rsid w:val="003E43AF"/>
    <w:rsid w:val="003E69FD"/>
    <w:rsid w:val="003E7194"/>
    <w:rsid w:val="003E7EE1"/>
    <w:rsid w:val="003F0474"/>
    <w:rsid w:val="003F0C5E"/>
    <w:rsid w:val="003F13BC"/>
    <w:rsid w:val="003F305E"/>
    <w:rsid w:val="00400E8D"/>
    <w:rsid w:val="00404539"/>
    <w:rsid w:val="00406CC5"/>
    <w:rsid w:val="00407265"/>
    <w:rsid w:val="004128AA"/>
    <w:rsid w:val="00412CFD"/>
    <w:rsid w:val="0041425D"/>
    <w:rsid w:val="00415065"/>
    <w:rsid w:val="004150CC"/>
    <w:rsid w:val="00415D9E"/>
    <w:rsid w:val="0042231C"/>
    <w:rsid w:val="0042605F"/>
    <w:rsid w:val="004303BA"/>
    <w:rsid w:val="00430A01"/>
    <w:rsid w:val="00431AC9"/>
    <w:rsid w:val="004338B3"/>
    <w:rsid w:val="00433E79"/>
    <w:rsid w:val="00436679"/>
    <w:rsid w:val="0044054B"/>
    <w:rsid w:val="00443815"/>
    <w:rsid w:val="004443A0"/>
    <w:rsid w:val="0044478B"/>
    <w:rsid w:val="00445029"/>
    <w:rsid w:val="004477EB"/>
    <w:rsid w:val="00447F80"/>
    <w:rsid w:val="0045040C"/>
    <w:rsid w:val="00450944"/>
    <w:rsid w:val="00452191"/>
    <w:rsid w:val="00452376"/>
    <w:rsid w:val="004524B1"/>
    <w:rsid w:val="00453C51"/>
    <w:rsid w:val="00454129"/>
    <w:rsid w:val="00462B75"/>
    <w:rsid w:val="004649D6"/>
    <w:rsid w:val="004655B4"/>
    <w:rsid w:val="00465B80"/>
    <w:rsid w:val="004676E1"/>
    <w:rsid w:val="00470063"/>
    <w:rsid w:val="00471469"/>
    <w:rsid w:val="004717DE"/>
    <w:rsid w:val="00472BE5"/>
    <w:rsid w:val="00472C66"/>
    <w:rsid w:val="004738D9"/>
    <w:rsid w:val="004740A1"/>
    <w:rsid w:val="00475DED"/>
    <w:rsid w:val="00476510"/>
    <w:rsid w:val="00480E5F"/>
    <w:rsid w:val="00481DC8"/>
    <w:rsid w:val="00482125"/>
    <w:rsid w:val="00484579"/>
    <w:rsid w:val="00485956"/>
    <w:rsid w:val="00485E8F"/>
    <w:rsid w:val="004861BA"/>
    <w:rsid w:val="004911D2"/>
    <w:rsid w:val="00491BA9"/>
    <w:rsid w:val="004946C7"/>
    <w:rsid w:val="004947B2"/>
    <w:rsid w:val="00495592"/>
    <w:rsid w:val="00496111"/>
    <w:rsid w:val="004A39D7"/>
    <w:rsid w:val="004A3F0C"/>
    <w:rsid w:val="004A46DF"/>
    <w:rsid w:val="004A5483"/>
    <w:rsid w:val="004A5BAA"/>
    <w:rsid w:val="004B03CC"/>
    <w:rsid w:val="004B10EA"/>
    <w:rsid w:val="004B12E2"/>
    <w:rsid w:val="004B28C7"/>
    <w:rsid w:val="004B30A5"/>
    <w:rsid w:val="004B30CE"/>
    <w:rsid w:val="004B370E"/>
    <w:rsid w:val="004B3A62"/>
    <w:rsid w:val="004B3B94"/>
    <w:rsid w:val="004B3C65"/>
    <w:rsid w:val="004B4356"/>
    <w:rsid w:val="004B72E3"/>
    <w:rsid w:val="004C01B3"/>
    <w:rsid w:val="004C03B1"/>
    <w:rsid w:val="004C3370"/>
    <w:rsid w:val="004C49DC"/>
    <w:rsid w:val="004C4E7B"/>
    <w:rsid w:val="004C53A1"/>
    <w:rsid w:val="004C68DF"/>
    <w:rsid w:val="004C76CF"/>
    <w:rsid w:val="004D2F25"/>
    <w:rsid w:val="004D39F1"/>
    <w:rsid w:val="004D3FBE"/>
    <w:rsid w:val="004D5CCE"/>
    <w:rsid w:val="004E1122"/>
    <w:rsid w:val="004E56D2"/>
    <w:rsid w:val="004E5E11"/>
    <w:rsid w:val="004E6E63"/>
    <w:rsid w:val="004F1599"/>
    <w:rsid w:val="004F16C8"/>
    <w:rsid w:val="004F6612"/>
    <w:rsid w:val="004F6906"/>
    <w:rsid w:val="0050078B"/>
    <w:rsid w:val="00500FD4"/>
    <w:rsid w:val="00502576"/>
    <w:rsid w:val="005062BA"/>
    <w:rsid w:val="00506777"/>
    <w:rsid w:val="005107A3"/>
    <w:rsid w:val="00510A4C"/>
    <w:rsid w:val="005145B6"/>
    <w:rsid w:val="0051673A"/>
    <w:rsid w:val="00516931"/>
    <w:rsid w:val="0051718B"/>
    <w:rsid w:val="0051798D"/>
    <w:rsid w:val="005204D1"/>
    <w:rsid w:val="00522200"/>
    <w:rsid w:val="005223F1"/>
    <w:rsid w:val="005225D0"/>
    <w:rsid w:val="005225D5"/>
    <w:rsid w:val="005242B2"/>
    <w:rsid w:val="00524A59"/>
    <w:rsid w:val="0052636B"/>
    <w:rsid w:val="00526404"/>
    <w:rsid w:val="0053013B"/>
    <w:rsid w:val="005305F9"/>
    <w:rsid w:val="0053077D"/>
    <w:rsid w:val="0053275E"/>
    <w:rsid w:val="00532F79"/>
    <w:rsid w:val="00533D18"/>
    <w:rsid w:val="00534D6A"/>
    <w:rsid w:val="0053729F"/>
    <w:rsid w:val="00540490"/>
    <w:rsid w:val="00541D79"/>
    <w:rsid w:val="00541EA0"/>
    <w:rsid w:val="00542741"/>
    <w:rsid w:val="005439D0"/>
    <w:rsid w:val="00543DD4"/>
    <w:rsid w:val="0054479C"/>
    <w:rsid w:val="00550DFC"/>
    <w:rsid w:val="005515CE"/>
    <w:rsid w:val="005522BF"/>
    <w:rsid w:val="00552FDD"/>
    <w:rsid w:val="00553C24"/>
    <w:rsid w:val="00553C79"/>
    <w:rsid w:val="00554C78"/>
    <w:rsid w:val="00555C8B"/>
    <w:rsid w:val="00557279"/>
    <w:rsid w:val="00557FEA"/>
    <w:rsid w:val="00560AB6"/>
    <w:rsid w:val="00562B6C"/>
    <w:rsid w:val="0056408F"/>
    <w:rsid w:val="00567A6B"/>
    <w:rsid w:val="005728AB"/>
    <w:rsid w:val="00572A66"/>
    <w:rsid w:val="00573465"/>
    <w:rsid w:val="00574F9F"/>
    <w:rsid w:val="005777EB"/>
    <w:rsid w:val="00577F27"/>
    <w:rsid w:val="00580EFC"/>
    <w:rsid w:val="0058149C"/>
    <w:rsid w:val="00582C70"/>
    <w:rsid w:val="005853DD"/>
    <w:rsid w:val="00585605"/>
    <w:rsid w:val="005871B3"/>
    <w:rsid w:val="0059055C"/>
    <w:rsid w:val="00591955"/>
    <w:rsid w:val="00591D30"/>
    <w:rsid w:val="00592558"/>
    <w:rsid w:val="00596726"/>
    <w:rsid w:val="005968EE"/>
    <w:rsid w:val="005978A7"/>
    <w:rsid w:val="00597C98"/>
    <w:rsid w:val="005A0116"/>
    <w:rsid w:val="005A070D"/>
    <w:rsid w:val="005A35BE"/>
    <w:rsid w:val="005A3DB7"/>
    <w:rsid w:val="005A3FFB"/>
    <w:rsid w:val="005A4AF3"/>
    <w:rsid w:val="005A614F"/>
    <w:rsid w:val="005A62B2"/>
    <w:rsid w:val="005B2D7F"/>
    <w:rsid w:val="005B5F6E"/>
    <w:rsid w:val="005B793A"/>
    <w:rsid w:val="005C1C26"/>
    <w:rsid w:val="005C2E2D"/>
    <w:rsid w:val="005C3117"/>
    <w:rsid w:val="005C3DCF"/>
    <w:rsid w:val="005C5502"/>
    <w:rsid w:val="005C6960"/>
    <w:rsid w:val="005C7542"/>
    <w:rsid w:val="005C7873"/>
    <w:rsid w:val="005C7E33"/>
    <w:rsid w:val="005D3067"/>
    <w:rsid w:val="005D3938"/>
    <w:rsid w:val="005D56E4"/>
    <w:rsid w:val="005D58D5"/>
    <w:rsid w:val="005D757B"/>
    <w:rsid w:val="005E1207"/>
    <w:rsid w:val="005E538E"/>
    <w:rsid w:val="005E70A6"/>
    <w:rsid w:val="005F0A30"/>
    <w:rsid w:val="005F431F"/>
    <w:rsid w:val="005F6223"/>
    <w:rsid w:val="00602543"/>
    <w:rsid w:val="00602AC1"/>
    <w:rsid w:val="00604313"/>
    <w:rsid w:val="0061151B"/>
    <w:rsid w:val="006122B9"/>
    <w:rsid w:val="00616E8C"/>
    <w:rsid w:val="006179B5"/>
    <w:rsid w:val="00617F69"/>
    <w:rsid w:val="00620335"/>
    <w:rsid w:val="006213BF"/>
    <w:rsid w:val="00623FD0"/>
    <w:rsid w:val="00624F2F"/>
    <w:rsid w:val="0062601E"/>
    <w:rsid w:val="00626540"/>
    <w:rsid w:val="00626DC6"/>
    <w:rsid w:val="00630E24"/>
    <w:rsid w:val="00630E8E"/>
    <w:rsid w:val="00632534"/>
    <w:rsid w:val="006327C5"/>
    <w:rsid w:val="00632D7B"/>
    <w:rsid w:val="00633470"/>
    <w:rsid w:val="00634874"/>
    <w:rsid w:val="006354E6"/>
    <w:rsid w:val="00640CBE"/>
    <w:rsid w:val="00643620"/>
    <w:rsid w:val="00643D8F"/>
    <w:rsid w:val="00644080"/>
    <w:rsid w:val="006444E0"/>
    <w:rsid w:val="00644DA2"/>
    <w:rsid w:val="00651651"/>
    <w:rsid w:val="00651BC8"/>
    <w:rsid w:val="00651D22"/>
    <w:rsid w:val="006558C9"/>
    <w:rsid w:val="00656D89"/>
    <w:rsid w:val="0065779B"/>
    <w:rsid w:val="006609E2"/>
    <w:rsid w:val="006625ED"/>
    <w:rsid w:val="0066434E"/>
    <w:rsid w:val="00665654"/>
    <w:rsid w:val="00666849"/>
    <w:rsid w:val="00667422"/>
    <w:rsid w:val="00667F50"/>
    <w:rsid w:val="00667F52"/>
    <w:rsid w:val="00673893"/>
    <w:rsid w:val="00674591"/>
    <w:rsid w:val="00675B54"/>
    <w:rsid w:val="00675C08"/>
    <w:rsid w:val="0068086A"/>
    <w:rsid w:val="00681C6C"/>
    <w:rsid w:val="0068223D"/>
    <w:rsid w:val="00682D36"/>
    <w:rsid w:val="00683847"/>
    <w:rsid w:val="006850B5"/>
    <w:rsid w:val="00685615"/>
    <w:rsid w:val="00686508"/>
    <w:rsid w:val="00686F73"/>
    <w:rsid w:val="0069084E"/>
    <w:rsid w:val="00692641"/>
    <w:rsid w:val="0069268B"/>
    <w:rsid w:val="00693658"/>
    <w:rsid w:val="00694154"/>
    <w:rsid w:val="006948F3"/>
    <w:rsid w:val="0069516F"/>
    <w:rsid w:val="00695705"/>
    <w:rsid w:val="00695C89"/>
    <w:rsid w:val="00695E58"/>
    <w:rsid w:val="006960F3"/>
    <w:rsid w:val="00696D0D"/>
    <w:rsid w:val="00696F11"/>
    <w:rsid w:val="006A0356"/>
    <w:rsid w:val="006A2C40"/>
    <w:rsid w:val="006A2C5C"/>
    <w:rsid w:val="006A2E36"/>
    <w:rsid w:val="006A5147"/>
    <w:rsid w:val="006A52E3"/>
    <w:rsid w:val="006A58F1"/>
    <w:rsid w:val="006B03E4"/>
    <w:rsid w:val="006B30F8"/>
    <w:rsid w:val="006B4AFD"/>
    <w:rsid w:val="006B5722"/>
    <w:rsid w:val="006B6481"/>
    <w:rsid w:val="006B6AAD"/>
    <w:rsid w:val="006B7E63"/>
    <w:rsid w:val="006C0901"/>
    <w:rsid w:val="006C10B3"/>
    <w:rsid w:val="006C1CE7"/>
    <w:rsid w:val="006C1D45"/>
    <w:rsid w:val="006C5032"/>
    <w:rsid w:val="006C5BE0"/>
    <w:rsid w:val="006C7CDA"/>
    <w:rsid w:val="006C7DDE"/>
    <w:rsid w:val="006D0B43"/>
    <w:rsid w:val="006D0F0C"/>
    <w:rsid w:val="006D1FE6"/>
    <w:rsid w:val="006D2B97"/>
    <w:rsid w:val="006D3BF2"/>
    <w:rsid w:val="006D52C7"/>
    <w:rsid w:val="006D55C4"/>
    <w:rsid w:val="006D564A"/>
    <w:rsid w:val="006D5701"/>
    <w:rsid w:val="006D6EFF"/>
    <w:rsid w:val="006E4551"/>
    <w:rsid w:val="006E5491"/>
    <w:rsid w:val="006E58B4"/>
    <w:rsid w:val="006F3067"/>
    <w:rsid w:val="006F37C1"/>
    <w:rsid w:val="006F5682"/>
    <w:rsid w:val="006F585F"/>
    <w:rsid w:val="006F7395"/>
    <w:rsid w:val="006F78BD"/>
    <w:rsid w:val="006F7EE6"/>
    <w:rsid w:val="00701824"/>
    <w:rsid w:val="0070221A"/>
    <w:rsid w:val="00702502"/>
    <w:rsid w:val="007031FD"/>
    <w:rsid w:val="00703996"/>
    <w:rsid w:val="00704318"/>
    <w:rsid w:val="00705B84"/>
    <w:rsid w:val="00706E71"/>
    <w:rsid w:val="00710E69"/>
    <w:rsid w:val="00712A17"/>
    <w:rsid w:val="0071319B"/>
    <w:rsid w:val="00717C7E"/>
    <w:rsid w:val="00717D02"/>
    <w:rsid w:val="00724F43"/>
    <w:rsid w:val="00727646"/>
    <w:rsid w:val="007303D1"/>
    <w:rsid w:val="00730969"/>
    <w:rsid w:val="007321FB"/>
    <w:rsid w:val="00734A10"/>
    <w:rsid w:val="007350FF"/>
    <w:rsid w:val="0073562C"/>
    <w:rsid w:val="0073594C"/>
    <w:rsid w:val="0073613D"/>
    <w:rsid w:val="0073662F"/>
    <w:rsid w:val="00737124"/>
    <w:rsid w:val="00737A20"/>
    <w:rsid w:val="00737CE8"/>
    <w:rsid w:val="00740A80"/>
    <w:rsid w:val="00741731"/>
    <w:rsid w:val="007419F0"/>
    <w:rsid w:val="00742AA9"/>
    <w:rsid w:val="00742E63"/>
    <w:rsid w:val="00744F21"/>
    <w:rsid w:val="007453AB"/>
    <w:rsid w:val="0074563D"/>
    <w:rsid w:val="00746171"/>
    <w:rsid w:val="00752FE2"/>
    <w:rsid w:val="0075369A"/>
    <w:rsid w:val="00753A58"/>
    <w:rsid w:val="00756901"/>
    <w:rsid w:val="007606AB"/>
    <w:rsid w:val="007619BC"/>
    <w:rsid w:val="00764FE8"/>
    <w:rsid w:val="00766D50"/>
    <w:rsid w:val="007678A6"/>
    <w:rsid w:val="00770882"/>
    <w:rsid w:val="007709D9"/>
    <w:rsid w:val="007732D7"/>
    <w:rsid w:val="00775F72"/>
    <w:rsid w:val="00782B80"/>
    <w:rsid w:val="00782BD2"/>
    <w:rsid w:val="00784827"/>
    <w:rsid w:val="00784F26"/>
    <w:rsid w:val="00785988"/>
    <w:rsid w:val="00791817"/>
    <w:rsid w:val="00792BD5"/>
    <w:rsid w:val="00792FB0"/>
    <w:rsid w:val="00794605"/>
    <w:rsid w:val="007A1976"/>
    <w:rsid w:val="007A1D83"/>
    <w:rsid w:val="007A1FC0"/>
    <w:rsid w:val="007A29A6"/>
    <w:rsid w:val="007A33EF"/>
    <w:rsid w:val="007A3476"/>
    <w:rsid w:val="007A6189"/>
    <w:rsid w:val="007B3288"/>
    <w:rsid w:val="007B329C"/>
    <w:rsid w:val="007B43A3"/>
    <w:rsid w:val="007B61B2"/>
    <w:rsid w:val="007B6883"/>
    <w:rsid w:val="007B72D9"/>
    <w:rsid w:val="007B76E9"/>
    <w:rsid w:val="007C1048"/>
    <w:rsid w:val="007C3FE1"/>
    <w:rsid w:val="007C5EE2"/>
    <w:rsid w:val="007D147F"/>
    <w:rsid w:val="007D5AE4"/>
    <w:rsid w:val="007D68D3"/>
    <w:rsid w:val="007E110A"/>
    <w:rsid w:val="007E41F7"/>
    <w:rsid w:val="007E6B0B"/>
    <w:rsid w:val="007F1804"/>
    <w:rsid w:val="007F1EE9"/>
    <w:rsid w:val="007F3C2A"/>
    <w:rsid w:val="007F68A0"/>
    <w:rsid w:val="00801C72"/>
    <w:rsid w:val="008046C3"/>
    <w:rsid w:val="008048A3"/>
    <w:rsid w:val="00804A06"/>
    <w:rsid w:val="00807CFF"/>
    <w:rsid w:val="008108D9"/>
    <w:rsid w:val="00810C0B"/>
    <w:rsid w:val="00810E2E"/>
    <w:rsid w:val="0081359A"/>
    <w:rsid w:val="008140CB"/>
    <w:rsid w:val="008141DA"/>
    <w:rsid w:val="00814394"/>
    <w:rsid w:val="00815146"/>
    <w:rsid w:val="008156E3"/>
    <w:rsid w:val="00816F1B"/>
    <w:rsid w:val="0081744F"/>
    <w:rsid w:val="00817549"/>
    <w:rsid w:val="00820BD4"/>
    <w:rsid w:val="00820CA2"/>
    <w:rsid w:val="0082109A"/>
    <w:rsid w:val="008216C5"/>
    <w:rsid w:val="008221AA"/>
    <w:rsid w:val="00822628"/>
    <w:rsid w:val="008226F8"/>
    <w:rsid w:val="00822C52"/>
    <w:rsid w:val="00824619"/>
    <w:rsid w:val="00826699"/>
    <w:rsid w:val="00827558"/>
    <w:rsid w:val="00830BBE"/>
    <w:rsid w:val="00833424"/>
    <w:rsid w:val="0083342E"/>
    <w:rsid w:val="008354B5"/>
    <w:rsid w:val="008354D8"/>
    <w:rsid w:val="00835914"/>
    <w:rsid w:val="00835BA5"/>
    <w:rsid w:val="00835E0D"/>
    <w:rsid w:val="00840AF1"/>
    <w:rsid w:val="00840FE2"/>
    <w:rsid w:val="00842FBB"/>
    <w:rsid w:val="00843144"/>
    <w:rsid w:val="008440FE"/>
    <w:rsid w:val="00844A56"/>
    <w:rsid w:val="00845198"/>
    <w:rsid w:val="00847C7C"/>
    <w:rsid w:val="00850168"/>
    <w:rsid w:val="0085176F"/>
    <w:rsid w:val="0085189E"/>
    <w:rsid w:val="00852A85"/>
    <w:rsid w:val="00856E15"/>
    <w:rsid w:val="008573A1"/>
    <w:rsid w:val="00860A7C"/>
    <w:rsid w:val="00861C3A"/>
    <w:rsid w:val="008643A2"/>
    <w:rsid w:val="00864E64"/>
    <w:rsid w:val="00872B86"/>
    <w:rsid w:val="00873798"/>
    <w:rsid w:val="008742DC"/>
    <w:rsid w:val="00874658"/>
    <w:rsid w:val="008752FD"/>
    <w:rsid w:val="00876AFF"/>
    <w:rsid w:val="008807AF"/>
    <w:rsid w:val="008820BF"/>
    <w:rsid w:val="00882B03"/>
    <w:rsid w:val="00885B24"/>
    <w:rsid w:val="00885EE0"/>
    <w:rsid w:val="008860BA"/>
    <w:rsid w:val="00886991"/>
    <w:rsid w:val="0089013B"/>
    <w:rsid w:val="00892ADE"/>
    <w:rsid w:val="00894708"/>
    <w:rsid w:val="00894909"/>
    <w:rsid w:val="00894CE5"/>
    <w:rsid w:val="00894FFE"/>
    <w:rsid w:val="00895306"/>
    <w:rsid w:val="00896273"/>
    <w:rsid w:val="00896667"/>
    <w:rsid w:val="008A1035"/>
    <w:rsid w:val="008A166D"/>
    <w:rsid w:val="008A44B8"/>
    <w:rsid w:val="008A47BB"/>
    <w:rsid w:val="008A657C"/>
    <w:rsid w:val="008A6627"/>
    <w:rsid w:val="008A7674"/>
    <w:rsid w:val="008A7D00"/>
    <w:rsid w:val="008B0C9D"/>
    <w:rsid w:val="008B1632"/>
    <w:rsid w:val="008B5192"/>
    <w:rsid w:val="008B6DF0"/>
    <w:rsid w:val="008C028B"/>
    <w:rsid w:val="008C3955"/>
    <w:rsid w:val="008C3EBC"/>
    <w:rsid w:val="008C6A31"/>
    <w:rsid w:val="008C6CAC"/>
    <w:rsid w:val="008C7E1E"/>
    <w:rsid w:val="008D2FAE"/>
    <w:rsid w:val="008D3787"/>
    <w:rsid w:val="008D6104"/>
    <w:rsid w:val="008D6598"/>
    <w:rsid w:val="008D721A"/>
    <w:rsid w:val="008D732E"/>
    <w:rsid w:val="008E0341"/>
    <w:rsid w:val="008E3D7A"/>
    <w:rsid w:val="008E5C91"/>
    <w:rsid w:val="008E6592"/>
    <w:rsid w:val="008E6696"/>
    <w:rsid w:val="008F0993"/>
    <w:rsid w:val="008F0FBE"/>
    <w:rsid w:val="008F4F51"/>
    <w:rsid w:val="009008E2"/>
    <w:rsid w:val="00901354"/>
    <w:rsid w:val="0090136A"/>
    <w:rsid w:val="009022BC"/>
    <w:rsid w:val="00902AC6"/>
    <w:rsid w:val="00903EDE"/>
    <w:rsid w:val="009071F5"/>
    <w:rsid w:val="00911AEE"/>
    <w:rsid w:val="00913370"/>
    <w:rsid w:val="00913C83"/>
    <w:rsid w:val="00913E66"/>
    <w:rsid w:val="00917726"/>
    <w:rsid w:val="00922F5D"/>
    <w:rsid w:val="009231C0"/>
    <w:rsid w:val="0092375B"/>
    <w:rsid w:val="009262F0"/>
    <w:rsid w:val="0092679F"/>
    <w:rsid w:val="009305DB"/>
    <w:rsid w:val="0093205F"/>
    <w:rsid w:val="009328AB"/>
    <w:rsid w:val="00933A5C"/>
    <w:rsid w:val="00933D72"/>
    <w:rsid w:val="00934A6F"/>
    <w:rsid w:val="0093559A"/>
    <w:rsid w:val="009359E0"/>
    <w:rsid w:val="009371DC"/>
    <w:rsid w:val="00937D9B"/>
    <w:rsid w:val="00943312"/>
    <w:rsid w:val="00944374"/>
    <w:rsid w:val="00944955"/>
    <w:rsid w:val="00945DDD"/>
    <w:rsid w:val="00946A1F"/>
    <w:rsid w:val="009514C5"/>
    <w:rsid w:val="00951AB5"/>
    <w:rsid w:val="00954002"/>
    <w:rsid w:val="009622DA"/>
    <w:rsid w:val="0096393F"/>
    <w:rsid w:val="0096709B"/>
    <w:rsid w:val="009708AE"/>
    <w:rsid w:val="0097278E"/>
    <w:rsid w:val="00974697"/>
    <w:rsid w:val="00977BF7"/>
    <w:rsid w:val="009803CB"/>
    <w:rsid w:val="00980A00"/>
    <w:rsid w:val="00981ADA"/>
    <w:rsid w:val="00985B5D"/>
    <w:rsid w:val="0098634F"/>
    <w:rsid w:val="0099331B"/>
    <w:rsid w:val="00993FB6"/>
    <w:rsid w:val="009A0FD3"/>
    <w:rsid w:val="009A229C"/>
    <w:rsid w:val="009A3E67"/>
    <w:rsid w:val="009A5A63"/>
    <w:rsid w:val="009A7017"/>
    <w:rsid w:val="009A70C1"/>
    <w:rsid w:val="009B1068"/>
    <w:rsid w:val="009B2271"/>
    <w:rsid w:val="009B2B0E"/>
    <w:rsid w:val="009B3521"/>
    <w:rsid w:val="009B3E40"/>
    <w:rsid w:val="009B6A20"/>
    <w:rsid w:val="009B7157"/>
    <w:rsid w:val="009B7363"/>
    <w:rsid w:val="009C12CD"/>
    <w:rsid w:val="009C243D"/>
    <w:rsid w:val="009C55B3"/>
    <w:rsid w:val="009C6982"/>
    <w:rsid w:val="009D0FB7"/>
    <w:rsid w:val="009D175D"/>
    <w:rsid w:val="009D407A"/>
    <w:rsid w:val="009D4547"/>
    <w:rsid w:val="009D5C68"/>
    <w:rsid w:val="009D733E"/>
    <w:rsid w:val="009D766E"/>
    <w:rsid w:val="009D7A6B"/>
    <w:rsid w:val="009E21E4"/>
    <w:rsid w:val="009E24ED"/>
    <w:rsid w:val="009E2945"/>
    <w:rsid w:val="009E660F"/>
    <w:rsid w:val="009E7FD2"/>
    <w:rsid w:val="009F0216"/>
    <w:rsid w:val="009F0EDC"/>
    <w:rsid w:val="009F2CFA"/>
    <w:rsid w:val="009F414A"/>
    <w:rsid w:val="009F4F9A"/>
    <w:rsid w:val="009F5CFF"/>
    <w:rsid w:val="009F70ED"/>
    <w:rsid w:val="00A00D93"/>
    <w:rsid w:val="00A0171C"/>
    <w:rsid w:val="00A0215B"/>
    <w:rsid w:val="00A02394"/>
    <w:rsid w:val="00A046DD"/>
    <w:rsid w:val="00A04DD3"/>
    <w:rsid w:val="00A05D1E"/>
    <w:rsid w:val="00A10BDE"/>
    <w:rsid w:val="00A10FE6"/>
    <w:rsid w:val="00A121CE"/>
    <w:rsid w:val="00A127B6"/>
    <w:rsid w:val="00A1327C"/>
    <w:rsid w:val="00A1402F"/>
    <w:rsid w:val="00A157A4"/>
    <w:rsid w:val="00A16055"/>
    <w:rsid w:val="00A165D9"/>
    <w:rsid w:val="00A1714B"/>
    <w:rsid w:val="00A178F1"/>
    <w:rsid w:val="00A22A5C"/>
    <w:rsid w:val="00A24FDF"/>
    <w:rsid w:val="00A26229"/>
    <w:rsid w:val="00A30A5A"/>
    <w:rsid w:val="00A31A1C"/>
    <w:rsid w:val="00A31D81"/>
    <w:rsid w:val="00A3359A"/>
    <w:rsid w:val="00A37B6F"/>
    <w:rsid w:val="00A4235B"/>
    <w:rsid w:val="00A42AD7"/>
    <w:rsid w:val="00A43D5F"/>
    <w:rsid w:val="00A44F95"/>
    <w:rsid w:val="00A456FB"/>
    <w:rsid w:val="00A477F5"/>
    <w:rsid w:val="00A47D13"/>
    <w:rsid w:val="00A50449"/>
    <w:rsid w:val="00A506FB"/>
    <w:rsid w:val="00A51C46"/>
    <w:rsid w:val="00A52779"/>
    <w:rsid w:val="00A54529"/>
    <w:rsid w:val="00A57818"/>
    <w:rsid w:val="00A634B2"/>
    <w:rsid w:val="00A65275"/>
    <w:rsid w:val="00A66F8A"/>
    <w:rsid w:val="00A7014D"/>
    <w:rsid w:val="00A72675"/>
    <w:rsid w:val="00A7278E"/>
    <w:rsid w:val="00A73003"/>
    <w:rsid w:val="00A7471E"/>
    <w:rsid w:val="00A76EEC"/>
    <w:rsid w:val="00A8390A"/>
    <w:rsid w:val="00A9085E"/>
    <w:rsid w:val="00A95B61"/>
    <w:rsid w:val="00A9607D"/>
    <w:rsid w:val="00A9715B"/>
    <w:rsid w:val="00A97960"/>
    <w:rsid w:val="00AA1967"/>
    <w:rsid w:val="00AA274F"/>
    <w:rsid w:val="00AA2938"/>
    <w:rsid w:val="00AA7535"/>
    <w:rsid w:val="00AB35F5"/>
    <w:rsid w:val="00AB3CDC"/>
    <w:rsid w:val="00AB4A85"/>
    <w:rsid w:val="00AC00D0"/>
    <w:rsid w:val="00AC3FAC"/>
    <w:rsid w:val="00AC4260"/>
    <w:rsid w:val="00AC490F"/>
    <w:rsid w:val="00AC5AA9"/>
    <w:rsid w:val="00AD1E36"/>
    <w:rsid w:val="00AD3370"/>
    <w:rsid w:val="00AD6411"/>
    <w:rsid w:val="00AD73D6"/>
    <w:rsid w:val="00AE0275"/>
    <w:rsid w:val="00AE09B5"/>
    <w:rsid w:val="00AE15A5"/>
    <w:rsid w:val="00AE305F"/>
    <w:rsid w:val="00AE3393"/>
    <w:rsid w:val="00AE7818"/>
    <w:rsid w:val="00AF039E"/>
    <w:rsid w:val="00AF21A7"/>
    <w:rsid w:val="00AF3C65"/>
    <w:rsid w:val="00AF4631"/>
    <w:rsid w:val="00B00556"/>
    <w:rsid w:val="00B01CAD"/>
    <w:rsid w:val="00B0309C"/>
    <w:rsid w:val="00B030D1"/>
    <w:rsid w:val="00B04A88"/>
    <w:rsid w:val="00B05F8E"/>
    <w:rsid w:val="00B06A5F"/>
    <w:rsid w:val="00B06D6D"/>
    <w:rsid w:val="00B07B4B"/>
    <w:rsid w:val="00B10493"/>
    <w:rsid w:val="00B120A1"/>
    <w:rsid w:val="00B1225D"/>
    <w:rsid w:val="00B13B9A"/>
    <w:rsid w:val="00B140BD"/>
    <w:rsid w:val="00B151FB"/>
    <w:rsid w:val="00B15806"/>
    <w:rsid w:val="00B1634B"/>
    <w:rsid w:val="00B1642D"/>
    <w:rsid w:val="00B20084"/>
    <w:rsid w:val="00B21BB2"/>
    <w:rsid w:val="00B227DA"/>
    <w:rsid w:val="00B24768"/>
    <w:rsid w:val="00B267A4"/>
    <w:rsid w:val="00B271C1"/>
    <w:rsid w:val="00B34D84"/>
    <w:rsid w:val="00B359BE"/>
    <w:rsid w:val="00B36240"/>
    <w:rsid w:val="00B37661"/>
    <w:rsid w:val="00B400DA"/>
    <w:rsid w:val="00B46905"/>
    <w:rsid w:val="00B46993"/>
    <w:rsid w:val="00B51658"/>
    <w:rsid w:val="00B51D6D"/>
    <w:rsid w:val="00B51DE0"/>
    <w:rsid w:val="00B52C70"/>
    <w:rsid w:val="00B6357D"/>
    <w:rsid w:val="00B652B1"/>
    <w:rsid w:val="00B66459"/>
    <w:rsid w:val="00B726C3"/>
    <w:rsid w:val="00B73EDD"/>
    <w:rsid w:val="00B80D7E"/>
    <w:rsid w:val="00B80EA2"/>
    <w:rsid w:val="00B85388"/>
    <w:rsid w:val="00B8613C"/>
    <w:rsid w:val="00B86B8F"/>
    <w:rsid w:val="00B87213"/>
    <w:rsid w:val="00B90874"/>
    <w:rsid w:val="00B927B6"/>
    <w:rsid w:val="00B9390C"/>
    <w:rsid w:val="00B94D25"/>
    <w:rsid w:val="00B954D3"/>
    <w:rsid w:val="00B97968"/>
    <w:rsid w:val="00BA124E"/>
    <w:rsid w:val="00BA154C"/>
    <w:rsid w:val="00BA22DB"/>
    <w:rsid w:val="00BA56FA"/>
    <w:rsid w:val="00BA5C59"/>
    <w:rsid w:val="00BB392A"/>
    <w:rsid w:val="00BB3944"/>
    <w:rsid w:val="00BB3F59"/>
    <w:rsid w:val="00BB4F51"/>
    <w:rsid w:val="00BC388C"/>
    <w:rsid w:val="00BC4E04"/>
    <w:rsid w:val="00BC59D8"/>
    <w:rsid w:val="00BC7B90"/>
    <w:rsid w:val="00BD217C"/>
    <w:rsid w:val="00BD240F"/>
    <w:rsid w:val="00BD25AE"/>
    <w:rsid w:val="00BD356B"/>
    <w:rsid w:val="00BD45E1"/>
    <w:rsid w:val="00BD4FD5"/>
    <w:rsid w:val="00BD6B12"/>
    <w:rsid w:val="00BD6EEB"/>
    <w:rsid w:val="00BD7E52"/>
    <w:rsid w:val="00BE1AA9"/>
    <w:rsid w:val="00BE48A1"/>
    <w:rsid w:val="00BE7660"/>
    <w:rsid w:val="00BF00EC"/>
    <w:rsid w:val="00BF154B"/>
    <w:rsid w:val="00BF2684"/>
    <w:rsid w:val="00BF2A2F"/>
    <w:rsid w:val="00BF3680"/>
    <w:rsid w:val="00BF45AF"/>
    <w:rsid w:val="00C01493"/>
    <w:rsid w:val="00C03562"/>
    <w:rsid w:val="00C05680"/>
    <w:rsid w:val="00C0582C"/>
    <w:rsid w:val="00C063FB"/>
    <w:rsid w:val="00C06F7B"/>
    <w:rsid w:val="00C10BD2"/>
    <w:rsid w:val="00C119E3"/>
    <w:rsid w:val="00C148C6"/>
    <w:rsid w:val="00C164B2"/>
    <w:rsid w:val="00C202E3"/>
    <w:rsid w:val="00C2062B"/>
    <w:rsid w:val="00C2146B"/>
    <w:rsid w:val="00C22396"/>
    <w:rsid w:val="00C2331E"/>
    <w:rsid w:val="00C24358"/>
    <w:rsid w:val="00C27D88"/>
    <w:rsid w:val="00C31D78"/>
    <w:rsid w:val="00C31D7B"/>
    <w:rsid w:val="00C31DBB"/>
    <w:rsid w:val="00C333E0"/>
    <w:rsid w:val="00C34F82"/>
    <w:rsid w:val="00C3667B"/>
    <w:rsid w:val="00C3788E"/>
    <w:rsid w:val="00C37EED"/>
    <w:rsid w:val="00C41F0A"/>
    <w:rsid w:val="00C44033"/>
    <w:rsid w:val="00C442A0"/>
    <w:rsid w:val="00C45BC2"/>
    <w:rsid w:val="00C47678"/>
    <w:rsid w:val="00C47D23"/>
    <w:rsid w:val="00C50D54"/>
    <w:rsid w:val="00C50F57"/>
    <w:rsid w:val="00C5192A"/>
    <w:rsid w:val="00C53F9F"/>
    <w:rsid w:val="00C544A1"/>
    <w:rsid w:val="00C56197"/>
    <w:rsid w:val="00C56368"/>
    <w:rsid w:val="00C5698C"/>
    <w:rsid w:val="00C579FA"/>
    <w:rsid w:val="00C62250"/>
    <w:rsid w:val="00C64395"/>
    <w:rsid w:val="00C67ADE"/>
    <w:rsid w:val="00C721C6"/>
    <w:rsid w:val="00C721F6"/>
    <w:rsid w:val="00C727C3"/>
    <w:rsid w:val="00C73CDA"/>
    <w:rsid w:val="00C750F9"/>
    <w:rsid w:val="00C7795B"/>
    <w:rsid w:val="00C811EF"/>
    <w:rsid w:val="00C81F16"/>
    <w:rsid w:val="00C839D9"/>
    <w:rsid w:val="00C85F6D"/>
    <w:rsid w:val="00C86EC9"/>
    <w:rsid w:val="00C875AC"/>
    <w:rsid w:val="00C9222D"/>
    <w:rsid w:val="00C93D2B"/>
    <w:rsid w:val="00C952C9"/>
    <w:rsid w:val="00C9572F"/>
    <w:rsid w:val="00C97E08"/>
    <w:rsid w:val="00CA0BEB"/>
    <w:rsid w:val="00CA40D9"/>
    <w:rsid w:val="00CA4BAA"/>
    <w:rsid w:val="00CA5C8D"/>
    <w:rsid w:val="00CA5E5D"/>
    <w:rsid w:val="00CB0247"/>
    <w:rsid w:val="00CB05A1"/>
    <w:rsid w:val="00CB495F"/>
    <w:rsid w:val="00CB4C26"/>
    <w:rsid w:val="00CB630A"/>
    <w:rsid w:val="00CB7D40"/>
    <w:rsid w:val="00CC1A9A"/>
    <w:rsid w:val="00CC1C65"/>
    <w:rsid w:val="00CC1D4E"/>
    <w:rsid w:val="00CC2624"/>
    <w:rsid w:val="00CC278C"/>
    <w:rsid w:val="00CC53C8"/>
    <w:rsid w:val="00CD01D7"/>
    <w:rsid w:val="00CD062B"/>
    <w:rsid w:val="00CD15BA"/>
    <w:rsid w:val="00CD19FA"/>
    <w:rsid w:val="00CD2891"/>
    <w:rsid w:val="00CD3BEB"/>
    <w:rsid w:val="00CD4DA8"/>
    <w:rsid w:val="00CD5B24"/>
    <w:rsid w:val="00CD5F15"/>
    <w:rsid w:val="00CD710E"/>
    <w:rsid w:val="00CE4118"/>
    <w:rsid w:val="00CE4AE6"/>
    <w:rsid w:val="00CE6E43"/>
    <w:rsid w:val="00CF0D97"/>
    <w:rsid w:val="00CF4610"/>
    <w:rsid w:val="00CF711A"/>
    <w:rsid w:val="00D00EF1"/>
    <w:rsid w:val="00D05548"/>
    <w:rsid w:val="00D06020"/>
    <w:rsid w:val="00D137F1"/>
    <w:rsid w:val="00D14852"/>
    <w:rsid w:val="00D15513"/>
    <w:rsid w:val="00D163A8"/>
    <w:rsid w:val="00D217DF"/>
    <w:rsid w:val="00D226AF"/>
    <w:rsid w:val="00D22CA9"/>
    <w:rsid w:val="00D2381B"/>
    <w:rsid w:val="00D240B5"/>
    <w:rsid w:val="00D25500"/>
    <w:rsid w:val="00D25E60"/>
    <w:rsid w:val="00D25F88"/>
    <w:rsid w:val="00D26DDE"/>
    <w:rsid w:val="00D30318"/>
    <w:rsid w:val="00D30E10"/>
    <w:rsid w:val="00D313F8"/>
    <w:rsid w:val="00D32634"/>
    <w:rsid w:val="00D3471D"/>
    <w:rsid w:val="00D3610F"/>
    <w:rsid w:val="00D37D8A"/>
    <w:rsid w:val="00D37E88"/>
    <w:rsid w:val="00D40D08"/>
    <w:rsid w:val="00D41C90"/>
    <w:rsid w:val="00D43BEF"/>
    <w:rsid w:val="00D47422"/>
    <w:rsid w:val="00D51371"/>
    <w:rsid w:val="00D533BA"/>
    <w:rsid w:val="00D54702"/>
    <w:rsid w:val="00D54BEB"/>
    <w:rsid w:val="00D557B4"/>
    <w:rsid w:val="00D55A48"/>
    <w:rsid w:val="00D56F4C"/>
    <w:rsid w:val="00D57EB8"/>
    <w:rsid w:val="00D64D06"/>
    <w:rsid w:val="00D65863"/>
    <w:rsid w:val="00D661BB"/>
    <w:rsid w:val="00D665D7"/>
    <w:rsid w:val="00D67786"/>
    <w:rsid w:val="00D74855"/>
    <w:rsid w:val="00D80586"/>
    <w:rsid w:val="00D80683"/>
    <w:rsid w:val="00D8409C"/>
    <w:rsid w:val="00D868DB"/>
    <w:rsid w:val="00D900FA"/>
    <w:rsid w:val="00D9055D"/>
    <w:rsid w:val="00D90992"/>
    <w:rsid w:val="00D92085"/>
    <w:rsid w:val="00D93A71"/>
    <w:rsid w:val="00D93C60"/>
    <w:rsid w:val="00D951DD"/>
    <w:rsid w:val="00D96F8A"/>
    <w:rsid w:val="00D975EC"/>
    <w:rsid w:val="00D9767C"/>
    <w:rsid w:val="00DA1033"/>
    <w:rsid w:val="00DA19D1"/>
    <w:rsid w:val="00DA1FB6"/>
    <w:rsid w:val="00DA3D82"/>
    <w:rsid w:val="00DA482E"/>
    <w:rsid w:val="00DA4EE2"/>
    <w:rsid w:val="00DA5D71"/>
    <w:rsid w:val="00DA7886"/>
    <w:rsid w:val="00DA7A12"/>
    <w:rsid w:val="00DB02CD"/>
    <w:rsid w:val="00DB1CB6"/>
    <w:rsid w:val="00DB1FD6"/>
    <w:rsid w:val="00DB2223"/>
    <w:rsid w:val="00DB333D"/>
    <w:rsid w:val="00DB5FF6"/>
    <w:rsid w:val="00DB6082"/>
    <w:rsid w:val="00DB71C2"/>
    <w:rsid w:val="00DC1987"/>
    <w:rsid w:val="00DC4DEB"/>
    <w:rsid w:val="00DD2521"/>
    <w:rsid w:val="00DD2528"/>
    <w:rsid w:val="00DD2671"/>
    <w:rsid w:val="00DD424B"/>
    <w:rsid w:val="00DD430A"/>
    <w:rsid w:val="00DE0811"/>
    <w:rsid w:val="00DE2117"/>
    <w:rsid w:val="00DE34E4"/>
    <w:rsid w:val="00DE670B"/>
    <w:rsid w:val="00DF271A"/>
    <w:rsid w:val="00DF3303"/>
    <w:rsid w:val="00DF38B2"/>
    <w:rsid w:val="00DF6DA3"/>
    <w:rsid w:val="00DF7C57"/>
    <w:rsid w:val="00E00173"/>
    <w:rsid w:val="00E0051C"/>
    <w:rsid w:val="00E00EE3"/>
    <w:rsid w:val="00E055DF"/>
    <w:rsid w:val="00E05EF5"/>
    <w:rsid w:val="00E0657A"/>
    <w:rsid w:val="00E10604"/>
    <w:rsid w:val="00E11501"/>
    <w:rsid w:val="00E13004"/>
    <w:rsid w:val="00E16A9F"/>
    <w:rsid w:val="00E1706C"/>
    <w:rsid w:val="00E20A1C"/>
    <w:rsid w:val="00E2170D"/>
    <w:rsid w:val="00E220FF"/>
    <w:rsid w:val="00E233E3"/>
    <w:rsid w:val="00E24940"/>
    <w:rsid w:val="00E253B9"/>
    <w:rsid w:val="00E25854"/>
    <w:rsid w:val="00E25875"/>
    <w:rsid w:val="00E26CB6"/>
    <w:rsid w:val="00E27475"/>
    <w:rsid w:val="00E274CE"/>
    <w:rsid w:val="00E276FD"/>
    <w:rsid w:val="00E27F26"/>
    <w:rsid w:val="00E335CE"/>
    <w:rsid w:val="00E33F92"/>
    <w:rsid w:val="00E342C9"/>
    <w:rsid w:val="00E34CEF"/>
    <w:rsid w:val="00E35FA3"/>
    <w:rsid w:val="00E40485"/>
    <w:rsid w:val="00E411AC"/>
    <w:rsid w:val="00E43C8B"/>
    <w:rsid w:val="00E43E66"/>
    <w:rsid w:val="00E44391"/>
    <w:rsid w:val="00E50618"/>
    <w:rsid w:val="00E5164D"/>
    <w:rsid w:val="00E60CF1"/>
    <w:rsid w:val="00E60D06"/>
    <w:rsid w:val="00E61DB8"/>
    <w:rsid w:val="00E63278"/>
    <w:rsid w:val="00E651EC"/>
    <w:rsid w:val="00E65282"/>
    <w:rsid w:val="00E70406"/>
    <w:rsid w:val="00E70C07"/>
    <w:rsid w:val="00E713CB"/>
    <w:rsid w:val="00E73BD8"/>
    <w:rsid w:val="00E74A10"/>
    <w:rsid w:val="00E76523"/>
    <w:rsid w:val="00E7729C"/>
    <w:rsid w:val="00E772E4"/>
    <w:rsid w:val="00E77520"/>
    <w:rsid w:val="00E806AD"/>
    <w:rsid w:val="00E82CE2"/>
    <w:rsid w:val="00E8351E"/>
    <w:rsid w:val="00E92ECC"/>
    <w:rsid w:val="00E93323"/>
    <w:rsid w:val="00E94F5D"/>
    <w:rsid w:val="00E976F0"/>
    <w:rsid w:val="00E97FAE"/>
    <w:rsid w:val="00EA2080"/>
    <w:rsid w:val="00EA6D4C"/>
    <w:rsid w:val="00EB108A"/>
    <w:rsid w:val="00EB3E5A"/>
    <w:rsid w:val="00EB47FC"/>
    <w:rsid w:val="00EC082A"/>
    <w:rsid w:val="00EC1E66"/>
    <w:rsid w:val="00EC20B7"/>
    <w:rsid w:val="00EC256E"/>
    <w:rsid w:val="00EC3F5F"/>
    <w:rsid w:val="00EC435A"/>
    <w:rsid w:val="00EC5C4D"/>
    <w:rsid w:val="00EC6065"/>
    <w:rsid w:val="00EC66A1"/>
    <w:rsid w:val="00EC7F1A"/>
    <w:rsid w:val="00ED0107"/>
    <w:rsid w:val="00ED129B"/>
    <w:rsid w:val="00ED1317"/>
    <w:rsid w:val="00ED7321"/>
    <w:rsid w:val="00ED7330"/>
    <w:rsid w:val="00ED795E"/>
    <w:rsid w:val="00EE088D"/>
    <w:rsid w:val="00EF0FE4"/>
    <w:rsid w:val="00EF13A4"/>
    <w:rsid w:val="00EF1983"/>
    <w:rsid w:val="00EF4191"/>
    <w:rsid w:val="00EF4B62"/>
    <w:rsid w:val="00EF5EA0"/>
    <w:rsid w:val="00EF6D97"/>
    <w:rsid w:val="00EF6E95"/>
    <w:rsid w:val="00EF71D4"/>
    <w:rsid w:val="00F0083E"/>
    <w:rsid w:val="00F00845"/>
    <w:rsid w:val="00F01DA0"/>
    <w:rsid w:val="00F03859"/>
    <w:rsid w:val="00F03991"/>
    <w:rsid w:val="00F0469C"/>
    <w:rsid w:val="00F05AF7"/>
    <w:rsid w:val="00F0722E"/>
    <w:rsid w:val="00F12CC8"/>
    <w:rsid w:val="00F147D0"/>
    <w:rsid w:val="00F165AB"/>
    <w:rsid w:val="00F169F5"/>
    <w:rsid w:val="00F20B3D"/>
    <w:rsid w:val="00F2144F"/>
    <w:rsid w:val="00F23026"/>
    <w:rsid w:val="00F2304D"/>
    <w:rsid w:val="00F25383"/>
    <w:rsid w:val="00F27552"/>
    <w:rsid w:val="00F3121B"/>
    <w:rsid w:val="00F31425"/>
    <w:rsid w:val="00F3152F"/>
    <w:rsid w:val="00F3257B"/>
    <w:rsid w:val="00F325E9"/>
    <w:rsid w:val="00F340E2"/>
    <w:rsid w:val="00F34837"/>
    <w:rsid w:val="00F34E75"/>
    <w:rsid w:val="00F35503"/>
    <w:rsid w:val="00F37F5E"/>
    <w:rsid w:val="00F40542"/>
    <w:rsid w:val="00F4064A"/>
    <w:rsid w:val="00F431A2"/>
    <w:rsid w:val="00F43550"/>
    <w:rsid w:val="00F43B9D"/>
    <w:rsid w:val="00F452DD"/>
    <w:rsid w:val="00F46735"/>
    <w:rsid w:val="00F4705D"/>
    <w:rsid w:val="00F4754A"/>
    <w:rsid w:val="00F47D59"/>
    <w:rsid w:val="00F50661"/>
    <w:rsid w:val="00F50925"/>
    <w:rsid w:val="00F51315"/>
    <w:rsid w:val="00F51A54"/>
    <w:rsid w:val="00F53295"/>
    <w:rsid w:val="00F53985"/>
    <w:rsid w:val="00F54249"/>
    <w:rsid w:val="00F55899"/>
    <w:rsid w:val="00F55B36"/>
    <w:rsid w:val="00F56EC1"/>
    <w:rsid w:val="00F60542"/>
    <w:rsid w:val="00F608B7"/>
    <w:rsid w:val="00F64F59"/>
    <w:rsid w:val="00F6587E"/>
    <w:rsid w:val="00F66B94"/>
    <w:rsid w:val="00F672E7"/>
    <w:rsid w:val="00F67D49"/>
    <w:rsid w:val="00F70F89"/>
    <w:rsid w:val="00F74A58"/>
    <w:rsid w:val="00F779EC"/>
    <w:rsid w:val="00F77D2B"/>
    <w:rsid w:val="00F82E28"/>
    <w:rsid w:val="00F87C2A"/>
    <w:rsid w:val="00F92CA1"/>
    <w:rsid w:val="00F9347C"/>
    <w:rsid w:val="00F93C47"/>
    <w:rsid w:val="00F95317"/>
    <w:rsid w:val="00F966AC"/>
    <w:rsid w:val="00FA138B"/>
    <w:rsid w:val="00FA1633"/>
    <w:rsid w:val="00FA3E48"/>
    <w:rsid w:val="00FA4D8A"/>
    <w:rsid w:val="00FA6174"/>
    <w:rsid w:val="00FA6669"/>
    <w:rsid w:val="00FA6FCA"/>
    <w:rsid w:val="00FA7B71"/>
    <w:rsid w:val="00FA7D6F"/>
    <w:rsid w:val="00FB17F5"/>
    <w:rsid w:val="00FB1833"/>
    <w:rsid w:val="00FB2E99"/>
    <w:rsid w:val="00FB366D"/>
    <w:rsid w:val="00FB483C"/>
    <w:rsid w:val="00FB605B"/>
    <w:rsid w:val="00FB7A7A"/>
    <w:rsid w:val="00FC0F04"/>
    <w:rsid w:val="00FC3896"/>
    <w:rsid w:val="00FC6750"/>
    <w:rsid w:val="00FC7532"/>
    <w:rsid w:val="00FC7B83"/>
    <w:rsid w:val="00FD49E0"/>
    <w:rsid w:val="00FD65B6"/>
    <w:rsid w:val="00FD714D"/>
    <w:rsid w:val="00FE012A"/>
    <w:rsid w:val="00FE04E7"/>
    <w:rsid w:val="00FE0918"/>
    <w:rsid w:val="00FE1098"/>
    <w:rsid w:val="00FE1B93"/>
    <w:rsid w:val="00FE5658"/>
    <w:rsid w:val="00FE5EA2"/>
    <w:rsid w:val="00FE6601"/>
    <w:rsid w:val="00FE74F1"/>
    <w:rsid w:val="00FE77D3"/>
    <w:rsid w:val="00FF006D"/>
    <w:rsid w:val="00FF08FA"/>
    <w:rsid w:val="00FF0A71"/>
    <w:rsid w:val="00FF106E"/>
    <w:rsid w:val="00FF3BCD"/>
    <w:rsid w:val="00FF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6421"/>
  <w15:chartTrackingRefBased/>
  <w15:docId w15:val="{551712EF-1DC2-49C5-BE79-F5394423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8E2"/>
  </w:style>
  <w:style w:type="paragraph" w:styleId="1">
    <w:name w:val="heading 1"/>
    <w:basedOn w:val="a"/>
    <w:next w:val="a"/>
    <w:link w:val="10"/>
    <w:uiPriority w:val="9"/>
    <w:qFormat/>
    <w:rsid w:val="00E933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719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159D9"/>
    <w:pPr>
      <w:keepNext/>
      <w:keepLines/>
      <w:spacing w:before="40" w:after="0"/>
      <w:outlineLvl w:val="2"/>
    </w:pPr>
    <w:rPr>
      <w:rFonts w:asciiTheme="majorHAnsi" w:eastAsiaTheme="majorEastAsia" w:hAnsiTheme="majorHAnsi" w:cstheme="majorBidi"/>
      <w:color w:val="1F4D78" w:themeColor="accent1" w:themeShade="7F"/>
      <w:sz w:val="24"/>
      <w:szCs w:val="24"/>
      <w:lang w:val="ro-MD"/>
    </w:rPr>
  </w:style>
  <w:style w:type="paragraph" w:styleId="4">
    <w:name w:val="heading 4"/>
    <w:basedOn w:val="a"/>
    <w:next w:val="a"/>
    <w:link w:val="40"/>
    <w:uiPriority w:val="9"/>
    <w:semiHidden/>
    <w:unhideWhenUsed/>
    <w:qFormat/>
    <w:rsid w:val="00BD25A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2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022BC"/>
    <w:rPr>
      <w:color w:val="0563C1" w:themeColor="hyperlink"/>
      <w:u w:val="single"/>
    </w:rPr>
  </w:style>
  <w:style w:type="paragraph" w:styleId="a5">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9022BC"/>
    <w:pPr>
      <w:spacing w:after="0" w:line="240" w:lineRule="auto"/>
    </w:pPr>
    <w:rPr>
      <w:rFonts w:ascii="Times New Roman" w:hAnsi="Times New Roman"/>
      <w:sz w:val="28"/>
      <w:szCs w:val="20"/>
      <w:vertAlign w:val="superscript"/>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5"/>
    <w:uiPriority w:val="99"/>
    <w:qFormat/>
    <w:rsid w:val="009022BC"/>
    <w:rPr>
      <w:rFonts w:ascii="Times New Roman" w:hAnsi="Times New Roman"/>
      <w:sz w:val="28"/>
      <w:szCs w:val="20"/>
      <w:vertAlign w:val="superscript"/>
    </w:rPr>
  </w:style>
  <w:style w:type="table" w:styleId="21">
    <w:name w:val="Plain Table 2"/>
    <w:basedOn w:val="a1"/>
    <w:uiPriority w:val="42"/>
    <w:rsid w:val="003657D1"/>
    <w:pPr>
      <w:spacing w:after="0" w:line="240" w:lineRule="auto"/>
    </w:pPr>
    <w:rPr>
      <w:lang w:val="ro-M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7">
    <w:name w:val="List Paragraph"/>
    <w:aliases w:val="Scriptoria bullet points,List Paragraph 1,Абзац списка1,strikethrough,standaard met opsomming,List Paragraph1,Bullets,References,Liste 1,List Paragraph nowy,Numbered List Paragraph,List Paragraph (numbered (a)),Medium Grid 1 - Accent 21,3"/>
    <w:basedOn w:val="a"/>
    <w:link w:val="a8"/>
    <w:uiPriority w:val="34"/>
    <w:qFormat/>
    <w:rsid w:val="009E7FD2"/>
    <w:pPr>
      <w:ind w:left="720"/>
      <w:contextualSpacing/>
    </w:pPr>
  </w:style>
  <w:style w:type="character" w:customStyle="1" w:styleId="a8">
    <w:name w:val="Абзац списка Знак"/>
    <w:aliases w:val="Scriptoria bullet points Знак,List Paragraph 1 Знак,Абзац списка1 Знак,strikethrough Знак,standaard met opsomming Знак,List Paragraph1 Знак,Bullets Знак,References Знак,Liste 1 Знак,List Paragraph nowy Знак,Numbered List Paragraph Знак"/>
    <w:link w:val="a7"/>
    <w:uiPriority w:val="34"/>
    <w:qFormat/>
    <w:locked/>
    <w:rsid w:val="009E7FD2"/>
  </w:style>
  <w:style w:type="paragraph" w:customStyle="1" w:styleId="cn">
    <w:name w:val="cn"/>
    <w:basedOn w:val="a"/>
    <w:qFormat/>
    <w:rsid w:val="009E7FD2"/>
    <w:pPr>
      <w:spacing w:after="0" w:line="240" w:lineRule="auto"/>
      <w:jc w:val="center"/>
    </w:pPr>
    <w:rPr>
      <w:rFonts w:ascii="Times New Roman" w:eastAsia="Times New Roman" w:hAnsi="Times New Roman" w:cs="Times New Roman"/>
      <w:sz w:val="24"/>
      <w:szCs w:val="24"/>
      <w:lang w:val="ru-RU" w:eastAsia="ru-RU"/>
    </w:rPr>
  </w:style>
  <w:style w:type="character" w:styleId="a9">
    <w:name w:val="footnote reference"/>
    <w:aliases w:val="ftref,Times 10 Point,Exposant 3 Point,Footnote symbol,Footnote reference number,EN Footnote Reference,note TESI,16 Point,Superscript 6 Point,BVI fnr,Char Char1,FOOTNOTES Char1,fn Char1,single space Char1,ft Char1,Ref,fr,FR,Знак1 Char1"/>
    <w:basedOn w:val="a0"/>
    <w:link w:val="FNRefeCharChar"/>
    <w:uiPriority w:val="99"/>
    <w:unhideWhenUsed/>
    <w:qFormat/>
    <w:rsid w:val="009E7FD2"/>
    <w:rPr>
      <w:sz w:val="20"/>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9"/>
    <w:uiPriority w:val="99"/>
    <w:qFormat/>
    <w:rsid w:val="009E7FD2"/>
    <w:pPr>
      <w:spacing w:line="240" w:lineRule="exact"/>
    </w:pPr>
    <w:rPr>
      <w:sz w:val="20"/>
      <w:vertAlign w:val="superscript"/>
    </w:rPr>
  </w:style>
  <w:style w:type="paragraph" w:styleId="aa">
    <w:name w:val="header"/>
    <w:basedOn w:val="a"/>
    <w:link w:val="ab"/>
    <w:uiPriority w:val="99"/>
    <w:unhideWhenUsed/>
    <w:rsid w:val="009E7FD2"/>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9E7FD2"/>
  </w:style>
  <w:style w:type="paragraph" w:styleId="ac">
    <w:name w:val="footer"/>
    <w:basedOn w:val="a"/>
    <w:link w:val="ad"/>
    <w:uiPriority w:val="99"/>
    <w:unhideWhenUsed/>
    <w:rsid w:val="009E7FD2"/>
    <w:pPr>
      <w:tabs>
        <w:tab w:val="center" w:pos="4844"/>
        <w:tab w:val="right" w:pos="9689"/>
      </w:tabs>
      <w:spacing w:after="0" w:line="240" w:lineRule="auto"/>
    </w:pPr>
  </w:style>
  <w:style w:type="character" w:customStyle="1" w:styleId="ad">
    <w:name w:val="Нижний колонтитул Знак"/>
    <w:basedOn w:val="a0"/>
    <w:link w:val="ac"/>
    <w:uiPriority w:val="99"/>
    <w:rsid w:val="009E7FD2"/>
  </w:style>
  <w:style w:type="character" w:customStyle="1" w:styleId="30">
    <w:name w:val="Заголовок 3 Знак"/>
    <w:basedOn w:val="a0"/>
    <w:link w:val="3"/>
    <w:uiPriority w:val="9"/>
    <w:rsid w:val="001159D9"/>
    <w:rPr>
      <w:rFonts w:asciiTheme="majorHAnsi" w:eastAsiaTheme="majorEastAsia" w:hAnsiTheme="majorHAnsi" w:cstheme="majorBidi"/>
      <w:color w:val="1F4D78" w:themeColor="accent1" w:themeShade="7F"/>
      <w:sz w:val="24"/>
      <w:szCs w:val="24"/>
      <w:lang w:val="ro-MD"/>
    </w:rPr>
  </w:style>
  <w:style w:type="paragraph" w:styleId="ae">
    <w:name w:val="Normal (Web)"/>
    <w:basedOn w:val="a"/>
    <w:uiPriority w:val="99"/>
    <w:unhideWhenUsed/>
    <w:rsid w:val="006A2C40"/>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6A2C40"/>
    <w:rPr>
      <w:b/>
      <w:bCs/>
    </w:rPr>
  </w:style>
  <w:style w:type="table" w:styleId="5">
    <w:name w:val="Plain Table 5"/>
    <w:basedOn w:val="a1"/>
    <w:uiPriority w:val="45"/>
    <w:rsid w:val="00FF006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0">
    <w:name w:val="No Spacing"/>
    <w:link w:val="af1"/>
    <w:uiPriority w:val="1"/>
    <w:qFormat/>
    <w:rsid w:val="007419F0"/>
    <w:pPr>
      <w:spacing w:after="0" w:line="240" w:lineRule="auto"/>
    </w:pPr>
    <w:rPr>
      <w:rFonts w:eastAsiaTheme="minorEastAsia"/>
    </w:rPr>
  </w:style>
  <w:style w:type="character" w:customStyle="1" w:styleId="af1">
    <w:name w:val="Без интервала Знак"/>
    <w:basedOn w:val="a0"/>
    <w:link w:val="af0"/>
    <w:uiPriority w:val="1"/>
    <w:rsid w:val="007419F0"/>
    <w:rPr>
      <w:rFonts w:eastAsiaTheme="minorEastAsia"/>
    </w:rPr>
  </w:style>
  <w:style w:type="table" w:styleId="31">
    <w:name w:val="Plain Table 3"/>
    <w:basedOn w:val="a1"/>
    <w:uiPriority w:val="43"/>
    <w:rsid w:val="00710E6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f2">
    <w:name w:val="annotation reference"/>
    <w:basedOn w:val="a0"/>
    <w:uiPriority w:val="99"/>
    <w:semiHidden/>
    <w:unhideWhenUsed/>
    <w:rsid w:val="001F35E8"/>
    <w:rPr>
      <w:sz w:val="16"/>
      <w:szCs w:val="16"/>
    </w:rPr>
  </w:style>
  <w:style w:type="paragraph" w:styleId="af3">
    <w:name w:val="annotation text"/>
    <w:basedOn w:val="a"/>
    <w:link w:val="af4"/>
    <w:uiPriority w:val="99"/>
    <w:semiHidden/>
    <w:unhideWhenUsed/>
    <w:rsid w:val="001F35E8"/>
    <w:pPr>
      <w:spacing w:line="240" w:lineRule="auto"/>
    </w:pPr>
    <w:rPr>
      <w:sz w:val="20"/>
      <w:szCs w:val="20"/>
      <w:lang w:val="ro-MD"/>
    </w:rPr>
  </w:style>
  <w:style w:type="character" w:customStyle="1" w:styleId="af4">
    <w:name w:val="Текст примечания Знак"/>
    <w:basedOn w:val="a0"/>
    <w:link w:val="af3"/>
    <w:uiPriority w:val="99"/>
    <w:semiHidden/>
    <w:rsid w:val="001F35E8"/>
    <w:rPr>
      <w:sz w:val="20"/>
      <w:szCs w:val="20"/>
      <w:lang w:val="ro-MD"/>
    </w:rPr>
  </w:style>
  <w:style w:type="paragraph" w:styleId="af5">
    <w:name w:val="Balloon Text"/>
    <w:basedOn w:val="a"/>
    <w:link w:val="af6"/>
    <w:uiPriority w:val="99"/>
    <w:semiHidden/>
    <w:unhideWhenUsed/>
    <w:rsid w:val="001F35E8"/>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1F35E8"/>
    <w:rPr>
      <w:rFonts w:ascii="Segoe UI" w:hAnsi="Segoe UI" w:cs="Segoe UI"/>
      <w:sz w:val="18"/>
      <w:szCs w:val="18"/>
    </w:rPr>
  </w:style>
  <w:style w:type="character" w:customStyle="1" w:styleId="10">
    <w:name w:val="Заголовок 1 Знак"/>
    <w:basedOn w:val="a0"/>
    <w:link w:val="1"/>
    <w:uiPriority w:val="9"/>
    <w:rsid w:val="00E9332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71904"/>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BD25AE"/>
    <w:rPr>
      <w:rFonts w:asciiTheme="majorHAnsi" w:eastAsiaTheme="majorEastAsia" w:hAnsiTheme="majorHAnsi" w:cstheme="majorBidi"/>
      <w:i/>
      <w:iCs/>
      <w:color w:val="2E74B5" w:themeColor="accent1" w:themeShade="BF"/>
    </w:rPr>
  </w:style>
  <w:style w:type="paragraph" w:customStyle="1" w:styleId="Default">
    <w:name w:val="Default"/>
    <w:rsid w:val="009708A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PlainTable21">
    <w:name w:val="Plain Table 21"/>
    <w:basedOn w:val="a1"/>
    <w:uiPriority w:val="42"/>
    <w:rsid w:val="006D52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tblPr/>
      <w:tcPr>
        <w:tcBorders>
          <w:bottom w:val="single" w:sz="4" w:space="0" w:color="7F7F7F" w:themeColor="text1" w:themeTint="80"/>
        </w:tcBorders>
      </w:tcPr>
    </w:tblStylePr>
    <w:tblStylePr w:type="lastRow">
      <w:tblPr/>
      <w:tcPr>
        <w:tcBorders>
          <w:top w:val="single" w:sz="4" w:space="0" w:color="7F7F7F" w:themeColor="text1" w:themeTint="80"/>
        </w:tcBorders>
      </w:tc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7">
    <w:name w:val="TOC Heading"/>
    <w:basedOn w:val="1"/>
    <w:next w:val="a"/>
    <w:uiPriority w:val="39"/>
    <w:unhideWhenUsed/>
    <w:qFormat/>
    <w:rsid w:val="00FA7B71"/>
    <w:pPr>
      <w:outlineLvl w:val="9"/>
    </w:pPr>
  </w:style>
  <w:style w:type="paragraph" w:styleId="11">
    <w:name w:val="toc 1"/>
    <w:basedOn w:val="a"/>
    <w:next w:val="a"/>
    <w:autoRedefine/>
    <w:uiPriority w:val="39"/>
    <w:unhideWhenUsed/>
    <w:rsid w:val="00FA7B71"/>
    <w:pPr>
      <w:spacing w:after="100"/>
    </w:pPr>
  </w:style>
  <w:style w:type="paragraph" w:styleId="22">
    <w:name w:val="toc 2"/>
    <w:basedOn w:val="a"/>
    <w:next w:val="a"/>
    <w:autoRedefine/>
    <w:uiPriority w:val="39"/>
    <w:unhideWhenUsed/>
    <w:rsid w:val="00FA7B71"/>
    <w:pPr>
      <w:spacing w:after="100"/>
      <w:ind w:left="220"/>
    </w:pPr>
  </w:style>
  <w:style w:type="paragraph" w:styleId="32">
    <w:name w:val="toc 3"/>
    <w:basedOn w:val="a"/>
    <w:next w:val="a"/>
    <w:autoRedefine/>
    <w:uiPriority w:val="39"/>
    <w:unhideWhenUsed/>
    <w:rsid w:val="00FA7B71"/>
    <w:pPr>
      <w:spacing w:after="100"/>
      <w:ind w:left="440"/>
    </w:pPr>
  </w:style>
  <w:style w:type="character" w:customStyle="1" w:styleId="Bodytext2">
    <w:name w:val="Body text (2)_"/>
    <w:basedOn w:val="a0"/>
    <w:link w:val="Bodytext20"/>
    <w:rsid w:val="00FD65B6"/>
    <w:rPr>
      <w:rFonts w:ascii="Times New Roman" w:eastAsia="Times New Roman" w:hAnsi="Times New Roman" w:cs="Times New Roman"/>
      <w:shd w:val="clear" w:color="auto" w:fill="FFFFFF"/>
    </w:rPr>
  </w:style>
  <w:style w:type="paragraph" w:customStyle="1" w:styleId="Bodytext20">
    <w:name w:val="Body text (2)"/>
    <w:basedOn w:val="a"/>
    <w:link w:val="Bodytext2"/>
    <w:rsid w:val="00FD65B6"/>
    <w:pPr>
      <w:widowControl w:val="0"/>
      <w:shd w:val="clear" w:color="auto" w:fill="FFFFFF"/>
      <w:spacing w:before="1040" w:after="300" w:line="244" w:lineRule="exact"/>
    </w:pPr>
    <w:rPr>
      <w:rFonts w:ascii="Times New Roman" w:eastAsia="Times New Roman" w:hAnsi="Times New Roman" w:cs="Times New Roman"/>
    </w:rPr>
  </w:style>
  <w:style w:type="paragraph" w:styleId="af8">
    <w:name w:val="annotation subject"/>
    <w:basedOn w:val="af3"/>
    <w:next w:val="af3"/>
    <w:link w:val="af9"/>
    <w:uiPriority w:val="99"/>
    <w:semiHidden/>
    <w:unhideWhenUsed/>
    <w:rsid w:val="004B370E"/>
    <w:rPr>
      <w:b/>
      <w:bCs/>
      <w:lang w:val="en-US"/>
    </w:rPr>
  </w:style>
  <w:style w:type="character" w:customStyle="1" w:styleId="af9">
    <w:name w:val="Тема примечания Знак"/>
    <w:basedOn w:val="af4"/>
    <w:link w:val="af8"/>
    <w:uiPriority w:val="99"/>
    <w:semiHidden/>
    <w:rsid w:val="004B370E"/>
    <w:rPr>
      <w:b/>
      <w:bCs/>
      <w:sz w:val="20"/>
      <w:szCs w:val="20"/>
      <w:lang w:val="ro-MD"/>
    </w:rPr>
  </w:style>
  <w:style w:type="table" w:styleId="12">
    <w:name w:val="Plain Table 1"/>
    <w:basedOn w:val="a1"/>
    <w:uiPriority w:val="41"/>
    <w:rsid w:val="00C93D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72394">
      <w:bodyDiv w:val="1"/>
      <w:marLeft w:val="0"/>
      <w:marRight w:val="0"/>
      <w:marTop w:val="0"/>
      <w:marBottom w:val="0"/>
      <w:divBdr>
        <w:top w:val="none" w:sz="0" w:space="0" w:color="auto"/>
        <w:left w:val="none" w:sz="0" w:space="0" w:color="auto"/>
        <w:bottom w:val="none" w:sz="0" w:space="0" w:color="auto"/>
        <w:right w:val="none" w:sz="0" w:space="0" w:color="auto"/>
      </w:divBdr>
    </w:div>
    <w:div w:id="268244874">
      <w:bodyDiv w:val="1"/>
      <w:marLeft w:val="0"/>
      <w:marRight w:val="0"/>
      <w:marTop w:val="0"/>
      <w:marBottom w:val="0"/>
      <w:divBdr>
        <w:top w:val="none" w:sz="0" w:space="0" w:color="auto"/>
        <w:left w:val="none" w:sz="0" w:space="0" w:color="auto"/>
        <w:bottom w:val="none" w:sz="0" w:space="0" w:color="auto"/>
        <w:right w:val="none" w:sz="0" w:space="0" w:color="auto"/>
      </w:divBdr>
    </w:div>
    <w:div w:id="283273515">
      <w:bodyDiv w:val="1"/>
      <w:marLeft w:val="0"/>
      <w:marRight w:val="0"/>
      <w:marTop w:val="0"/>
      <w:marBottom w:val="0"/>
      <w:divBdr>
        <w:top w:val="none" w:sz="0" w:space="0" w:color="auto"/>
        <w:left w:val="none" w:sz="0" w:space="0" w:color="auto"/>
        <w:bottom w:val="none" w:sz="0" w:space="0" w:color="auto"/>
        <w:right w:val="none" w:sz="0" w:space="0" w:color="auto"/>
      </w:divBdr>
    </w:div>
    <w:div w:id="303237101">
      <w:bodyDiv w:val="1"/>
      <w:marLeft w:val="0"/>
      <w:marRight w:val="0"/>
      <w:marTop w:val="0"/>
      <w:marBottom w:val="0"/>
      <w:divBdr>
        <w:top w:val="none" w:sz="0" w:space="0" w:color="auto"/>
        <w:left w:val="none" w:sz="0" w:space="0" w:color="auto"/>
        <w:bottom w:val="none" w:sz="0" w:space="0" w:color="auto"/>
        <w:right w:val="none" w:sz="0" w:space="0" w:color="auto"/>
      </w:divBdr>
    </w:div>
    <w:div w:id="378212737">
      <w:bodyDiv w:val="1"/>
      <w:marLeft w:val="0"/>
      <w:marRight w:val="0"/>
      <w:marTop w:val="0"/>
      <w:marBottom w:val="0"/>
      <w:divBdr>
        <w:top w:val="none" w:sz="0" w:space="0" w:color="auto"/>
        <w:left w:val="none" w:sz="0" w:space="0" w:color="auto"/>
        <w:bottom w:val="none" w:sz="0" w:space="0" w:color="auto"/>
        <w:right w:val="none" w:sz="0" w:space="0" w:color="auto"/>
      </w:divBdr>
    </w:div>
    <w:div w:id="388384794">
      <w:bodyDiv w:val="1"/>
      <w:marLeft w:val="0"/>
      <w:marRight w:val="0"/>
      <w:marTop w:val="0"/>
      <w:marBottom w:val="0"/>
      <w:divBdr>
        <w:top w:val="none" w:sz="0" w:space="0" w:color="auto"/>
        <w:left w:val="none" w:sz="0" w:space="0" w:color="auto"/>
        <w:bottom w:val="none" w:sz="0" w:space="0" w:color="auto"/>
        <w:right w:val="none" w:sz="0" w:space="0" w:color="auto"/>
      </w:divBdr>
    </w:div>
    <w:div w:id="408845758">
      <w:bodyDiv w:val="1"/>
      <w:marLeft w:val="0"/>
      <w:marRight w:val="0"/>
      <w:marTop w:val="0"/>
      <w:marBottom w:val="0"/>
      <w:divBdr>
        <w:top w:val="none" w:sz="0" w:space="0" w:color="auto"/>
        <w:left w:val="none" w:sz="0" w:space="0" w:color="auto"/>
        <w:bottom w:val="none" w:sz="0" w:space="0" w:color="auto"/>
        <w:right w:val="none" w:sz="0" w:space="0" w:color="auto"/>
      </w:divBdr>
    </w:div>
    <w:div w:id="416559572">
      <w:bodyDiv w:val="1"/>
      <w:marLeft w:val="0"/>
      <w:marRight w:val="0"/>
      <w:marTop w:val="0"/>
      <w:marBottom w:val="0"/>
      <w:divBdr>
        <w:top w:val="none" w:sz="0" w:space="0" w:color="auto"/>
        <w:left w:val="none" w:sz="0" w:space="0" w:color="auto"/>
        <w:bottom w:val="none" w:sz="0" w:space="0" w:color="auto"/>
        <w:right w:val="none" w:sz="0" w:space="0" w:color="auto"/>
      </w:divBdr>
    </w:div>
    <w:div w:id="643193000">
      <w:bodyDiv w:val="1"/>
      <w:marLeft w:val="0"/>
      <w:marRight w:val="0"/>
      <w:marTop w:val="0"/>
      <w:marBottom w:val="0"/>
      <w:divBdr>
        <w:top w:val="none" w:sz="0" w:space="0" w:color="auto"/>
        <w:left w:val="none" w:sz="0" w:space="0" w:color="auto"/>
        <w:bottom w:val="none" w:sz="0" w:space="0" w:color="auto"/>
        <w:right w:val="none" w:sz="0" w:space="0" w:color="auto"/>
      </w:divBdr>
    </w:div>
    <w:div w:id="679311638">
      <w:bodyDiv w:val="1"/>
      <w:marLeft w:val="0"/>
      <w:marRight w:val="0"/>
      <w:marTop w:val="0"/>
      <w:marBottom w:val="0"/>
      <w:divBdr>
        <w:top w:val="none" w:sz="0" w:space="0" w:color="auto"/>
        <w:left w:val="none" w:sz="0" w:space="0" w:color="auto"/>
        <w:bottom w:val="none" w:sz="0" w:space="0" w:color="auto"/>
        <w:right w:val="none" w:sz="0" w:space="0" w:color="auto"/>
      </w:divBdr>
    </w:div>
    <w:div w:id="714045746">
      <w:bodyDiv w:val="1"/>
      <w:marLeft w:val="0"/>
      <w:marRight w:val="0"/>
      <w:marTop w:val="0"/>
      <w:marBottom w:val="0"/>
      <w:divBdr>
        <w:top w:val="none" w:sz="0" w:space="0" w:color="auto"/>
        <w:left w:val="none" w:sz="0" w:space="0" w:color="auto"/>
        <w:bottom w:val="none" w:sz="0" w:space="0" w:color="auto"/>
        <w:right w:val="none" w:sz="0" w:space="0" w:color="auto"/>
      </w:divBdr>
    </w:div>
    <w:div w:id="891426708">
      <w:bodyDiv w:val="1"/>
      <w:marLeft w:val="0"/>
      <w:marRight w:val="0"/>
      <w:marTop w:val="0"/>
      <w:marBottom w:val="0"/>
      <w:divBdr>
        <w:top w:val="none" w:sz="0" w:space="0" w:color="auto"/>
        <w:left w:val="none" w:sz="0" w:space="0" w:color="auto"/>
        <w:bottom w:val="none" w:sz="0" w:space="0" w:color="auto"/>
        <w:right w:val="none" w:sz="0" w:space="0" w:color="auto"/>
      </w:divBdr>
    </w:div>
    <w:div w:id="905530085">
      <w:bodyDiv w:val="1"/>
      <w:marLeft w:val="0"/>
      <w:marRight w:val="0"/>
      <w:marTop w:val="0"/>
      <w:marBottom w:val="0"/>
      <w:divBdr>
        <w:top w:val="none" w:sz="0" w:space="0" w:color="auto"/>
        <w:left w:val="none" w:sz="0" w:space="0" w:color="auto"/>
        <w:bottom w:val="none" w:sz="0" w:space="0" w:color="auto"/>
        <w:right w:val="none" w:sz="0" w:space="0" w:color="auto"/>
      </w:divBdr>
    </w:div>
    <w:div w:id="917983744">
      <w:bodyDiv w:val="1"/>
      <w:marLeft w:val="0"/>
      <w:marRight w:val="0"/>
      <w:marTop w:val="0"/>
      <w:marBottom w:val="0"/>
      <w:divBdr>
        <w:top w:val="none" w:sz="0" w:space="0" w:color="auto"/>
        <w:left w:val="none" w:sz="0" w:space="0" w:color="auto"/>
        <w:bottom w:val="none" w:sz="0" w:space="0" w:color="auto"/>
        <w:right w:val="none" w:sz="0" w:space="0" w:color="auto"/>
      </w:divBdr>
    </w:div>
    <w:div w:id="964195518">
      <w:bodyDiv w:val="1"/>
      <w:marLeft w:val="0"/>
      <w:marRight w:val="0"/>
      <w:marTop w:val="0"/>
      <w:marBottom w:val="0"/>
      <w:divBdr>
        <w:top w:val="none" w:sz="0" w:space="0" w:color="auto"/>
        <w:left w:val="none" w:sz="0" w:space="0" w:color="auto"/>
        <w:bottom w:val="none" w:sz="0" w:space="0" w:color="auto"/>
        <w:right w:val="none" w:sz="0" w:space="0" w:color="auto"/>
      </w:divBdr>
    </w:div>
    <w:div w:id="1057321720">
      <w:bodyDiv w:val="1"/>
      <w:marLeft w:val="0"/>
      <w:marRight w:val="0"/>
      <w:marTop w:val="0"/>
      <w:marBottom w:val="0"/>
      <w:divBdr>
        <w:top w:val="none" w:sz="0" w:space="0" w:color="auto"/>
        <w:left w:val="none" w:sz="0" w:space="0" w:color="auto"/>
        <w:bottom w:val="none" w:sz="0" w:space="0" w:color="auto"/>
        <w:right w:val="none" w:sz="0" w:space="0" w:color="auto"/>
      </w:divBdr>
    </w:div>
    <w:div w:id="1108741276">
      <w:bodyDiv w:val="1"/>
      <w:marLeft w:val="0"/>
      <w:marRight w:val="0"/>
      <w:marTop w:val="0"/>
      <w:marBottom w:val="0"/>
      <w:divBdr>
        <w:top w:val="none" w:sz="0" w:space="0" w:color="auto"/>
        <w:left w:val="none" w:sz="0" w:space="0" w:color="auto"/>
        <w:bottom w:val="none" w:sz="0" w:space="0" w:color="auto"/>
        <w:right w:val="none" w:sz="0" w:space="0" w:color="auto"/>
      </w:divBdr>
    </w:div>
    <w:div w:id="1205748916">
      <w:bodyDiv w:val="1"/>
      <w:marLeft w:val="0"/>
      <w:marRight w:val="0"/>
      <w:marTop w:val="0"/>
      <w:marBottom w:val="0"/>
      <w:divBdr>
        <w:top w:val="none" w:sz="0" w:space="0" w:color="auto"/>
        <w:left w:val="none" w:sz="0" w:space="0" w:color="auto"/>
        <w:bottom w:val="none" w:sz="0" w:space="0" w:color="auto"/>
        <w:right w:val="none" w:sz="0" w:space="0" w:color="auto"/>
      </w:divBdr>
    </w:div>
    <w:div w:id="1285845042">
      <w:bodyDiv w:val="1"/>
      <w:marLeft w:val="0"/>
      <w:marRight w:val="0"/>
      <w:marTop w:val="0"/>
      <w:marBottom w:val="0"/>
      <w:divBdr>
        <w:top w:val="none" w:sz="0" w:space="0" w:color="auto"/>
        <w:left w:val="none" w:sz="0" w:space="0" w:color="auto"/>
        <w:bottom w:val="none" w:sz="0" w:space="0" w:color="auto"/>
        <w:right w:val="none" w:sz="0" w:space="0" w:color="auto"/>
      </w:divBdr>
    </w:div>
    <w:div w:id="1320187765">
      <w:bodyDiv w:val="1"/>
      <w:marLeft w:val="0"/>
      <w:marRight w:val="0"/>
      <w:marTop w:val="0"/>
      <w:marBottom w:val="0"/>
      <w:divBdr>
        <w:top w:val="none" w:sz="0" w:space="0" w:color="auto"/>
        <w:left w:val="none" w:sz="0" w:space="0" w:color="auto"/>
        <w:bottom w:val="none" w:sz="0" w:space="0" w:color="auto"/>
        <w:right w:val="none" w:sz="0" w:space="0" w:color="auto"/>
      </w:divBdr>
    </w:div>
    <w:div w:id="1404570897">
      <w:bodyDiv w:val="1"/>
      <w:marLeft w:val="0"/>
      <w:marRight w:val="0"/>
      <w:marTop w:val="0"/>
      <w:marBottom w:val="0"/>
      <w:divBdr>
        <w:top w:val="none" w:sz="0" w:space="0" w:color="auto"/>
        <w:left w:val="none" w:sz="0" w:space="0" w:color="auto"/>
        <w:bottom w:val="none" w:sz="0" w:space="0" w:color="auto"/>
        <w:right w:val="none" w:sz="0" w:space="0" w:color="auto"/>
      </w:divBdr>
    </w:div>
    <w:div w:id="1426803819">
      <w:bodyDiv w:val="1"/>
      <w:marLeft w:val="0"/>
      <w:marRight w:val="0"/>
      <w:marTop w:val="0"/>
      <w:marBottom w:val="0"/>
      <w:divBdr>
        <w:top w:val="none" w:sz="0" w:space="0" w:color="auto"/>
        <w:left w:val="none" w:sz="0" w:space="0" w:color="auto"/>
        <w:bottom w:val="none" w:sz="0" w:space="0" w:color="auto"/>
        <w:right w:val="none" w:sz="0" w:space="0" w:color="auto"/>
      </w:divBdr>
    </w:div>
    <w:div w:id="1473908918">
      <w:bodyDiv w:val="1"/>
      <w:marLeft w:val="0"/>
      <w:marRight w:val="0"/>
      <w:marTop w:val="0"/>
      <w:marBottom w:val="0"/>
      <w:divBdr>
        <w:top w:val="none" w:sz="0" w:space="0" w:color="auto"/>
        <w:left w:val="none" w:sz="0" w:space="0" w:color="auto"/>
        <w:bottom w:val="none" w:sz="0" w:space="0" w:color="auto"/>
        <w:right w:val="none" w:sz="0" w:space="0" w:color="auto"/>
      </w:divBdr>
    </w:div>
    <w:div w:id="1530603061">
      <w:bodyDiv w:val="1"/>
      <w:marLeft w:val="0"/>
      <w:marRight w:val="0"/>
      <w:marTop w:val="0"/>
      <w:marBottom w:val="0"/>
      <w:divBdr>
        <w:top w:val="none" w:sz="0" w:space="0" w:color="auto"/>
        <w:left w:val="none" w:sz="0" w:space="0" w:color="auto"/>
        <w:bottom w:val="none" w:sz="0" w:space="0" w:color="auto"/>
        <w:right w:val="none" w:sz="0" w:space="0" w:color="auto"/>
      </w:divBdr>
    </w:div>
    <w:div w:id="1548445529">
      <w:bodyDiv w:val="1"/>
      <w:marLeft w:val="0"/>
      <w:marRight w:val="0"/>
      <w:marTop w:val="0"/>
      <w:marBottom w:val="0"/>
      <w:divBdr>
        <w:top w:val="none" w:sz="0" w:space="0" w:color="auto"/>
        <w:left w:val="none" w:sz="0" w:space="0" w:color="auto"/>
        <w:bottom w:val="none" w:sz="0" w:space="0" w:color="auto"/>
        <w:right w:val="none" w:sz="0" w:space="0" w:color="auto"/>
      </w:divBdr>
    </w:div>
    <w:div w:id="1618754714">
      <w:bodyDiv w:val="1"/>
      <w:marLeft w:val="0"/>
      <w:marRight w:val="0"/>
      <w:marTop w:val="0"/>
      <w:marBottom w:val="0"/>
      <w:divBdr>
        <w:top w:val="none" w:sz="0" w:space="0" w:color="auto"/>
        <w:left w:val="none" w:sz="0" w:space="0" w:color="auto"/>
        <w:bottom w:val="none" w:sz="0" w:space="0" w:color="auto"/>
        <w:right w:val="none" w:sz="0" w:space="0" w:color="auto"/>
      </w:divBdr>
    </w:div>
    <w:div w:id="1620143148">
      <w:bodyDiv w:val="1"/>
      <w:marLeft w:val="0"/>
      <w:marRight w:val="0"/>
      <w:marTop w:val="0"/>
      <w:marBottom w:val="0"/>
      <w:divBdr>
        <w:top w:val="none" w:sz="0" w:space="0" w:color="auto"/>
        <w:left w:val="none" w:sz="0" w:space="0" w:color="auto"/>
        <w:bottom w:val="none" w:sz="0" w:space="0" w:color="auto"/>
        <w:right w:val="none" w:sz="0" w:space="0" w:color="auto"/>
      </w:divBdr>
    </w:div>
    <w:div w:id="1674720492">
      <w:bodyDiv w:val="1"/>
      <w:marLeft w:val="0"/>
      <w:marRight w:val="0"/>
      <w:marTop w:val="0"/>
      <w:marBottom w:val="0"/>
      <w:divBdr>
        <w:top w:val="none" w:sz="0" w:space="0" w:color="auto"/>
        <w:left w:val="none" w:sz="0" w:space="0" w:color="auto"/>
        <w:bottom w:val="none" w:sz="0" w:space="0" w:color="auto"/>
        <w:right w:val="none" w:sz="0" w:space="0" w:color="auto"/>
      </w:divBdr>
    </w:div>
    <w:div w:id="1719355334">
      <w:bodyDiv w:val="1"/>
      <w:marLeft w:val="0"/>
      <w:marRight w:val="0"/>
      <w:marTop w:val="0"/>
      <w:marBottom w:val="0"/>
      <w:divBdr>
        <w:top w:val="none" w:sz="0" w:space="0" w:color="auto"/>
        <w:left w:val="none" w:sz="0" w:space="0" w:color="auto"/>
        <w:bottom w:val="none" w:sz="0" w:space="0" w:color="auto"/>
        <w:right w:val="none" w:sz="0" w:space="0" w:color="auto"/>
      </w:divBdr>
    </w:div>
    <w:div w:id="1811094076">
      <w:bodyDiv w:val="1"/>
      <w:marLeft w:val="0"/>
      <w:marRight w:val="0"/>
      <w:marTop w:val="0"/>
      <w:marBottom w:val="0"/>
      <w:divBdr>
        <w:top w:val="none" w:sz="0" w:space="0" w:color="auto"/>
        <w:left w:val="none" w:sz="0" w:space="0" w:color="auto"/>
        <w:bottom w:val="none" w:sz="0" w:space="0" w:color="auto"/>
        <w:right w:val="none" w:sz="0" w:space="0" w:color="auto"/>
      </w:divBdr>
    </w:div>
    <w:div w:id="1888762099">
      <w:bodyDiv w:val="1"/>
      <w:marLeft w:val="0"/>
      <w:marRight w:val="0"/>
      <w:marTop w:val="0"/>
      <w:marBottom w:val="0"/>
      <w:divBdr>
        <w:top w:val="none" w:sz="0" w:space="0" w:color="auto"/>
        <w:left w:val="none" w:sz="0" w:space="0" w:color="auto"/>
        <w:bottom w:val="none" w:sz="0" w:space="0" w:color="auto"/>
        <w:right w:val="none" w:sz="0" w:space="0" w:color="auto"/>
      </w:divBdr>
    </w:div>
    <w:div w:id="1890914810">
      <w:bodyDiv w:val="1"/>
      <w:marLeft w:val="0"/>
      <w:marRight w:val="0"/>
      <w:marTop w:val="0"/>
      <w:marBottom w:val="0"/>
      <w:divBdr>
        <w:top w:val="none" w:sz="0" w:space="0" w:color="auto"/>
        <w:left w:val="none" w:sz="0" w:space="0" w:color="auto"/>
        <w:bottom w:val="none" w:sz="0" w:space="0" w:color="auto"/>
        <w:right w:val="none" w:sz="0" w:space="0" w:color="auto"/>
      </w:divBdr>
    </w:div>
    <w:div w:id="1930458627">
      <w:bodyDiv w:val="1"/>
      <w:marLeft w:val="0"/>
      <w:marRight w:val="0"/>
      <w:marTop w:val="0"/>
      <w:marBottom w:val="0"/>
      <w:divBdr>
        <w:top w:val="none" w:sz="0" w:space="0" w:color="auto"/>
        <w:left w:val="none" w:sz="0" w:space="0" w:color="auto"/>
        <w:bottom w:val="none" w:sz="0" w:space="0" w:color="auto"/>
        <w:right w:val="none" w:sz="0" w:space="0" w:color="auto"/>
      </w:divBdr>
    </w:div>
    <w:div w:id="207935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rm@ccrm.md"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hyperlink" Target="http://www.ccrm.m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3.jpg@01D53192.824E8D70" TargetMode="External"/><Relationship Id="rId14" Type="http://schemas.openxmlformats.org/officeDocument/2006/relationships/diagramData" Target="diagrams/data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ccrm\Misiuni%20de%20audit\IMSP%20Chiril%20Draganiuc\informatii\cheltieli%20vorniceni%2020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i_rogaciov\Downloads\Situa&#539;ia%20venituri-cheltuieli%202022,2021-%20diagrame%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i_rogaciov\Downloads\Situa&#539;ia%20venituri-cheltuieli%202022,2021-%20diagrame%20(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Численность больных, зарегистрированная на протяжении нескольких лет</a:t>
            </a:r>
            <a:r>
              <a:rPr lang="ro-MD"/>
              <a:t> </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scatterChart>
        <c:scatterStyle val="lineMarker"/>
        <c:varyColors val="0"/>
        <c:ser>
          <c:idx val="0"/>
          <c:order val="0"/>
          <c:tx>
            <c:strRef>
              <c:f>'[cheltieli vorniceni 2020-2023.xlsx]Sheet1'!$E$6</c:f>
              <c:strCache>
                <c:ptCount val="1"/>
                <c:pt idx="0">
                  <c:v>Prevalenta</c:v>
                </c:pt>
              </c:strCache>
            </c:strRef>
          </c:tx>
          <c:spPr>
            <a:ln w="9525" cap="rnd">
              <a:solidFill>
                <a:schemeClr val="accent1"/>
              </a:solid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xVal>
            <c:numRef>
              <c:f>'[cheltieli vorniceni 2020-2023.xlsx]Sheet1'!$D$7:$D$15</c:f>
              <c:numCache>
                <c:formatCode>General</c:formatCode>
                <c:ptCount val="9"/>
                <c:pt idx="0">
                  <c:v>2014</c:v>
                </c:pt>
                <c:pt idx="1">
                  <c:v>2015</c:v>
                </c:pt>
                <c:pt idx="2">
                  <c:v>2016</c:v>
                </c:pt>
                <c:pt idx="3">
                  <c:v>2017</c:v>
                </c:pt>
                <c:pt idx="4">
                  <c:v>2018</c:v>
                </c:pt>
                <c:pt idx="5">
                  <c:v>2019</c:v>
                </c:pt>
                <c:pt idx="6">
                  <c:v>2020</c:v>
                </c:pt>
                <c:pt idx="7">
                  <c:v>2021</c:v>
                </c:pt>
                <c:pt idx="8">
                  <c:v>2022</c:v>
                </c:pt>
              </c:numCache>
            </c:numRef>
          </c:xVal>
          <c:yVal>
            <c:numRef>
              <c:f>'[cheltieli vorniceni 2020-2023.xlsx]Sheet1'!$E$7:$E$15</c:f>
              <c:numCache>
                <c:formatCode>General</c:formatCode>
                <c:ptCount val="9"/>
                <c:pt idx="0">
                  <c:v>3770</c:v>
                </c:pt>
                <c:pt idx="1">
                  <c:v>3368</c:v>
                </c:pt>
                <c:pt idx="2">
                  <c:v>3355</c:v>
                </c:pt>
                <c:pt idx="3">
                  <c:v>3218</c:v>
                </c:pt>
                <c:pt idx="4">
                  <c:v>2810</c:v>
                </c:pt>
                <c:pt idx="5">
                  <c:v>2539</c:v>
                </c:pt>
                <c:pt idx="6">
                  <c:v>1737</c:v>
                </c:pt>
                <c:pt idx="7">
                  <c:v>1841</c:v>
                </c:pt>
                <c:pt idx="8">
                  <c:v>1790</c:v>
                </c:pt>
              </c:numCache>
            </c:numRef>
          </c:yVal>
          <c:smooth val="0"/>
          <c:extLst xmlns:c16r2="http://schemas.microsoft.com/office/drawing/2015/06/chart">
            <c:ext xmlns:c16="http://schemas.microsoft.com/office/drawing/2014/chart" uri="{C3380CC4-5D6E-409C-BE32-E72D297353CC}">
              <c16:uniqueId val="{00000000-A483-4B36-8249-8451A1F858D0}"/>
            </c:ext>
          </c:extLst>
        </c:ser>
        <c:dLbls>
          <c:showLegendKey val="0"/>
          <c:showVal val="0"/>
          <c:showCatName val="0"/>
          <c:showSerName val="0"/>
          <c:showPercent val="0"/>
          <c:showBubbleSize val="0"/>
        </c:dLbls>
        <c:axId val="432551384"/>
        <c:axId val="432553344"/>
      </c:scatterChart>
      <c:valAx>
        <c:axId val="432551384"/>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ro-MD"/>
                  <a:t>Anul</a:t>
                </a:r>
                <a:endParaRPr lang="en-US"/>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ru-RU"/>
            </a:p>
          </c:txPr>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432553344"/>
        <c:crosses val="autoZero"/>
        <c:crossBetween val="midCat"/>
      </c:valAx>
      <c:valAx>
        <c:axId val="43255334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4325513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Anul 2018</c:v>
                </c:pt>
                <c:pt idx="1">
                  <c:v>Anul 2019</c:v>
                </c:pt>
                <c:pt idx="2">
                  <c:v>Anul 2020</c:v>
                </c:pt>
                <c:pt idx="3">
                  <c:v>Anul 2021</c:v>
                </c:pt>
                <c:pt idx="4">
                  <c:v>Anul 2022</c:v>
                </c:pt>
                <c:pt idx="5">
                  <c:v>Anul 2023 (6 luni)</c:v>
                </c:pt>
              </c:strCache>
            </c:strRef>
          </c:cat>
          <c:val>
            <c:numRef>
              <c:f>Sheet1!$B$2:$B$7</c:f>
              <c:numCache>
                <c:formatCode>General</c:formatCode>
                <c:ptCount val="6"/>
                <c:pt idx="0">
                  <c:v>17690.759999999998</c:v>
                </c:pt>
                <c:pt idx="1">
                  <c:v>15690.76</c:v>
                </c:pt>
                <c:pt idx="2">
                  <c:v>18809.29</c:v>
                </c:pt>
                <c:pt idx="3">
                  <c:v>21985.69</c:v>
                </c:pt>
                <c:pt idx="4">
                  <c:v>20503.34</c:v>
                </c:pt>
                <c:pt idx="5">
                  <c:v>8223.18</c:v>
                </c:pt>
              </c:numCache>
            </c:numRef>
          </c:val>
          <c:extLst xmlns:c16r2="http://schemas.microsoft.com/office/drawing/2015/06/chart">
            <c:ext xmlns:c16="http://schemas.microsoft.com/office/drawing/2014/chart" uri="{C3380CC4-5D6E-409C-BE32-E72D297353CC}">
              <c16:uniqueId val="{00000000-1FF0-454D-86BD-958FC8AABA06}"/>
            </c:ext>
          </c:extLst>
        </c:ser>
        <c:dLbls>
          <c:dLblPos val="outEnd"/>
          <c:showLegendKey val="0"/>
          <c:showVal val="1"/>
          <c:showCatName val="0"/>
          <c:showSerName val="0"/>
          <c:showPercent val="0"/>
          <c:showBubbleSize val="0"/>
        </c:dLbls>
        <c:gapWidth val="355"/>
        <c:overlap val="-70"/>
        <c:axId val="432553736"/>
        <c:axId val="432554128"/>
      </c:barChart>
      <c:catAx>
        <c:axId val="432553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ru-RU"/>
          </a:p>
        </c:txPr>
        <c:crossAx val="432554128"/>
        <c:crosses val="autoZero"/>
        <c:auto val="1"/>
        <c:lblAlgn val="ctr"/>
        <c:lblOffset val="100"/>
        <c:noMultiLvlLbl val="0"/>
      </c:catAx>
      <c:valAx>
        <c:axId val="432554128"/>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ru-RU"/>
          </a:p>
        </c:txPr>
        <c:crossAx val="432553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o-MD"/>
              <a:t>Structura veniturilor în dinamică (mii lei)</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barChart>
        <c:barDir val="col"/>
        <c:grouping val="clustered"/>
        <c:varyColors val="0"/>
        <c:ser>
          <c:idx val="0"/>
          <c:order val="0"/>
          <c:tx>
            <c:strRef>
              <c:f>'diagrama venituri'!$D$6</c:f>
              <c:strCache>
                <c:ptCount val="1"/>
                <c:pt idx="0">
                  <c:v>Venituri totale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'diagrama venituri'!$E$5:$G$5</c:f>
              <c:strCache>
                <c:ptCount val="2"/>
                <c:pt idx="0">
                  <c:v>2021</c:v>
                </c:pt>
                <c:pt idx="1">
                  <c:v>2022</c:v>
                </c:pt>
              </c:strCache>
            </c:strRef>
          </c:cat>
          <c:val>
            <c:numRef>
              <c:f>'diagrama venituri'!$E$6:$G$6</c:f>
              <c:numCache>
                <c:formatCode>0.00;[Red]0.00</c:formatCode>
                <c:ptCount val="2"/>
                <c:pt idx="0">
                  <c:v>157401.20000000001</c:v>
                </c:pt>
                <c:pt idx="1">
                  <c:v>160600.4</c:v>
                </c:pt>
              </c:numCache>
            </c:numRef>
          </c:val>
          <c:extLst xmlns:c16r2="http://schemas.microsoft.com/office/drawing/2015/06/chart">
            <c:ext xmlns:c16="http://schemas.microsoft.com/office/drawing/2014/chart" uri="{C3380CC4-5D6E-409C-BE32-E72D297353CC}">
              <c16:uniqueId val="{00000000-3A4A-4103-BD2D-B2D8EC40EB6A}"/>
            </c:ext>
          </c:extLst>
        </c:ser>
        <c:ser>
          <c:idx val="1"/>
          <c:order val="1"/>
          <c:tx>
            <c:strRef>
              <c:f>'diagrama venituri'!$D$7</c:f>
              <c:strCache>
                <c:ptCount val="1"/>
                <c:pt idx="0">
                  <c:v>alocații CNAM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'diagrama venituri'!$E$5:$G$5</c:f>
              <c:strCache>
                <c:ptCount val="2"/>
                <c:pt idx="0">
                  <c:v>2021</c:v>
                </c:pt>
                <c:pt idx="1">
                  <c:v>2022</c:v>
                </c:pt>
              </c:strCache>
            </c:strRef>
          </c:cat>
          <c:val>
            <c:numRef>
              <c:f>'diagrama venituri'!$E$7:$G$7</c:f>
              <c:numCache>
                <c:formatCode>0.00;[Red]0.00</c:formatCode>
                <c:ptCount val="2"/>
                <c:pt idx="0">
                  <c:v>115657.7</c:v>
                </c:pt>
                <c:pt idx="1">
                  <c:v>117890.4</c:v>
                </c:pt>
              </c:numCache>
            </c:numRef>
          </c:val>
          <c:extLst xmlns:c16r2="http://schemas.microsoft.com/office/drawing/2015/06/chart">
            <c:ext xmlns:c16="http://schemas.microsoft.com/office/drawing/2014/chart" uri="{C3380CC4-5D6E-409C-BE32-E72D297353CC}">
              <c16:uniqueId val="{00000001-3A4A-4103-BD2D-B2D8EC40EB6A}"/>
            </c:ext>
          </c:extLst>
        </c:ser>
        <c:ser>
          <c:idx val="2"/>
          <c:order val="2"/>
          <c:tx>
            <c:strRef>
              <c:f>'diagrama venituri'!$D$8</c:f>
              <c:strCache>
                <c:ptCount val="1"/>
                <c:pt idx="0">
                  <c:v>alocații Știința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'diagrama venituri'!$E$5:$G$5</c:f>
              <c:strCache>
                <c:ptCount val="2"/>
                <c:pt idx="0">
                  <c:v>2021</c:v>
                </c:pt>
                <c:pt idx="1">
                  <c:v>2022</c:v>
                </c:pt>
              </c:strCache>
            </c:strRef>
          </c:cat>
          <c:val>
            <c:numRef>
              <c:f>'diagrama venituri'!$E$8:$G$8</c:f>
              <c:numCache>
                <c:formatCode>0.00;[Red]0.00</c:formatCode>
                <c:ptCount val="2"/>
                <c:pt idx="0">
                  <c:v>3083.3</c:v>
                </c:pt>
                <c:pt idx="1">
                  <c:v>1729</c:v>
                </c:pt>
              </c:numCache>
            </c:numRef>
          </c:val>
          <c:extLst xmlns:c16r2="http://schemas.microsoft.com/office/drawing/2015/06/chart">
            <c:ext xmlns:c16="http://schemas.microsoft.com/office/drawing/2014/chart" uri="{C3380CC4-5D6E-409C-BE32-E72D297353CC}">
              <c16:uniqueId val="{00000002-3A4A-4103-BD2D-B2D8EC40EB6A}"/>
            </c:ext>
          </c:extLst>
        </c:ser>
        <c:ser>
          <c:idx val="3"/>
          <c:order val="3"/>
          <c:tx>
            <c:strRef>
              <c:f>'diagrama venituri'!$D$9</c:f>
              <c:strCache>
                <c:ptCount val="1"/>
                <c:pt idx="0">
                  <c:v>servicii cu plată</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'diagrama venituri'!$E$5:$G$5</c:f>
              <c:strCache>
                <c:ptCount val="2"/>
                <c:pt idx="0">
                  <c:v>2021</c:v>
                </c:pt>
                <c:pt idx="1">
                  <c:v>2022</c:v>
                </c:pt>
              </c:strCache>
            </c:strRef>
          </c:cat>
          <c:val>
            <c:numRef>
              <c:f>'diagrama venituri'!$E$9:$G$9</c:f>
              <c:numCache>
                <c:formatCode>0.00;[Red]0.00</c:formatCode>
                <c:ptCount val="2"/>
                <c:pt idx="0">
                  <c:v>1346.7</c:v>
                </c:pt>
                <c:pt idx="1">
                  <c:v>2088.6</c:v>
                </c:pt>
              </c:numCache>
            </c:numRef>
          </c:val>
          <c:extLst xmlns:c16r2="http://schemas.microsoft.com/office/drawing/2015/06/chart">
            <c:ext xmlns:c16="http://schemas.microsoft.com/office/drawing/2014/chart" uri="{C3380CC4-5D6E-409C-BE32-E72D297353CC}">
              <c16:uniqueId val="{00000003-3A4A-4103-BD2D-B2D8EC40EB6A}"/>
            </c:ext>
          </c:extLst>
        </c:ser>
        <c:ser>
          <c:idx val="4"/>
          <c:order val="4"/>
          <c:tx>
            <c:strRef>
              <c:f>'diagrama venituri'!$D$10</c:f>
              <c:strCache>
                <c:ptCount val="1"/>
                <c:pt idx="0">
                  <c:v>alocații proiecte</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'diagrama venituri'!$E$5:$G$5</c:f>
              <c:strCache>
                <c:ptCount val="2"/>
                <c:pt idx="0">
                  <c:v>2021</c:v>
                </c:pt>
                <c:pt idx="1">
                  <c:v>2022</c:v>
                </c:pt>
              </c:strCache>
            </c:strRef>
          </c:cat>
          <c:val>
            <c:numRef>
              <c:f>'diagrama venituri'!$E$10:$G$10</c:f>
              <c:numCache>
                <c:formatCode>0.00;[Red]0.00</c:formatCode>
                <c:ptCount val="2"/>
                <c:pt idx="0">
                  <c:v>11212.4</c:v>
                </c:pt>
                <c:pt idx="1">
                  <c:v>9558.2999999999993</c:v>
                </c:pt>
              </c:numCache>
            </c:numRef>
          </c:val>
          <c:extLst xmlns:c16r2="http://schemas.microsoft.com/office/drawing/2015/06/chart">
            <c:ext xmlns:c16="http://schemas.microsoft.com/office/drawing/2014/chart" uri="{C3380CC4-5D6E-409C-BE32-E72D297353CC}">
              <c16:uniqueId val="{00000004-3A4A-4103-BD2D-B2D8EC40EB6A}"/>
            </c:ext>
          </c:extLst>
        </c:ser>
        <c:ser>
          <c:idx val="5"/>
          <c:order val="5"/>
          <c:tx>
            <c:strRef>
              <c:f>'diagrama venituri'!$D$11</c:f>
              <c:strCache>
                <c:ptCount val="1"/>
                <c:pt idx="0">
                  <c:v>ajutor umanitar, medicamente</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'diagrama venituri'!$E$5:$G$5</c:f>
              <c:strCache>
                <c:ptCount val="2"/>
                <c:pt idx="0">
                  <c:v>2021</c:v>
                </c:pt>
                <c:pt idx="1">
                  <c:v>2022</c:v>
                </c:pt>
              </c:strCache>
            </c:strRef>
          </c:cat>
          <c:val>
            <c:numRef>
              <c:f>'diagrama venituri'!$E$11:$G$11</c:f>
              <c:numCache>
                <c:formatCode>0.00;[Red]0.00</c:formatCode>
                <c:ptCount val="2"/>
                <c:pt idx="0">
                  <c:v>25837.3</c:v>
                </c:pt>
                <c:pt idx="1">
                  <c:v>28785.200000000001</c:v>
                </c:pt>
              </c:numCache>
            </c:numRef>
          </c:val>
          <c:extLst xmlns:c16r2="http://schemas.microsoft.com/office/drawing/2015/06/chart">
            <c:ext xmlns:c16="http://schemas.microsoft.com/office/drawing/2014/chart" uri="{C3380CC4-5D6E-409C-BE32-E72D297353CC}">
              <c16:uniqueId val="{00000005-3A4A-4103-BD2D-B2D8EC40EB6A}"/>
            </c:ext>
          </c:extLst>
        </c:ser>
        <c:ser>
          <c:idx val="6"/>
          <c:order val="6"/>
          <c:tx>
            <c:strRef>
              <c:f>'diagrama venituri'!$D$12</c:f>
              <c:strCache>
                <c:ptCount val="1"/>
                <c:pt idx="0">
                  <c:v>alte venituri</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invertIfNegative val="0"/>
          <c:cat>
            <c:strRef>
              <c:f>'diagrama venituri'!$E$5:$G$5</c:f>
              <c:strCache>
                <c:ptCount val="2"/>
                <c:pt idx="0">
                  <c:v>2021</c:v>
                </c:pt>
                <c:pt idx="1">
                  <c:v>2022</c:v>
                </c:pt>
              </c:strCache>
            </c:strRef>
          </c:cat>
          <c:val>
            <c:numRef>
              <c:f>'diagrama venituri'!$E$12:$G$12</c:f>
              <c:numCache>
                <c:formatCode>0.00;[Red]0.00</c:formatCode>
                <c:ptCount val="2"/>
                <c:pt idx="0">
                  <c:v>263.8</c:v>
                </c:pt>
                <c:pt idx="1">
                  <c:v>548.9</c:v>
                </c:pt>
              </c:numCache>
            </c:numRef>
          </c:val>
          <c:extLst xmlns:c16r2="http://schemas.microsoft.com/office/drawing/2015/06/chart">
            <c:ext xmlns:c16="http://schemas.microsoft.com/office/drawing/2014/chart" uri="{C3380CC4-5D6E-409C-BE32-E72D297353CC}">
              <c16:uniqueId val="{00000006-3A4A-4103-BD2D-B2D8EC40EB6A}"/>
            </c:ext>
          </c:extLst>
        </c:ser>
        <c:dLbls>
          <c:showLegendKey val="0"/>
          <c:showVal val="0"/>
          <c:showCatName val="0"/>
          <c:showSerName val="0"/>
          <c:showPercent val="0"/>
          <c:showBubbleSize val="0"/>
        </c:dLbls>
        <c:gapWidth val="75"/>
        <c:overlap val="-25"/>
        <c:axId val="431587976"/>
        <c:axId val="431587584"/>
      </c:barChart>
      <c:catAx>
        <c:axId val="43158797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ru-RU"/>
          </a:p>
        </c:txPr>
        <c:crossAx val="431587584"/>
        <c:crosses val="autoZero"/>
        <c:auto val="1"/>
        <c:lblAlgn val="ctr"/>
        <c:lblOffset val="100"/>
        <c:noMultiLvlLbl val="0"/>
      </c:catAx>
      <c:valAx>
        <c:axId val="431587584"/>
        <c:scaling>
          <c:orientation val="minMax"/>
        </c:scaling>
        <c:delete val="0"/>
        <c:axPos val="l"/>
        <c:majorGridlines>
          <c:spPr>
            <a:ln w="9525" cap="flat" cmpd="sng" algn="ctr">
              <a:solidFill>
                <a:schemeClr val="tx2">
                  <a:lumMod val="15000"/>
                  <a:lumOff val="85000"/>
                </a:schemeClr>
              </a:solidFill>
              <a:round/>
            </a:ln>
            <a:effectLst/>
          </c:spPr>
        </c:majorGridlines>
        <c:numFmt formatCode="0.00;[Red]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431587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o-MD"/>
              <a:t>Structura cheltuielilor </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'diagrama cheltuieli'!$E$2</c:f>
              <c:strCache>
                <c:ptCount val="1"/>
                <c:pt idx="0">
                  <c:v>2021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cat>
            <c:strRef>
              <c:f>'diagrama cheltuieli'!$D$3:$D$11</c:f>
              <c:strCache>
                <c:ptCount val="9"/>
                <c:pt idx="0">
                  <c:v>Cheltuieli totale</c:v>
                </c:pt>
                <c:pt idx="1">
                  <c:v>retribuirea muncii</c:v>
                </c:pt>
                <c:pt idx="2">
                  <c:v>alimentație pacienți</c:v>
                </c:pt>
                <c:pt idx="3">
                  <c:v>medicamente</c:v>
                </c:pt>
                <c:pt idx="4">
                  <c:v>cotizații, asigurări sociale</c:v>
                </c:pt>
                <c:pt idx="5">
                  <c:v>cheltuieli de regie</c:v>
                </c:pt>
                <c:pt idx="6">
                  <c:v>inventar OMVSD</c:v>
                </c:pt>
                <c:pt idx="7">
                  <c:v>amortizare, uzură</c:v>
                </c:pt>
                <c:pt idx="8">
                  <c:v>alte cheltuieli</c:v>
                </c:pt>
              </c:strCache>
            </c:strRef>
          </c:cat>
          <c:val>
            <c:numRef>
              <c:f>'diagrama cheltuieli'!$E$3:$E$11</c:f>
              <c:numCache>
                <c:formatCode>0.00;[Red]0.00</c:formatCode>
                <c:ptCount val="9"/>
                <c:pt idx="0">
                  <c:v>157401.20000000001</c:v>
                </c:pt>
                <c:pt idx="1">
                  <c:v>86529</c:v>
                </c:pt>
                <c:pt idx="2">
                  <c:v>3714.7</c:v>
                </c:pt>
                <c:pt idx="3">
                  <c:v>23546.3</c:v>
                </c:pt>
                <c:pt idx="4">
                  <c:v>20765.099999999999</c:v>
                </c:pt>
                <c:pt idx="5">
                  <c:v>6604.9</c:v>
                </c:pt>
                <c:pt idx="6">
                  <c:v>945</c:v>
                </c:pt>
                <c:pt idx="7">
                  <c:v>8074.1</c:v>
                </c:pt>
                <c:pt idx="8">
                  <c:v>7222.1</c:v>
                </c:pt>
              </c:numCache>
            </c:numRef>
          </c:val>
          <c:extLst xmlns:c16r2="http://schemas.microsoft.com/office/drawing/2015/06/chart">
            <c:ext xmlns:c16="http://schemas.microsoft.com/office/drawing/2014/chart" uri="{C3380CC4-5D6E-409C-BE32-E72D297353CC}">
              <c16:uniqueId val="{00000000-6895-483E-B862-B8B65E39BFF7}"/>
            </c:ext>
          </c:extLst>
        </c:ser>
        <c:ser>
          <c:idx val="1"/>
          <c:order val="1"/>
          <c:tx>
            <c:strRef>
              <c:f>'diagrama cheltuieli'!$F$2</c:f>
              <c:strCache>
                <c:ptCount val="1"/>
                <c:pt idx="0">
                  <c:v>2022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cat>
            <c:strRef>
              <c:f>'diagrama cheltuieli'!$D$3:$D$11</c:f>
              <c:strCache>
                <c:ptCount val="9"/>
                <c:pt idx="0">
                  <c:v>Cheltuieli totale</c:v>
                </c:pt>
                <c:pt idx="1">
                  <c:v>retribuirea muncii</c:v>
                </c:pt>
                <c:pt idx="2">
                  <c:v>alimentație pacienți</c:v>
                </c:pt>
                <c:pt idx="3">
                  <c:v>medicamente</c:v>
                </c:pt>
                <c:pt idx="4">
                  <c:v>cotizații, asigurări sociale</c:v>
                </c:pt>
                <c:pt idx="5">
                  <c:v>cheltuieli de regie</c:v>
                </c:pt>
                <c:pt idx="6">
                  <c:v>inventar OMVSD</c:v>
                </c:pt>
                <c:pt idx="7">
                  <c:v>amortizare, uzură</c:v>
                </c:pt>
                <c:pt idx="8">
                  <c:v>alte cheltuieli</c:v>
                </c:pt>
              </c:strCache>
            </c:strRef>
          </c:cat>
          <c:val>
            <c:numRef>
              <c:f>'diagrama cheltuieli'!$F$3:$F$11</c:f>
              <c:numCache>
                <c:formatCode>0.00;[Red]0.00</c:formatCode>
                <c:ptCount val="9"/>
                <c:pt idx="0">
                  <c:v>160600.4</c:v>
                </c:pt>
                <c:pt idx="1">
                  <c:v>79092.800000000003</c:v>
                </c:pt>
                <c:pt idx="2">
                  <c:v>4677.2</c:v>
                </c:pt>
                <c:pt idx="3">
                  <c:v>31772.9</c:v>
                </c:pt>
                <c:pt idx="4">
                  <c:v>18893.400000000001</c:v>
                </c:pt>
                <c:pt idx="5">
                  <c:v>9269.2000000000007</c:v>
                </c:pt>
                <c:pt idx="6">
                  <c:v>1874.5</c:v>
                </c:pt>
                <c:pt idx="7">
                  <c:v>8236.1</c:v>
                </c:pt>
                <c:pt idx="8">
                  <c:v>6784.3</c:v>
                </c:pt>
              </c:numCache>
            </c:numRef>
          </c:val>
          <c:extLst xmlns:c16r2="http://schemas.microsoft.com/office/drawing/2015/06/chart">
            <c:ext xmlns:c16="http://schemas.microsoft.com/office/drawing/2014/chart" uri="{C3380CC4-5D6E-409C-BE32-E72D297353CC}">
              <c16:uniqueId val="{00000001-6895-483E-B862-B8B65E39BFF7}"/>
            </c:ext>
          </c:extLst>
        </c:ser>
        <c:dLbls>
          <c:showLegendKey val="0"/>
          <c:showVal val="0"/>
          <c:showCatName val="0"/>
          <c:showSerName val="0"/>
          <c:showPercent val="0"/>
          <c:showBubbleSize val="0"/>
        </c:dLbls>
        <c:gapWidth val="150"/>
        <c:shape val="box"/>
        <c:axId val="431589544"/>
        <c:axId val="431590720"/>
        <c:axId val="0"/>
      </c:bar3DChart>
      <c:catAx>
        <c:axId val="43158954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431590720"/>
        <c:crosses val="autoZero"/>
        <c:auto val="1"/>
        <c:lblAlgn val="ctr"/>
        <c:lblOffset val="100"/>
        <c:noMultiLvlLbl val="0"/>
      </c:catAx>
      <c:valAx>
        <c:axId val="431590720"/>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ro-MD"/>
                  <a:t>mii lei </a:t>
                </a:r>
                <a:endParaRPr lang="en-US"/>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ru-RU"/>
            </a:p>
          </c:txPr>
        </c:title>
        <c:numFmt formatCode="0.00;[Red]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431589544"/>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66B17E-3C2E-4FDF-B57A-E140A46ADBDE}" type="doc">
      <dgm:prSet loTypeId="urn:microsoft.com/office/officeart/2005/8/layout/process4" loCatId="process" qsTypeId="urn:microsoft.com/office/officeart/2005/8/quickstyle/3d1" qsCatId="3D" csTypeId="urn:microsoft.com/office/officeart/2005/8/colors/accent1_3" csCatId="accent1" phldr="1"/>
      <dgm:spPr/>
      <dgm:t>
        <a:bodyPr/>
        <a:lstStyle/>
        <a:p>
          <a:endParaRPr lang="en-US"/>
        </a:p>
      </dgm:t>
    </dgm:pt>
    <dgm:pt modelId="{AFF806CC-355F-41FC-BBF3-1DD9F8F3C48D}">
      <dgm:prSet phldrT="[Text]" custT="1"/>
      <dgm:spPr/>
      <dgm:t>
        <a:bodyPr/>
        <a:lstStyle/>
        <a:p>
          <a:r>
            <a:rPr lang="ru-RU" sz="1000" b="1" i="1">
              <a:solidFill>
                <a:sysClr val="windowText" lastClr="000000"/>
              </a:solidFill>
              <a:latin typeface="+mj-lt"/>
            </a:rPr>
            <a:t>Определение потребностей и составление заявки на закупку противотуберкулезных препаратов</a:t>
          </a:r>
          <a:endParaRPr lang="en-US" sz="1100">
            <a:solidFill>
              <a:sysClr val="windowText" lastClr="000000"/>
            </a:solidFill>
            <a:latin typeface="+mj-lt"/>
          </a:endParaRPr>
        </a:p>
      </dgm:t>
    </dgm:pt>
    <dgm:pt modelId="{FA0CB661-4E86-4933-BE0A-F3511364BB74}" type="parTrans" cxnId="{463FD667-19BB-4866-AC55-EE227343B0E7}">
      <dgm:prSet/>
      <dgm:spPr/>
      <dgm:t>
        <a:bodyPr/>
        <a:lstStyle/>
        <a:p>
          <a:endParaRPr lang="en-US" sz="1100"/>
        </a:p>
      </dgm:t>
    </dgm:pt>
    <dgm:pt modelId="{D96953E8-4B57-43D1-9A85-5F6ADB896001}" type="sibTrans" cxnId="{463FD667-19BB-4866-AC55-EE227343B0E7}">
      <dgm:prSet/>
      <dgm:spPr/>
      <dgm:t>
        <a:bodyPr/>
        <a:lstStyle/>
        <a:p>
          <a:endParaRPr lang="en-US" sz="1100"/>
        </a:p>
      </dgm:t>
    </dgm:pt>
    <dgm:pt modelId="{FEC149AC-EED7-4190-8DB6-C39326C244FE}">
      <dgm:prSet phldrT="[Text]" custT="1"/>
      <dgm:spPr/>
      <dgm:t>
        <a:bodyPr/>
        <a:lstStyle/>
        <a:p>
          <a:r>
            <a:rPr lang="ru-RU" sz="1000" b="1" i="1">
              <a:solidFill>
                <a:sysClr val="windowText" lastClr="000000"/>
              </a:solidFill>
              <a:latin typeface="+mj-lt"/>
            </a:rPr>
            <a:t>Организация процедуры закупки и поставки противотуберкулезных препаратов</a:t>
          </a:r>
          <a:endParaRPr lang="en-US" sz="1100">
            <a:solidFill>
              <a:sysClr val="windowText" lastClr="000000"/>
            </a:solidFill>
            <a:latin typeface="+mj-lt"/>
          </a:endParaRPr>
        </a:p>
      </dgm:t>
    </dgm:pt>
    <dgm:pt modelId="{E67EAAB1-A7AF-4EC9-BB1A-A8CB7633DD0D}" type="parTrans" cxnId="{0F191619-CEAA-409E-BA76-BE462B13A28D}">
      <dgm:prSet/>
      <dgm:spPr/>
      <dgm:t>
        <a:bodyPr/>
        <a:lstStyle/>
        <a:p>
          <a:endParaRPr lang="en-US" sz="1100"/>
        </a:p>
      </dgm:t>
    </dgm:pt>
    <dgm:pt modelId="{B5472A9E-F17E-4002-A472-B5A0057677D4}" type="sibTrans" cxnId="{0F191619-CEAA-409E-BA76-BE462B13A28D}">
      <dgm:prSet/>
      <dgm:spPr/>
      <dgm:t>
        <a:bodyPr/>
        <a:lstStyle/>
        <a:p>
          <a:endParaRPr lang="en-US" sz="1100"/>
        </a:p>
      </dgm:t>
    </dgm:pt>
    <dgm:pt modelId="{0AEFB9EE-BDA8-4BE7-9159-C992BCD098A9}">
      <dgm:prSet phldrT="[Text]" custT="1"/>
      <dgm:spPr/>
      <dgm:t>
        <a:bodyPr/>
        <a:lstStyle/>
        <a:p>
          <a:r>
            <a:rPr lang="ru-RU" sz="1000" b="1" i="1">
              <a:solidFill>
                <a:sysClr val="windowText" lastClr="000000"/>
              </a:solidFill>
              <a:latin typeface="+mj-lt"/>
            </a:rPr>
            <a:t>Прием противотуберкулезных препаратов на центральном уровне</a:t>
          </a:r>
          <a:endParaRPr lang="en-US" sz="1100">
            <a:solidFill>
              <a:sysClr val="windowText" lastClr="000000"/>
            </a:solidFill>
            <a:latin typeface="+mj-lt"/>
          </a:endParaRPr>
        </a:p>
      </dgm:t>
    </dgm:pt>
    <dgm:pt modelId="{748FF995-FB0F-44EB-A6D0-522DE2FF751E}" type="parTrans" cxnId="{A8B380DC-EC09-4E71-A0D4-3941B350AE21}">
      <dgm:prSet/>
      <dgm:spPr/>
      <dgm:t>
        <a:bodyPr/>
        <a:lstStyle/>
        <a:p>
          <a:endParaRPr lang="en-US" sz="1100"/>
        </a:p>
      </dgm:t>
    </dgm:pt>
    <dgm:pt modelId="{3740651A-0EC9-437B-A945-CCDA263A5343}" type="sibTrans" cxnId="{A8B380DC-EC09-4E71-A0D4-3941B350AE21}">
      <dgm:prSet/>
      <dgm:spPr/>
      <dgm:t>
        <a:bodyPr/>
        <a:lstStyle/>
        <a:p>
          <a:endParaRPr lang="en-US" sz="1100"/>
        </a:p>
      </dgm:t>
    </dgm:pt>
    <dgm:pt modelId="{80DBE299-E34D-41F5-9910-2D67800200AB}">
      <dgm:prSet phldrT="[Text]" custT="1"/>
      <dgm:spPr/>
      <dgm:t>
        <a:bodyPr/>
        <a:lstStyle/>
        <a:p>
          <a:r>
            <a:rPr lang="ru-RU" sz="1000" b="1" i="1">
              <a:solidFill>
                <a:sysClr val="windowText" lastClr="000000"/>
              </a:solidFill>
              <a:latin typeface="+mj-lt"/>
            </a:rPr>
            <a:t>Хранение и управление противотуберкулезными препаратами на центральном уровне</a:t>
          </a:r>
          <a:endParaRPr lang="en-US" sz="1100">
            <a:solidFill>
              <a:srgbClr val="FFFF00"/>
            </a:solidFill>
            <a:latin typeface="+mj-lt"/>
          </a:endParaRPr>
        </a:p>
      </dgm:t>
    </dgm:pt>
    <dgm:pt modelId="{6A4FD0FD-98F4-4748-BA0B-A8B42AD36A44}" type="parTrans" cxnId="{02863EF2-98BC-44B0-8A38-47E1EBC1F836}">
      <dgm:prSet/>
      <dgm:spPr/>
      <dgm:t>
        <a:bodyPr/>
        <a:lstStyle/>
        <a:p>
          <a:endParaRPr lang="en-US" sz="1100"/>
        </a:p>
      </dgm:t>
    </dgm:pt>
    <dgm:pt modelId="{1029E579-D347-421E-8A87-1A14E845B2F3}" type="sibTrans" cxnId="{02863EF2-98BC-44B0-8A38-47E1EBC1F836}">
      <dgm:prSet/>
      <dgm:spPr/>
      <dgm:t>
        <a:bodyPr/>
        <a:lstStyle/>
        <a:p>
          <a:endParaRPr lang="en-US" sz="1100"/>
        </a:p>
      </dgm:t>
    </dgm:pt>
    <dgm:pt modelId="{53A08AEF-CACD-49A9-80ED-FD67E42A7495}">
      <dgm:prSet phldrT="[Text]" custT="1"/>
      <dgm:spPr/>
      <dgm:t>
        <a:bodyPr/>
        <a:lstStyle/>
        <a:p>
          <a:r>
            <a:rPr lang="ru-RU" sz="1100" b="1" i="1">
              <a:solidFill>
                <a:sysClr val="windowText" lastClr="000000"/>
              </a:solidFill>
              <a:latin typeface="+mj-lt"/>
            </a:rPr>
            <a:t>Распределение от центрального уровня на уровень услуги фтизиопульмонологии в рамках ПМСУ</a:t>
          </a:r>
          <a:endParaRPr lang="ro-RO" sz="1100" b="1" i="1">
            <a:solidFill>
              <a:sysClr val="windowText" lastClr="000000"/>
            </a:solidFill>
            <a:latin typeface="+mj-lt"/>
          </a:endParaRPr>
        </a:p>
      </dgm:t>
    </dgm:pt>
    <dgm:pt modelId="{D7B0AB11-020F-4A9C-A032-49E129385A66}" type="parTrans" cxnId="{A7575EFD-3915-430C-8DB8-7C150CFC3277}">
      <dgm:prSet/>
      <dgm:spPr/>
      <dgm:t>
        <a:bodyPr/>
        <a:lstStyle/>
        <a:p>
          <a:endParaRPr lang="en-US" sz="1100"/>
        </a:p>
      </dgm:t>
    </dgm:pt>
    <dgm:pt modelId="{6FCA083C-4F93-44A3-B471-E3B1E42585E2}" type="sibTrans" cxnId="{A7575EFD-3915-430C-8DB8-7C150CFC3277}">
      <dgm:prSet/>
      <dgm:spPr/>
      <dgm:t>
        <a:bodyPr/>
        <a:lstStyle/>
        <a:p>
          <a:endParaRPr lang="en-US" sz="1100"/>
        </a:p>
      </dgm:t>
    </dgm:pt>
    <dgm:pt modelId="{E2141F24-9783-40DF-A782-E49EA748725E}">
      <dgm:prSet phldrT="[Text]" custT="1"/>
      <dgm:spPr/>
      <dgm:t>
        <a:bodyPr/>
        <a:lstStyle/>
        <a:p>
          <a:r>
            <a:rPr lang="ru-RU" sz="1000" b="1" i="1">
              <a:solidFill>
                <a:schemeClr val="tx1"/>
              </a:solidFill>
              <a:latin typeface="+mj-lt"/>
            </a:rPr>
            <a:t>Распределение лечения врачами-фтизиопульмонологами и семейными врачами пациентам</a:t>
          </a:r>
          <a:endParaRPr lang="ro-RO" sz="1100" b="1" i="1">
            <a:solidFill>
              <a:sysClr val="windowText" lastClr="000000"/>
            </a:solidFill>
            <a:latin typeface="+mj-lt"/>
          </a:endParaRPr>
        </a:p>
      </dgm:t>
    </dgm:pt>
    <dgm:pt modelId="{EB555CCE-7D2D-4CE3-BA9E-34F28F1FA1DC}" type="parTrans" cxnId="{2C8B4A0B-8618-498E-A593-534AD1582A85}">
      <dgm:prSet/>
      <dgm:spPr/>
      <dgm:t>
        <a:bodyPr/>
        <a:lstStyle/>
        <a:p>
          <a:endParaRPr lang="en-US" sz="1100"/>
        </a:p>
      </dgm:t>
    </dgm:pt>
    <dgm:pt modelId="{56F8CC1C-10EF-4073-9466-5B671662CF86}" type="sibTrans" cxnId="{2C8B4A0B-8618-498E-A593-534AD1582A85}">
      <dgm:prSet/>
      <dgm:spPr/>
      <dgm:t>
        <a:bodyPr/>
        <a:lstStyle/>
        <a:p>
          <a:endParaRPr lang="en-US" sz="1100"/>
        </a:p>
      </dgm:t>
    </dgm:pt>
    <dgm:pt modelId="{FD3B7E56-BB94-49F0-9993-07E9E12BF0F4}" type="pres">
      <dgm:prSet presAssocID="{C166B17E-3C2E-4FDF-B57A-E140A46ADBDE}" presName="Name0" presStyleCnt="0">
        <dgm:presLayoutVars>
          <dgm:dir/>
          <dgm:animLvl val="lvl"/>
          <dgm:resizeHandles val="exact"/>
        </dgm:presLayoutVars>
      </dgm:prSet>
      <dgm:spPr/>
      <dgm:t>
        <a:bodyPr/>
        <a:lstStyle/>
        <a:p>
          <a:endParaRPr lang="en-US"/>
        </a:p>
      </dgm:t>
    </dgm:pt>
    <dgm:pt modelId="{41E22819-ABE4-40CB-9C8B-415423848102}" type="pres">
      <dgm:prSet presAssocID="{E2141F24-9783-40DF-A782-E49EA748725E}" presName="boxAndChildren" presStyleCnt="0"/>
      <dgm:spPr/>
    </dgm:pt>
    <dgm:pt modelId="{61A5200A-406A-4328-8E66-9C23A8166AAB}" type="pres">
      <dgm:prSet presAssocID="{E2141F24-9783-40DF-A782-E49EA748725E}" presName="parentTextBox" presStyleLbl="node1" presStyleIdx="0" presStyleCnt="6"/>
      <dgm:spPr/>
      <dgm:t>
        <a:bodyPr/>
        <a:lstStyle/>
        <a:p>
          <a:endParaRPr lang="en-US"/>
        </a:p>
      </dgm:t>
    </dgm:pt>
    <dgm:pt modelId="{64F0A0F0-7579-411C-ADC4-4434BD6A911C}" type="pres">
      <dgm:prSet presAssocID="{6FCA083C-4F93-44A3-B471-E3B1E42585E2}" presName="sp" presStyleCnt="0"/>
      <dgm:spPr/>
    </dgm:pt>
    <dgm:pt modelId="{E1D49B80-00C2-4F5D-B3A8-E6ED74C4A482}" type="pres">
      <dgm:prSet presAssocID="{53A08AEF-CACD-49A9-80ED-FD67E42A7495}" presName="arrowAndChildren" presStyleCnt="0"/>
      <dgm:spPr/>
    </dgm:pt>
    <dgm:pt modelId="{14B4E719-7609-4B98-AB56-E642C6A7C94C}" type="pres">
      <dgm:prSet presAssocID="{53A08AEF-CACD-49A9-80ED-FD67E42A7495}" presName="parentTextArrow" presStyleLbl="node1" presStyleIdx="1" presStyleCnt="6" custLinFactNeighborY="-3549"/>
      <dgm:spPr/>
      <dgm:t>
        <a:bodyPr/>
        <a:lstStyle/>
        <a:p>
          <a:endParaRPr lang="en-US"/>
        </a:p>
      </dgm:t>
    </dgm:pt>
    <dgm:pt modelId="{2304D68E-1474-4214-AF44-AF1ED1FBAD45}" type="pres">
      <dgm:prSet presAssocID="{1029E579-D347-421E-8A87-1A14E845B2F3}" presName="sp" presStyleCnt="0"/>
      <dgm:spPr/>
    </dgm:pt>
    <dgm:pt modelId="{66926005-5F86-4C83-87AE-D627BAE3690E}" type="pres">
      <dgm:prSet presAssocID="{80DBE299-E34D-41F5-9910-2D67800200AB}" presName="arrowAndChildren" presStyleCnt="0"/>
      <dgm:spPr/>
    </dgm:pt>
    <dgm:pt modelId="{B2ED8645-9E58-4992-A004-EF69663B0840}" type="pres">
      <dgm:prSet presAssocID="{80DBE299-E34D-41F5-9910-2D67800200AB}" presName="parentTextArrow" presStyleLbl="node1" presStyleIdx="2" presStyleCnt="6"/>
      <dgm:spPr/>
      <dgm:t>
        <a:bodyPr/>
        <a:lstStyle/>
        <a:p>
          <a:endParaRPr lang="en-US"/>
        </a:p>
      </dgm:t>
    </dgm:pt>
    <dgm:pt modelId="{76D26F29-59E9-423A-929C-01C2A9C30154}" type="pres">
      <dgm:prSet presAssocID="{3740651A-0EC9-437B-A945-CCDA263A5343}" presName="sp" presStyleCnt="0"/>
      <dgm:spPr/>
    </dgm:pt>
    <dgm:pt modelId="{77509480-3B05-4ACE-9CA8-83355584BB32}" type="pres">
      <dgm:prSet presAssocID="{0AEFB9EE-BDA8-4BE7-9159-C992BCD098A9}" presName="arrowAndChildren" presStyleCnt="0"/>
      <dgm:spPr/>
    </dgm:pt>
    <dgm:pt modelId="{57B5D227-973D-46F8-BA77-5DE5962C9AED}" type="pres">
      <dgm:prSet presAssocID="{0AEFB9EE-BDA8-4BE7-9159-C992BCD098A9}" presName="parentTextArrow" presStyleLbl="node1" presStyleIdx="3" presStyleCnt="6"/>
      <dgm:spPr/>
      <dgm:t>
        <a:bodyPr/>
        <a:lstStyle/>
        <a:p>
          <a:endParaRPr lang="en-US"/>
        </a:p>
      </dgm:t>
    </dgm:pt>
    <dgm:pt modelId="{19A377BD-2371-4EAF-823D-05602F8A50F4}" type="pres">
      <dgm:prSet presAssocID="{B5472A9E-F17E-4002-A472-B5A0057677D4}" presName="sp" presStyleCnt="0"/>
      <dgm:spPr/>
    </dgm:pt>
    <dgm:pt modelId="{3A03B500-7256-4C97-A380-DA8786659B68}" type="pres">
      <dgm:prSet presAssocID="{FEC149AC-EED7-4190-8DB6-C39326C244FE}" presName="arrowAndChildren" presStyleCnt="0"/>
      <dgm:spPr/>
    </dgm:pt>
    <dgm:pt modelId="{F2EF8F0A-747E-4163-9B6C-B7D404779E60}" type="pres">
      <dgm:prSet presAssocID="{FEC149AC-EED7-4190-8DB6-C39326C244FE}" presName="parentTextArrow" presStyleLbl="node1" presStyleIdx="4" presStyleCnt="6"/>
      <dgm:spPr/>
      <dgm:t>
        <a:bodyPr/>
        <a:lstStyle/>
        <a:p>
          <a:endParaRPr lang="en-US"/>
        </a:p>
      </dgm:t>
    </dgm:pt>
    <dgm:pt modelId="{47DEF01A-6A9E-4E5E-B3E2-31514EAAA82D}" type="pres">
      <dgm:prSet presAssocID="{D96953E8-4B57-43D1-9A85-5F6ADB896001}" presName="sp" presStyleCnt="0"/>
      <dgm:spPr/>
    </dgm:pt>
    <dgm:pt modelId="{BF7538AB-2E23-43D3-85D8-419CE26C9B1A}" type="pres">
      <dgm:prSet presAssocID="{AFF806CC-355F-41FC-BBF3-1DD9F8F3C48D}" presName="arrowAndChildren" presStyleCnt="0"/>
      <dgm:spPr/>
    </dgm:pt>
    <dgm:pt modelId="{E5481D65-3835-4A15-8377-D630F7558E6F}" type="pres">
      <dgm:prSet presAssocID="{AFF806CC-355F-41FC-BBF3-1DD9F8F3C48D}" presName="parentTextArrow" presStyleLbl="node1" presStyleIdx="5" presStyleCnt="6"/>
      <dgm:spPr/>
      <dgm:t>
        <a:bodyPr/>
        <a:lstStyle/>
        <a:p>
          <a:endParaRPr lang="en-US"/>
        </a:p>
      </dgm:t>
    </dgm:pt>
  </dgm:ptLst>
  <dgm:cxnLst>
    <dgm:cxn modelId="{6AD7699C-427E-45B1-8CE3-4D7504806E4E}" type="presOf" srcId="{E2141F24-9783-40DF-A782-E49EA748725E}" destId="{61A5200A-406A-4328-8E66-9C23A8166AAB}" srcOrd="0" destOrd="0" presId="urn:microsoft.com/office/officeart/2005/8/layout/process4"/>
    <dgm:cxn modelId="{0F191619-CEAA-409E-BA76-BE462B13A28D}" srcId="{C166B17E-3C2E-4FDF-B57A-E140A46ADBDE}" destId="{FEC149AC-EED7-4190-8DB6-C39326C244FE}" srcOrd="1" destOrd="0" parTransId="{E67EAAB1-A7AF-4EC9-BB1A-A8CB7633DD0D}" sibTransId="{B5472A9E-F17E-4002-A472-B5A0057677D4}"/>
    <dgm:cxn modelId="{B486DA37-6FF4-402F-B215-9AB03AC2F33F}" type="presOf" srcId="{AFF806CC-355F-41FC-BBF3-1DD9F8F3C48D}" destId="{E5481D65-3835-4A15-8377-D630F7558E6F}" srcOrd="0" destOrd="0" presId="urn:microsoft.com/office/officeart/2005/8/layout/process4"/>
    <dgm:cxn modelId="{86CDE9FC-F55D-431F-9CA5-4CE3F3C15644}" type="presOf" srcId="{53A08AEF-CACD-49A9-80ED-FD67E42A7495}" destId="{14B4E719-7609-4B98-AB56-E642C6A7C94C}" srcOrd="0" destOrd="0" presId="urn:microsoft.com/office/officeart/2005/8/layout/process4"/>
    <dgm:cxn modelId="{463FD667-19BB-4866-AC55-EE227343B0E7}" srcId="{C166B17E-3C2E-4FDF-B57A-E140A46ADBDE}" destId="{AFF806CC-355F-41FC-BBF3-1DD9F8F3C48D}" srcOrd="0" destOrd="0" parTransId="{FA0CB661-4E86-4933-BE0A-F3511364BB74}" sibTransId="{D96953E8-4B57-43D1-9A85-5F6ADB896001}"/>
    <dgm:cxn modelId="{CC15976C-0D85-4D9D-B8F4-8EDEA0EA2875}" type="presOf" srcId="{0AEFB9EE-BDA8-4BE7-9159-C992BCD098A9}" destId="{57B5D227-973D-46F8-BA77-5DE5962C9AED}" srcOrd="0" destOrd="0" presId="urn:microsoft.com/office/officeart/2005/8/layout/process4"/>
    <dgm:cxn modelId="{597E9EC9-7B5F-447D-9585-CB2682EA9745}" type="presOf" srcId="{FEC149AC-EED7-4190-8DB6-C39326C244FE}" destId="{F2EF8F0A-747E-4163-9B6C-B7D404779E60}" srcOrd="0" destOrd="0" presId="urn:microsoft.com/office/officeart/2005/8/layout/process4"/>
    <dgm:cxn modelId="{A7575EFD-3915-430C-8DB8-7C150CFC3277}" srcId="{C166B17E-3C2E-4FDF-B57A-E140A46ADBDE}" destId="{53A08AEF-CACD-49A9-80ED-FD67E42A7495}" srcOrd="4" destOrd="0" parTransId="{D7B0AB11-020F-4A9C-A032-49E129385A66}" sibTransId="{6FCA083C-4F93-44A3-B471-E3B1E42585E2}"/>
    <dgm:cxn modelId="{A8B380DC-EC09-4E71-A0D4-3941B350AE21}" srcId="{C166B17E-3C2E-4FDF-B57A-E140A46ADBDE}" destId="{0AEFB9EE-BDA8-4BE7-9159-C992BCD098A9}" srcOrd="2" destOrd="0" parTransId="{748FF995-FB0F-44EB-A6D0-522DE2FF751E}" sibTransId="{3740651A-0EC9-437B-A945-CCDA263A5343}"/>
    <dgm:cxn modelId="{2C8B4A0B-8618-498E-A593-534AD1582A85}" srcId="{C166B17E-3C2E-4FDF-B57A-E140A46ADBDE}" destId="{E2141F24-9783-40DF-A782-E49EA748725E}" srcOrd="5" destOrd="0" parTransId="{EB555CCE-7D2D-4CE3-BA9E-34F28F1FA1DC}" sibTransId="{56F8CC1C-10EF-4073-9466-5B671662CF86}"/>
    <dgm:cxn modelId="{1DA73C10-EB99-4DA1-B63E-E58F5D47FA1A}" type="presOf" srcId="{80DBE299-E34D-41F5-9910-2D67800200AB}" destId="{B2ED8645-9E58-4992-A004-EF69663B0840}" srcOrd="0" destOrd="0" presId="urn:microsoft.com/office/officeart/2005/8/layout/process4"/>
    <dgm:cxn modelId="{02863EF2-98BC-44B0-8A38-47E1EBC1F836}" srcId="{C166B17E-3C2E-4FDF-B57A-E140A46ADBDE}" destId="{80DBE299-E34D-41F5-9910-2D67800200AB}" srcOrd="3" destOrd="0" parTransId="{6A4FD0FD-98F4-4748-BA0B-A8B42AD36A44}" sibTransId="{1029E579-D347-421E-8A87-1A14E845B2F3}"/>
    <dgm:cxn modelId="{9524CCFB-8806-4A3F-8825-B55339712DC4}" type="presOf" srcId="{C166B17E-3C2E-4FDF-B57A-E140A46ADBDE}" destId="{FD3B7E56-BB94-49F0-9993-07E9E12BF0F4}" srcOrd="0" destOrd="0" presId="urn:microsoft.com/office/officeart/2005/8/layout/process4"/>
    <dgm:cxn modelId="{D207071C-F090-460D-BF75-AE166CD1A937}" type="presParOf" srcId="{FD3B7E56-BB94-49F0-9993-07E9E12BF0F4}" destId="{41E22819-ABE4-40CB-9C8B-415423848102}" srcOrd="0" destOrd="0" presId="urn:microsoft.com/office/officeart/2005/8/layout/process4"/>
    <dgm:cxn modelId="{9786DBEF-4532-4C1B-BA9D-DDC739887454}" type="presParOf" srcId="{41E22819-ABE4-40CB-9C8B-415423848102}" destId="{61A5200A-406A-4328-8E66-9C23A8166AAB}" srcOrd="0" destOrd="0" presId="urn:microsoft.com/office/officeart/2005/8/layout/process4"/>
    <dgm:cxn modelId="{2F584BDE-EB30-4CDB-A4C5-AABC304F320B}" type="presParOf" srcId="{FD3B7E56-BB94-49F0-9993-07E9E12BF0F4}" destId="{64F0A0F0-7579-411C-ADC4-4434BD6A911C}" srcOrd="1" destOrd="0" presId="urn:microsoft.com/office/officeart/2005/8/layout/process4"/>
    <dgm:cxn modelId="{1C9416BE-1B48-4FDB-927B-8B4CBE35078C}" type="presParOf" srcId="{FD3B7E56-BB94-49F0-9993-07E9E12BF0F4}" destId="{E1D49B80-00C2-4F5D-B3A8-E6ED74C4A482}" srcOrd="2" destOrd="0" presId="urn:microsoft.com/office/officeart/2005/8/layout/process4"/>
    <dgm:cxn modelId="{FBDE11E4-554F-4D40-9C83-470E3C6FBCE0}" type="presParOf" srcId="{E1D49B80-00C2-4F5D-B3A8-E6ED74C4A482}" destId="{14B4E719-7609-4B98-AB56-E642C6A7C94C}" srcOrd="0" destOrd="0" presId="urn:microsoft.com/office/officeart/2005/8/layout/process4"/>
    <dgm:cxn modelId="{429BE84E-7DE0-45AB-A125-2192A9CDE184}" type="presParOf" srcId="{FD3B7E56-BB94-49F0-9993-07E9E12BF0F4}" destId="{2304D68E-1474-4214-AF44-AF1ED1FBAD45}" srcOrd="3" destOrd="0" presId="urn:microsoft.com/office/officeart/2005/8/layout/process4"/>
    <dgm:cxn modelId="{1A8353BF-87EC-4CAF-978E-B6B44FE4E682}" type="presParOf" srcId="{FD3B7E56-BB94-49F0-9993-07E9E12BF0F4}" destId="{66926005-5F86-4C83-87AE-D627BAE3690E}" srcOrd="4" destOrd="0" presId="urn:microsoft.com/office/officeart/2005/8/layout/process4"/>
    <dgm:cxn modelId="{55FE6709-0810-462D-9D61-1A097C463906}" type="presParOf" srcId="{66926005-5F86-4C83-87AE-D627BAE3690E}" destId="{B2ED8645-9E58-4992-A004-EF69663B0840}" srcOrd="0" destOrd="0" presId="urn:microsoft.com/office/officeart/2005/8/layout/process4"/>
    <dgm:cxn modelId="{74A01B09-0F86-4E35-8B37-C69240DF77B9}" type="presParOf" srcId="{FD3B7E56-BB94-49F0-9993-07E9E12BF0F4}" destId="{76D26F29-59E9-423A-929C-01C2A9C30154}" srcOrd="5" destOrd="0" presId="urn:microsoft.com/office/officeart/2005/8/layout/process4"/>
    <dgm:cxn modelId="{3852B546-9EDA-4338-87E6-DBE8EBA44117}" type="presParOf" srcId="{FD3B7E56-BB94-49F0-9993-07E9E12BF0F4}" destId="{77509480-3B05-4ACE-9CA8-83355584BB32}" srcOrd="6" destOrd="0" presId="urn:microsoft.com/office/officeart/2005/8/layout/process4"/>
    <dgm:cxn modelId="{70E00149-D380-4A38-85C6-1CC5466FFB23}" type="presParOf" srcId="{77509480-3B05-4ACE-9CA8-83355584BB32}" destId="{57B5D227-973D-46F8-BA77-5DE5962C9AED}" srcOrd="0" destOrd="0" presId="urn:microsoft.com/office/officeart/2005/8/layout/process4"/>
    <dgm:cxn modelId="{D307F505-2226-4B38-A802-F4E4E546F1F7}" type="presParOf" srcId="{FD3B7E56-BB94-49F0-9993-07E9E12BF0F4}" destId="{19A377BD-2371-4EAF-823D-05602F8A50F4}" srcOrd="7" destOrd="0" presId="urn:microsoft.com/office/officeart/2005/8/layout/process4"/>
    <dgm:cxn modelId="{23E3CB3B-E4F3-49AA-93B7-3CCE8AF60B3F}" type="presParOf" srcId="{FD3B7E56-BB94-49F0-9993-07E9E12BF0F4}" destId="{3A03B500-7256-4C97-A380-DA8786659B68}" srcOrd="8" destOrd="0" presId="urn:microsoft.com/office/officeart/2005/8/layout/process4"/>
    <dgm:cxn modelId="{6CDA4AE8-5D61-429F-A6B2-BD83A3E7E829}" type="presParOf" srcId="{3A03B500-7256-4C97-A380-DA8786659B68}" destId="{F2EF8F0A-747E-4163-9B6C-B7D404779E60}" srcOrd="0" destOrd="0" presId="urn:microsoft.com/office/officeart/2005/8/layout/process4"/>
    <dgm:cxn modelId="{C6299504-7CC1-4DB0-BB3D-3EBD967D55E3}" type="presParOf" srcId="{FD3B7E56-BB94-49F0-9993-07E9E12BF0F4}" destId="{47DEF01A-6A9E-4E5E-B3E2-31514EAAA82D}" srcOrd="9" destOrd="0" presId="urn:microsoft.com/office/officeart/2005/8/layout/process4"/>
    <dgm:cxn modelId="{0F1114F8-B2E2-498C-BDA1-D8E0696AE473}" type="presParOf" srcId="{FD3B7E56-BB94-49F0-9993-07E9E12BF0F4}" destId="{BF7538AB-2E23-43D3-85D8-419CE26C9B1A}" srcOrd="10" destOrd="0" presId="urn:microsoft.com/office/officeart/2005/8/layout/process4"/>
    <dgm:cxn modelId="{289C0E04-B446-4BB8-9895-E1FD7F3C11C5}" type="presParOf" srcId="{BF7538AB-2E23-43D3-85D8-419CE26C9B1A}" destId="{E5481D65-3835-4A15-8377-D630F7558E6F}"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A5200A-406A-4328-8E66-9C23A8166AAB}">
      <dsp:nvSpPr>
        <dsp:cNvPr id="0" name=""/>
        <dsp:cNvSpPr/>
      </dsp:nvSpPr>
      <dsp:spPr>
        <a:xfrm>
          <a:off x="0" y="3191313"/>
          <a:ext cx="6362700" cy="418858"/>
        </a:xfrm>
        <a:prstGeom prst="rect">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b="1" i="1" kern="1200">
              <a:solidFill>
                <a:schemeClr val="tx1"/>
              </a:solidFill>
              <a:latin typeface="+mj-lt"/>
            </a:rPr>
            <a:t>Распределение лечения врачами-фтизиопульмонологами и семейными врачами пациентам</a:t>
          </a:r>
          <a:endParaRPr lang="ro-RO" sz="1100" b="1" i="1" kern="1200">
            <a:solidFill>
              <a:sysClr val="windowText" lastClr="000000"/>
            </a:solidFill>
            <a:latin typeface="+mj-lt"/>
          </a:endParaRPr>
        </a:p>
      </dsp:txBody>
      <dsp:txXfrm>
        <a:off x="0" y="3191313"/>
        <a:ext cx="6362700" cy="418858"/>
      </dsp:txXfrm>
    </dsp:sp>
    <dsp:sp modelId="{14B4E719-7609-4B98-AB56-E642C6A7C94C}">
      <dsp:nvSpPr>
        <dsp:cNvPr id="0" name=""/>
        <dsp:cNvSpPr/>
      </dsp:nvSpPr>
      <dsp:spPr>
        <a:xfrm rot="10800000">
          <a:off x="0" y="2530529"/>
          <a:ext cx="6362700" cy="644203"/>
        </a:xfrm>
        <a:prstGeom prst="upArrowCallout">
          <a:avLst/>
        </a:prstGeom>
        <a:gradFill rotWithShape="0">
          <a:gsLst>
            <a:gs pos="0">
              <a:schemeClr val="accent1">
                <a:shade val="80000"/>
                <a:hueOff val="54253"/>
                <a:satOff val="1035"/>
                <a:lumOff val="4571"/>
                <a:alphaOff val="0"/>
                <a:satMod val="103000"/>
                <a:lumMod val="102000"/>
                <a:tint val="94000"/>
              </a:schemeClr>
            </a:gs>
            <a:gs pos="50000">
              <a:schemeClr val="accent1">
                <a:shade val="80000"/>
                <a:hueOff val="54253"/>
                <a:satOff val="1035"/>
                <a:lumOff val="4571"/>
                <a:alphaOff val="0"/>
                <a:satMod val="110000"/>
                <a:lumMod val="100000"/>
                <a:shade val="100000"/>
              </a:schemeClr>
            </a:gs>
            <a:gs pos="100000">
              <a:schemeClr val="accent1">
                <a:shade val="80000"/>
                <a:hueOff val="54253"/>
                <a:satOff val="1035"/>
                <a:lumOff val="4571"/>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b="1" i="1" kern="1200">
              <a:solidFill>
                <a:sysClr val="windowText" lastClr="000000"/>
              </a:solidFill>
              <a:latin typeface="+mj-lt"/>
            </a:rPr>
            <a:t>Распределение от центрального уровня на уровень услуги фтизиопульмонологии в рамках ПМСУ</a:t>
          </a:r>
          <a:endParaRPr lang="ro-RO" sz="1100" b="1" i="1" kern="1200">
            <a:solidFill>
              <a:sysClr val="windowText" lastClr="000000"/>
            </a:solidFill>
            <a:latin typeface="+mj-lt"/>
          </a:endParaRPr>
        </a:p>
      </dsp:txBody>
      <dsp:txXfrm rot="10800000">
        <a:off x="0" y="2530529"/>
        <a:ext cx="6362700" cy="418584"/>
      </dsp:txXfrm>
    </dsp:sp>
    <dsp:sp modelId="{B2ED8645-9E58-4992-A004-EF69663B0840}">
      <dsp:nvSpPr>
        <dsp:cNvPr id="0" name=""/>
        <dsp:cNvSpPr/>
      </dsp:nvSpPr>
      <dsp:spPr>
        <a:xfrm rot="10800000">
          <a:off x="0" y="1915471"/>
          <a:ext cx="6362700" cy="644203"/>
        </a:xfrm>
        <a:prstGeom prst="upArrowCallout">
          <a:avLst/>
        </a:prstGeom>
        <a:gradFill rotWithShape="0">
          <a:gsLst>
            <a:gs pos="0">
              <a:schemeClr val="accent1">
                <a:shade val="80000"/>
                <a:hueOff val="108505"/>
                <a:satOff val="2070"/>
                <a:lumOff val="9142"/>
                <a:alphaOff val="0"/>
                <a:satMod val="103000"/>
                <a:lumMod val="102000"/>
                <a:tint val="94000"/>
              </a:schemeClr>
            </a:gs>
            <a:gs pos="50000">
              <a:schemeClr val="accent1">
                <a:shade val="80000"/>
                <a:hueOff val="108505"/>
                <a:satOff val="2070"/>
                <a:lumOff val="9142"/>
                <a:alphaOff val="0"/>
                <a:satMod val="110000"/>
                <a:lumMod val="100000"/>
                <a:shade val="100000"/>
              </a:schemeClr>
            </a:gs>
            <a:gs pos="100000">
              <a:schemeClr val="accent1">
                <a:shade val="80000"/>
                <a:hueOff val="108505"/>
                <a:satOff val="2070"/>
                <a:lumOff val="9142"/>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b="1" i="1" kern="1200">
              <a:solidFill>
                <a:sysClr val="windowText" lastClr="000000"/>
              </a:solidFill>
              <a:latin typeface="+mj-lt"/>
            </a:rPr>
            <a:t>Хранение и управление противотуберкулезными препаратами на центральном уровне</a:t>
          </a:r>
          <a:endParaRPr lang="en-US" sz="1100" kern="1200">
            <a:solidFill>
              <a:srgbClr val="FFFF00"/>
            </a:solidFill>
            <a:latin typeface="+mj-lt"/>
          </a:endParaRPr>
        </a:p>
      </dsp:txBody>
      <dsp:txXfrm rot="10800000">
        <a:off x="0" y="1915471"/>
        <a:ext cx="6362700" cy="418584"/>
      </dsp:txXfrm>
    </dsp:sp>
    <dsp:sp modelId="{57B5D227-973D-46F8-BA77-5DE5962C9AED}">
      <dsp:nvSpPr>
        <dsp:cNvPr id="0" name=""/>
        <dsp:cNvSpPr/>
      </dsp:nvSpPr>
      <dsp:spPr>
        <a:xfrm rot="10800000">
          <a:off x="0" y="1277550"/>
          <a:ext cx="6362700" cy="644203"/>
        </a:xfrm>
        <a:prstGeom prst="upArrowCallout">
          <a:avLst/>
        </a:prstGeom>
        <a:gradFill rotWithShape="0">
          <a:gsLst>
            <a:gs pos="0">
              <a:schemeClr val="accent1">
                <a:shade val="80000"/>
                <a:hueOff val="162758"/>
                <a:satOff val="3105"/>
                <a:lumOff val="13713"/>
                <a:alphaOff val="0"/>
                <a:satMod val="103000"/>
                <a:lumMod val="102000"/>
                <a:tint val="94000"/>
              </a:schemeClr>
            </a:gs>
            <a:gs pos="50000">
              <a:schemeClr val="accent1">
                <a:shade val="80000"/>
                <a:hueOff val="162758"/>
                <a:satOff val="3105"/>
                <a:lumOff val="13713"/>
                <a:alphaOff val="0"/>
                <a:satMod val="110000"/>
                <a:lumMod val="100000"/>
                <a:shade val="100000"/>
              </a:schemeClr>
            </a:gs>
            <a:gs pos="100000">
              <a:schemeClr val="accent1">
                <a:shade val="80000"/>
                <a:hueOff val="162758"/>
                <a:satOff val="3105"/>
                <a:lumOff val="13713"/>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b="1" i="1" kern="1200">
              <a:solidFill>
                <a:sysClr val="windowText" lastClr="000000"/>
              </a:solidFill>
              <a:latin typeface="+mj-lt"/>
            </a:rPr>
            <a:t>Прием противотуберкулезных препаратов на центральном уровне</a:t>
          </a:r>
          <a:endParaRPr lang="en-US" sz="1100" kern="1200">
            <a:solidFill>
              <a:sysClr val="windowText" lastClr="000000"/>
            </a:solidFill>
            <a:latin typeface="+mj-lt"/>
          </a:endParaRPr>
        </a:p>
      </dsp:txBody>
      <dsp:txXfrm rot="10800000">
        <a:off x="0" y="1277550"/>
        <a:ext cx="6362700" cy="418584"/>
      </dsp:txXfrm>
    </dsp:sp>
    <dsp:sp modelId="{F2EF8F0A-747E-4163-9B6C-B7D404779E60}">
      <dsp:nvSpPr>
        <dsp:cNvPr id="0" name=""/>
        <dsp:cNvSpPr/>
      </dsp:nvSpPr>
      <dsp:spPr>
        <a:xfrm rot="10800000">
          <a:off x="0" y="639629"/>
          <a:ext cx="6362700" cy="644203"/>
        </a:xfrm>
        <a:prstGeom prst="upArrowCallout">
          <a:avLst/>
        </a:prstGeom>
        <a:gradFill rotWithShape="0">
          <a:gsLst>
            <a:gs pos="0">
              <a:schemeClr val="accent1">
                <a:shade val="80000"/>
                <a:hueOff val="217011"/>
                <a:satOff val="4140"/>
                <a:lumOff val="18284"/>
                <a:alphaOff val="0"/>
                <a:satMod val="103000"/>
                <a:lumMod val="102000"/>
                <a:tint val="94000"/>
              </a:schemeClr>
            </a:gs>
            <a:gs pos="50000">
              <a:schemeClr val="accent1">
                <a:shade val="80000"/>
                <a:hueOff val="217011"/>
                <a:satOff val="4140"/>
                <a:lumOff val="18284"/>
                <a:alphaOff val="0"/>
                <a:satMod val="110000"/>
                <a:lumMod val="100000"/>
                <a:shade val="100000"/>
              </a:schemeClr>
            </a:gs>
            <a:gs pos="100000">
              <a:schemeClr val="accent1">
                <a:shade val="80000"/>
                <a:hueOff val="217011"/>
                <a:satOff val="4140"/>
                <a:lumOff val="18284"/>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b="1" i="1" kern="1200">
              <a:solidFill>
                <a:sysClr val="windowText" lastClr="000000"/>
              </a:solidFill>
              <a:latin typeface="+mj-lt"/>
            </a:rPr>
            <a:t>Организация процедуры закупки и поставки противотуберкулезных препаратов</a:t>
          </a:r>
          <a:endParaRPr lang="en-US" sz="1100" kern="1200">
            <a:solidFill>
              <a:sysClr val="windowText" lastClr="000000"/>
            </a:solidFill>
            <a:latin typeface="+mj-lt"/>
          </a:endParaRPr>
        </a:p>
      </dsp:txBody>
      <dsp:txXfrm rot="10800000">
        <a:off x="0" y="639629"/>
        <a:ext cx="6362700" cy="418584"/>
      </dsp:txXfrm>
    </dsp:sp>
    <dsp:sp modelId="{E5481D65-3835-4A15-8377-D630F7558E6F}">
      <dsp:nvSpPr>
        <dsp:cNvPr id="0" name=""/>
        <dsp:cNvSpPr/>
      </dsp:nvSpPr>
      <dsp:spPr>
        <a:xfrm rot="10800000">
          <a:off x="0" y="1708"/>
          <a:ext cx="6362700" cy="644203"/>
        </a:xfrm>
        <a:prstGeom prst="upArrowCallout">
          <a:avLst/>
        </a:prstGeom>
        <a:gradFill rotWithShape="0">
          <a:gsLst>
            <a:gs pos="0">
              <a:schemeClr val="accent1">
                <a:shade val="80000"/>
                <a:hueOff val="271263"/>
                <a:satOff val="5175"/>
                <a:lumOff val="22855"/>
                <a:alphaOff val="0"/>
                <a:satMod val="103000"/>
                <a:lumMod val="102000"/>
                <a:tint val="94000"/>
              </a:schemeClr>
            </a:gs>
            <a:gs pos="50000">
              <a:schemeClr val="accent1">
                <a:shade val="80000"/>
                <a:hueOff val="271263"/>
                <a:satOff val="5175"/>
                <a:lumOff val="22855"/>
                <a:alphaOff val="0"/>
                <a:satMod val="110000"/>
                <a:lumMod val="100000"/>
                <a:shade val="100000"/>
              </a:schemeClr>
            </a:gs>
            <a:gs pos="100000">
              <a:schemeClr val="accent1">
                <a:shade val="80000"/>
                <a:hueOff val="271263"/>
                <a:satOff val="5175"/>
                <a:lumOff val="22855"/>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b="1" i="1" kern="1200">
              <a:solidFill>
                <a:sysClr val="windowText" lastClr="000000"/>
              </a:solidFill>
              <a:latin typeface="+mj-lt"/>
            </a:rPr>
            <a:t>Определение потребностей и составление заявки на закупку противотуберкулезных препаратов</a:t>
          </a:r>
          <a:endParaRPr lang="en-US" sz="1100" kern="1200">
            <a:solidFill>
              <a:sysClr val="windowText" lastClr="000000"/>
            </a:solidFill>
            <a:latin typeface="+mj-lt"/>
          </a:endParaRPr>
        </a:p>
      </dsp:txBody>
      <dsp:txXfrm rot="10800000">
        <a:off x="0" y="1708"/>
        <a:ext cx="6362700" cy="41858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5F8BB-CEE6-49A5-9F5B-67C106B8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30177</Words>
  <Characters>172015</Characters>
  <Application>Microsoft Office Word</Application>
  <DocSecurity>0</DocSecurity>
  <Lines>1433</Lines>
  <Paragraphs>403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Rogaciov Irina</dc:creator>
  <cp:keywords/>
  <dc:description/>
  <cp:lastModifiedBy>Paiu Eugenia</cp:lastModifiedBy>
  <cp:revision>2</cp:revision>
  <dcterms:created xsi:type="dcterms:W3CDTF">2024-02-09T06:56:00Z</dcterms:created>
  <dcterms:modified xsi:type="dcterms:W3CDTF">2024-02-09T06:56:00Z</dcterms:modified>
</cp:coreProperties>
</file>