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4E" w:rsidRPr="00856FCB" w:rsidRDefault="0004304E" w:rsidP="0004304E">
      <w:pPr>
        <w:spacing w:after="0" w:line="276" w:lineRule="auto"/>
        <w:jc w:val="right"/>
        <w:rPr>
          <w:rFonts w:asciiTheme="majorBidi" w:eastAsia="Times New Roman" w:hAnsiTheme="majorBidi" w:cstheme="majorBidi"/>
          <w:b/>
          <w:bCs/>
          <w:sz w:val="28"/>
          <w:szCs w:val="28"/>
          <w:lang w:val="ru-MD"/>
        </w:rPr>
      </w:pPr>
      <w:bookmarkStart w:id="0" w:name="_GoBack"/>
      <w:bookmarkEnd w:id="0"/>
      <w:r w:rsidRPr="00856FCB">
        <w:rPr>
          <w:rFonts w:ascii="Calibri Light" w:hAnsi="Calibri Light" w:cstheme="majorHAnsi"/>
          <w:noProof/>
          <w:lang w:val="ru-RU" w:eastAsia="ru-RU"/>
        </w:rPr>
        <w:drawing>
          <wp:inline distT="0" distB="0" distL="0" distR="0" wp14:anchorId="2400EA81" wp14:editId="523118B9">
            <wp:extent cx="5857240" cy="848360"/>
            <wp:effectExtent l="19050" t="0" r="0" b="0"/>
            <wp:docPr id="2" name="Рисунок 1" descr="gc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ccont"/>
                    <pic:cNvPicPr>
                      <a:picLocks noChangeAspect="1" noChangeArrowheads="1"/>
                    </pic:cNvPicPr>
                  </pic:nvPicPr>
                  <pic:blipFill>
                    <a:blip r:embed="rId7" cstate="print"/>
                    <a:srcRect/>
                    <a:stretch>
                      <a:fillRect/>
                    </a:stretch>
                  </pic:blipFill>
                  <pic:spPr bwMode="auto">
                    <a:xfrm>
                      <a:off x="0" y="0"/>
                      <a:ext cx="5857240" cy="848360"/>
                    </a:xfrm>
                    <a:prstGeom prst="rect">
                      <a:avLst/>
                    </a:prstGeom>
                    <a:noFill/>
                    <a:ln w="9525">
                      <a:noFill/>
                      <a:miter lim="800000"/>
                      <a:headEnd/>
                      <a:tailEnd/>
                    </a:ln>
                  </pic:spPr>
                </pic:pic>
              </a:graphicData>
            </a:graphic>
          </wp:inline>
        </w:drawing>
      </w:r>
      <w:bookmarkStart w:id="1" w:name="_Toc450123757"/>
      <w:r w:rsidRPr="00856FCB">
        <w:rPr>
          <w:rFonts w:asciiTheme="majorBidi" w:eastAsia="Times New Roman" w:hAnsiTheme="majorBidi" w:cstheme="majorBidi"/>
          <w:bCs/>
          <w:sz w:val="28"/>
          <w:szCs w:val="28"/>
          <w:lang w:val="ru-MD"/>
        </w:rPr>
        <w:t xml:space="preserve">Перевод </w:t>
      </w:r>
    </w:p>
    <w:p w:rsidR="0004304E" w:rsidRPr="00856FCB" w:rsidRDefault="0004304E" w:rsidP="0004304E">
      <w:pPr>
        <w:spacing w:after="0" w:line="276" w:lineRule="auto"/>
        <w:jc w:val="center"/>
        <w:rPr>
          <w:rFonts w:ascii="Times New Roman" w:eastAsia="Times New Roman" w:hAnsi="Times New Roman" w:cs="Times New Roman"/>
          <w:b/>
          <w:bCs/>
          <w:sz w:val="24"/>
          <w:szCs w:val="24"/>
          <w:lang w:val="ru-MD"/>
        </w:rPr>
      </w:pPr>
      <w:r w:rsidRPr="00856FCB">
        <w:rPr>
          <w:rFonts w:ascii="Times New Roman" w:eastAsia="Times New Roman" w:hAnsi="Times New Roman" w:cs="Times New Roman"/>
          <w:b/>
          <w:bCs/>
          <w:sz w:val="24"/>
          <w:szCs w:val="24"/>
          <w:lang w:val="ru-MD"/>
        </w:rPr>
        <w:t>ПОСТАНОВЛЕНИЕ №57</w:t>
      </w:r>
    </w:p>
    <w:p w:rsidR="0004304E" w:rsidRPr="00856FCB" w:rsidRDefault="0004304E" w:rsidP="0004304E">
      <w:pPr>
        <w:spacing w:after="0" w:line="276" w:lineRule="auto"/>
        <w:jc w:val="center"/>
        <w:rPr>
          <w:rFonts w:ascii="Times New Roman" w:eastAsia="Times New Roman" w:hAnsi="Times New Roman" w:cs="Times New Roman"/>
          <w:b/>
          <w:bCs/>
          <w:sz w:val="24"/>
          <w:szCs w:val="24"/>
          <w:lang w:val="ru-MD"/>
        </w:rPr>
      </w:pPr>
      <w:r w:rsidRPr="00856FCB">
        <w:rPr>
          <w:rFonts w:ascii="Times New Roman" w:eastAsia="Times New Roman" w:hAnsi="Times New Roman" w:cs="Times New Roman"/>
          <w:b/>
          <w:bCs/>
          <w:sz w:val="24"/>
          <w:szCs w:val="24"/>
          <w:lang w:val="ru-MD"/>
        </w:rPr>
        <w:t>от 18 декабря 2023 года</w:t>
      </w:r>
    </w:p>
    <w:p w:rsidR="0004304E" w:rsidRPr="00856FCB" w:rsidRDefault="0004304E" w:rsidP="0004304E">
      <w:pPr>
        <w:spacing w:after="0" w:line="276" w:lineRule="auto"/>
        <w:jc w:val="center"/>
        <w:rPr>
          <w:rFonts w:asciiTheme="majorBidi" w:eastAsia="Times New Roman" w:hAnsiTheme="majorBidi" w:cstheme="majorBidi"/>
          <w:bCs/>
          <w:sz w:val="28"/>
          <w:szCs w:val="28"/>
          <w:lang w:val="ru-MD"/>
        </w:rPr>
      </w:pPr>
      <w:r w:rsidRPr="00856FCB">
        <w:rPr>
          <w:rFonts w:asciiTheme="majorBidi" w:eastAsia="Times New Roman" w:hAnsiTheme="majorBidi" w:cstheme="majorBidi"/>
          <w:b/>
          <w:bCs/>
          <w:sz w:val="28"/>
          <w:szCs w:val="28"/>
          <w:lang w:val="ru-MD"/>
        </w:rPr>
        <w:t xml:space="preserve"> </w:t>
      </w:r>
      <w:bookmarkEnd w:id="1"/>
    </w:p>
    <w:p w:rsidR="0004304E" w:rsidRPr="00856FCB" w:rsidRDefault="0004304E" w:rsidP="0004304E">
      <w:pPr>
        <w:spacing w:after="0" w:line="276" w:lineRule="auto"/>
        <w:jc w:val="center"/>
        <w:rPr>
          <w:rFonts w:asciiTheme="majorBidi" w:eastAsia="Times New Roman" w:hAnsiTheme="majorBidi" w:cstheme="majorBidi"/>
          <w:b/>
          <w:bCs/>
          <w:sz w:val="28"/>
          <w:szCs w:val="28"/>
          <w:lang w:val="ru-MD"/>
        </w:rPr>
      </w:pPr>
      <w:r w:rsidRPr="00856FCB">
        <w:rPr>
          <w:rFonts w:asciiTheme="majorBidi" w:eastAsia="Times New Roman" w:hAnsiTheme="majorBidi" w:cstheme="majorBidi"/>
          <w:b/>
          <w:bCs/>
          <w:sz w:val="28"/>
          <w:szCs w:val="28"/>
          <w:lang w:val="ru-MD"/>
        </w:rPr>
        <w:t xml:space="preserve">по Отчету аудита соответствия управления отходами, </w:t>
      </w:r>
    </w:p>
    <w:p w:rsidR="0004304E" w:rsidRPr="00856FCB" w:rsidRDefault="0004304E" w:rsidP="0004304E">
      <w:pPr>
        <w:spacing w:after="0" w:line="276" w:lineRule="auto"/>
        <w:jc w:val="center"/>
        <w:rPr>
          <w:rFonts w:asciiTheme="majorBidi" w:eastAsia="Times New Roman" w:hAnsiTheme="majorBidi" w:cstheme="majorBidi"/>
          <w:b/>
          <w:bCs/>
          <w:sz w:val="28"/>
          <w:szCs w:val="28"/>
          <w:lang w:val="ru-MD"/>
        </w:rPr>
      </w:pPr>
      <w:r w:rsidRPr="00856FCB">
        <w:rPr>
          <w:rFonts w:asciiTheme="majorBidi" w:eastAsia="Times New Roman" w:hAnsiTheme="majorBidi" w:cstheme="majorBidi"/>
          <w:b/>
          <w:bCs/>
          <w:sz w:val="28"/>
          <w:szCs w:val="28"/>
          <w:lang w:val="ru-MD"/>
        </w:rPr>
        <w:t>за исключением опасных отходов</w:t>
      </w:r>
    </w:p>
    <w:p w:rsidR="0004304E" w:rsidRPr="00856FCB" w:rsidRDefault="0004304E" w:rsidP="0004304E">
      <w:pPr>
        <w:spacing w:after="0" w:line="276" w:lineRule="auto"/>
        <w:ind w:firstLine="567"/>
        <w:jc w:val="both"/>
        <w:rPr>
          <w:rFonts w:asciiTheme="majorBidi" w:eastAsia="Times New Roman" w:hAnsiTheme="majorBidi" w:cstheme="majorBidi"/>
          <w:bCs/>
          <w:sz w:val="28"/>
          <w:szCs w:val="28"/>
          <w:lang w:val="ru-MD"/>
        </w:rPr>
      </w:pPr>
      <w:r w:rsidRPr="00856FCB">
        <w:rPr>
          <w:rFonts w:asciiTheme="majorBidi" w:eastAsia="Calibri" w:hAnsiTheme="majorBidi" w:cstheme="majorBidi"/>
          <w:sz w:val="28"/>
          <w:szCs w:val="28"/>
          <w:lang w:val="ru-MD"/>
        </w:rPr>
        <w:t>Счетная палата, с участием г-на Стратулата Григория, государственного секретаря Министерства окружающей среды; г-на Гылкэ Гаврилы, директора Агентства окружающей среды; г-жи Фокша Вероники, начальника Управления контроля за управлением отходами и химическими веществами Инспекции по охране окружающей среды; г-жи Булгарь Светланы, главного инспектора Управления контроля за управлением отходами и химическими веществами Инспекции по охране окружающей среды; г-жи Плэчинтэ Светланы, главного консультанта Управления мониторинга и контроля Государственной канцелярии, а также других ответственных лиц, в рамках видео заседания, руководствуясь ст.3 (1) и ст.5 (1) а) Закона об организации и функционировании Счетной палаты Республики Молдова</w:t>
      </w:r>
      <w:r w:rsidRPr="00856FCB">
        <w:rPr>
          <w:rFonts w:asciiTheme="majorBidi" w:eastAsia="Calibri" w:hAnsiTheme="majorBidi" w:cstheme="majorBidi"/>
          <w:sz w:val="28"/>
          <w:szCs w:val="28"/>
          <w:vertAlign w:val="superscript"/>
          <w:lang w:val="ru-MD"/>
        </w:rPr>
        <w:footnoteReference w:id="1"/>
      </w:r>
      <w:r w:rsidRPr="00856FCB">
        <w:rPr>
          <w:rFonts w:asciiTheme="majorBidi" w:eastAsia="Calibri" w:hAnsiTheme="majorBidi" w:cstheme="majorBidi"/>
          <w:sz w:val="28"/>
          <w:szCs w:val="28"/>
          <w:lang w:val="ru-MD"/>
        </w:rPr>
        <w:t xml:space="preserve">, рассмотрела Отчет аудита соответствия </w:t>
      </w:r>
      <w:r w:rsidRPr="00856FCB">
        <w:rPr>
          <w:rFonts w:asciiTheme="majorBidi" w:eastAsia="Times New Roman" w:hAnsiTheme="majorBidi" w:cstheme="majorBidi"/>
          <w:bCs/>
          <w:sz w:val="28"/>
          <w:szCs w:val="28"/>
          <w:lang w:val="ru-MD"/>
        </w:rPr>
        <w:t xml:space="preserve">управления отходами, за исключением опасных отходов. </w:t>
      </w:r>
    </w:p>
    <w:p w:rsidR="0004304E" w:rsidRPr="00856FCB" w:rsidRDefault="0004304E" w:rsidP="0004304E">
      <w:pPr>
        <w:spacing w:after="0" w:line="276" w:lineRule="auto"/>
        <w:ind w:firstLine="567"/>
        <w:jc w:val="both"/>
        <w:rPr>
          <w:rFonts w:asciiTheme="majorBidi" w:eastAsia="Calibri" w:hAnsiTheme="majorBidi" w:cstheme="majorBidi"/>
          <w:bCs/>
          <w:sz w:val="28"/>
          <w:szCs w:val="28"/>
          <w:lang w:val="ru-MD"/>
        </w:rPr>
      </w:pPr>
      <w:r w:rsidRPr="00856FCB">
        <w:rPr>
          <w:rFonts w:ascii="Times New Roman" w:hAnsi="Times New Roman" w:cs="Times New Roman"/>
          <w:sz w:val="28"/>
          <w:szCs w:val="28"/>
          <w:lang w:val="ru-MD"/>
        </w:rPr>
        <w:t xml:space="preserve">Миссия </w:t>
      </w:r>
      <w:r w:rsidRPr="00856FCB">
        <w:rPr>
          <w:rFonts w:ascii="Times New Roman" w:eastAsia="Times New Roman" w:hAnsi="Times New Roman" w:cs="Times New Roman"/>
          <w:sz w:val="28"/>
          <w:szCs w:val="28"/>
          <w:lang w:val="ru-MD"/>
        </w:rPr>
        <w:t xml:space="preserve">внешнего публичного аудита была проведена на основании ст.31 </w:t>
      </w:r>
      <w:r w:rsidRPr="00856FCB">
        <w:rPr>
          <w:rFonts w:ascii="Times New Roman" w:hAnsi="Times New Roman" w:cs="Times New Roman"/>
          <w:sz w:val="28"/>
          <w:szCs w:val="28"/>
          <w:lang w:val="ru-MD"/>
        </w:rPr>
        <w:t xml:space="preserve">(3) и </w:t>
      </w:r>
      <w:r w:rsidRPr="00856FCB">
        <w:rPr>
          <w:rFonts w:asciiTheme="majorBidi" w:eastAsia="Calibri" w:hAnsiTheme="majorBidi" w:cstheme="majorBidi"/>
          <w:sz w:val="28"/>
          <w:szCs w:val="28"/>
          <w:lang w:val="ru-MD"/>
        </w:rPr>
        <w:t xml:space="preserve">(6), </w:t>
      </w:r>
      <w:r w:rsidRPr="00856FCB">
        <w:rPr>
          <w:rFonts w:ascii="Times New Roman" w:hAnsi="Times New Roman" w:cs="Times New Roman"/>
          <w:sz w:val="28"/>
          <w:szCs w:val="28"/>
          <w:lang w:val="ru-MD"/>
        </w:rPr>
        <w:t xml:space="preserve">ст.32 Закона №260 от 07.12.2017 и в соответствии </w:t>
      </w:r>
      <w:r w:rsidRPr="00856FCB">
        <w:rPr>
          <w:rFonts w:ascii="Times New Roman" w:eastAsia="Times New Roman" w:hAnsi="Times New Roman" w:cs="Times New Roman"/>
          <w:sz w:val="28"/>
          <w:szCs w:val="28"/>
          <w:lang w:val="ru-MD"/>
        </w:rPr>
        <w:t xml:space="preserve">с </w:t>
      </w:r>
      <w:r w:rsidRPr="00856FCB">
        <w:rPr>
          <w:rFonts w:ascii="Times New Roman" w:hAnsi="Times New Roman" w:cs="Times New Roman"/>
          <w:color w:val="000000"/>
          <w:sz w:val="28"/>
          <w:szCs w:val="28"/>
          <w:lang w:val="ru-MD" w:eastAsia="ro-RO"/>
        </w:rPr>
        <w:t>Программой аудиторской деятельности Счетной палаты на</w:t>
      </w:r>
      <w:r w:rsidRPr="00856FCB">
        <w:rPr>
          <w:rFonts w:ascii="Times New Roman" w:hAnsi="Times New Roman" w:cs="Times New Roman"/>
          <w:sz w:val="28"/>
          <w:szCs w:val="28"/>
          <w:lang w:val="ru-MD"/>
        </w:rPr>
        <w:t xml:space="preserve"> 2023 год</w:t>
      </w:r>
      <w:r w:rsidRPr="00856FCB">
        <w:rPr>
          <w:rStyle w:val="a7"/>
          <w:rFonts w:ascii="Times New Roman" w:hAnsi="Times New Roman"/>
          <w:sz w:val="28"/>
          <w:szCs w:val="28"/>
          <w:lang w:val="ru-MD"/>
        </w:rPr>
        <w:footnoteReference w:id="2"/>
      </w:r>
      <w:r w:rsidRPr="00856FCB">
        <w:rPr>
          <w:rFonts w:asciiTheme="majorBidi" w:eastAsia="Calibri" w:hAnsiTheme="majorBidi" w:cstheme="majorBidi"/>
          <w:sz w:val="28"/>
          <w:szCs w:val="28"/>
          <w:lang w:val="ru-MD"/>
        </w:rPr>
        <w:t>, с целью оценки процессов сбора, перевозки, обработки, переработки и хранения твердых бытовых отходов.</w:t>
      </w:r>
    </w:p>
    <w:p w:rsidR="0004304E" w:rsidRPr="00856FCB" w:rsidRDefault="0004304E" w:rsidP="0004304E">
      <w:pPr>
        <w:spacing w:after="0" w:line="276" w:lineRule="auto"/>
        <w:ind w:firstLine="567"/>
        <w:jc w:val="both"/>
        <w:rPr>
          <w:rFonts w:asciiTheme="majorBidi" w:eastAsia="Calibri" w:hAnsiTheme="majorBidi" w:cstheme="majorBidi"/>
          <w:sz w:val="28"/>
          <w:szCs w:val="28"/>
          <w:lang w:val="ru-MD"/>
        </w:rPr>
      </w:pPr>
      <w:r w:rsidRPr="00856FCB">
        <w:rPr>
          <w:rFonts w:asciiTheme="majorBidi" w:eastAsia="Calibri" w:hAnsiTheme="majorBidi" w:cstheme="majorBidi"/>
          <w:sz w:val="28"/>
          <w:szCs w:val="28"/>
          <w:lang w:val="ru-MD"/>
        </w:rPr>
        <w:t>Внешний публичный аудит был проведен в соответствии с Международными стандартами Высших органов аудита, применяемыми Счетной палатой</w:t>
      </w:r>
      <w:r w:rsidRPr="00856FCB">
        <w:rPr>
          <w:rFonts w:asciiTheme="majorBidi" w:eastAsia="Calibri" w:hAnsiTheme="majorBidi" w:cstheme="majorBidi"/>
          <w:sz w:val="28"/>
          <w:szCs w:val="28"/>
          <w:vertAlign w:val="superscript"/>
          <w:lang w:val="ru-MD"/>
        </w:rPr>
        <w:footnoteReference w:id="3"/>
      </w:r>
      <w:r w:rsidRPr="00856FCB">
        <w:rPr>
          <w:rFonts w:asciiTheme="majorBidi" w:eastAsia="Calibri" w:hAnsiTheme="majorBidi" w:cstheme="majorBidi"/>
          <w:sz w:val="28"/>
          <w:szCs w:val="28"/>
          <w:lang w:val="ru-MD"/>
        </w:rPr>
        <w:t xml:space="preserve">. </w:t>
      </w:r>
    </w:p>
    <w:p w:rsidR="0004304E" w:rsidRPr="00856FCB" w:rsidRDefault="0004304E" w:rsidP="0004304E">
      <w:pPr>
        <w:spacing w:after="120" w:line="276" w:lineRule="auto"/>
        <w:ind w:firstLine="720"/>
        <w:jc w:val="both"/>
        <w:rPr>
          <w:rFonts w:ascii="Times New Roman" w:eastAsia="Times New Roman" w:hAnsi="Times New Roman" w:cs="Times New Roman"/>
          <w:sz w:val="28"/>
          <w:szCs w:val="28"/>
          <w:lang w:val="ru-MD"/>
        </w:rPr>
      </w:pPr>
      <w:r w:rsidRPr="00856FCB">
        <w:rPr>
          <w:rFonts w:ascii="Times New Roman" w:eastAsia="Times New Roman" w:hAnsi="Times New Roman" w:cs="Times New Roman"/>
          <w:sz w:val="28"/>
          <w:szCs w:val="28"/>
          <w:lang w:val="ru-MD"/>
        </w:rPr>
        <w:t xml:space="preserve">Рассмотрев Отчет аудита, Счетная палата </w:t>
      </w:r>
    </w:p>
    <w:p w:rsidR="0004304E" w:rsidRPr="00856FCB" w:rsidRDefault="0004304E" w:rsidP="0004304E">
      <w:pPr>
        <w:spacing w:after="0" w:line="276" w:lineRule="auto"/>
        <w:jc w:val="center"/>
        <w:rPr>
          <w:rFonts w:asciiTheme="majorBidi" w:eastAsia="Calibri" w:hAnsiTheme="majorBidi" w:cstheme="majorBidi"/>
          <w:b/>
          <w:bCs/>
          <w:sz w:val="28"/>
          <w:szCs w:val="28"/>
          <w:lang w:val="ru-MD"/>
        </w:rPr>
      </w:pPr>
      <w:r w:rsidRPr="00856FCB">
        <w:rPr>
          <w:rFonts w:asciiTheme="majorBidi" w:eastAsia="Calibri" w:hAnsiTheme="majorBidi" w:cstheme="majorBidi"/>
          <w:b/>
          <w:bCs/>
          <w:sz w:val="28"/>
          <w:szCs w:val="28"/>
          <w:lang w:val="ru-MD"/>
        </w:rPr>
        <w:t>УСТАНОВИЛА:</w:t>
      </w:r>
    </w:p>
    <w:p w:rsidR="0004304E" w:rsidRPr="00856FCB" w:rsidRDefault="006E7669" w:rsidP="0004304E">
      <w:pPr>
        <w:spacing w:after="0" w:line="276" w:lineRule="auto"/>
        <w:ind w:firstLine="567"/>
        <w:jc w:val="both"/>
        <w:rPr>
          <w:rFonts w:ascii="Times New Roman" w:hAnsi="Times New Roman" w:cs="Times New Roman"/>
          <w:sz w:val="28"/>
          <w:szCs w:val="28"/>
          <w:lang w:val="ru-MD"/>
        </w:rPr>
      </w:pPr>
      <w:r>
        <w:rPr>
          <w:rFonts w:ascii="Times New Roman" w:hAnsi="Times New Roman" w:cs="Times New Roman"/>
          <w:sz w:val="28"/>
          <w:szCs w:val="28"/>
          <w:lang w:val="ru-MD"/>
        </w:rPr>
        <w:t>э</w:t>
      </w:r>
      <w:r w:rsidR="0004304E" w:rsidRPr="00856FCB">
        <w:rPr>
          <w:rFonts w:ascii="Times New Roman" w:hAnsi="Times New Roman" w:cs="Times New Roman"/>
          <w:sz w:val="28"/>
          <w:szCs w:val="28"/>
          <w:lang w:val="ru-MD"/>
        </w:rPr>
        <w:t xml:space="preserve">кологические вызовы конца XX-го века привели к переориентации представлений относительно порядка, в котором „окружающая среда и </w:t>
      </w:r>
      <w:r w:rsidR="0004304E" w:rsidRPr="00856FCB">
        <w:rPr>
          <w:rFonts w:ascii="Times New Roman" w:hAnsi="Times New Roman" w:cs="Times New Roman"/>
          <w:sz w:val="28"/>
          <w:szCs w:val="28"/>
          <w:lang w:val="ru-MD"/>
        </w:rPr>
        <w:lastRenderedPageBreak/>
        <w:t>человеческое общество” влияют друг на друга, государства мира прилагают согласованные усилия для решения возникших новых проблем: глобализаци</w:t>
      </w:r>
      <w:r w:rsidR="00856FCB">
        <w:rPr>
          <w:rFonts w:ascii="Times New Roman" w:hAnsi="Times New Roman" w:cs="Times New Roman"/>
          <w:sz w:val="28"/>
          <w:szCs w:val="28"/>
          <w:lang w:val="ru-MD"/>
        </w:rPr>
        <w:t>я</w:t>
      </w:r>
      <w:r w:rsidR="0004304E" w:rsidRPr="00856FCB">
        <w:rPr>
          <w:rFonts w:ascii="Times New Roman" w:hAnsi="Times New Roman" w:cs="Times New Roman"/>
          <w:sz w:val="28"/>
          <w:szCs w:val="28"/>
          <w:lang w:val="ru-MD"/>
        </w:rPr>
        <w:t>, экономический и энергетический кризис, климатические изменения, потеря разнообразия биологических и экологических систем и ухудшение качества окружающей среды.</w:t>
      </w:r>
    </w:p>
    <w:p w:rsidR="0004304E" w:rsidRPr="00856FCB" w:rsidRDefault="0004304E" w:rsidP="0004304E">
      <w:pPr>
        <w:spacing w:after="0" w:line="276" w:lineRule="auto"/>
        <w:ind w:firstLine="567"/>
        <w:jc w:val="both"/>
        <w:rPr>
          <w:rFonts w:ascii="Times New Roman" w:hAnsi="Times New Roman" w:cs="Times New Roman"/>
          <w:sz w:val="28"/>
          <w:szCs w:val="28"/>
          <w:lang w:val="ru-MD"/>
        </w:rPr>
      </w:pPr>
      <w:r w:rsidRPr="00856FCB">
        <w:rPr>
          <w:rFonts w:ascii="Times New Roman" w:hAnsi="Times New Roman" w:cs="Times New Roman"/>
          <w:sz w:val="28"/>
          <w:szCs w:val="28"/>
          <w:lang w:val="ru-MD"/>
        </w:rPr>
        <w:t>В результате, улучшение качества жизни напрямую обусловило потребление и увеличение доли использования ресурсов, приведя к образованию значительного количества отходов, которые должны быть подвергнуты процедурам восстановления или утилизации путем хранения.</w:t>
      </w:r>
    </w:p>
    <w:p w:rsidR="0004304E" w:rsidRPr="00856FCB" w:rsidRDefault="0004304E" w:rsidP="0004304E">
      <w:pPr>
        <w:spacing w:after="0" w:line="276" w:lineRule="auto"/>
        <w:ind w:firstLine="567"/>
        <w:jc w:val="both"/>
        <w:rPr>
          <w:rFonts w:ascii="Times New Roman" w:hAnsi="Times New Roman" w:cs="Times New Roman"/>
          <w:sz w:val="28"/>
          <w:szCs w:val="28"/>
          <w:lang w:val="ru-MD"/>
        </w:rPr>
      </w:pPr>
      <w:r w:rsidRPr="00856FCB">
        <w:rPr>
          <w:rFonts w:ascii="Times New Roman" w:hAnsi="Times New Roman" w:cs="Times New Roman"/>
          <w:sz w:val="28"/>
          <w:szCs w:val="28"/>
          <w:lang w:val="ru-MD"/>
        </w:rPr>
        <w:t xml:space="preserve">Проверки аудита относительно надлежащего управления муниципальными отходами выявили следующие недостатки и несоответствия: </w:t>
      </w:r>
    </w:p>
    <w:p w:rsidR="0004304E"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по причине нереализации ответственными органами целей, установленных в документах национальной политики по управлению отходами, </w:t>
      </w:r>
      <w:r w:rsidR="006E7669" w:rsidRPr="006E7669">
        <w:rPr>
          <w:rFonts w:ascii="Times New Roman" w:hAnsi="Times New Roman" w:cs="Times New Roman"/>
          <w:color w:val="000000" w:themeColor="text1"/>
          <w:sz w:val="28"/>
          <w:szCs w:val="28"/>
          <w:lang w:val="ru-MD"/>
        </w:rPr>
        <w:t xml:space="preserve">а также необеспечения </w:t>
      </w:r>
      <w:r w:rsidRPr="006E7669">
        <w:rPr>
          <w:rFonts w:ascii="Times New Roman" w:hAnsi="Times New Roman" w:cs="Times New Roman"/>
          <w:color w:val="000000" w:themeColor="text1"/>
          <w:sz w:val="28"/>
          <w:szCs w:val="28"/>
          <w:lang w:val="ru-MD"/>
        </w:rPr>
        <w:t>соответствующ</w:t>
      </w:r>
      <w:r w:rsidR="006E7669" w:rsidRPr="006E7669">
        <w:rPr>
          <w:rFonts w:ascii="Times New Roman" w:hAnsi="Times New Roman" w:cs="Times New Roman"/>
          <w:color w:val="000000" w:themeColor="text1"/>
          <w:sz w:val="28"/>
          <w:szCs w:val="28"/>
          <w:lang w:val="ru-MD"/>
        </w:rPr>
        <w:t>ей</w:t>
      </w:r>
      <w:r w:rsidRPr="006E7669">
        <w:rPr>
          <w:rFonts w:ascii="Times New Roman" w:hAnsi="Times New Roman" w:cs="Times New Roman"/>
          <w:color w:val="000000" w:themeColor="text1"/>
          <w:sz w:val="28"/>
          <w:szCs w:val="28"/>
          <w:lang w:val="ru-MD"/>
        </w:rPr>
        <w:t xml:space="preserve"> нормативн</w:t>
      </w:r>
      <w:r w:rsidR="006E7669" w:rsidRPr="006E7669">
        <w:rPr>
          <w:rFonts w:ascii="Times New Roman" w:hAnsi="Times New Roman" w:cs="Times New Roman"/>
          <w:color w:val="000000" w:themeColor="text1"/>
          <w:sz w:val="28"/>
          <w:szCs w:val="28"/>
          <w:lang w:val="ru-MD"/>
        </w:rPr>
        <w:t>ой</w:t>
      </w:r>
      <w:r w:rsidRPr="006E7669">
        <w:rPr>
          <w:rFonts w:ascii="Times New Roman" w:hAnsi="Times New Roman" w:cs="Times New Roman"/>
          <w:color w:val="000000" w:themeColor="text1"/>
          <w:sz w:val="28"/>
          <w:szCs w:val="28"/>
          <w:lang w:val="ru-MD"/>
        </w:rPr>
        <w:t xml:space="preserve"> баз</w:t>
      </w:r>
      <w:r w:rsidR="006E7669" w:rsidRPr="006E7669">
        <w:rPr>
          <w:rFonts w:ascii="Times New Roman" w:hAnsi="Times New Roman" w:cs="Times New Roman"/>
          <w:color w:val="000000" w:themeColor="text1"/>
          <w:sz w:val="28"/>
          <w:szCs w:val="28"/>
          <w:lang w:val="ru-MD"/>
        </w:rPr>
        <w:t>ой</w:t>
      </w:r>
      <w:r w:rsidRPr="006E7669">
        <w:rPr>
          <w:rFonts w:ascii="Times New Roman" w:hAnsi="Times New Roman" w:cs="Times New Roman"/>
          <w:color w:val="000000" w:themeColor="text1"/>
          <w:sz w:val="28"/>
          <w:szCs w:val="28"/>
          <w:lang w:val="ru-MD"/>
        </w:rPr>
        <w:t xml:space="preserve"> исчерпывающе</w:t>
      </w:r>
      <w:r w:rsidR="006E7669" w:rsidRPr="006E7669">
        <w:rPr>
          <w:rFonts w:ascii="Times New Roman" w:hAnsi="Times New Roman" w:cs="Times New Roman"/>
          <w:color w:val="000000" w:themeColor="text1"/>
          <w:sz w:val="28"/>
          <w:szCs w:val="28"/>
          <w:lang w:val="ru-MD"/>
        </w:rPr>
        <w:t>го</w:t>
      </w:r>
      <w:r w:rsidRPr="006E7669">
        <w:rPr>
          <w:rFonts w:ascii="Times New Roman" w:hAnsi="Times New Roman" w:cs="Times New Roman"/>
          <w:color w:val="000000" w:themeColor="text1"/>
          <w:sz w:val="28"/>
          <w:szCs w:val="28"/>
          <w:lang w:val="ru-MD"/>
        </w:rPr>
        <w:t xml:space="preserve"> регламентировани</w:t>
      </w:r>
      <w:r w:rsidR="006E7669" w:rsidRPr="006E7669">
        <w:rPr>
          <w:rFonts w:ascii="Times New Roman" w:hAnsi="Times New Roman" w:cs="Times New Roman"/>
          <w:color w:val="000000" w:themeColor="text1"/>
          <w:sz w:val="28"/>
          <w:szCs w:val="28"/>
          <w:lang w:val="ru-MD"/>
        </w:rPr>
        <w:t>я</w:t>
      </w:r>
      <w:r w:rsidRPr="006E7669">
        <w:rPr>
          <w:rFonts w:ascii="Times New Roman" w:hAnsi="Times New Roman" w:cs="Times New Roman"/>
          <w:color w:val="000000" w:themeColor="text1"/>
          <w:sz w:val="28"/>
          <w:szCs w:val="28"/>
          <w:lang w:val="ru-MD"/>
        </w:rPr>
        <w:t xml:space="preserve"> области, необходимы</w:t>
      </w:r>
      <w:r w:rsidRPr="00856FCB">
        <w:rPr>
          <w:rFonts w:ascii="Times New Roman" w:hAnsi="Times New Roman" w:cs="Times New Roman"/>
          <w:color w:val="000000" w:themeColor="text1"/>
          <w:sz w:val="28"/>
          <w:szCs w:val="28"/>
          <w:lang w:val="ru-MD"/>
        </w:rPr>
        <w:t xml:space="preserve"> дополнительные и последовательные усилия для пересмотра и приведения ее в соответствие с директивами и требованиями ЕС;</w:t>
      </w:r>
    </w:p>
    <w:p w:rsidR="0004304E"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невозможна оценка достижений, зарегистрированных в области управления отходами, </w:t>
      </w:r>
      <w:r w:rsidRPr="006E7669">
        <w:rPr>
          <w:rFonts w:ascii="Times New Roman" w:hAnsi="Times New Roman" w:cs="Times New Roman"/>
          <w:color w:val="000000" w:themeColor="text1"/>
          <w:sz w:val="28"/>
          <w:szCs w:val="28"/>
          <w:lang w:val="ru-MD"/>
        </w:rPr>
        <w:t>а также</w:t>
      </w:r>
      <w:r w:rsidRPr="00856FCB">
        <w:rPr>
          <w:rFonts w:ascii="Times New Roman" w:hAnsi="Times New Roman" w:cs="Times New Roman"/>
          <w:color w:val="000000" w:themeColor="text1"/>
          <w:sz w:val="28"/>
          <w:szCs w:val="28"/>
          <w:lang w:val="ru-MD"/>
        </w:rPr>
        <w:t xml:space="preserve"> составление отчетности по выполнению целей устойчивого развития, учитывая неполную базу качественных и количественных показателей, связанных с управлением отходами, </w:t>
      </w:r>
      <w:r w:rsidR="006E7669">
        <w:rPr>
          <w:rFonts w:ascii="Times New Roman" w:hAnsi="Times New Roman" w:cs="Times New Roman"/>
          <w:color w:val="000000" w:themeColor="text1"/>
          <w:sz w:val="28"/>
          <w:szCs w:val="28"/>
          <w:lang w:val="ru-MD"/>
        </w:rPr>
        <w:t xml:space="preserve">в том </w:t>
      </w:r>
      <w:r w:rsidR="006E7669" w:rsidRPr="006E7669">
        <w:rPr>
          <w:rFonts w:ascii="Times New Roman" w:hAnsi="Times New Roman" w:cs="Times New Roman"/>
          <w:color w:val="000000" w:themeColor="text1"/>
          <w:sz w:val="28"/>
          <w:szCs w:val="28"/>
          <w:lang w:val="ru-MD"/>
        </w:rPr>
        <w:t>числе</w:t>
      </w:r>
      <w:r w:rsidR="006E7669">
        <w:rPr>
          <w:rFonts w:ascii="Times New Roman" w:hAnsi="Times New Roman" w:cs="Times New Roman"/>
          <w:color w:val="000000" w:themeColor="text1"/>
          <w:sz w:val="28"/>
          <w:szCs w:val="28"/>
          <w:lang w:val="ru-MD"/>
        </w:rPr>
        <w:t xml:space="preserve"> </w:t>
      </w:r>
      <w:r w:rsidRPr="00856FCB">
        <w:rPr>
          <w:rFonts w:ascii="Times New Roman" w:hAnsi="Times New Roman" w:cs="Times New Roman"/>
          <w:color w:val="000000" w:themeColor="text1"/>
          <w:sz w:val="28"/>
          <w:szCs w:val="28"/>
          <w:lang w:val="ru-MD"/>
        </w:rPr>
        <w:t>несогласованность национальных инструментов и механизмов по отчетности;</w:t>
      </w:r>
    </w:p>
    <w:p w:rsidR="006E7669" w:rsidRPr="006E7669" w:rsidRDefault="0004304E" w:rsidP="006E7669">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недостаток и снижение институциональных возможностей определили затягивание внедрения проекта „Управление твердыми отходами”, до настоящего времени не был создан ни один региональный полигон, хотя еще в 2014-2015 годах, при поддержке партнеров по развитию</w:t>
      </w:r>
      <w:r w:rsidRPr="00856FCB">
        <w:rPr>
          <w:vertAlign w:val="superscript"/>
          <w:lang w:val="ru-MD"/>
        </w:rPr>
        <w:footnoteReference w:id="4"/>
      </w:r>
      <w:r w:rsidRPr="00856FCB">
        <w:rPr>
          <w:rFonts w:ascii="Times New Roman" w:hAnsi="Times New Roman" w:cs="Times New Roman"/>
          <w:color w:val="000000" w:themeColor="text1"/>
          <w:sz w:val="28"/>
          <w:szCs w:val="28"/>
          <w:lang w:val="ru-MD"/>
        </w:rPr>
        <w:t xml:space="preserve"> были реализованы технико-экономические обоснования для развития зон регионального складирования, которые являются частью интегрированной системы управления отходами; </w:t>
      </w:r>
    </w:p>
    <w:p w:rsidR="0004304E" w:rsidRPr="00856FCB"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большинство </w:t>
      </w:r>
      <w:r w:rsidR="006E7669" w:rsidRPr="00856FCB">
        <w:rPr>
          <w:rFonts w:ascii="Times New Roman" w:hAnsi="Times New Roman" w:cs="Times New Roman"/>
          <w:color w:val="000000" w:themeColor="text1"/>
          <w:sz w:val="28"/>
          <w:szCs w:val="28"/>
          <w:lang w:val="ru-MD"/>
        </w:rPr>
        <w:t>полигон</w:t>
      </w:r>
      <w:r w:rsidR="006E7669">
        <w:rPr>
          <w:rFonts w:ascii="Times New Roman" w:hAnsi="Times New Roman" w:cs="Times New Roman"/>
          <w:color w:val="000000" w:themeColor="text1"/>
          <w:sz w:val="28"/>
          <w:szCs w:val="28"/>
          <w:lang w:val="ru-MD"/>
        </w:rPr>
        <w:t>ов с отходами</w:t>
      </w:r>
      <w:r w:rsidR="006E7669" w:rsidRPr="00856FCB">
        <w:rPr>
          <w:rFonts w:ascii="Times New Roman" w:hAnsi="Times New Roman" w:cs="Times New Roman"/>
          <w:color w:val="000000" w:themeColor="text1"/>
          <w:sz w:val="28"/>
          <w:szCs w:val="28"/>
          <w:lang w:val="ru-MD"/>
        </w:rPr>
        <w:t xml:space="preserve"> </w:t>
      </w:r>
      <w:r w:rsidRPr="00856FCB">
        <w:rPr>
          <w:rFonts w:ascii="Times New Roman" w:hAnsi="Times New Roman" w:cs="Times New Roman"/>
          <w:color w:val="000000" w:themeColor="text1"/>
          <w:sz w:val="28"/>
          <w:szCs w:val="28"/>
          <w:lang w:val="ru-MD"/>
        </w:rPr>
        <w:t>организованы и функционируют неавторизовано и ненадлежащим образом вследствие отсутствия в период 2016-2022 Положения о хранении отходов, применения комплексных процедур по авторизации деятельности по организации полигонов с отходами, отсутствия последовательных и достаточных финансовых ресурсов, неприсуждени</w:t>
      </w:r>
      <w:r w:rsidR="006E7669">
        <w:rPr>
          <w:rFonts w:ascii="Times New Roman" w:hAnsi="Times New Roman" w:cs="Times New Roman"/>
          <w:color w:val="000000" w:themeColor="text1"/>
          <w:sz w:val="28"/>
          <w:szCs w:val="28"/>
          <w:lang w:val="ru-MD"/>
        </w:rPr>
        <w:t>я</w:t>
      </w:r>
      <w:r w:rsidRPr="00856FCB">
        <w:rPr>
          <w:rFonts w:ascii="Times New Roman" w:hAnsi="Times New Roman" w:cs="Times New Roman"/>
          <w:color w:val="000000" w:themeColor="text1"/>
          <w:sz w:val="28"/>
          <w:szCs w:val="28"/>
          <w:lang w:val="ru-MD"/>
        </w:rPr>
        <w:t>, нерегистраци</w:t>
      </w:r>
      <w:r w:rsidR="006E7669">
        <w:rPr>
          <w:rFonts w:ascii="Times New Roman" w:hAnsi="Times New Roman" w:cs="Times New Roman"/>
          <w:color w:val="000000" w:themeColor="text1"/>
          <w:sz w:val="28"/>
          <w:szCs w:val="28"/>
          <w:lang w:val="ru-MD"/>
        </w:rPr>
        <w:t>и</w:t>
      </w:r>
      <w:r w:rsidRPr="00856FCB">
        <w:rPr>
          <w:rFonts w:ascii="Times New Roman" w:hAnsi="Times New Roman" w:cs="Times New Roman"/>
          <w:color w:val="000000" w:themeColor="text1"/>
          <w:sz w:val="28"/>
          <w:szCs w:val="28"/>
          <w:lang w:val="ru-MD"/>
        </w:rPr>
        <w:t xml:space="preserve"> и неустановлени</w:t>
      </w:r>
      <w:r w:rsidR="006E7669">
        <w:rPr>
          <w:rFonts w:ascii="Times New Roman" w:hAnsi="Times New Roman" w:cs="Times New Roman"/>
          <w:color w:val="000000" w:themeColor="text1"/>
          <w:sz w:val="28"/>
          <w:szCs w:val="28"/>
          <w:lang w:val="ru-MD"/>
        </w:rPr>
        <w:t>я</w:t>
      </w:r>
      <w:r w:rsidRPr="00856FCB">
        <w:rPr>
          <w:rFonts w:ascii="Times New Roman" w:hAnsi="Times New Roman" w:cs="Times New Roman"/>
          <w:color w:val="000000" w:themeColor="text1"/>
          <w:sz w:val="28"/>
          <w:szCs w:val="28"/>
          <w:lang w:val="ru-MD"/>
        </w:rPr>
        <w:t xml:space="preserve"> соответствующим образом границ земельных участков или размещение их в водоохранных зонах или на расстоянии менее 500 м от жилого сектора;</w:t>
      </w:r>
    </w:p>
    <w:p w:rsidR="0004304E"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различное оборудование и функционирование авторизованных полигонов с отходами </w:t>
      </w:r>
      <w:r w:rsidR="006E7669">
        <w:rPr>
          <w:rFonts w:ascii="Times New Roman" w:hAnsi="Times New Roman" w:cs="Times New Roman"/>
          <w:color w:val="000000" w:themeColor="text1"/>
          <w:sz w:val="28"/>
          <w:szCs w:val="28"/>
          <w:lang w:val="ru-MD"/>
        </w:rPr>
        <w:t xml:space="preserve">по причине </w:t>
      </w:r>
      <w:r w:rsidRPr="00856FCB">
        <w:rPr>
          <w:rFonts w:ascii="Times New Roman" w:hAnsi="Times New Roman" w:cs="Times New Roman"/>
          <w:color w:val="000000" w:themeColor="text1"/>
          <w:sz w:val="28"/>
          <w:szCs w:val="28"/>
          <w:lang w:val="ru-MD"/>
        </w:rPr>
        <w:t xml:space="preserve">применения руководящими лицами </w:t>
      </w:r>
      <w:r w:rsidR="006E7669" w:rsidRPr="00856FCB">
        <w:rPr>
          <w:rFonts w:ascii="Times New Roman" w:hAnsi="Times New Roman" w:cs="Times New Roman"/>
          <w:color w:val="000000" w:themeColor="text1"/>
          <w:sz w:val="28"/>
          <w:szCs w:val="28"/>
          <w:lang w:val="ru-MD"/>
        </w:rPr>
        <w:t>не</w:t>
      </w:r>
      <w:r w:rsidRPr="00856FCB">
        <w:rPr>
          <w:rFonts w:ascii="Times New Roman" w:hAnsi="Times New Roman" w:cs="Times New Roman"/>
          <w:color w:val="000000" w:themeColor="text1"/>
          <w:sz w:val="28"/>
          <w:szCs w:val="28"/>
          <w:lang w:val="ru-MD"/>
        </w:rPr>
        <w:t xml:space="preserve">одинаковых подходов в процессах анализа дел и выдачи природоохранных разрешений по управлению отходами, а также нефункционирование Лаборатории по отходам обусловили </w:t>
      </w:r>
      <w:r w:rsidR="006E7669">
        <w:rPr>
          <w:rFonts w:ascii="Times New Roman" w:hAnsi="Times New Roman" w:cs="Times New Roman"/>
          <w:color w:val="000000" w:themeColor="text1"/>
          <w:sz w:val="28"/>
          <w:szCs w:val="28"/>
          <w:lang w:val="ru-MD"/>
        </w:rPr>
        <w:t xml:space="preserve">несоответствие </w:t>
      </w:r>
      <w:r w:rsidRPr="006E7669">
        <w:rPr>
          <w:rFonts w:ascii="Times New Roman" w:hAnsi="Times New Roman" w:cs="Times New Roman"/>
          <w:color w:val="000000" w:themeColor="text1"/>
          <w:sz w:val="28"/>
          <w:szCs w:val="28"/>
          <w:lang w:val="ru-MD"/>
        </w:rPr>
        <w:t>свал</w:t>
      </w:r>
      <w:r w:rsidR="006E7669" w:rsidRPr="006E7669">
        <w:rPr>
          <w:rFonts w:ascii="Times New Roman" w:hAnsi="Times New Roman" w:cs="Times New Roman"/>
          <w:color w:val="000000" w:themeColor="text1"/>
          <w:sz w:val="28"/>
          <w:szCs w:val="28"/>
          <w:lang w:val="ru-MD"/>
        </w:rPr>
        <w:t>о</w:t>
      </w:r>
      <w:r w:rsidRPr="006E7669">
        <w:rPr>
          <w:rFonts w:ascii="Times New Roman" w:hAnsi="Times New Roman" w:cs="Times New Roman"/>
          <w:color w:val="000000" w:themeColor="text1"/>
          <w:sz w:val="28"/>
          <w:szCs w:val="28"/>
          <w:lang w:val="ru-MD"/>
        </w:rPr>
        <w:t>к всем требованиям по защите окружающей среды,</w:t>
      </w:r>
      <w:r w:rsidRPr="00856FCB">
        <w:rPr>
          <w:rFonts w:ascii="Times New Roman" w:hAnsi="Times New Roman" w:cs="Times New Roman"/>
          <w:color w:val="000000" w:themeColor="text1"/>
          <w:sz w:val="28"/>
          <w:szCs w:val="28"/>
          <w:lang w:val="ru-MD"/>
        </w:rPr>
        <w:t xml:space="preserve"> значительный риск загрязнения почвы, воздуха и воды;</w:t>
      </w:r>
    </w:p>
    <w:p w:rsidR="0004304E"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не все местные публичные органы обеспечили соответствующее регламентирование процесса управления отходами и организовали </w:t>
      </w:r>
      <w:r w:rsidR="006E7669" w:rsidRPr="00856FCB">
        <w:rPr>
          <w:rFonts w:ascii="Times New Roman" w:hAnsi="Times New Roman" w:cs="Times New Roman"/>
          <w:color w:val="000000" w:themeColor="text1"/>
          <w:sz w:val="28"/>
          <w:szCs w:val="28"/>
          <w:lang w:val="ru-MD"/>
        </w:rPr>
        <w:t xml:space="preserve">выборочный </w:t>
      </w:r>
      <w:r w:rsidR="006E7669">
        <w:rPr>
          <w:rFonts w:ascii="Times New Roman" w:hAnsi="Times New Roman" w:cs="Times New Roman"/>
          <w:color w:val="000000" w:themeColor="text1"/>
          <w:sz w:val="28"/>
          <w:szCs w:val="28"/>
          <w:lang w:val="ru-MD"/>
        </w:rPr>
        <w:t xml:space="preserve">и </w:t>
      </w:r>
      <w:r w:rsidRPr="00856FCB">
        <w:rPr>
          <w:rFonts w:ascii="Times New Roman" w:hAnsi="Times New Roman" w:cs="Times New Roman"/>
          <w:color w:val="000000" w:themeColor="text1"/>
          <w:sz w:val="28"/>
          <w:szCs w:val="28"/>
          <w:lang w:val="ru-MD"/>
        </w:rPr>
        <w:t>поэтапный</w:t>
      </w:r>
      <w:r w:rsidR="006E7669">
        <w:rPr>
          <w:rFonts w:ascii="Times New Roman" w:hAnsi="Times New Roman" w:cs="Times New Roman"/>
          <w:color w:val="000000" w:themeColor="text1"/>
          <w:sz w:val="28"/>
          <w:szCs w:val="28"/>
          <w:lang w:val="ru-MD"/>
        </w:rPr>
        <w:t xml:space="preserve"> </w:t>
      </w:r>
      <w:r w:rsidRPr="00856FCB">
        <w:rPr>
          <w:rFonts w:ascii="Times New Roman" w:hAnsi="Times New Roman" w:cs="Times New Roman"/>
          <w:color w:val="000000" w:themeColor="text1"/>
          <w:sz w:val="28"/>
          <w:szCs w:val="28"/>
          <w:lang w:val="ru-MD"/>
        </w:rPr>
        <w:t>сбор перерабатываемых отходов</w:t>
      </w:r>
      <w:r w:rsidR="006E7669">
        <w:rPr>
          <w:rFonts w:ascii="Times New Roman" w:hAnsi="Times New Roman" w:cs="Times New Roman"/>
          <w:color w:val="000000" w:themeColor="text1"/>
          <w:sz w:val="28"/>
          <w:szCs w:val="28"/>
          <w:lang w:val="ru-MD"/>
        </w:rPr>
        <w:t xml:space="preserve"> согласно договорам </w:t>
      </w:r>
      <w:r w:rsidRPr="00856FCB">
        <w:rPr>
          <w:rFonts w:ascii="Times New Roman" w:hAnsi="Times New Roman" w:cs="Times New Roman"/>
          <w:color w:val="000000" w:themeColor="text1"/>
          <w:sz w:val="28"/>
          <w:szCs w:val="28"/>
          <w:lang w:val="ru-MD"/>
        </w:rPr>
        <w:t>с авторизованными переработчиками. Так, на территориях предприятий по санитарной уборке формируются запасы отходов, которые возможно переработать. Вместе с тем, количество общих отходов, собранных и переработанных в стране, неизвестно, так как не все ответственные стороны обеспечивают отражение соответствующей информации в Автоматизированной информационной системе „Управление отходами”;</w:t>
      </w:r>
    </w:p>
    <w:p w:rsidR="0004304E"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невзятие обязательств по утилизации отходов продукции, размещенной на рынке соответствующими экономическими агентами, хотя первичная и вторичная нормативная база относительно расширенной ответственности производителя была утверждена, а механизмы по функционированию были внедрены;</w:t>
      </w:r>
    </w:p>
    <w:p w:rsidR="006E7669" w:rsidRPr="006E7669" w:rsidRDefault="0004304E" w:rsidP="006E7669">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несмотря на то, что в период 2016-2022 количество бенефициаров услуг по санитарной уборке постоянно росло, они не опла</w:t>
      </w:r>
      <w:r w:rsidR="00856FCB">
        <w:rPr>
          <w:rFonts w:ascii="Times New Roman" w:hAnsi="Times New Roman" w:cs="Times New Roman"/>
          <w:color w:val="000000" w:themeColor="text1"/>
          <w:sz w:val="28"/>
          <w:szCs w:val="28"/>
          <w:lang w:val="ru-MD"/>
        </w:rPr>
        <w:t>чивал</w:t>
      </w:r>
      <w:r w:rsidRPr="00856FCB">
        <w:rPr>
          <w:rFonts w:ascii="Times New Roman" w:hAnsi="Times New Roman" w:cs="Times New Roman"/>
          <w:color w:val="000000" w:themeColor="text1"/>
          <w:sz w:val="28"/>
          <w:szCs w:val="28"/>
          <w:lang w:val="ru-MD"/>
        </w:rPr>
        <w:t>и</w:t>
      </w:r>
      <w:r w:rsidR="006E7669">
        <w:rPr>
          <w:rFonts w:ascii="Times New Roman" w:hAnsi="Times New Roman" w:cs="Times New Roman"/>
          <w:color w:val="000000" w:themeColor="text1"/>
          <w:sz w:val="28"/>
          <w:szCs w:val="28"/>
          <w:lang w:val="ru-MD"/>
        </w:rPr>
        <w:t xml:space="preserve"> соответствующие </w:t>
      </w:r>
      <w:r w:rsidRPr="00856FCB">
        <w:rPr>
          <w:rFonts w:ascii="Times New Roman" w:hAnsi="Times New Roman" w:cs="Times New Roman"/>
          <w:color w:val="000000" w:themeColor="text1"/>
          <w:sz w:val="28"/>
          <w:szCs w:val="28"/>
          <w:lang w:val="ru-MD"/>
        </w:rPr>
        <w:t xml:space="preserve">сборы, что обусловило увеличение задолженности за </w:t>
      </w:r>
      <w:r w:rsidR="006E7669">
        <w:rPr>
          <w:rFonts w:ascii="Times New Roman" w:hAnsi="Times New Roman" w:cs="Times New Roman"/>
          <w:color w:val="000000" w:themeColor="text1"/>
          <w:sz w:val="28"/>
          <w:szCs w:val="28"/>
          <w:lang w:val="ru-MD"/>
        </w:rPr>
        <w:t>предоставле</w:t>
      </w:r>
      <w:r w:rsidRPr="00856FCB">
        <w:rPr>
          <w:rFonts w:ascii="Times New Roman" w:hAnsi="Times New Roman" w:cs="Times New Roman"/>
          <w:color w:val="000000" w:themeColor="text1"/>
          <w:sz w:val="28"/>
          <w:szCs w:val="28"/>
          <w:lang w:val="ru-MD"/>
        </w:rPr>
        <w:t xml:space="preserve">нные услуги и снижение возможности оплаты большинства предприятий, предоставляющих </w:t>
      </w:r>
      <w:r w:rsidR="00856FCB">
        <w:rPr>
          <w:rFonts w:ascii="Times New Roman" w:hAnsi="Times New Roman" w:cs="Times New Roman"/>
          <w:color w:val="000000" w:themeColor="text1"/>
          <w:sz w:val="28"/>
          <w:szCs w:val="28"/>
          <w:lang w:val="ru-MD"/>
        </w:rPr>
        <w:t xml:space="preserve">эти </w:t>
      </w:r>
      <w:r w:rsidRPr="00856FCB">
        <w:rPr>
          <w:rFonts w:ascii="Times New Roman" w:hAnsi="Times New Roman" w:cs="Times New Roman"/>
          <w:color w:val="000000" w:themeColor="text1"/>
          <w:sz w:val="28"/>
          <w:szCs w:val="28"/>
          <w:lang w:val="ru-MD"/>
        </w:rPr>
        <w:t xml:space="preserve">услуги. Вместе с тем, отмечается, что тарифы на услуги по сбору, перевозке и эвакуации отходов в течение 2016-2022 годов были утверждены местными публичными органами, </w:t>
      </w:r>
      <w:r w:rsidR="006E7669">
        <w:rPr>
          <w:rFonts w:ascii="Times New Roman" w:hAnsi="Times New Roman" w:cs="Times New Roman"/>
          <w:color w:val="000000" w:themeColor="text1"/>
          <w:sz w:val="28"/>
          <w:szCs w:val="28"/>
          <w:lang w:val="ru-MD"/>
        </w:rPr>
        <w:t xml:space="preserve">однако </w:t>
      </w:r>
      <w:r w:rsidR="006E7669" w:rsidRPr="006E7669">
        <w:rPr>
          <w:rFonts w:ascii="Times New Roman" w:hAnsi="Times New Roman" w:cs="Times New Roman"/>
          <w:color w:val="000000" w:themeColor="text1"/>
          <w:sz w:val="28"/>
          <w:szCs w:val="28"/>
          <w:lang w:val="ru-MD"/>
        </w:rPr>
        <w:t xml:space="preserve">они </w:t>
      </w:r>
      <w:r w:rsidRPr="006E7669">
        <w:rPr>
          <w:rFonts w:ascii="Times New Roman" w:hAnsi="Times New Roman" w:cs="Times New Roman"/>
          <w:color w:val="000000" w:themeColor="text1"/>
          <w:sz w:val="28"/>
          <w:szCs w:val="28"/>
          <w:lang w:val="ru-MD"/>
        </w:rPr>
        <w:t>не име</w:t>
      </w:r>
      <w:r w:rsidR="006E7669" w:rsidRPr="006E7669">
        <w:rPr>
          <w:rFonts w:ascii="Times New Roman" w:hAnsi="Times New Roman" w:cs="Times New Roman"/>
          <w:color w:val="000000" w:themeColor="text1"/>
          <w:sz w:val="28"/>
          <w:szCs w:val="28"/>
          <w:lang w:val="ru-MD"/>
        </w:rPr>
        <w:t>ли</w:t>
      </w:r>
      <w:r w:rsidRPr="00856FCB">
        <w:rPr>
          <w:rFonts w:ascii="Times New Roman" w:hAnsi="Times New Roman" w:cs="Times New Roman"/>
          <w:color w:val="000000" w:themeColor="text1"/>
          <w:sz w:val="28"/>
          <w:szCs w:val="28"/>
          <w:lang w:val="ru-MD"/>
        </w:rPr>
        <w:t xml:space="preserve"> одинаков</w:t>
      </w:r>
      <w:r w:rsidR="006E7669">
        <w:rPr>
          <w:rFonts w:ascii="Times New Roman" w:hAnsi="Times New Roman" w:cs="Times New Roman"/>
          <w:color w:val="000000" w:themeColor="text1"/>
          <w:sz w:val="28"/>
          <w:szCs w:val="28"/>
          <w:lang w:val="ru-MD"/>
        </w:rPr>
        <w:t>ого</w:t>
      </w:r>
      <w:r w:rsidRPr="00856FCB">
        <w:rPr>
          <w:rFonts w:ascii="Times New Roman" w:hAnsi="Times New Roman" w:cs="Times New Roman"/>
          <w:color w:val="000000" w:themeColor="text1"/>
          <w:sz w:val="28"/>
          <w:szCs w:val="28"/>
          <w:lang w:val="ru-MD"/>
        </w:rPr>
        <w:t xml:space="preserve"> характер</w:t>
      </w:r>
      <w:r w:rsidR="006E7669">
        <w:rPr>
          <w:rFonts w:ascii="Times New Roman" w:hAnsi="Times New Roman" w:cs="Times New Roman"/>
          <w:color w:val="000000" w:themeColor="text1"/>
          <w:sz w:val="28"/>
          <w:szCs w:val="28"/>
          <w:lang w:val="ru-MD"/>
        </w:rPr>
        <w:t>а</w:t>
      </w:r>
      <w:r w:rsidRPr="00856FCB">
        <w:rPr>
          <w:rFonts w:ascii="Times New Roman" w:hAnsi="Times New Roman" w:cs="Times New Roman"/>
          <w:color w:val="000000" w:themeColor="text1"/>
          <w:sz w:val="28"/>
          <w:szCs w:val="28"/>
          <w:lang w:val="ru-MD"/>
        </w:rPr>
        <w:t xml:space="preserve"> регламентирования и исчисления вследствие отсутствия методологии, утвержденной Правительством;</w:t>
      </w:r>
    </w:p>
    <w:p w:rsidR="006E7669" w:rsidRDefault="0004304E" w:rsidP="0004304E">
      <w:pPr>
        <w:pStyle w:val="a9"/>
        <w:numPr>
          <w:ilvl w:val="0"/>
          <w:numId w:val="1"/>
        </w:numPr>
        <w:spacing w:line="276" w:lineRule="auto"/>
        <w:ind w:left="0" w:firstLine="709"/>
        <w:jc w:val="both"/>
        <w:rPr>
          <w:rFonts w:ascii="Times New Roman" w:hAnsi="Times New Roman" w:cs="Times New Roman"/>
          <w:color w:val="000000" w:themeColor="text1"/>
          <w:sz w:val="28"/>
          <w:szCs w:val="28"/>
          <w:lang w:val="ru-MD"/>
        </w:rPr>
      </w:pPr>
      <w:r w:rsidRPr="00856FCB">
        <w:rPr>
          <w:rFonts w:ascii="Times New Roman" w:hAnsi="Times New Roman" w:cs="Times New Roman"/>
          <w:color w:val="000000" w:themeColor="text1"/>
          <w:sz w:val="28"/>
          <w:szCs w:val="28"/>
          <w:lang w:val="ru-MD"/>
        </w:rPr>
        <w:t xml:space="preserve">несоздание системы показателей, связанных с управлением отходами, соотнесенных с показателями </w:t>
      </w:r>
      <w:r w:rsidR="00856FCB">
        <w:rPr>
          <w:rFonts w:ascii="Times New Roman" w:hAnsi="Times New Roman" w:cs="Times New Roman"/>
          <w:color w:val="000000" w:themeColor="text1"/>
          <w:sz w:val="28"/>
          <w:szCs w:val="28"/>
          <w:lang w:val="ru-MD"/>
        </w:rPr>
        <w:t>ц</w:t>
      </w:r>
      <w:r w:rsidRPr="00856FCB">
        <w:rPr>
          <w:rFonts w:ascii="Times New Roman" w:hAnsi="Times New Roman" w:cs="Times New Roman"/>
          <w:color w:val="000000" w:themeColor="text1"/>
          <w:sz w:val="28"/>
          <w:szCs w:val="28"/>
          <w:lang w:val="ru-MD"/>
        </w:rPr>
        <w:t xml:space="preserve">елей устойчивого развития, которые позволяют обобщать их в Автоматизированной информационной системе „Управление отходами”, осуществлять их мониторинг, а также отражать достигнутые в области достижения по причине непостоянного развития и отсутствия цифровизации процесса учета и отчетности данных, связанных с управлением отходами. </w:t>
      </w:r>
    </w:p>
    <w:p w:rsidR="0004304E" w:rsidRPr="00856FCB" w:rsidRDefault="0004304E" w:rsidP="0004304E">
      <w:pPr>
        <w:spacing w:after="0" w:line="276" w:lineRule="auto"/>
        <w:ind w:firstLine="567"/>
        <w:jc w:val="both"/>
        <w:rPr>
          <w:rFonts w:asciiTheme="majorBidi" w:eastAsia="Calibri" w:hAnsiTheme="majorBidi" w:cstheme="majorBidi"/>
          <w:sz w:val="28"/>
          <w:szCs w:val="28"/>
          <w:lang w:val="ru-MD"/>
        </w:rPr>
      </w:pPr>
      <w:r w:rsidRPr="00856FCB">
        <w:rPr>
          <w:rFonts w:asciiTheme="majorBidi" w:eastAsia="Calibri" w:hAnsiTheme="majorBidi" w:cstheme="majorBidi"/>
          <w:sz w:val="28"/>
          <w:szCs w:val="28"/>
          <w:lang w:val="ru-MD"/>
        </w:rPr>
        <w:t xml:space="preserve">Исходя из установленного, на основании ст.14 (2) и ст.15 d) Закона №260 от 07.12.2017, Счетная палата </w:t>
      </w:r>
    </w:p>
    <w:p w:rsidR="0004304E" w:rsidRPr="00856FCB" w:rsidRDefault="0004304E" w:rsidP="0004304E">
      <w:pPr>
        <w:spacing w:after="0" w:line="276" w:lineRule="auto"/>
        <w:jc w:val="center"/>
        <w:rPr>
          <w:rFonts w:asciiTheme="majorBidi" w:eastAsia="Calibri" w:hAnsiTheme="majorBidi" w:cstheme="majorBidi"/>
          <w:b/>
          <w:sz w:val="28"/>
          <w:szCs w:val="28"/>
          <w:lang w:val="ru-MD"/>
        </w:rPr>
      </w:pPr>
      <w:r w:rsidRPr="00856FCB">
        <w:rPr>
          <w:rFonts w:asciiTheme="majorBidi" w:eastAsia="Calibri" w:hAnsiTheme="majorBidi" w:cstheme="majorBidi"/>
          <w:b/>
          <w:sz w:val="28"/>
          <w:szCs w:val="28"/>
          <w:lang w:val="ru-MD"/>
        </w:rPr>
        <w:t>ПОСТАНОВЛЯЕТ:</w:t>
      </w:r>
    </w:p>
    <w:p w:rsidR="0004304E" w:rsidRPr="00856FCB" w:rsidRDefault="0004304E" w:rsidP="0004304E">
      <w:pPr>
        <w:pStyle w:val="a9"/>
        <w:numPr>
          <w:ilvl w:val="0"/>
          <w:numId w:val="2"/>
        </w:numPr>
        <w:tabs>
          <w:tab w:val="left" w:pos="851"/>
        </w:tabs>
        <w:spacing w:after="0" w:line="276" w:lineRule="auto"/>
        <w:ind w:left="0" w:firstLine="567"/>
        <w:jc w:val="both"/>
        <w:rPr>
          <w:rFonts w:asciiTheme="majorBidi" w:eastAsia="Times New Roman" w:hAnsiTheme="majorBidi" w:cstheme="majorBidi"/>
          <w:sz w:val="28"/>
          <w:szCs w:val="28"/>
          <w:lang w:val="ru-MD"/>
        </w:rPr>
      </w:pPr>
      <w:r w:rsidRPr="00856FCB">
        <w:rPr>
          <w:rFonts w:asciiTheme="majorBidi" w:eastAsia="Times New Roman" w:hAnsiTheme="majorBidi" w:cstheme="majorBidi"/>
          <w:sz w:val="28"/>
          <w:szCs w:val="28"/>
          <w:lang w:val="ru-MD"/>
        </w:rPr>
        <w:t xml:space="preserve">Утвердить </w:t>
      </w:r>
      <w:r w:rsidRPr="00856FCB">
        <w:rPr>
          <w:rFonts w:asciiTheme="majorBidi" w:eastAsia="Calibri" w:hAnsiTheme="majorBidi" w:cstheme="majorBidi"/>
          <w:sz w:val="28"/>
          <w:szCs w:val="28"/>
          <w:lang w:val="ru-MD"/>
        </w:rPr>
        <w:t xml:space="preserve">Отчет аудита соответствия </w:t>
      </w:r>
      <w:r w:rsidRPr="00856FCB">
        <w:rPr>
          <w:rFonts w:asciiTheme="majorBidi" w:eastAsia="Times New Roman" w:hAnsiTheme="majorBidi" w:cstheme="majorBidi"/>
          <w:bCs/>
          <w:sz w:val="28"/>
          <w:szCs w:val="28"/>
          <w:lang w:val="ru-MD"/>
        </w:rPr>
        <w:t>управления отходами, за исключением опасных отходов, приложенный к настоящему Постановлению.</w:t>
      </w:r>
    </w:p>
    <w:p w:rsidR="0004304E" w:rsidRPr="00856FCB" w:rsidRDefault="0004304E" w:rsidP="0004304E">
      <w:pPr>
        <w:tabs>
          <w:tab w:val="left" w:pos="0"/>
          <w:tab w:val="left" w:pos="567"/>
        </w:tabs>
        <w:spacing w:after="120" w:line="276" w:lineRule="auto"/>
        <w:ind w:firstLine="567"/>
        <w:contextualSpacing/>
        <w:jc w:val="both"/>
        <w:rPr>
          <w:rFonts w:ascii="Times New Roman" w:eastAsia="Calibri" w:hAnsi="Times New Roman" w:cs="Times New Roman"/>
          <w:sz w:val="28"/>
          <w:szCs w:val="28"/>
          <w:lang w:val="ru-MD" w:eastAsia="ru-RU"/>
        </w:rPr>
      </w:pPr>
      <w:r w:rsidRPr="00856FCB">
        <w:rPr>
          <w:rFonts w:asciiTheme="majorBidi" w:eastAsia="Times New Roman" w:hAnsiTheme="majorBidi" w:cstheme="majorBidi"/>
          <w:b/>
          <w:bCs/>
          <w:sz w:val="28"/>
          <w:szCs w:val="28"/>
          <w:lang w:val="ru-MD"/>
        </w:rPr>
        <w:t>2.</w:t>
      </w:r>
      <w:r w:rsidRPr="00856FCB">
        <w:rPr>
          <w:rFonts w:asciiTheme="majorBidi" w:eastAsia="Times New Roman" w:hAnsiTheme="majorBidi" w:cstheme="majorBidi"/>
          <w:sz w:val="28"/>
          <w:szCs w:val="28"/>
          <w:lang w:val="ru-MD"/>
        </w:rPr>
        <w:t xml:space="preserve"> </w:t>
      </w:r>
      <w:r w:rsidRPr="00856FCB">
        <w:rPr>
          <w:rFonts w:ascii="Times New Roman" w:hAnsi="Times New Roman" w:cs="Times New Roman"/>
          <w:bCs/>
          <w:sz w:val="28"/>
          <w:szCs w:val="28"/>
          <w:lang w:val="ru-MD"/>
        </w:rPr>
        <w:t>Настоящее Постановление и Отчет аудита направить</w:t>
      </w:r>
      <w:r w:rsidRPr="00856FCB">
        <w:rPr>
          <w:rFonts w:asciiTheme="majorBidi" w:eastAsia="Times New Roman" w:hAnsiTheme="majorBidi" w:cstheme="majorBidi"/>
          <w:sz w:val="28"/>
          <w:szCs w:val="28"/>
          <w:lang w:val="ru-MD"/>
        </w:rPr>
        <w:t>:</w:t>
      </w:r>
    </w:p>
    <w:p w:rsidR="0004304E" w:rsidRPr="00856FCB" w:rsidRDefault="0004304E" w:rsidP="0004304E">
      <w:pPr>
        <w:numPr>
          <w:ilvl w:val="1"/>
          <w:numId w:val="4"/>
        </w:numPr>
        <w:tabs>
          <w:tab w:val="left" w:pos="360"/>
        </w:tabs>
        <w:spacing w:before="240" w:after="240" w:line="276" w:lineRule="auto"/>
        <w:ind w:left="0" w:firstLine="567"/>
        <w:contextualSpacing/>
        <w:jc w:val="both"/>
        <w:rPr>
          <w:rFonts w:ascii="Times New Roman" w:eastAsia="Calibri" w:hAnsi="Times New Roman" w:cs="Times New Roman"/>
          <w:sz w:val="28"/>
          <w:szCs w:val="28"/>
          <w:lang w:val="ru-MD" w:eastAsia="ru-RU"/>
        </w:rPr>
      </w:pPr>
      <w:r w:rsidRPr="00856FCB">
        <w:rPr>
          <w:rFonts w:ascii="Times New Roman" w:eastAsia="Calibri" w:hAnsi="Times New Roman" w:cs="Times New Roman"/>
          <w:b/>
          <w:sz w:val="28"/>
          <w:szCs w:val="28"/>
          <w:lang w:val="ru-MD" w:eastAsia="ru-RU"/>
        </w:rPr>
        <w:t>Парламенту Республики Молдова</w:t>
      </w:r>
      <w:r w:rsidRPr="00856FCB">
        <w:rPr>
          <w:rFonts w:ascii="Times New Roman" w:eastAsia="Calibri" w:hAnsi="Times New Roman" w:cs="Times New Roman"/>
          <w:sz w:val="28"/>
          <w:szCs w:val="28"/>
          <w:lang w:val="ru-MD" w:eastAsia="ru-RU"/>
        </w:rPr>
        <w:t xml:space="preserve"> для информирования и рассмотрения, при необходимости, в рамках Парламентской комиссии по контролю публичных финансов;</w:t>
      </w:r>
    </w:p>
    <w:p w:rsidR="0004304E" w:rsidRPr="00856FCB" w:rsidRDefault="0004304E" w:rsidP="0004304E">
      <w:pPr>
        <w:spacing w:after="0" w:line="276" w:lineRule="auto"/>
        <w:ind w:firstLine="567"/>
        <w:jc w:val="both"/>
        <w:rPr>
          <w:rFonts w:asciiTheme="majorBidi" w:eastAsia="Times New Roman" w:hAnsiTheme="majorBidi" w:cstheme="majorBidi"/>
          <w:sz w:val="28"/>
          <w:szCs w:val="28"/>
          <w:lang w:val="ru-MD" w:eastAsia="ru-RU"/>
        </w:rPr>
      </w:pPr>
      <w:r w:rsidRPr="00856FCB">
        <w:rPr>
          <w:rFonts w:asciiTheme="majorBidi" w:eastAsia="Times New Roman" w:hAnsiTheme="majorBidi" w:cstheme="majorBidi"/>
          <w:b/>
          <w:bCs/>
          <w:sz w:val="28"/>
          <w:szCs w:val="28"/>
          <w:lang w:val="ru-MD" w:eastAsia="ru-RU"/>
        </w:rPr>
        <w:t xml:space="preserve">2.2. </w:t>
      </w:r>
      <w:r w:rsidRPr="00856FCB">
        <w:rPr>
          <w:rFonts w:ascii="Times New Roman" w:hAnsi="Times New Roman" w:cs="Times New Roman"/>
          <w:b/>
          <w:sz w:val="28"/>
          <w:szCs w:val="28"/>
          <w:lang w:val="ru-MD"/>
        </w:rPr>
        <w:t xml:space="preserve">Президенту Республики Молдова </w:t>
      </w:r>
      <w:r w:rsidRPr="00856FCB">
        <w:rPr>
          <w:rFonts w:ascii="Times New Roman" w:hAnsi="Times New Roman" w:cs="Times New Roman"/>
          <w:sz w:val="28"/>
          <w:szCs w:val="28"/>
          <w:lang w:val="ru-MD"/>
        </w:rPr>
        <w:t>для информирования</w:t>
      </w:r>
      <w:r w:rsidRPr="00856FCB">
        <w:rPr>
          <w:rFonts w:asciiTheme="majorBidi" w:eastAsia="Times New Roman" w:hAnsiTheme="majorBidi" w:cstheme="majorBidi"/>
          <w:sz w:val="28"/>
          <w:szCs w:val="28"/>
          <w:lang w:val="ru-MD" w:eastAsia="ru-RU"/>
        </w:rPr>
        <w:t>;</w:t>
      </w:r>
    </w:p>
    <w:p w:rsidR="0004304E" w:rsidRPr="00856FCB" w:rsidRDefault="0004304E" w:rsidP="0004304E">
      <w:pPr>
        <w:shd w:val="clear" w:color="auto" w:fill="FFFFFF"/>
        <w:spacing w:after="0" w:line="276" w:lineRule="auto"/>
        <w:ind w:firstLine="567"/>
        <w:jc w:val="both"/>
        <w:rPr>
          <w:rFonts w:asciiTheme="majorBidi" w:hAnsiTheme="majorBidi" w:cstheme="majorBidi"/>
          <w:color w:val="212121"/>
          <w:sz w:val="28"/>
          <w:szCs w:val="28"/>
          <w:lang w:val="ru-MD"/>
        </w:rPr>
      </w:pPr>
      <w:r w:rsidRPr="00856FCB">
        <w:rPr>
          <w:rFonts w:asciiTheme="majorBidi" w:eastAsia="Times New Roman" w:hAnsiTheme="majorBidi" w:cstheme="majorBidi"/>
          <w:b/>
          <w:bCs/>
          <w:sz w:val="28"/>
          <w:szCs w:val="28"/>
          <w:lang w:val="ru-MD" w:eastAsia="ru-RU"/>
        </w:rPr>
        <w:t xml:space="preserve">2.3. </w:t>
      </w:r>
      <w:r w:rsidRPr="00856FCB">
        <w:rPr>
          <w:rFonts w:ascii="Times New Roman" w:eastAsia="Calibri" w:hAnsi="Times New Roman" w:cs="Times New Roman"/>
          <w:b/>
          <w:bCs/>
          <w:sz w:val="28"/>
          <w:szCs w:val="28"/>
          <w:lang w:val="ru-MD" w:eastAsia="ru-RU"/>
        </w:rPr>
        <w:t>Правительству</w:t>
      </w:r>
      <w:r w:rsidRPr="00856FCB">
        <w:rPr>
          <w:rFonts w:ascii="Times New Roman" w:eastAsia="Calibri" w:hAnsi="Times New Roman" w:cs="Times New Roman"/>
          <w:bCs/>
          <w:sz w:val="28"/>
          <w:szCs w:val="28"/>
          <w:lang w:val="ru-MD" w:eastAsia="ru-RU"/>
        </w:rPr>
        <w:t xml:space="preserve"> </w:t>
      </w:r>
      <w:r w:rsidRPr="00856FCB">
        <w:rPr>
          <w:rFonts w:ascii="Times New Roman" w:hAnsi="Times New Roman" w:cs="Times New Roman"/>
          <w:b/>
          <w:sz w:val="28"/>
          <w:szCs w:val="28"/>
          <w:lang w:val="ru-MD"/>
        </w:rPr>
        <w:t xml:space="preserve">Республики Молдова </w:t>
      </w:r>
      <w:r w:rsidRPr="00856FCB">
        <w:rPr>
          <w:rFonts w:ascii="Times New Roman" w:hAnsi="Times New Roman" w:cs="Times New Roman"/>
          <w:sz w:val="28"/>
          <w:szCs w:val="28"/>
          <w:lang w:val="ru-MD"/>
        </w:rPr>
        <w:t>для информирования</w:t>
      </w:r>
      <w:r w:rsidRPr="00856FCB">
        <w:rPr>
          <w:rFonts w:asciiTheme="majorBidi" w:eastAsia="Times New Roman" w:hAnsiTheme="majorBidi" w:cstheme="majorBidi"/>
          <w:b/>
          <w:bCs/>
          <w:sz w:val="28"/>
          <w:szCs w:val="28"/>
          <w:lang w:val="ru-MD" w:eastAsia="ru-RU"/>
        </w:rPr>
        <w:t xml:space="preserve"> </w:t>
      </w:r>
      <w:r w:rsidRPr="00856FCB">
        <w:rPr>
          <w:rFonts w:asciiTheme="majorBidi" w:eastAsia="Times New Roman" w:hAnsiTheme="majorBidi" w:cstheme="majorBidi"/>
          <w:bCs/>
          <w:sz w:val="28"/>
          <w:szCs w:val="28"/>
          <w:lang w:val="ru-MD" w:eastAsia="ru-RU"/>
        </w:rPr>
        <w:t>и принятия к сведению с целью осуществления мониторинга внедрения рекомендаций аудита</w:t>
      </w:r>
      <w:r w:rsidRPr="00856FCB">
        <w:rPr>
          <w:rFonts w:asciiTheme="majorBidi" w:hAnsiTheme="majorBidi" w:cstheme="majorBidi"/>
          <w:color w:val="212121"/>
          <w:sz w:val="28"/>
          <w:szCs w:val="28"/>
          <w:lang w:val="ru-MD"/>
        </w:rPr>
        <w:t>;</w:t>
      </w:r>
    </w:p>
    <w:p w:rsidR="0004304E" w:rsidRDefault="0004304E" w:rsidP="0004304E">
      <w:pPr>
        <w:shd w:val="clear" w:color="auto" w:fill="FFFFFF"/>
        <w:spacing w:after="0" w:line="276" w:lineRule="auto"/>
        <w:ind w:firstLine="567"/>
        <w:jc w:val="both"/>
        <w:rPr>
          <w:rFonts w:asciiTheme="majorBidi" w:eastAsia="Times New Roman" w:hAnsiTheme="majorBidi" w:cstheme="majorBidi"/>
          <w:bCs/>
          <w:sz w:val="28"/>
          <w:szCs w:val="28"/>
          <w:lang w:val="ru-MD" w:eastAsia="ru-RU"/>
        </w:rPr>
      </w:pPr>
      <w:r w:rsidRPr="00856FCB">
        <w:rPr>
          <w:rFonts w:asciiTheme="majorBidi" w:eastAsia="Times New Roman" w:hAnsiTheme="majorBidi" w:cstheme="majorBidi"/>
          <w:b/>
          <w:bCs/>
          <w:sz w:val="28"/>
          <w:szCs w:val="28"/>
          <w:lang w:val="ru-MD" w:eastAsia="ru-RU"/>
        </w:rPr>
        <w:t>2.4.</w:t>
      </w:r>
      <w:r w:rsidRPr="00856FCB">
        <w:rPr>
          <w:rFonts w:asciiTheme="majorBidi" w:eastAsia="Times New Roman" w:hAnsiTheme="majorBidi" w:cstheme="majorBidi"/>
          <w:sz w:val="28"/>
          <w:szCs w:val="28"/>
          <w:lang w:val="ru-MD" w:eastAsia="ru-RU"/>
        </w:rPr>
        <w:t xml:space="preserve"> </w:t>
      </w:r>
      <w:r w:rsidRPr="00856FCB">
        <w:rPr>
          <w:rFonts w:asciiTheme="majorBidi" w:eastAsia="Times New Roman" w:hAnsiTheme="majorBidi" w:cstheme="majorBidi"/>
          <w:b/>
          <w:sz w:val="28"/>
          <w:szCs w:val="28"/>
          <w:lang w:val="ru-MD" w:eastAsia="ru-RU"/>
        </w:rPr>
        <w:t xml:space="preserve">Министерству окружающей среды, Агентству окружающей среды и </w:t>
      </w:r>
      <w:r w:rsidRPr="00856FCB">
        <w:rPr>
          <w:rFonts w:asciiTheme="majorBidi" w:eastAsia="Calibri" w:hAnsiTheme="majorBidi" w:cstheme="majorBidi"/>
          <w:b/>
          <w:sz w:val="28"/>
          <w:szCs w:val="28"/>
          <w:lang w:val="ru-MD"/>
        </w:rPr>
        <w:t>Инспекции по охране окружающей среды</w:t>
      </w:r>
      <w:r w:rsidRPr="00856FCB">
        <w:rPr>
          <w:rFonts w:asciiTheme="majorBidi" w:eastAsia="Calibri" w:hAnsiTheme="majorBidi" w:cstheme="majorBidi"/>
          <w:sz w:val="28"/>
          <w:szCs w:val="28"/>
          <w:lang w:val="ru-MD"/>
        </w:rPr>
        <w:t xml:space="preserve"> </w:t>
      </w:r>
      <w:r w:rsidRPr="00856FCB">
        <w:rPr>
          <w:rFonts w:ascii="Times New Roman" w:hAnsi="Times New Roman" w:cs="Times New Roman"/>
          <w:sz w:val="28"/>
          <w:szCs w:val="28"/>
          <w:lang w:val="ru-MD"/>
        </w:rPr>
        <w:t>для информирования</w:t>
      </w:r>
      <w:r w:rsidRPr="00856FCB">
        <w:rPr>
          <w:rFonts w:asciiTheme="majorBidi" w:eastAsia="Times New Roman" w:hAnsiTheme="majorBidi" w:cstheme="majorBidi"/>
          <w:b/>
          <w:bCs/>
          <w:sz w:val="28"/>
          <w:szCs w:val="28"/>
          <w:lang w:val="ru-MD" w:eastAsia="ru-RU"/>
        </w:rPr>
        <w:t xml:space="preserve"> </w:t>
      </w:r>
      <w:r w:rsidRPr="00856FCB">
        <w:rPr>
          <w:rFonts w:asciiTheme="majorBidi" w:eastAsia="Times New Roman" w:hAnsiTheme="majorBidi" w:cstheme="majorBidi"/>
          <w:bCs/>
          <w:sz w:val="28"/>
          <w:szCs w:val="28"/>
          <w:lang w:val="ru-MD" w:eastAsia="ru-RU"/>
        </w:rPr>
        <w:t xml:space="preserve">и принятия к сведению, и рекомендовать рассмотреть результаты аудита, согласно компетенциям, с утверждением плана мер по устранению установленных ситуаций и внедрением рекомендаций из Отчета аудита; </w:t>
      </w:r>
    </w:p>
    <w:p w:rsidR="006E7669" w:rsidRPr="00856FCB" w:rsidRDefault="006E7669" w:rsidP="006E7669">
      <w:pPr>
        <w:shd w:val="clear" w:color="auto" w:fill="FFFFFF"/>
        <w:spacing w:after="0" w:line="276" w:lineRule="auto"/>
        <w:ind w:firstLine="567"/>
        <w:jc w:val="both"/>
        <w:rPr>
          <w:rFonts w:asciiTheme="majorBidi" w:hAnsiTheme="majorBidi" w:cstheme="majorBidi"/>
          <w:color w:val="212121"/>
          <w:sz w:val="28"/>
          <w:szCs w:val="28"/>
          <w:lang w:val="ru-MD"/>
        </w:rPr>
      </w:pPr>
      <w:r w:rsidRPr="009D1F34">
        <w:rPr>
          <w:rFonts w:asciiTheme="majorBidi" w:eastAsia="Calibri" w:hAnsiTheme="majorBidi" w:cstheme="majorBidi"/>
          <w:b/>
          <w:noProof/>
          <w:sz w:val="28"/>
          <w:szCs w:val="28"/>
          <w:lang w:val="ro-RO"/>
        </w:rPr>
        <w:t>2.5</w:t>
      </w:r>
      <w:r>
        <w:rPr>
          <w:rFonts w:asciiTheme="majorBidi" w:eastAsia="Calibri" w:hAnsiTheme="majorBidi" w:cstheme="majorBidi"/>
          <w:b/>
          <w:noProof/>
          <w:sz w:val="28"/>
          <w:szCs w:val="28"/>
          <w:lang w:val="ro-RO"/>
        </w:rPr>
        <w:t xml:space="preserve">. </w:t>
      </w:r>
      <w:r w:rsidRPr="00856FCB">
        <w:rPr>
          <w:rFonts w:asciiTheme="majorBidi" w:eastAsia="Times New Roman" w:hAnsiTheme="majorBidi" w:cstheme="majorBidi"/>
          <w:b/>
          <w:sz w:val="28"/>
          <w:szCs w:val="28"/>
          <w:lang w:val="ru-MD" w:eastAsia="ru-RU"/>
        </w:rPr>
        <w:t>Министерству</w:t>
      </w:r>
      <w:r>
        <w:rPr>
          <w:rFonts w:asciiTheme="majorBidi" w:eastAsia="Times New Roman" w:hAnsiTheme="majorBidi" w:cstheme="majorBidi"/>
          <w:b/>
          <w:sz w:val="28"/>
          <w:szCs w:val="28"/>
          <w:lang w:val="ru-MD" w:eastAsia="ru-RU"/>
        </w:rPr>
        <w:t xml:space="preserve"> финансов, </w:t>
      </w:r>
      <w:r w:rsidRPr="00856FCB">
        <w:rPr>
          <w:rFonts w:asciiTheme="majorBidi" w:eastAsia="Times New Roman" w:hAnsiTheme="majorBidi" w:cstheme="majorBidi"/>
          <w:b/>
          <w:sz w:val="28"/>
          <w:szCs w:val="28"/>
          <w:lang w:val="ru-MD" w:eastAsia="ru-RU"/>
        </w:rPr>
        <w:t>Министерству</w:t>
      </w:r>
      <w:r>
        <w:rPr>
          <w:rFonts w:asciiTheme="majorBidi" w:eastAsia="Times New Roman" w:hAnsiTheme="majorBidi" w:cstheme="majorBidi"/>
          <w:b/>
          <w:sz w:val="28"/>
          <w:szCs w:val="28"/>
          <w:lang w:val="ru-MD" w:eastAsia="ru-RU"/>
        </w:rPr>
        <w:t xml:space="preserve"> инфраструктуры и регионального развития,</w:t>
      </w:r>
      <w:r w:rsidRPr="006E7669">
        <w:rPr>
          <w:rFonts w:asciiTheme="majorBidi" w:eastAsia="Calibri" w:hAnsiTheme="majorBidi" w:cstheme="majorBidi"/>
          <w:b/>
          <w:sz w:val="28"/>
          <w:szCs w:val="28"/>
          <w:lang w:val="ru-MD"/>
        </w:rPr>
        <w:t xml:space="preserve"> </w:t>
      </w:r>
      <w:r w:rsidRPr="00856FCB">
        <w:rPr>
          <w:rFonts w:asciiTheme="majorBidi" w:eastAsia="Calibri" w:hAnsiTheme="majorBidi" w:cstheme="majorBidi"/>
          <w:b/>
          <w:sz w:val="28"/>
          <w:szCs w:val="28"/>
          <w:lang w:val="ru-MD"/>
        </w:rPr>
        <w:t>Государственной налоговой службе</w:t>
      </w:r>
      <w:r>
        <w:rPr>
          <w:rFonts w:asciiTheme="majorBidi" w:eastAsia="Calibri" w:hAnsiTheme="majorBidi" w:cstheme="majorBidi"/>
          <w:b/>
          <w:sz w:val="28"/>
          <w:szCs w:val="28"/>
          <w:lang w:val="ru-MD"/>
        </w:rPr>
        <w:t>, Агентству электронного управления</w:t>
      </w:r>
      <w:r w:rsidRPr="006E7669">
        <w:rPr>
          <w:rFonts w:ascii="Times New Roman" w:hAnsi="Times New Roman" w:cs="Times New Roman"/>
          <w:sz w:val="28"/>
          <w:szCs w:val="28"/>
          <w:lang w:val="ru-MD"/>
        </w:rPr>
        <w:t xml:space="preserve"> </w:t>
      </w:r>
      <w:r w:rsidRPr="00856FCB">
        <w:rPr>
          <w:rFonts w:ascii="Times New Roman" w:hAnsi="Times New Roman" w:cs="Times New Roman"/>
          <w:sz w:val="28"/>
          <w:szCs w:val="28"/>
          <w:lang w:val="ru-MD"/>
        </w:rPr>
        <w:t>для информирования</w:t>
      </w:r>
      <w:r w:rsidRPr="00856FCB">
        <w:rPr>
          <w:rFonts w:asciiTheme="majorBidi" w:eastAsia="Times New Roman" w:hAnsiTheme="majorBidi" w:cstheme="majorBidi"/>
          <w:b/>
          <w:bCs/>
          <w:sz w:val="28"/>
          <w:szCs w:val="28"/>
          <w:lang w:val="ru-MD" w:eastAsia="ru-RU"/>
        </w:rPr>
        <w:t xml:space="preserve"> </w:t>
      </w:r>
      <w:r w:rsidRPr="00856FCB">
        <w:rPr>
          <w:rFonts w:asciiTheme="majorBidi" w:eastAsia="Times New Roman" w:hAnsiTheme="majorBidi" w:cstheme="majorBidi"/>
          <w:bCs/>
          <w:sz w:val="28"/>
          <w:szCs w:val="28"/>
          <w:lang w:val="ru-MD" w:eastAsia="ru-RU"/>
        </w:rPr>
        <w:t xml:space="preserve">и принятия к сведению с целью внедрения рекомендаций </w:t>
      </w:r>
      <w:r>
        <w:rPr>
          <w:rFonts w:asciiTheme="majorBidi" w:eastAsia="Times New Roman" w:hAnsiTheme="majorBidi" w:cstheme="majorBidi"/>
          <w:bCs/>
          <w:sz w:val="28"/>
          <w:szCs w:val="28"/>
          <w:lang w:val="ru-MD" w:eastAsia="ru-RU"/>
        </w:rPr>
        <w:t xml:space="preserve">из Отчета </w:t>
      </w:r>
      <w:r w:rsidRPr="00856FCB">
        <w:rPr>
          <w:rFonts w:asciiTheme="majorBidi" w:eastAsia="Times New Roman" w:hAnsiTheme="majorBidi" w:cstheme="majorBidi"/>
          <w:bCs/>
          <w:sz w:val="28"/>
          <w:szCs w:val="28"/>
          <w:lang w:val="ru-MD" w:eastAsia="ru-RU"/>
        </w:rPr>
        <w:t>аудита</w:t>
      </w:r>
      <w:r w:rsidRPr="00856FCB">
        <w:rPr>
          <w:rFonts w:asciiTheme="majorBidi" w:hAnsiTheme="majorBidi" w:cstheme="majorBidi"/>
          <w:color w:val="212121"/>
          <w:sz w:val="28"/>
          <w:szCs w:val="28"/>
          <w:lang w:val="ru-MD"/>
        </w:rPr>
        <w:t>;</w:t>
      </w:r>
    </w:p>
    <w:p w:rsidR="006E7669" w:rsidRDefault="0004304E" w:rsidP="0004304E">
      <w:pPr>
        <w:shd w:val="clear" w:color="auto" w:fill="FFFFFF"/>
        <w:spacing w:after="0" w:line="276" w:lineRule="auto"/>
        <w:ind w:firstLine="567"/>
        <w:jc w:val="both"/>
        <w:rPr>
          <w:rFonts w:asciiTheme="majorBidi" w:hAnsiTheme="majorBidi" w:cstheme="majorBidi"/>
          <w:b/>
          <w:sz w:val="28"/>
          <w:szCs w:val="28"/>
          <w:lang w:val="ru-MD"/>
        </w:rPr>
      </w:pPr>
      <w:r w:rsidRPr="00856FCB">
        <w:rPr>
          <w:rFonts w:asciiTheme="majorBidi" w:hAnsiTheme="majorBidi" w:cstheme="majorBidi"/>
          <w:b/>
          <w:sz w:val="28"/>
          <w:szCs w:val="28"/>
          <w:lang w:val="ru-MD"/>
        </w:rPr>
        <w:t xml:space="preserve">2.6. </w:t>
      </w:r>
      <w:r w:rsidR="006E7669" w:rsidRPr="00856FCB">
        <w:rPr>
          <w:rFonts w:asciiTheme="majorBidi" w:hAnsiTheme="majorBidi" w:cstheme="majorBidi"/>
          <w:b/>
          <w:sz w:val="28"/>
          <w:szCs w:val="28"/>
          <w:lang w:val="ru-MD"/>
        </w:rPr>
        <w:t xml:space="preserve">Местным советам городов (муниципиев) Бричень, Дондушень, Сорока, Штефан Водэ, Теленешть, Купчинь, Яловень, Кэлэраш, Глодень, Хынчешть, Орхей, Окница, Рышкань, Стрэшень, Ниспорень </w:t>
      </w:r>
      <w:r w:rsidR="006E7669" w:rsidRPr="00856FCB">
        <w:rPr>
          <w:rFonts w:ascii="Times New Roman" w:hAnsi="Times New Roman" w:cs="Times New Roman"/>
          <w:sz w:val="28"/>
          <w:szCs w:val="28"/>
          <w:lang w:val="ru-MD"/>
        </w:rPr>
        <w:t>для информирования</w:t>
      </w:r>
      <w:r w:rsidR="006E7669" w:rsidRPr="00856FCB">
        <w:rPr>
          <w:rFonts w:asciiTheme="majorBidi" w:eastAsia="Times New Roman" w:hAnsiTheme="majorBidi" w:cstheme="majorBidi"/>
          <w:b/>
          <w:bCs/>
          <w:sz w:val="28"/>
          <w:szCs w:val="28"/>
          <w:lang w:val="ru-MD" w:eastAsia="ru-RU"/>
        </w:rPr>
        <w:t xml:space="preserve"> </w:t>
      </w:r>
      <w:r w:rsidR="006E7669" w:rsidRPr="00856FCB">
        <w:rPr>
          <w:rFonts w:asciiTheme="majorBidi" w:eastAsia="Times New Roman" w:hAnsiTheme="majorBidi" w:cstheme="majorBidi"/>
          <w:bCs/>
          <w:sz w:val="28"/>
          <w:szCs w:val="28"/>
          <w:lang w:val="ru-MD" w:eastAsia="ru-RU"/>
        </w:rPr>
        <w:t>и принятия к сведению с целью внедрения рекомендаций из Отчета аудита</w:t>
      </w:r>
      <w:r w:rsidR="006E7669">
        <w:rPr>
          <w:rFonts w:asciiTheme="majorBidi" w:eastAsia="Times New Roman" w:hAnsiTheme="majorBidi" w:cstheme="majorBidi"/>
          <w:bCs/>
          <w:sz w:val="28"/>
          <w:szCs w:val="28"/>
          <w:lang w:val="ru-MD" w:eastAsia="ru-RU"/>
        </w:rPr>
        <w:t>;</w:t>
      </w:r>
    </w:p>
    <w:p w:rsidR="006E7669" w:rsidRPr="00856FCB" w:rsidRDefault="0004304E" w:rsidP="006E7669">
      <w:pPr>
        <w:shd w:val="clear" w:color="auto" w:fill="FFFFFF"/>
        <w:spacing w:after="0" w:line="276" w:lineRule="auto"/>
        <w:ind w:firstLine="567"/>
        <w:jc w:val="both"/>
        <w:rPr>
          <w:rFonts w:asciiTheme="majorBidi" w:hAnsiTheme="majorBidi" w:cstheme="majorBidi"/>
          <w:b/>
          <w:sz w:val="28"/>
          <w:szCs w:val="28"/>
          <w:lang w:val="ru-MD"/>
        </w:rPr>
      </w:pPr>
      <w:r w:rsidRPr="00856FCB">
        <w:rPr>
          <w:rFonts w:asciiTheme="majorBidi" w:hAnsiTheme="majorBidi" w:cstheme="majorBidi"/>
          <w:b/>
          <w:sz w:val="28"/>
          <w:szCs w:val="28"/>
          <w:lang w:val="ru-MD"/>
        </w:rPr>
        <w:t>2.7.</w:t>
      </w:r>
      <w:r w:rsidRPr="00856FCB">
        <w:rPr>
          <w:rFonts w:asciiTheme="majorBidi" w:hAnsiTheme="majorBidi" w:cstheme="majorBidi"/>
          <w:sz w:val="28"/>
          <w:szCs w:val="28"/>
          <w:lang w:val="ru-MD"/>
        </w:rPr>
        <w:t xml:space="preserve"> </w:t>
      </w:r>
      <w:r w:rsidR="006E7669" w:rsidRPr="00856FCB">
        <w:rPr>
          <w:rFonts w:asciiTheme="majorBidi" w:hAnsiTheme="majorBidi" w:cstheme="majorBidi"/>
          <w:b/>
          <w:sz w:val="28"/>
          <w:szCs w:val="28"/>
          <w:lang w:val="ru-MD"/>
        </w:rPr>
        <w:t xml:space="preserve">Национальному бюро статистики </w:t>
      </w:r>
      <w:r w:rsidR="006E7669" w:rsidRPr="00856FCB">
        <w:rPr>
          <w:rFonts w:ascii="Times New Roman" w:hAnsi="Times New Roman" w:cs="Times New Roman"/>
          <w:sz w:val="28"/>
          <w:szCs w:val="28"/>
          <w:lang w:val="ru-MD"/>
        </w:rPr>
        <w:t>для информирования</w:t>
      </w:r>
      <w:r w:rsidR="006E7669" w:rsidRPr="00856FCB">
        <w:rPr>
          <w:rFonts w:asciiTheme="majorBidi" w:eastAsia="Times New Roman" w:hAnsiTheme="majorBidi" w:cstheme="majorBidi"/>
          <w:b/>
          <w:bCs/>
          <w:sz w:val="28"/>
          <w:szCs w:val="28"/>
          <w:lang w:val="ru-MD" w:eastAsia="ru-RU"/>
        </w:rPr>
        <w:t xml:space="preserve"> </w:t>
      </w:r>
      <w:r w:rsidR="006E7669" w:rsidRPr="00856FCB">
        <w:rPr>
          <w:rFonts w:asciiTheme="majorBidi" w:eastAsia="Times New Roman" w:hAnsiTheme="majorBidi" w:cstheme="majorBidi"/>
          <w:bCs/>
          <w:sz w:val="28"/>
          <w:szCs w:val="28"/>
          <w:lang w:val="ru-MD" w:eastAsia="ru-RU"/>
        </w:rPr>
        <w:t>и принятия к сведению</w:t>
      </w:r>
      <w:r w:rsidR="006E7669">
        <w:rPr>
          <w:rFonts w:asciiTheme="majorBidi" w:eastAsia="Times New Roman" w:hAnsiTheme="majorBidi" w:cstheme="majorBidi"/>
          <w:bCs/>
          <w:sz w:val="28"/>
          <w:szCs w:val="28"/>
          <w:lang w:val="ru-MD" w:eastAsia="ru-RU"/>
        </w:rPr>
        <w:t>.</w:t>
      </w:r>
    </w:p>
    <w:p w:rsidR="006E7669" w:rsidRPr="006E7669" w:rsidRDefault="0004304E" w:rsidP="006E7669">
      <w:pPr>
        <w:widowControl w:val="0"/>
        <w:tabs>
          <w:tab w:val="left" w:pos="900"/>
          <w:tab w:val="left" w:pos="2160"/>
        </w:tabs>
        <w:spacing w:after="0" w:line="274" w:lineRule="auto"/>
        <w:ind w:firstLine="567"/>
        <w:jc w:val="both"/>
        <w:rPr>
          <w:rFonts w:asciiTheme="majorBidi" w:eastAsia="Times New Roman" w:hAnsiTheme="majorBidi" w:cstheme="majorBidi"/>
          <w:sz w:val="28"/>
          <w:szCs w:val="28"/>
          <w:lang w:val="ru-MD" w:eastAsia="ru-RU"/>
        </w:rPr>
      </w:pPr>
      <w:r w:rsidRPr="00856FCB">
        <w:rPr>
          <w:rFonts w:ascii="Times New Roman" w:hAnsi="Times New Roman" w:cs="Times New Roman"/>
          <w:b/>
          <w:bCs/>
          <w:sz w:val="28"/>
          <w:szCs w:val="28"/>
          <w:lang w:val="ru-MD"/>
        </w:rPr>
        <w:t>3.</w:t>
      </w:r>
      <w:r w:rsidRPr="00856FCB">
        <w:rPr>
          <w:b/>
          <w:bCs/>
          <w:sz w:val="28"/>
          <w:szCs w:val="28"/>
          <w:lang w:val="ru-MD"/>
        </w:rPr>
        <w:t xml:space="preserve"> </w:t>
      </w:r>
      <w:r w:rsidRPr="00856FCB">
        <w:rPr>
          <w:rFonts w:ascii="Times New Roman" w:hAnsi="Times New Roman" w:cs="Times New Roman"/>
          <w:bCs/>
          <w:sz w:val="28"/>
          <w:szCs w:val="28"/>
          <w:lang w:val="ru-MD"/>
        </w:rPr>
        <w:t>Настоящим Постановлением исключить из режима мониторинга, в результате повторения путем переформулирования в настоящем Отчете аудита, рекомендаци</w:t>
      </w:r>
      <w:r w:rsidR="00856FCB">
        <w:rPr>
          <w:rFonts w:ascii="Times New Roman" w:hAnsi="Times New Roman" w:cs="Times New Roman"/>
          <w:bCs/>
          <w:sz w:val="28"/>
          <w:szCs w:val="28"/>
          <w:lang w:val="ru-MD"/>
        </w:rPr>
        <w:t>и</w:t>
      </w:r>
      <w:r w:rsidRPr="00856FCB">
        <w:rPr>
          <w:rFonts w:ascii="Times New Roman" w:hAnsi="Times New Roman" w:cs="Times New Roman"/>
          <w:bCs/>
          <w:sz w:val="28"/>
          <w:szCs w:val="28"/>
          <w:lang w:val="ru-MD"/>
        </w:rPr>
        <w:t xml:space="preserve"> с номерами </w:t>
      </w:r>
      <w:r w:rsidRPr="00856FCB">
        <w:rPr>
          <w:rFonts w:asciiTheme="majorBidi" w:hAnsiTheme="majorBidi" w:cstheme="majorBidi"/>
          <w:sz w:val="28"/>
          <w:szCs w:val="28"/>
          <w:lang w:val="ru-MD"/>
        </w:rPr>
        <w:t xml:space="preserve">2, 6, 7, 8 и 9 из Отчета аудита соответствия </w:t>
      </w:r>
      <w:r w:rsidRPr="00856FCB">
        <w:rPr>
          <w:rFonts w:ascii="Times New Roman" w:hAnsi="Times New Roman" w:cs="Times New Roman"/>
          <w:bCs/>
          <w:sz w:val="28"/>
          <w:szCs w:val="28"/>
          <w:lang w:val="ru-MD"/>
        </w:rPr>
        <w:t xml:space="preserve">выдачи разрешительных актов и администрирования сборов, штрафов и платежей, связанных с окружающей средой, утвержденного Постановлением Счетной палаты №28 от 27 июня </w:t>
      </w:r>
      <w:r w:rsidRPr="00856FCB">
        <w:rPr>
          <w:rFonts w:asciiTheme="majorBidi" w:hAnsiTheme="majorBidi" w:cstheme="majorBidi"/>
          <w:sz w:val="28"/>
          <w:szCs w:val="28"/>
          <w:lang w:val="ru-MD"/>
        </w:rPr>
        <w:t xml:space="preserve">2022 года, и </w:t>
      </w:r>
      <w:r w:rsidRPr="00856FCB">
        <w:rPr>
          <w:rFonts w:ascii="Times New Roman" w:hAnsi="Times New Roman" w:cs="Times New Roman"/>
          <w:bCs/>
          <w:sz w:val="28"/>
          <w:szCs w:val="28"/>
          <w:lang w:val="ru-MD"/>
        </w:rPr>
        <w:t xml:space="preserve">рекомендацию </w:t>
      </w:r>
      <w:r w:rsidRPr="00856FCB">
        <w:rPr>
          <w:rFonts w:asciiTheme="majorBidi" w:hAnsiTheme="majorBidi" w:cstheme="majorBidi"/>
          <w:sz w:val="28"/>
          <w:szCs w:val="28"/>
          <w:lang w:val="ru-MD"/>
        </w:rPr>
        <w:t>8.5 из Отчета аудита эффективности по теме „</w:t>
      </w:r>
      <w:r w:rsidRPr="00856FCB">
        <w:rPr>
          <w:rFonts w:ascii="Times New Roman" w:eastAsia="Times New Roman" w:hAnsi="Times New Roman" w:cs="Times New Roman"/>
          <w:bCs/>
          <w:iCs/>
          <w:color w:val="000000"/>
          <w:sz w:val="28"/>
          <w:szCs w:val="28"/>
          <w:lang w:val="ru-MD" w:eastAsia="ru-RU" w:bidi="ro-RO"/>
        </w:rPr>
        <w:t xml:space="preserve">Принятые меры и ресурсы, инвестированные во внедрение и развитие Автоматизированной информационной системы по управлению и выдаче разрешительных актов (АИС УВРА) способствуют достижению цели и установленных задач?”, </w:t>
      </w:r>
      <w:r w:rsidRPr="00856FCB">
        <w:rPr>
          <w:rFonts w:ascii="Times New Roman" w:hAnsi="Times New Roman" w:cs="Times New Roman"/>
          <w:bCs/>
          <w:sz w:val="28"/>
          <w:szCs w:val="28"/>
          <w:lang w:val="ru-MD"/>
        </w:rPr>
        <w:t>утвержденного Постановлением Счетной палаты №</w:t>
      </w:r>
      <w:r w:rsidRPr="00856FCB">
        <w:rPr>
          <w:rFonts w:asciiTheme="majorBidi" w:hAnsiTheme="majorBidi" w:cstheme="majorBidi"/>
          <w:sz w:val="28"/>
          <w:szCs w:val="28"/>
          <w:lang w:val="ru-MD"/>
        </w:rPr>
        <w:t xml:space="preserve">14 от 26 апреля 2022 года, адресованную </w:t>
      </w:r>
      <w:r w:rsidRPr="00856FCB">
        <w:rPr>
          <w:rFonts w:asciiTheme="majorBidi" w:eastAsia="Times New Roman" w:hAnsiTheme="majorBidi" w:cstheme="majorBidi"/>
          <w:sz w:val="28"/>
          <w:szCs w:val="28"/>
          <w:lang w:val="ru-MD" w:eastAsia="ru-RU"/>
        </w:rPr>
        <w:t>Агентству окружающей среды.</w:t>
      </w:r>
    </w:p>
    <w:p w:rsidR="0004304E" w:rsidRPr="00856FCB" w:rsidRDefault="0004304E" w:rsidP="006E7669">
      <w:pPr>
        <w:tabs>
          <w:tab w:val="left" w:pos="0"/>
          <w:tab w:val="left" w:pos="426"/>
        </w:tabs>
        <w:spacing w:after="0" w:line="276" w:lineRule="auto"/>
        <w:ind w:firstLine="567"/>
        <w:contextualSpacing/>
        <w:jc w:val="both"/>
        <w:rPr>
          <w:rFonts w:ascii="Times New Roman" w:eastAsia="Calibri" w:hAnsi="Times New Roman" w:cs="Times New Roman"/>
          <w:sz w:val="28"/>
          <w:szCs w:val="28"/>
          <w:lang w:val="ru-MD" w:eastAsia="ru-RU"/>
        </w:rPr>
      </w:pPr>
      <w:r w:rsidRPr="00856FCB">
        <w:rPr>
          <w:rFonts w:asciiTheme="majorBidi" w:eastAsia="Times New Roman" w:hAnsiTheme="majorBidi" w:cstheme="majorBidi"/>
          <w:b/>
          <w:sz w:val="28"/>
          <w:szCs w:val="28"/>
          <w:lang w:val="ru-MD"/>
        </w:rPr>
        <w:t>4.</w:t>
      </w:r>
      <w:r w:rsidRPr="00856FCB">
        <w:rPr>
          <w:rFonts w:asciiTheme="majorBidi" w:eastAsia="Calibri" w:hAnsiTheme="majorBidi" w:cstheme="majorBidi"/>
          <w:sz w:val="28"/>
          <w:szCs w:val="28"/>
          <w:lang w:val="ru-MD"/>
        </w:rPr>
        <w:t xml:space="preserve"> </w:t>
      </w:r>
      <w:r w:rsidRPr="00856FCB">
        <w:rPr>
          <w:rFonts w:ascii="Times New Roman" w:eastAsia="Calibri" w:hAnsi="Times New Roman" w:cs="Times New Roman"/>
          <w:sz w:val="28"/>
          <w:szCs w:val="28"/>
          <w:lang w:val="ru-MD" w:eastAsia="ru-RU"/>
        </w:rPr>
        <w:t>Настоящее Постановление вступает в силу с даты публикации в Официальном мониторе Республики Молдова и может быть оспорено предварительным заявлением в эмитирующем органе в течение 30 дней с даты публикации. В спорном административном порядке, Постановление может быть обжаловано в Суде Кишинэу, расположенном в секторе Рышкань (МД-2068, мун. Кишинэу, ул. Киевская №3) в течение 30 дней с даты сообщения ответа относительно предварительного заявления или с даты истечения срока, предусмотренного для его решения.</w:t>
      </w:r>
    </w:p>
    <w:p w:rsidR="0004304E" w:rsidRPr="00856FCB" w:rsidRDefault="0004304E" w:rsidP="0004304E">
      <w:pPr>
        <w:shd w:val="clear" w:color="auto" w:fill="FFFFFF" w:themeFill="background1"/>
        <w:spacing w:after="0" w:line="276" w:lineRule="auto"/>
        <w:ind w:firstLine="567"/>
        <w:jc w:val="both"/>
        <w:rPr>
          <w:rFonts w:asciiTheme="majorBidi" w:eastAsia="Calibri" w:hAnsiTheme="majorBidi" w:cstheme="majorBidi"/>
          <w:bCs/>
          <w:sz w:val="28"/>
          <w:szCs w:val="28"/>
          <w:lang w:val="ru-MD"/>
        </w:rPr>
      </w:pPr>
      <w:r w:rsidRPr="00856FCB">
        <w:rPr>
          <w:rFonts w:asciiTheme="majorBidi" w:eastAsia="Calibri" w:hAnsiTheme="majorBidi" w:cstheme="majorBidi"/>
          <w:b/>
          <w:bCs/>
          <w:sz w:val="28"/>
          <w:szCs w:val="28"/>
          <w:lang w:val="ru-MD"/>
        </w:rPr>
        <w:t xml:space="preserve">5. </w:t>
      </w:r>
      <w:r w:rsidRPr="00856FCB">
        <w:rPr>
          <w:rFonts w:asciiTheme="majorBidi" w:eastAsia="Calibri" w:hAnsiTheme="majorBidi" w:cstheme="majorBidi"/>
          <w:bCs/>
          <w:sz w:val="28"/>
          <w:szCs w:val="28"/>
          <w:lang w:val="ru-MD"/>
        </w:rPr>
        <w:t>О предпринятых действиях по выполнению подпунктов 2.4. - 2.</w:t>
      </w:r>
      <w:r w:rsidR="006E7669">
        <w:rPr>
          <w:rFonts w:asciiTheme="majorBidi" w:eastAsia="Calibri" w:hAnsiTheme="majorBidi" w:cstheme="majorBidi"/>
          <w:bCs/>
          <w:sz w:val="28"/>
          <w:szCs w:val="28"/>
          <w:lang w:val="ru-MD"/>
        </w:rPr>
        <w:t>6</w:t>
      </w:r>
      <w:r w:rsidRPr="00856FCB">
        <w:rPr>
          <w:rFonts w:asciiTheme="majorBidi" w:eastAsia="Calibri" w:hAnsiTheme="majorBidi" w:cstheme="majorBidi"/>
          <w:bCs/>
          <w:sz w:val="28"/>
          <w:szCs w:val="28"/>
          <w:lang w:val="ru-MD"/>
        </w:rPr>
        <w:t>. из настоящего Постановления информировать Счетную палату ежеквартально, в течение 12 месяцев с даты публикации Постановления в Официальном мониторе Республики Молдова.</w:t>
      </w:r>
    </w:p>
    <w:p w:rsidR="0004304E" w:rsidRPr="00856FCB" w:rsidRDefault="0004304E" w:rsidP="0004304E">
      <w:pPr>
        <w:spacing w:after="0" w:line="276" w:lineRule="auto"/>
        <w:ind w:firstLine="567"/>
        <w:jc w:val="both"/>
        <w:rPr>
          <w:rFonts w:asciiTheme="majorBidi" w:eastAsia="Calibri" w:hAnsiTheme="majorBidi" w:cstheme="majorBidi"/>
          <w:sz w:val="28"/>
          <w:szCs w:val="28"/>
          <w:lang w:val="ru-MD"/>
        </w:rPr>
      </w:pPr>
      <w:r w:rsidRPr="00856FCB">
        <w:rPr>
          <w:rFonts w:asciiTheme="majorBidi" w:eastAsia="Calibri" w:hAnsiTheme="majorBidi" w:cstheme="majorBidi"/>
          <w:b/>
          <w:sz w:val="28"/>
          <w:szCs w:val="28"/>
          <w:lang w:val="ru-MD"/>
        </w:rPr>
        <w:t>6.</w:t>
      </w:r>
      <w:r w:rsidRPr="00856FCB">
        <w:rPr>
          <w:rFonts w:asciiTheme="majorBidi" w:eastAsia="Calibri" w:hAnsiTheme="majorBidi" w:cstheme="majorBidi"/>
          <w:sz w:val="28"/>
          <w:szCs w:val="28"/>
          <w:lang w:val="ru-MD"/>
        </w:rPr>
        <w:t xml:space="preserve"> Постановление и Отчет аудита соответствия </w:t>
      </w:r>
      <w:r w:rsidRPr="00856FCB">
        <w:rPr>
          <w:rFonts w:asciiTheme="majorBidi" w:eastAsia="Times New Roman" w:hAnsiTheme="majorBidi" w:cstheme="majorBidi"/>
          <w:bCs/>
          <w:sz w:val="28"/>
          <w:szCs w:val="28"/>
          <w:lang w:val="ru-MD"/>
        </w:rPr>
        <w:t xml:space="preserve">управления отходами, за исключением опасных отходов, размещаются на официальном сайте Счетной палаты </w:t>
      </w:r>
      <w:r w:rsidRPr="00856FCB">
        <w:rPr>
          <w:rFonts w:asciiTheme="majorBidi" w:eastAsia="Calibri" w:hAnsiTheme="majorBidi" w:cstheme="majorBidi"/>
          <w:sz w:val="28"/>
          <w:szCs w:val="28"/>
          <w:lang w:val="ru-MD"/>
        </w:rPr>
        <w:t xml:space="preserve"> (</w:t>
      </w:r>
      <w:hyperlink r:id="rId8" w:history="1">
        <w:r w:rsidRPr="00856FCB">
          <w:rPr>
            <w:rStyle w:val="a8"/>
            <w:rFonts w:asciiTheme="majorBidi" w:eastAsia="Calibri" w:hAnsiTheme="majorBidi" w:cstheme="majorBidi"/>
            <w:color w:val="002060"/>
            <w:sz w:val="28"/>
            <w:szCs w:val="28"/>
            <w:lang w:val="ru-MD"/>
          </w:rPr>
          <w:t>https://www.ccrm.md/ro/decisions</w:t>
        </w:r>
      </w:hyperlink>
      <w:r w:rsidRPr="00856FCB">
        <w:rPr>
          <w:rFonts w:asciiTheme="majorBidi" w:eastAsia="Calibri" w:hAnsiTheme="majorBidi" w:cstheme="majorBidi"/>
          <w:sz w:val="28"/>
          <w:szCs w:val="28"/>
          <w:lang w:val="ru-MD"/>
        </w:rPr>
        <w:t>).</w:t>
      </w:r>
    </w:p>
    <w:p w:rsidR="0004304E" w:rsidRPr="00856FCB" w:rsidRDefault="0004304E" w:rsidP="0004304E">
      <w:pPr>
        <w:spacing w:after="0" w:line="276" w:lineRule="auto"/>
        <w:ind w:left="7200"/>
        <w:jc w:val="right"/>
        <w:rPr>
          <w:rFonts w:ascii="Times New Roman" w:eastAsia="Times New Roman" w:hAnsi="Times New Roman" w:cs="Times New Roman"/>
          <w:b/>
          <w:sz w:val="28"/>
          <w:szCs w:val="28"/>
          <w:lang w:val="ru-MD"/>
        </w:rPr>
      </w:pPr>
      <w:r w:rsidRPr="00856FCB">
        <w:rPr>
          <w:rFonts w:ascii="Times New Roman" w:eastAsia="Times New Roman" w:hAnsi="Times New Roman" w:cs="Times New Roman"/>
          <w:b/>
          <w:sz w:val="28"/>
          <w:szCs w:val="28"/>
          <w:lang w:val="ru-MD"/>
        </w:rPr>
        <w:t>Мариан ЛУПУ,</w:t>
      </w:r>
    </w:p>
    <w:p w:rsidR="0004304E" w:rsidRPr="00856FCB" w:rsidRDefault="0004304E" w:rsidP="0004304E">
      <w:pPr>
        <w:spacing w:after="0" w:line="276" w:lineRule="auto"/>
        <w:ind w:left="7200"/>
        <w:jc w:val="right"/>
        <w:rPr>
          <w:rFonts w:ascii="Times New Roman" w:eastAsia="Times New Roman" w:hAnsi="Times New Roman" w:cs="Times New Roman"/>
          <w:b/>
          <w:sz w:val="28"/>
          <w:szCs w:val="28"/>
          <w:lang w:val="ru-MD"/>
        </w:rPr>
      </w:pPr>
      <w:r w:rsidRPr="00856FCB">
        <w:rPr>
          <w:rFonts w:ascii="Times New Roman" w:eastAsia="Times New Roman" w:hAnsi="Times New Roman" w:cs="Times New Roman"/>
          <w:b/>
          <w:sz w:val="28"/>
          <w:szCs w:val="28"/>
          <w:lang w:val="ru-MD"/>
        </w:rPr>
        <w:t>Председатель</w:t>
      </w:r>
    </w:p>
    <w:sectPr w:rsidR="0004304E" w:rsidRPr="00856FC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54" w:rsidRDefault="009C1E54" w:rsidP="0004304E">
      <w:pPr>
        <w:spacing w:after="0" w:line="240" w:lineRule="auto"/>
      </w:pPr>
      <w:r>
        <w:separator/>
      </w:r>
    </w:p>
  </w:endnote>
  <w:endnote w:type="continuationSeparator" w:id="0">
    <w:p w:rsidR="009C1E54" w:rsidRDefault="009C1E54" w:rsidP="0004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591190"/>
      <w:docPartObj>
        <w:docPartGallery w:val="Page Numbers (Bottom of Page)"/>
        <w:docPartUnique/>
      </w:docPartObj>
    </w:sdtPr>
    <w:sdtEndPr/>
    <w:sdtContent>
      <w:p w:rsidR="0004304E" w:rsidRDefault="0004304E">
        <w:pPr>
          <w:pStyle w:val="ad"/>
          <w:jc w:val="right"/>
        </w:pPr>
        <w:r>
          <w:fldChar w:fldCharType="begin"/>
        </w:r>
        <w:r>
          <w:instrText>PAGE   \* MERGEFORMAT</w:instrText>
        </w:r>
        <w:r>
          <w:fldChar w:fldCharType="separate"/>
        </w:r>
        <w:r w:rsidR="009C1E54" w:rsidRPr="009C1E54">
          <w:rPr>
            <w:noProof/>
            <w:lang w:val="ru-RU"/>
          </w:rPr>
          <w:t>1</w:t>
        </w:r>
        <w:r>
          <w:fldChar w:fldCharType="end"/>
        </w:r>
      </w:p>
    </w:sdtContent>
  </w:sdt>
  <w:p w:rsidR="0004304E" w:rsidRDefault="000430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54" w:rsidRDefault="009C1E54" w:rsidP="0004304E">
      <w:pPr>
        <w:spacing w:after="0" w:line="240" w:lineRule="auto"/>
      </w:pPr>
      <w:r>
        <w:separator/>
      </w:r>
    </w:p>
  </w:footnote>
  <w:footnote w:type="continuationSeparator" w:id="0">
    <w:p w:rsidR="009C1E54" w:rsidRDefault="009C1E54" w:rsidP="0004304E">
      <w:pPr>
        <w:spacing w:after="0" w:line="240" w:lineRule="auto"/>
      </w:pPr>
      <w:r>
        <w:continuationSeparator/>
      </w:r>
    </w:p>
  </w:footnote>
  <w:footnote w:id="1">
    <w:p w:rsidR="0004304E" w:rsidRPr="0004304E" w:rsidRDefault="0004304E" w:rsidP="0004304E">
      <w:pPr>
        <w:pStyle w:val="a6"/>
        <w:jc w:val="both"/>
        <w:rPr>
          <w:rFonts w:ascii="Times New Roman" w:eastAsia="Times New Roman" w:hAnsi="Times New Roman"/>
          <w:sz w:val="18"/>
          <w:szCs w:val="18"/>
        </w:rPr>
      </w:pPr>
      <w:r w:rsidRPr="0004304E">
        <w:rPr>
          <w:rFonts w:ascii="Times New Roman" w:eastAsia="Times New Roman" w:hAnsi="Times New Roman"/>
          <w:sz w:val="18"/>
          <w:szCs w:val="18"/>
          <w:vertAlign w:val="superscript"/>
        </w:rPr>
        <w:footnoteRef/>
      </w:r>
      <w:r w:rsidRPr="0004304E">
        <w:rPr>
          <w:rFonts w:ascii="Times New Roman" w:eastAsia="Times New Roman" w:hAnsi="Times New Roman"/>
          <w:sz w:val="18"/>
          <w:szCs w:val="18"/>
        </w:rPr>
        <w:t xml:space="preserve"> Закон об организации и функционировании Счетной палаты Республики Молдова №260 от 07.12.2017 (далее – Закон №260 от 07.12.2017).</w:t>
      </w:r>
    </w:p>
  </w:footnote>
  <w:footnote w:id="2">
    <w:p w:rsidR="0004304E" w:rsidRPr="001856B9" w:rsidRDefault="0004304E" w:rsidP="0004304E">
      <w:pPr>
        <w:pStyle w:val="a6"/>
        <w:jc w:val="both"/>
        <w:rPr>
          <w:rFonts w:ascii="Times New Roman" w:hAnsi="Times New Roman"/>
          <w:sz w:val="18"/>
          <w:szCs w:val="18"/>
        </w:rPr>
      </w:pPr>
      <w:r w:rsidRPr="001856B9">
        <w:rPr>
          <w:rStyle w:val="a7"/>
          <w:rFonts w:ascii="Times New Roman" w:hAnsi="Times New Roman"/>
          <w:sz w:val="18"/>
          <w:szCs w:val="18"/>
          <w:lang w:val="ro-RO"/>
        </w:rPr>
        <w:footnoteRef/>
      </w:r>
      <w:r w:rsidRPr="001856B9">
        <w:rPr>
          <w:rFonts w:ascii="Times New Roman" w:hAnsi="Times New Roman"/>
          <w:sz w:val="18"/>
          <w:szCs w:val="18"/>
          <w:lang w:val="ro-RO"/>
        </w:rPr>
        <w:t xml:space="preserve"> </w:t>
      </w:r>
      <w:r w:rsidRPr="001856B9">
        <w:rPr>
          <w:rFonts w:ascii="Times New Roman" w:hAnsi="Times New Roman"/>
          <w:sz w:val="18"/>
          <w:szCs w:val="18"/>
        </w:rPr>
        <w:t>Программ</w:t>
      </w:r>
      <w:r>
        <w:rPr>
          <w:rFonts w:ascii="Times New Roman" w:hAnsi="Times New Roman"/>
          <w:sz w:val="18"/>
          <w:szCs w:val="18"/>
        </w:rPr>
        <w:t>а</w:t>
      </w:r>
      <w:r w:rsidRPr="001856B9">
        <w:rPr>
          <w:rFonts w:ascii="Times New Roman" w:hAnsi="Times New Roman"/>
          <w:sz w:val="18"/>
          <w:szCs w:val="18"/>
        </w:rPr>
        <w:t xml:space="preserve"> аудиторской деятельности Счетной палаты на </w:t>
      </w:r>
      <w:r w:rsidRPr="001856B9">
        <w:rPr>
          <w:rFonts w:ascii="Times New Roman" w:eastAsia="Times New Roman" w:hAnsi="Times New Roman"/>
          <w:sz w:val="18"/>
          <w:szCs w:val="18"/>
          <w:lang w:val="ro-RO"/>
        </w:rPr>
        <w:t>2023</w:t>
      </w:r>
      <w:r>
        <w:rPr>
          <w:rFonts w:ascii="Times New Roman" w:eastAsia="Times New Roman" w:hAnsi="Times New Roman"/>
          <w:sz w:val="18"/>
          <w:szCs w:val="18"/>
        </w:rPr>
        <w:t xml:space="preserve"> год,</w:t>
      </w:r>
      <w:r w:rsidRPr="001856B9">
        <w:rPr>
          <w:rFonts w:ascii="Times New Roman" w:hAnsi="Times New Roman"/>
          <w:sz w:val="18"/>
          <w:szCs w:val="18"/>
        </w:rPr>
        <w:t xml:space="preserve"> утвержден</w:t>
      </w:r>
      <w:r>
        <w:rPr>
          <w:rFonts w:ascii="Times New Roman" w:hAnsi="Times New Roman"/>
          <w:sz w:val="18"/>
          <w:szCs w:val="18"/>
        </w:rPr>
        <w:t xml:space="preserve">ная </w:t>
      </w:r>
      <w:r w:rsidRPr="001856B9">
        <w:rPr>
          <w:rFonts w:ascii="Times New Roman" w:hAnsi="Times New Roman"/>
          <w:sz w:val="18"/>
          <w:szCs w:val="18"/>
        </w:rPr>
        <w:t>Постановление</w:t>
      </w:r>
      <w:r>
        <w:rPr>
          <w:rFonts w:ascii="Times New Roman" w:hAnsi="Times New Roman"/>
          <w:sz w:val="18"/>
          <w:szCs w:val="18"/>
        </w:rPr>
        <w:t>м</w:t>
      </w:r>
      <w:r w:rsidRPr="001856B9">
        <w:rPr>
          <w:rFonts w:ascii="Times New Roman" w:hAnsi="Times New Roman"/>
          <w:sz w:val="18"/>
          <w:szCs w:val="18"/>
        </w:rPr>
        <w:t xml:space="preserve"> Счетной палаты №65 от 22.12.2022.</w:t>
      </w:r>
    </w:p>
  </w:footnote>
  <w:footnote w:id="3">
    <w:p w:rsidR="0004304E" w:rsidRPr="0004304E" w:rsidRDefault="0004304E" w:rsidP="0004304E">
      <w:pPr>
        <w:pStyle w:val="a6"/>
        <w:jc w:val="both"/>
        <w:rPr>
          <w:rFonts w:asciiTheme="majorBidi" w:hAnsiTheme="majorBidi" w:cstheme="majorBidi"/>
          <w:sz w:val="18"/>
          <w:szCs w:val="18"/>
        </w:rPr>
      </w:pPr>
      <w:r w:rsidRPr="0004304E">
        <w:rPr>
          <w:rStyle w:val="a7"/>
          <w:rFonts w:asciiTheme="majorBidi" w:hAnsiTheme="majorBidi" w:cstheme="majorBidi"/>
          <w:sz w:val="18"/>
          <w:szCs w:val="18"/>
        </w:rPr>
        <w:footnoteRef/>
      </w:r>
      <w:r w:rsidRPr="0004304E">
        <w:rPr>
          <w:rFonts w:asciiTheme="majorBidi" w:hAnsiTheme="majorBidi" w:cstheme="majorBidi"/>
          <w:sz w:val="18"/>
          <w:szCs w:val="18"/>
        </w:rPr>
        <w:t xml:space="preserve"> </w:t>
      </w:r>
      <w:r w:rsidRPr="0004304E">
        <w:rPr>
          <w:rFonts w:asciiTheme="majorBidi" w:hAnsiTheme="majorBidi" w:cstheme="majorBidi"/>
          <w:sz w:val="18"/>
          <w:szCs w:val="18"/>
          <w:lang w:val="en-US"/>
        </w:rPr>
        <w:t>ISSAI</w:t>
      </w:r>
      <w:r w:rsidRPr="0004304E">
        <w:rPr>
          <w:rFonts w:asciiTheme="majorBidi" w:hAnsiTheme="majorBidi" w:cstheme="majorBidi"/>
          <w:sz w:val="18"/>
          <w:szCs w:val="18"/>
        </w:rPr>
        <w:t xml:space="preserve"> 100 „</w:t>
      </w:r>
      <w:r>
        <w:rPr>
          <w:rFonts w:asciiTheme="majorBidi" w:hAnsiTheme="majorBidi" w:cstheme="majorBidi"/>
          <w:sz w:val="18"/>
          <w:szCs w:val="18"/>
        </w:rPr>
        <w:t>Основополагающие принципы аудита публичного сектора</w:t>
      </w:r>
      <w:r w:rsidRPr="0004304E">
        <w:rPr>
          <w:rFonts w:asciiTheme="majorBidi" w:hAnsiTheme="majorBidi" w:cstheme="majorBidi"/>
          <w:sz w:val="18"/>
          <w:szCs w:val="18"/>
        </w:rPr>
        <w:t xml:space="preserve">”; </w:t>
      </w:r>
      <w:r w:rsidRPr="0004304E">
        <w:rPr>
          <w:rFonts w:asciiTheme="majorBidi" w:hAnsiTheme="majorBidi" w:cstheme="majorBidi"/>
          <w:sz w:val="18"/>
          <w:szCs w:val="18"/>
          <w:lang w:val="en-US"/>
        </w:rPr>
        <w:t>ISSAI</w:t>
      </w:r>
      <w:r w:rsidRPr="0004304E">
        <w:rPr>
          <w:rFonts w:asciiTheme="majorBidi" w:hAnsiTheme="majorBidi" w:cstheme="majorBidi"/>
          <w:sz w:val="18"/>
          <w:szCs w:val="18"/>
        </w:rPr>
        <w:t xml:space="preserve"> 400 „</w:t>
      </w:r>
      <w:r>
        <w:rPr>
          <w:rFonts w:asciiTheme="majorBidi" w:hAnsiTheme="majorBidi" w:cstheme="majorBidi"/>
          <w:sz w:val="18"/>
          <w:szCs w:val="18"/>
        </w:rPr>
        <w:t>Основополагающие принципы аудита соответствия</w:t>
      </w:r>
      <w:r w:rsidRPr="0004304E">
        <w:rPr>
          <w:rFonts w:asciiTheme="majorBidi" w:hAnsiTheme="majorBidi" w:cstheme="majorBidi"/>
          <w:sz w:val="18"/>
          <w:szCs w:val="18"/>
        </w:rPr>
        <w:t xml:space="preserve">” </w:t>
      </w:r>
      <w:r>
        <w:rPr>
          <w:rFonts w:asciiTheme="majorBidi" w:hAnsiTheme="majorBidi" w:cstheme="majorBidi"/>
          <w:sz w:val="18"/>
          <w:szCs w:val="18"/>
        </w:rPr>
        <w:t>и</w:t>
      </w:r>
      <w:r w:rsidRPr="0004304E">
        <w:rPr>
          <w:rFonts w:asciiTheme="majorBidi" w:hAnsiTheme="majorBidi" w:cstheme="majorBidi"/>
          <w:sz w:val="18"/>
          <w:szCs w:val="18"/>
        </w:rPr>
        <w:t xml:space="preserve"> </w:t>
      </w:r>
      <w:r w:rsidRPr="0004304E">
        <w:rPr>
          <w:rFonts w:asciiTheme="majorBidi" w:hAnsiTheme="majorBidi" w:cstheme="majorBidi"/>
          <w:sz w:val="18"/>
          <w:szCs w:val="18"/>
          <w:lang w:val="en-US"/>
        </w:rPr>
        <w:t>ISSAI</w:t>
      </w:r>
      <w:r w:rsidRPr="0004304E">
        <w:rPr>
          <w:rFonts w:asciiTheme="majorBidi" w:hAnsiTheme="majorBidi" w:cstheme="majorBidi"/>
          <w:sz w:val="18"/>
          <w:szCs w:val="18"/>
        </w:rPr>
        <w:t xml:space="preserve"> 4000</w:t>
      </w:r>
      <w:r>
        <w:rPr>
          <w:rFonts w:asciiTheme="majorBidi" w:hAnsiTheme="majorBidi" w:cstheme="majorBidi"/>
          <w:sz w:val="18"/>
          <w:szCs w:val="18"/>
        </w:rPr>
        <w:t xml:space="preserve"> </w:t>
      </w:r>
      <w:r w:rsidRPr="0004304E">
        <w:rPr>
          <w:rFonts w:asciiTheme="majorBidi" w:hAnsiTheme="majorBidi" w:cstheme="majorBidi"/>
          <w:sz w:val="18"/>
          <w:szCs w:val="18"/>
        </w:rPr>
        <w:t>„</w:t>
      </w:r>
      <w:r>
        <w:rPr>
          <w:rFonts w:asciiTheme="majorBidi" w:hAnsiTheme="majorBidi" w:cstheme="majorBidi"/>
          <w:sz w:val="18"/>
          <w:szCs w:val="18"/>
        </w:rPr>
        <w:t>Стандарт аудита соответствия</w:t>
      </w:r>
      <w:r w:rsidRPr="0004304E">
        <w:rPr>
          <w:rFonts w:asciiTheme="majorBidi" w:hAnsiTheme="majorBidi" w:cstheme="majorBidi"/>
          <w:sz w:val="18"/>
          <w:szCs w:val="18"/>
        </w:rPr>
        <w:t>”,</w:t>
      </w:r>
      <w:r>
        <w:rPr>
          <w:rFonts w:asciiTheme="majorBidi" w:hAnsiTheme="majorBidi" w:cstheme="majorBidi"/>
          <w:sz w:val="18"/>
          <w:szCs w:val="18"/>
        </w:rPr>
        <w:t xml:space="preserve"> </w:t>
      </w:r>
      <w:r w:rsidRPr="001856B9">
        <w:rPr>
          <w:rFonts w:ascii="Times New Roman" w:hAnsi="Times New Roman"/>
          <w:sz w:val="18"/>
          <w:szCs w:val="18"/>
        </w:rPr>
        <w:t>утвержден</w:t>
      </w:r>
      <w:r>
        <w:rPr>
          <w:rFonts w:ascii="Times New Roman" w:hAnsi="Times New Roman"/>
          <w:sz w:val="18"/>
          <w:szCs w:val="18"/>
        </w:rPr>
        <w:t xml:space="preserve">ные </w:t>
      </w:r>
      <w:r w:rsidRPr="001856B9">
        <w:rPr>
          <w:rFonts w:ascii="Times New Roman" w:hAnsi="Times New Roman"/>
          <w:sz w:val="18"/>
          <w:szCs w:val="18"/>
        </w:rPr>
        <w:t>Постановление</w:t>
      </w:r>
      <w:r>
        <w:rPr>
          <w:rFonts w:ascii="Times New Roman" w:hAnsi="Times New Roman"/>
          <w:sz w:val="18"/>
          <w:szCs w:val="18"/>
        </w:rPr>
        <w:t>м</w:t>
      </w:r>
      <w:r w:rsidRPr="001856B9">
        <w:rPr>
          <w:rFonts w:ascii="Times New Roman" w:hAnsi="Times New Roman"/>
          <w:sz w:val="18"/>
          <w:szCs w:val="18"/>
        </w:rPr>
        <w:t xml:space="preserve"> Счетной палаты №</w:t>
      </w:r>
      <w:r w:rsidRPr="0004304E">
        <w:rPr>
          <w:rFonts w:asciiTheme="majorBidi" w:hAnsiTheme="majorBidi" w:cstheme="majorBidi"/>
          <w:sz w:val="18"/>
          <w:szCs w:val="18"/>
        </w:rPr>
        <w:t xml:space="preserve">2 </w:t>
      </w:r>
      <w:r>
        <w:rPr>
          <w:rFonts w:asciiTheme="majorBidi" w:hAnsiTheme="majorBidi" w:cstheme="majorBidi"/>
          <w:sz w:val="18"/>
          <w:szCs w:val="18"/>
        </w:rPr>
        <w:t xml:space="preserve">от </w:t>
      </w:r>
      <w:r w:rsidRPr="0004304E">
        <w:rPr>
          <w:rFonts w:asciiTheme="majorBidi" w:hAnsiTheme="majorBidi" w:cstheme="majorBidi"/>
          <w:sz w:val="18"/>
          <w:szCs w:val="18"/>
        </w:rPr>
        <w:t>24.01.2020.</w:t>
      </w:r>
    </w:p>
  </w:footnote>
  <w:footnote w:id="4">
    <w:p w:rsidR="0004304E" w:rsidRPr="0004304E" w:rsidRDefault="0004304E" w:rsidP="0004304E">
      <w:pPr>
        <w:pStyle w:val="a6"/>
        <w:jc w:val="both"/>
        <w:rPr>
          <w:sz w:val="18"/>
          <w:szCs w:val="18"/>
        </w:rPr>
      </w:pPr>
      <w:r w:rsidRPr="0004304E">
        <w:rPr>
          <w:rStyle w:val="a7"/>
          <w:sz w:val="18"/>
          <w:szCs w:val="18"/>
        </w:rPr>
        <w:footnoteRef/>
      </w:r>
      <w:r w:rsidRPr="0004304E">
        <w:rPr>
          <w:sz w:val="18"/>
          <w:szCs w:val="18"/>
        </w:rPr>
        <w:t xml:space="preserve"> </w:t>
      </w:r>
      <w:r w:rsidRPr="0004304E">
        <w:rPr>
          <w:rFonts w:ascii="Times New Roman" w:hAnsi="Times New Roman" w:cs="Times New Roman"/>
          <w:sz w:val="18"/>
          <w:szCs w:val="18"/>
        </w:rPr>
        <w:t>Агентство по международному сотрудничеству Германии, Федеральное министерство по экономическому сотрудничеству и развитию (</w:t>
      </w:r>
      <w:r w:rsidRPr="0004304E">
        <w:rPr>
          <w:rFonts w:ascii="Times New Roman" w:hAnsi="Times New Roman" w:cs="Times New Roman"/>
          <w:sz w:val="18"/>
          <w:szCs w:val="18"/>
          <w:lang w:val="en-US"/>
        </w:rPr>
        <w:t>BMZ</w:t>
      </w:r>
      <w:r w:rsidRPr="0004304E">
        <w:rPr>
          <w:rFonts w:ascii="Times New Roman" w:hAnsi="Times New Roman" w:cs="Times New Roman"/>
          <w:sz w:val="18"/>
          <w:szCs w:val="18"/>
        </w:rPr>
        <w:t xml:space="preserve">), </w:t>
      </w:r>
      <w:r>
        <w:rPr>
          <w:rFonts w:ascii="Times New Roman" w:hAnsi="Times New Roman" w:cs="Times New Roman"/>
          <w:sz w:val="18"/>
          <w:szCs w:val="18"/>
        </w:rPr>
        <w:t>Правительство Румынии</w:t>
      </w:r>
      <w:r w:rsidRPr="0004304E">
        <w:rPr>
          <w:rFonts w:ascii="Times New Roman" w:hAnsi="Times New Roman" w:cs="Times New Roman"/>
          <w:sz w:val="18"/>
          <w:szCs w:val="18"/>
        </w:rPr>
        <w:t xml:space="preserve">, </w:t>
      </w:r>
      <w:r w:rsidRPr="0004304E">
        <w:rPr>
          <w:rFonts w:ascii="Times New Roman" w:hAnsi="Times New Roman" w:cs="Times New Roman"/>
          <w:color w:val="000000" w:themeColor="text1"/>
          <w:sz w:val="18"/>
          <w:szCs w:val="18"/>
        </w:rPr>
        <w:t>Шведское агентство международного развития и сотрудничества</w:t>
      </w:r>
      <w:r w:rsidRPr="0004304E">
        <w:rPr>
          <w:rFonts w:ascii="Times New Roman" w:hAnsi="Times New Roman" w:cs="Times New Roman"/>
          <w:sz w:val="18"/>
          <w:szCs w:val="18"/>
        </w:rPr>
        <w:t xml:space="preserve"> (</w:t>
      </w:r>
      <w:r w:rsidRPr="0004304E">
        <w:rPr>
          <w:rFonts w:ascii="Times New Roman" w:hAnsi="Times New Roman" w:cs="Times New Roman"/>
          <w:sz w:val="18"/>
          <w:szCs w:val="18"/>
          <w:lang w:val="en-US"/>
        </w:rPr>
        <w:t>SIDA</w:t>
      </w:r>
      <w:r w:rsidRPr="0004304E">
        <w:rPr>
          <w:rFonts w:ascii="Times New Roman" w:hAnsi="Times New Roman" w:cs="Times New Roman"/>
          <w:sz w:val="18"/>
          <w:szCs w:val="18"/>
        </w:rPr>
        <w:t xml:space="preserve">) </w:t>
      </w:r>
      <w:r>
        <w:rPr>
          <w:rFonts w:ascii="Times New Roman" w:hAnsi="Times New Roman" w:cs="Times New Roman"/>
          <w:sz w:val="18"/>
          <w:szCs w:val="18"/>
        </w:rPr>
        <w:t>и Европейский Союз</w:t>
      </w:r>
      <w:r w:rsidRPr="0004304E">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6D64"/>
    <w:multiLevelType w:val="hybridMultilevel"/>
    <w:tmpl w:val="E7F67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27E0"/>
    <w:multiLevelType w:val="hybridMultilevel"/>
    <w:tmpl w:val="DA3A9414"/>
    <w:lvl w:ilvl="0" w:tplc="570249FC">
      <w:start w:val="1"/>
      <w:numFmt w:val="decimal"/>
      <w:suff w:val="space"/>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522C3F"/>
    <w:multiLevelType w:val="multilevel"/>
    <w:tmpl w:val="233642C6"/>
    <w:lvl w:ilvl="0">
      <w:start w:val="2"/>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b/>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736B56"/>
    <w:multiLevelType w:val="hybridMultilevel"/>
    <w:tmpl w:val="B3F076C8"/>
    <w:lvl w:ilvl="0" w:tplc="863C48D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EA"/>
    <w:rsid w:val="0004304E"/>
    <w:rsid w:val="002409EA"/>
    <w:rsid w:val="0028681E"/>
    <w:rsid w:val="004E71D3"/>
    <w:rsid w:val="006E7669"/>
    <w:rsid w:val="00856FCB"/>
    <w:rsid w:val="009C1E54"/>
    <w:rsid w:val="00DC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62D78-BBDD-4D3F-8826-ECE8FC18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4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04E"/>
    <w:rPr>
      <w:rFonts w:ascii="Tahoma" w:hAnsi="Tahoma" w:cs="Tahoma"/>
      <w:sz w:val="16"/>
      <w:szCs w:val="16"/>
    </w:rPr>
  </w:style>
  <w:style w:type="character" w:customStyle="1" w:styleId="a5">
    <w:name w:val="Текст сноски Знак"/>
    <w:aliases w:val="Char Знак,Знак1 Знак,Fußnote Char Char Знак,Fußnote Char Знак,Fußnote Char Car Char Char Знак,Fußnote Char Car Char Char Char Char Char Char Char Char Char Char Знак,fn Знак,single space Знак,A Знак"/>
    <w:basedOn w:val="a0"/>
    <w:link w:val="a6"/>
    <w:uiPriority w:val="99"/>
    <w:qFormat/>
    <w:locked/>
    <w:rsid w:val="0004304E"/>
    <w:rPr>
      <w:sz w:val="20"/>
      <w:szCs w:val="20"/>
    </w:rPr>
  </w:style>
  <w:style w:type="paragraph" w:styleId="a6">
    <w:name w:val="footnote text"/>
    <w:aliases w:val="Char,Знак1,Fußnote Char Char,Fußnote Char,Fußnote Char Car Char Char,Fußnote Char Car Char Char Char Char Char Char Char Char Char Char,Fußnote Char Car Char Char Char Char Char Char Char Char Char Char Char Char Char Char,fn,single space,A"/>
    <w:basedOn w:val="a"/>
    <w:link w:val="a5"/>
    <w:uiPriority w:val="99"/>
    <w:unhideWhenUsed/>
    <w:qFormat/>
    <w:rsid w:val="0004304E"/>
    <w:pPr>
      <w:spacing w:after="0" w:line="240" w:lineRule="auto"/>
    </w:pPr>
    <w:rPr>
      <w:sz w:val="20"/>
      <w:szCs w:val="20"/>
      <w:lang w:val="ru-RU"/>
    </w:rPr>
  </w:style>
  <w:style w:type="character" w:customStyle="1" w:styleId="1">
    <w:name w:val="Текст сноски Знак1"/>
    <w:basedOn w:val="a0"/>
    <w:uiPriority w:val="99"/>
    <w:semiHidden/>
    <w:rsid w:val="0004304E"/>
    <w:rPr>
      <w:sz w:val="20"/>
      <w:szCs w:val="20"/>
      <w:lang w:val="en-US"/>
    </w:rPr>
  </w:style>
  <w:style w:type="character" w:styleId="a7">
    <w:name w:val="footnote reference"/>
    <w:aliases w:val="Footnote Text Char2,fr,Cha Char1,R,number,SUPERS,FR,Знак1 Char1,ftref,Times 10 Point,Exposant 3 Point,Footnote symbol,Footnote reference number,EN Footnote Reference,note TESI,16 Point,Superscript 6 Point,BVI fnr,Char Char1,FOOTNOTES Char1"/>
    <w:basedOn w:val="a0"/>
    <w:uiPriority w:val="99"/>
    <w:unhideWhenUsed/>
    <w:qFormat/>
    <w:rsid w:val="0004304E"/>
    <w:rPr>
      <w:vertAlign w:val="superscript"/>
    </w:rPr>
  </w:style>
  <w:style w:type="character" w:styleId="a8">
    <w:name w:val="Hyperlink"/>
    <w:basedOn w:val="a0"/>
    <w:uiPriority w:val="99"/>
    <w:unhideWhenUsed/>
    <w:rsid w:val="0004304E"/>
    <w:rPr>
      <w:color w:val="0000FF" w:themeColor="hyperlink"/>
      <w:u w:val="single"/>
    </w:rPr>
  </w:style>
  <w:style w:type="paragraph" w:styleId="a9">
    <w:name w:val="List Paragraph"/>
    <w:aliases w:val="List Paragraph 1,Scriptoria bullet points,strikethrough,Абзац списка1,standaard met opsomming,List Paragraph1,Bullets,References,Liste 1,List Paragraph nowy,Numbered List Paragraph,List Paragraph (numbered (a)),Medium Grid 1 - Accent 21"/>
    <w:basedOn w:val="a"/>
    <w:link w:val="aa"/>
    <w:uiPriority w:val="34"/>
    <w:qFormat/>
    <w:rsid w:val="0004304E"/>
    <w:pPr>
      <w:ind w:left="720"/>
      <w:contextualSpacing/>
    </w:pPr>
  </w:style>
  <w:style w:type="character" w:customStyle="1" w:styleId="aa">
    <w:name w:val="Абзац списка Знак"/>
    <w:aliases w:val="List Paragraph 1 Знак,Scriptoria bullet points Знак,strikethrough Знак,Абзац списка1 Знак,standaard met opsomming Знак,List Paragraph1 Знак,Bullets Знак,References Знак,Liste 1 Знак,List Paragraph nowy Знак,Numbered List Paragraph Знак"/>
    <w:link w:val="a9"/>
    <w:uiPriority w:val="34"/>
    <w:qFormat/>
    <w:locked/>
    <w:rsid w:val="0004304E"/>
    <w:rPr>
      <w:lang w:val="en-US"/>
    </w:rPr>
  </w:style>
  <w:style w:type="paragraph" w:styleId="ab">
    <w:name w:val="header"/>
    <w:basedOn w:val="a"/>
    <w:link w:val="ac"/>
    <w:uiPriority w:val="99"/>
    <w:unhideWhenUsed/>
    <w:rsid w:val="000430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304E"/>
    <w:rPr>
      <w:lang w:val="en-US"/>
    </w:rPr>
  </w:style>
  <w:style w:type="paragraph" w:styleId="ad">
    <w:name w:val="footer"/>
    <w:basedOn w:val="a"/>
    <w:link w:val="ae"/>
    <w:uiPriority w:val="99"/>
    <w:unhideWhenUsed/>
    <w:rsid w:val="000430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304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503">
      <w:bodyDiv w:val="1"/>
      <w:marLeft w:val="0"/>
      <w:marRight w:val="0"/>
      <w:marTop w:val="0"/>
      <w:marBottom w:val="0"/>
      <w:divBdr>
        <w:top w:val="none" w:sz="0" w:space="0" w:color="auto"/>
        <w:left w:val="none" w:sz="0" w:space="0" w:color="auto"/>
        <w:bottom w:val="none" w:sz="0" w:space="0" w:color="auto"/>
        <w:right w:val="none" w:sz="0" w:space="0" w:color="auto"/>
      </w:divBdr>
    </w:div>
    <w:div w:id="280381257">
      <w:bodyDiv w:val="1"/>
      <w:marLeft w:val="0"/>
      <w:marRight w:val="0"/>
      <w:marTop w:val="0"/>
      <w:marBottom w:val="0"/>
      <w:divBdr>
        <w:top w:val="none" w:sz="0" w:space="0" w:color="auto"/>
        <w:left w:val="none" w:sz="0" w:space="0" w:color="auto"/>
        <w:bottom w:val="none" w:sz="0" w:space="0" w:color="auto"/>
        <w:right w:val="none" w:sz="0" w:space="0" w:color="auto"/>
      </w:divBdr>
    </w:div>
    <w:div w:id="307247063">
      <w:bodyDiv w:val="1"/>
      <w:marLeft w:val="0"/>
      <w:marRight w:val="0"/>
      <w:marTop w:val="0"/>
      <w:marBottom w:val="0"/>
      <w:divBdr>
        <w:top w:val="none" w:sz="0" w:space="0" w:color="auto"/>
        <w:left w:val="none" w:sz="0" w:space="0" w:color="auto"/>
        <w:bottom w:val="none" w:sz="0" w:space="0" w:color="auto"/>
        <w:right w:val="none" w:sz="0" w:space="0" w:color="auto"/>
      </w:divBdr>
    </w:div>
    <w:div w:id="488257641">
      <w:bodyDiv w:val="1"/>
      <w:marLeft w:val="0"/>
      <w:marRight w:val="0"/>
      <w:marTop w:val="0"/>
      <w:marBottom w:val="0"/>
      <w:divBdr>
        <w:top w:val="none" w:sz="0" w:space="0" w:color="auto"/>
        <w:left w:val="none" w:sz="0" w:space="0" w:color="auto"/>
        <w:bottom w:val="none" w:sz="0" w:space="0" w:color="auto"/>
        <w:right w:val="none" w:sz="0" w:space="0" w:color="auto"/>
      </w:divBdr>
    </w:div>
    <w:div w:id="562450354">
      <w:bodyDiv w:val="1"/>
      <w:marLeft w:val="0"/>
      <w:marRight w:val="0"/>
      <w:marTop w:val="0"/>
      <w:marBottom w:val="0"/>
      <w:divBdr>
        <w:top w:val="none" w:sz="0" w:space="0" w:color="auto"/>
        <w:left w:val="none" w:sz="0" w:space="0" w:color="auto"/>
        <w:bottom w:val="none" w:sz="0" w:space="0" w:color="auto"/>
        <w:right w:val="none" w:sz="0" w:space="0" w:color="auto"/>
      </w:divBdr>
    </w:div>
    <w:div w:id="665401973">
      <w:bodyDiv w:val="1"/>
      <w:marLeft w:val="0"/>
      <w:marRight w:val="0"/>
      <w:marTop w:val="0"/>
      <w:marBottom w:val="0"/>
      <w:divBdr>
        <w:top w:val="none" w:sz="0" w:space="0" w:color="auto"/>
        <w:left w:val="none" w:sz="0" w:space="0" w:color="auto"/>
        <w:bottom w:val="none" w:sz="0" w:space="0" w:color="auto"/>
        <w:right w:val="none" w:sz="0" w:space="0" w:color="auto"/>
      </w:divBdr>
    </w:div>
    <w:div w:id="1012992830">
      <w:bodyDiv w:val="1"/>
      <w:marLeft w:val="0"/>
      <w:marRight w:val="0"/>
      <w:marTop w:val="0"/>
      <w:marBottom w:val="0"/>
      <w:divBdr>
        <w:top w:val="none" w:sz="0" w:space="0" w:color="auto"/>
        <w:left w:val="none" w:sz="0" w:space="0" w:color="auto"/>
        <w:bottom w:val="none" w:sz="0" w:space="0" w:color="auto"/>
        <w:right w:val="none" w:sz="0" w:space="0" w:color="auto"/>
      </w:divBdr>
    </w:div>
    <w:div w:id="1094403116">
      <w:bodyDiv w:val="1"/>
      <w:marLeft w:val="0"/>
      <w:marRight w:val="0"/>
      <w:marTop w:val="0"/>
      <w:marBottom w:val="0"/>
      <w:divBdr>
        <w:top w:val="none" w:sz="0" w:space="0" w:color="auto"/>
        <w:left w:val="none" w:sz="0" w:space="0" w:color="auto"/>
        <w:bottom w:val="none" w:sz="0" w:space="0" w:color="auto"/>
        <w:right w:val="none" w:sz="0" w:space="0" w:color="auto"/>
      </w:divBdr>
    </w:div>
    <w:div w:id="1179004735">
      <w:bodyDiv w:val="1"/>
      <w:marLeft w:val="0"/>
      <w:marRight w:val="0"/>
      <w:marTop w:val="0"/>
      <w:marBottom w:val="0"/>
      <w:divBdr>
        <w:top w:val="none" w:sz="0" w:space="0" w:color="auto"/>
        <w:left w:val="none" w:sz="0" w:space="0" w:color="auto"/>
        <w:bottom w:val="none" w:sz="0" w:space="0" w:color="auto"/>
        <w:right w:val="none" w:sz="0" w:space="0" w:color="auto"/>
      </w:divBdr>
    </w:div>
    <w:div w:id="1237277822">
      <w:bodyDiv w:val="1"/>
      <w:marLeft w:val="0"/>
      <w:marRight w:val="0"/>
      <w:marTop w:val="0"/>
      <w:marBottom w:val="0"/>
      <w:divBdr>
        <w:top w:val="none" w:sz="0" w:space="0" w:color="auto"/>
        <w:left w:val="none" w:sz="0" w:space="0" w:color="auto"/>
        <w:bottom w:val="none" w:sz="0" w:space="0" w:color="auto"/>
        <w:right w:val="none" w:sz="0" w:space="0" w:color="auto"/>
      </w:divBdr>
    </w:div>
    <w:div w:id="1424574198">
      <w:bodyDiv w:val="1"/>
      <w:marLeft w:val="0"/>
      <w:marRight w:val="0"/>
      <w:marTop w:val="0"/>
      <w:marBottom w:val="0"/>
      <w:divBdr>
        <w:top w:val="none" w:sz="0" w:space="0" w:color="auto"/>
        <w:left w:val="none" w:sz="0" w:space="0" w:color="auto"/>
        <w:bottom w:val="none" w:sz="0" w:space="0" w:color="auto"/>
        <w:right w:val="none" w:sz="0" w:space="0" w:color="auto"/>
      </w:divBdr>
    </w:div>
    <w:div w:id="1505709146">
      <w:bodyDiv w:val="1"/>
      <w:marLeft w:val="0"/>
      <w:marRight w:val="0"/>
      <w:marTop w:val="0"/>
      <w:marBottom w:val="0"/>
      <w:divBdr>
        <w:top w:val="none" w:sz="0" w:space="0" w:color="auto"/>
        <w:left w:val="none" w:sz="0" w:space="0" w:color="auto"/>
        <w:bottom w:val="none" w:sz="0" w:space="0" w:color="auto"/>
        <w:right w:val="none" w:sz="0" w:space="0" w:color="auto"/>
      </w:divBdr>
    </w:div>
    <w:div w:id="1562595568">
      <w:bodyDiv w:val="1"/>
      <w:marLeft w:val="0"/>
      <w:marRight w:val="0"/>
      <w:marTop w:val="0"/>
      <w:marBottom w:val="0"/>
      <w:divBdr>
        <w:top w:val="none" w:sz="0" w:space="0" w:color="auto"/>
        <w:left w:val="none" w:sz="0" w:space="0" w:color="auto"/>
        <w:bottom w:val="none" w:sz="0" w:space="0" w:color="auto"/>
        <w:right w:val="none" w:sz="0" w:space="0" w:color="auto"/>
      </w:divBdr>
    </w:div>
    <w:div w:id="1572811012">
      <w:bodyDiv w:val="1"/>
      <w:marLeft w:val="0"/>
      <w:marRight w:val="0"/>
      <w:marTop w:val="0"/>
      <w:marBottom w:val="0"/>
      <w:divBdr>
        <w:top w:val="none" w:sz="0" w:space="0" w:color="auto"/>
        <w:left w:val="none" w:sz="0" w:space="0" w:color="auto"/>
        <w:bottom w:val="none" w:sz="0" w:space="0" w:color="auto"/>
        <w:right w:val="none" w:sz="0" w:space="0" w:color="auto"/>
      </w:divBdr>
    </w:div>
    <w:div w:id="1814983685">
      <w:bodyDiv w:val="1"/>
      <w:marLeft w:val="0"/>
      <w:marRight w:val="0"/>
      <w:marTop w:val="0"/>
      <w:marBottom w:val="0"/>
      <w:divBdr>
        <w:top w:val="none" w:sz="0" w:space="0" w:color="auto"/>
        <w:left w:val="none" w:sz="0" w:space="0" w:color="auto"/>
        <w:bottom w:val="none" w:sz="0" w:space="0" w:color="auto"/>
        <w:right w:val="none" w:sz="0" w:space="0" w:color="auto"/>
      </w:divBdr>
    </w:div>
    <w:div w:id="18502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rm.md/hotariri-si-rapoarte-1-9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Paiu Eugenia</cp:lastModifiedBy>
  <cp:revision>2</cp:revision>
  <dcterms:created xsi:type="dcterms:W3CDTF">2024-03-11T06:33:00Z</dcterms:created>
  <dcterms:modified xsi:type="dcterms:W3CDTF">2024-03-11T06:33:00Z</dcterms:modified>
</cp:coreProperties>
</file>