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9DCA" w14:textId="41680705" w:rsidR="00E85DB7" w:rsidRPr="000D19A7" w:rsidRDefault="00E85DB7" w:rsidP="00D63A2D">
      <w:pPr>
        <w:tabs>
          <w:tab w:val="left" w:pos="720"/>
        </w:tabs>
        <w:spacing w:after="0" w:line="276" w:lineRule="auto"/>
        <w:jc w:val="right"/>
        <w:rPr>
          <w:rFonts w:ascii="Times New Roman" w:eastAsia="Times New Roman" w:hAnsi="Times New Roman" w:cs="Times New Roman"/>
          <w:bCs/>
          <w:szCs w:val="24"/>
          <w:lang w:val="ro-MD"/>
        </w:rPr>
      </w:pPr>
      <w:bookmarkStart w:id="0" w:name="_GoBack"/>
      <w:bookmarkEnd w:id="0"/>
      <w:r w:rsidRPr="000D19A7">
        <w:rPr>
          <w:rFonts w:ascii="Times New Roman" w:eastAsia="Times New Roman" w:hAnsi="Times New Roman" w:cs="Times New Roman"/>
          <w:bCs/>
          <w:szCs w:val="24"/>
          <w:lang w:val="ro-MD"/>
        </w:rPr>
        <w:t>Anexă</w:t>
      </w:r>
    </w:p>
    <w:p w14:paraId="03F0345D" w14:textId="3CEEE08B" w:rsidR="00E85DB7" w:rsidRPr="000D19A7" w:rsidRDefault="00E85DB7" w:rsidP="00D63A2D">
      <w:pPr>
        <w:tabs>
          <w:tab w:val="left" w:pos="720"/>
        </w:tabs>
        <w:spacing w:after="0" w:line="276" w:lineRule="auto"/>
        <w:jc w:val="right"/>
        <w:rPr>
          <w:rFonts w:ascii="Times New Roman" w:eastAsia="Times New Roman" w:hAnsi="Times New Roman" w:cs="Times New Roman"/>
          <w:bCs/>
          <w:szCs w:val="24"/>
          <w:lang w:val="ro-MD"/>
        </w:rPr>
      </w:pPr>
      <w:r w:rsidRPr="000D19A7">
        <w:rPr>
          <w:rFonts w:ascii="Times New Roman" w:eastAsia="Times New Roman" w:hAnsi="Times New Roman" w:cs="Times New Roman"/>
          <w:bCs/>
          <w:szCs w:val="24"/>
          <w:lang w:val="ro-MD"/>
        </w:rPr>
        <w:t>la Hotărârea Curții de Conturi</w:t>
      </w:r>
    </w:p>
    <w:p w14:paraId="31158F6E" w14:textId="711A73C3" w:rsidR="00E85DB7" w:rsidRPr="000D19A7" w:rsidRDefault="00E85DB7" w:rsidP="00D63A2D">
      <w:pPr>
        <w:tabs>
          <w:tab w:val="left" w:pos="720"/>
        </w:tabs>
        <w:spacing w:after="0" w:line="276" w:lineRule="auto"/>
        <w:jc w:val="right"/>
        <w:rPr>
          <w:rFonts w:ascii="Times New Roman" w:eastAsia="Times New Roman" w:hAnsi="Times New Roman" w:cs="Times New Roman"/>
          <w:bCs/>
          <w:color w:val="1F4E79" w:themeColor="accent1" w:themeShade="80"/>
          <w:szCs w:val="24"/>
          <w:lang w:val="ro-MD"/>
        </w:rPr>
      </w:pPr>
      <w:r w:rsidRPr="000D19A7">
        <w:rPr>
          <w:rFonts w:ascii="Times New Roman" w:eastAsia="Times New Roman" w:hAnsi="Times New Roman" w:cs="Times New Roman"/>
          <w:bCs/>
          <w:szCs w:val="24"/>
          <w:lang w:val="ro-MD"/>
        </w:rPr>
        <w:t>nr.</w:t>
      </w:r>
      <w:r w:rsidR="00F26579" w:rsidRPr="000D19A7">
        <w:rPr>
          <w:rFonts w:ascii="Times New Roman" w:eastAsia="Times New Roman" w:hAnsi="Times New Roman" w:cs="Times New Roman"/>
          <w:bCs/>
          <w:szCs w:val="24"/>
          <w:lang w:val="ro-MD"/>
        </w:rPr>
        <w:t xml:space="preserve"> 26 </w:t>
      </w:r>
      <w:r w:rsidR="009A4497" w:rsidRPr="000D19A7">
        <w:rPr>
          <w:rFonts w:ascii="Times New Roman" w:eastAsia="Times New Roman" w:hAnsi="Times New Roman" w:cs="Times New Roman"/>
          <w:bCs/>
          <w:szCs w:val="24"/>
          <w:lang w:val="ro-MD"/>
        </w:rPr>
        <w:t>din</w:t>
      </w:r>
      <w:r w:rsidR="00F26579" w:rsidRPr="000D19A7">
        <w:rPr>
          <w:rFonts w:ascii="Times New Roman" w:eastAsia="Times New Roman" w:hAnsi="Times New Roman" w:cs="Times New Roman"/>
          <w:bCs/>
          <w:szCs w:val="24"/>
          <w:lang w:val="ro-MD"/>
        </w:rPr>
        <w:t xml:space="preserve"> 28</w:t>
      </w:r>
      <w:r w:rsidR="00F85A9B" w:rsidRPr="000D19A7">
        <w:rPr>
          <w:rFonts w:ascii="Times New Roman" w:eastAsia="Times New Roman" w:hAnsi="Times New Roman" w:cs="Times New Roman"/>
          <w:bCs/>
          <w:szCs w:val="24"/>
          <w:lang w:val="ro-MD"/>
        </w:rPr>
        <w:t xml:space="preserve"> </w:t>
      </w:r>
      <w:r w:rsidR="001E1900" w:rsidRPr="000D19A7">
        <w:rPr>
          <w:rFonts w:ascii="Times New Roman" w:eastAsia="Times New Roman" w:hAnsi="Times New Roman" w:cs="Times New Roman"/>
          <w:bCs/>
          <w:szCs w:val="24"/>
          <w:lang w:val="ro-MD"/>
        </w:rPr>
        <w:t>mai</w:t>
      </w:r>
      <w:r w:rsidR="00F50B57" w:rsidRPr="000D19A7">
        <w:rPr>
          <w:rFonts w:ascii="Times New Roman" w:eastAsia="Times New Roman" w:hAnsi="Times New Roman" w:cs="Times New Roman"/>
          <w:bCs/>
          <w:szCs w:val="24"/>
          <w:lang w:val="ro-MD"/>
        </w:rPr>
        <w:t xml:space="preserve"> </w:t>
      </w:r>
      <w:r w:rsidRPr="000D19A7">
        <w:rPr>
          <w:rFonts w:ascii="Times New Roman" w:eastAsia="Times New Roman" w:hAnsi="Times New Roman" w:cs="Times New Roman"/>
          <w:bCs/>
          <w:szCs w:val="24"/>
          <w:lang w:val="ro-MD"/>
        </w:rPr>
        <w:t>202</w:t>
      </w:r>
      <w:r w:rsidR="005121A6" w:rsidRPr="000D19A7">
        <w:rPr>
          <w:rFonts w:ascii="Times New Roman" w:eastAsia="Times New Roman" w:hAnsi="Times New Roman" w:cs="Times New Roman"/>
          <w:bCs/>
          <w:szCs w:val="24"/>
          <w:lang w:val="ro-MD"/>
        </w:rPr>
        <w:t>4</w:t>
      </w:r>
    </w:p>
    <w:p w14:paraId="232C38EB" w14:textId="77777777" w:rsidR="00E85DB7" w:rsidRPr="000D19A7" w:rsidRDefault="00E85DB7" w:rsidP="00946026">
      <w:pPr>
        <w:spacing w:after="0" w:line="276" w:lineRule="auto"/>
        <w:jc w:val="both"/>
        <w:rPr>
          <w:rFonts w:ascii="Times New Roman" w:hAnsi="Times New Roman" w:cs="Times New Roman"/>
          <w:szCs w:val="24"/>
          <w:lang w:val="ro-MD"/>
        </w:rPr>
      </w:pPr>
    </w:p>
    <w:p w14:paraId="72904D8F" w14:textId="77777777" w:rsidR="00E85DB7" w:rsidRPr="000D19A7" w:rsidRDefault="00E85DB7" w:rsidP="00946026">
      <w:pPr>
        <w:spacing w:after="0" w:line="276" w:lineRule="auto"/>
        <w:jc w:val="both"/>
        <w:rPr>
          <w:rFonts w:ascii="Times New Roman" w:hAnsi="Times New Roman" w:cs="Times New Roman"/>
          <w:lang w:val="ro-MD"/>
        </w:rPr>
      </w:pPr>
    </w:p>
    <w:p w14:paraId="24FC5E03" w14:textId="77777777" w:rsidR="00E85DB7" w:rsidRPr="000D19A7" w:rsidRDefault="00E85DB7" w:rsidP="00946026">
      <w:pPr>
        <w:spacing w:after="0" w:line="276" w:lineRule="auto"/>
        <w:jc w:val="both"/>
        <w:rPr>
          <w:rFonts w:ascii="Times New Roman" w:hAnsi="Times New Roman" w:cs="Times New Roman"/>
          <w:lang w:val="ro-MD"/>
        </w:rPr>
      </w:pPr>
    </w:p>
    <w:p w14:paraId="00AF64B2" w14:textId="77777777" w:rsidR="00E85DB7" w:rsidRPr="000D19A7" w:rsidRDefault="00E85DB7" w:rsidP="00946026">
      <w:pPr>
        <w:spacing w:after="0" w:line="276" w:lineRule="auto"/>
        <w:jc w:val="both"/>
        <w:rPr>
          <w:rFonts w:ascii="Times New Roman" w:hAnsi="Times New Roman" w:cs="Times New Roman"/>
          <w:lang w:val="ro-MD"/>
        </w:rPr>
      </w:pPr>
    </w:p>
    <w:p w14:paraId="63B6BEB4" w14:textId="77777777" w:rsidR="00E85DB7" w:rsidRPr="000D19A7" w:rsidRDefault="00E85DB7" w:rsidP="00D63A2D">
      <w:pPr>
        <w:spacing w:after="0" w:line="276" w:lineRule="auto"/>
        <w:jc w:val="center"/>
        <w:rPr>
          <w:rFonts w:ascii="Times New Roman" w:hAnsi="Times New Roman" w:cs="Times New Roman"/>
          <w:b/>
          <w:sz w:val="28"/>
          <w:szCs w:val="28"/>
          <w:lang w:val="ro-MD"/>
        </w:rPr>
      </w:pPr>
      <w:r w:rsidRPr="000D19A7">
        <w:rPr>
          <w:rFonts w:ascii="Times New Roman" w:hAnsi="Times New Roman" w:cs="Times New Roman"/>
          <w:b/>
          <w:noProof/>
          <w:sz w:val="28"/>
          <w:szCs w:val="28"/>
          <w:lang w:val="ru-RU" w:eastAsia="ru-RU"/>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0D19A7" w:rsidRDefault="00E85DB7" w:rsidP="00D63A2D">
      <w:pPr>
        <w:spacing w:after="0" w:line="276" w:lineRule="auto"/>
        <w:jc w:val="center"/>
        <w:rPr>
          <w:rFonts w:ascii="Times New Roman" w:hAnsi="Times New Roman" w:cs="Times New Roman"/>
          <w:b/>
          <w:sz w:val="28"/>
          <w:szCs w:val="28"/>
          <w:lang w:val="ro-MD"/>
        </w:rPr>
      </w:pPr>
    </w:p>
    <w:p w14:paraId="5AEAEF30" w14:textId="77777777" w:rsidR="00E85DB7" w:rsidRPr="000D19A7" w:rsidRDefault="00E85DB7" w:rsidP="00D63A2D">
      <w:pPr>
        <w:spacing w:after="0" w:line="276" w:lineRule="auto"/>
        <w:jc w:val="center"/>
        <w:rPr>
          <w:rFonts w:ascii="Times New Roman" w:hAnsi="Times New Roman" w:cs="Times New Roman"/>
          <w:b/>
          <w:sz w:val="28"/>
          <w:szCs w:val="28"/>
          <w:lang w:val="ro-MD"/>
        </w:rPr>
      </w:pPr>
    </w:p>
    <w:p w14:paraId="01E6D92F" w14:textId="77777777" w:rsidR="00E85DB7" w:rsidRPr="000D19A7" w:rsidRDefault="00E85DB7" w:rsidP="00D63A2D">
      <w:pPr>
        <w:spacing w:after="0" w:line="276" w:lineRule="auto"/>
        <w:jc w:val="center"/>
        <w:rPr>
          <w:rFonts w:ascii="Times New Roman" w:hAnsi="Times New Roman" w:cs="Times New Roman"/>
          <w:b/>
          <w:sz w:val="28"/>
          <w:szCs w:val="28"/>
          <w:lang w:val="ro-MD"/>
        </w:rPr>
      </w:pPr>
    </w:p>
    <w:p w14:paraId="1026A443" w14:textId="77777777" w:rsidR="00E85DB7" w:rsidRPr="000D19A7" w:rsidRDefault="00E85DB7" w:rsidP="00D63A2D">
      <w:pPr>
        <w:spacing w:after="0" w:line="276" w:lineRule="auto"/>
        <w:jc w:val="center"/>
        <w:rPr>
          <w:rFonts w:ascii="Times New Roman" w:hAnsi="Times New Roman" w:cs="Times New Roman"/>
          <w:b/>
          <w:sz w:val="28"/>
          <w:szCs w:val="28"/>
          <w:lang w:val="ro-MD"/>
        </w:rPr>
      </w:pPr>
    </w:p>
    <w:p w14:paraId="35785D0F" w14:textId="77777777" w:rsidR="00E85DB7" w:rsidRPr="000D19A7" w:rsidRDefault="00E85DB7" w:rsidP="00D63A2D">
      <w:pPr>
        <w:spacing w:after="0" w:line="276" w:lineRule="auto"/>
        <w:jc w:val="center"/>
        <w:rPr>
          <w:rFonts w:ascii="Times New Roman" w:hAnsi="Times New Roman" w:cs="Times New Roman"/>
          <w:b/>
          <w:sz w:val="28"/>
          <w:szCs w:val="28"/>
          <w:lang w:val="ro-MD"/>
        </w:rPr>
      </w:pPr>
      <w:r w:rsidRPr="000D19A7">
        <w:rPr>
          <w:rFonts w:ascii="Times New Roman" w:hAnsi="Times New Roman" w:cs="Times New Roman"/>
          <w:b/>
          <w:sz w:val="28"/>
          <w:szCs w:val="28"/>
          <w:lang w:val="ro-MD"/>
        </w:rPr>
        <w:t>CURTEA DE CONTURI A REPUBLICII MOLDOVA</w:t>
      </w:r>
    </w:p>
    <w:p w14:paraId="6596D433" w14:textId="77777777" w:rsidR="00E85DB7" w:rsidRPr="000D19A7" w:rsidRDefault="00E85DB7" w:rsidP="00D63A2D">
      <w:pPr>
        <w:spacing w:after="0" w:line="276" w:lineRule="auto"/>
        <w:jc w:val="center"/>
        <w:rPr>
          <w:rFonts w:ascii="Times New Roman" w:hAnsi="Times New Roman" w:cs="Times New Roman"/>
          <w:lang w:val="ro-MD"/>
        </w:rPr>
      </w:pPr>
    </w:p>
    <w:p w14:paraId="66579ADE" w14:textId="77777777" w:rsidR="00E85DB7" w:rsidRPr="000D19A7" w:rsidRDefault="00E85DB7" w:rsidP="00D63A2D">
      <w:pPr>
        <w:tabs>
          <w:tab w:val="left" w:pos="720"/>
        </w:tabs>
        <w:spacing w:after="0" w:line="276" w:lineRule="auto"/>
        <w:jc w:val="center"/>
        <w:rPr>
          <w:rFonts w:ascii="Times New Roman" w:eastAsia="Times New Roman" w:hAnsi="Times New Roman" w:cs="Times New Roman"/>
          <w:b/>
          <w:bCs/>
          <w:color w:val="1F4E79" w:themeColor="accent1" w:themeShade="80"/>
          <w:szCs w:val="24"/>
          <w:lang w:val="ro-MD"/>
        </w:rPr>
      </w:pPr>
    </w:p>
    <w:p w14:paraId="49DD1788" w14:textId="77777777" w:rsidR="00E85DB7" w:rsidRPr="000D19A7" w:rsidRDefault="00E85DB7" w:rsidP="00D63A2D">
      <w:pPr>
        <w:tabs>
          <w:tab w:val="left" w:pos="720"/>
        </w:tabs>
        <w:spacing w:after="0" w:line="276" w:lineRule="auto"/>
        <w:jc w:val="center"/>
        <w:rPr>
          <w:rFonts w:ascii="Times New Roman" w:eastAsia="Times New Roman" w:hAnsi="Times New Roman" w:cs="Times New Roman"/>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85DB7" w:rsidRPr="000D19A7" w14:paraId="256CA91B" w14:textId="77777777" w:rsidTr="0048672D">
        <w:trPr>
          <w:trHeight w:val="435"/>
        </w:trPr>
        <w:tc>
          <w:tcPr>
            <w:tcW w:w="9350" w:type="dxa"/>
          </w:tcPr>
          <w:p w14:paraId="45B0A9BE" w14:textId="0813CF99" w:rsidR="00E85DB7" w:rsidRPr="000D19A7" w:rsidRDefault="00E85DB7" w:rsidP="00D63A2D">
            <w:pPr>
              <w:tabs>
                <w:tab w:val="left" w:pos="720"/>
              </w:tabs>
              <w:spacing w:line="276" w:lineRule="auto"/>
              <w:jc w:val="center"/>
              <w:rPr>
                <w:rFonts w:ascii="Times New Roman" w:eastAsia="Times New Roman" w:hAnsi="Times New Roman" w:cs="Times New Roman"/>
                <w:b/>
                <w:bCs/>
                <w:color w:val="1F4E79" w:themeColor="accent1" w:themeShade="80"/>
                <w:szCs w:val="24"/>
                <w:lang w:val="ro-MD"/>
              </w:rPr>
            </w:pPr>
            <w:r w:rsidRPr="000D19A7">
              <w:rPr>
                <w:rFonts w:ascii="Times New Roman" w:hAnsi="Times New Roman" w:cs="Times New Roman"/>
                <w:sz w:val="20"/>
                <w:szCs w:val="20"/>
                <w:lang w:val="ro-MD"/>
              </w:rPr>
              <w:t>MD-2001, mun. Chișinău, bd. Ștefan cel Mare și Sfânt nr.69, tel.: (+373</w:t>
            </w:r>
            <w:r w:rsidR="000C5D6A" w:rsidRPr="000D19A7">
              <w:rPr>
                <w:rFonts w:ascii="Times New Roman" w:hAnsi="Times New Roman" w:cs="Times New Roman"/>
                <w:sz w:val="20"/>
                <w:szCs w:val="20"/>
                <w:lang w:val="ro-MD"/>
              </w:rPr>
              <w:t xml:space="preserve"> 22</w:t>
            </w:r>
            <w:r w:rsidRPr="000D19A7">
              <w:rPr>
                <w:rFonts w:ascii="Times New Roman" w:hAnsi="Times New Roman" w:cs="Times New Roman"/>
                <w:sz w:val="20"/>
                <w:szCs w:val="20"/>
                <w:lang w:val="ro-MD"/>
              </w:rPr>
              <w:t>) 2</w:t>
            </w:r>
            <w:r w:rsidR="000C5D6A" w:rsidRPr="000D19A7">
              <w:rPr>
                <w:rFonts w:ascii="Times New Roman" w:hAnsi="Times New Roman" w:cs="Times New Roman"/>
                <w:sz w:val="20"/>
                <w:szCs w:val="20"/>
                <w:lang w:val="ro-MD"/>
              </w:rPr>
              <w:t>6</w:t>
            </w:r>
            <w:r w:rsidRPr="000D19A7">
              <w:rPr>
                <w:rFonts w:ascii="Times New Roman" w:hAnsi="Times New Roman" w:cs="Times New Roman"/>
                <w:sz w:val="20"/>
                <w:szCs w:val="20"/>
                <w:lang w:val="ro-MD"/>
              </w:rPr>
              <w:t xml:space="preserve"> </w:t>
            </w:r>
            <w:r w:rsidR="000C5D6A" w:rsidRPr="000D19A7">
              <w:rPr>
                <w:rFonts w:ascii="Times New Roman" w:hAnsi="Times New Roman" w:cs="Times New Roman"/>
                <w:sz w:val="20"/>
                <w:szCs w:val="20"/>
                <w:lang w:val="ro-MD"/>
              </w:rPr>
              <w:t>60</w:t>
            </w:r>
            <w:r w:rsidRPr="000D19A7">
              <w:rPr>
                <w:rFonts w:ascii="Times New Roman" w:hAnsi="Times New Roman" w:cs="Times New Roman"/>
                <w:sz w:val="20"/>
                <w:szCs w:val="20"/>
                <w:lang w:val="ro-MD"/>
              </w:rPr>
              <w:t xml:space="preserve"> </w:t>
            </w:r>
            <w:r w:rsidR="000C5D6A" w:rsidRPr="000D19A7">
              <w:rPr>
                <w:rFonts w:ascii="Times New Roman" w:hAnsi="Times New Roman" w:cs="Times New Roman"/>
                <w:sz w:val="20"/>
                <w:szCs w:val="20"/>
                <w:lang w:val="ro-MD"/>
              </w:rPr>
              <w:t>02</w:t>
            </w:r>
            <w:r w:rsidRPr="000D19A7">
              <w:rPr>
                <w:rFonts w:ascii="Times New Roman" w:hAnsi="Times New Roman" w:cs="Times New Roman"/>
                <w:sz w:val="20"/>
                <w:szCs w:val="20"/>
                <w:lang w:val="ro-MD"/>
              </w:rPr>
              <w:t>, fax: (+373</w:t>
            </w:r>
            <w:r w:rsidR="000C5D6A" w:rsidRPr="000D19A7">
              <w:rPr>
                <w:rFonts w:ascii="Times New Roman" w:hAnsi="Times New Roman" w:cs="Times New Roman"/>
                <w:sz w:val="20"/>
                <w:szCs w:val="20"/>
                <w:lang w:val="ro-MD"/>
              </w:rPr>
              <w:t xml:space="preserve"> 22</w:t>
            </w:r>
            <w:r w:rsidRPr="000D19A7">
              <w:rPr>
                <w:rFonts w:ascii="Times New Roman" w:hAnsi="Times New Roman" w:cs="Times New Roman"/>
                <w:sz w:val="20"/>
                <w:szCs w:val="20"/>
                <w:lang w:val="ro-MD"/>
              </w:rPr>
              <w:t>) 2</w:t>
            </w:r>
            <w:r w:rsidR="000C5D6A" w:rsidRPr="000D19A7">
              <w:rPr>
                <w:rFonts w:ascii="Times New Roman" w:hAnsi="Times New Roman" w:cs="Times New Roman"/>
                <w:sz w:val="20"/>
                <w:szCs w:val="20"/>
                <w:lang w:val="ro-MD"/>
              </w:rPr>
              <w:t>6</w:t>
            </w:r>
            <w:r w:rsidRPr="000D19A7">
              <w:rPr>
                <w:rFonts w:ascii="Times New Roman" w:hAnsi="Times New Roman" w:cs="Times New Roman"/>
                <w:sz w:val="20"/>
                <w:szCs w:val="20"/>
                <w:lang w:val="ro-MD"/>
              </w:rPr>
              <w:t xml:space="preserve"> </w:t>
            </w:r>
            <w:r w:rsidR="000C5D6A" w:rsidRPr="000D19A7">
              <w:rPr>
                <w:rFonts w:ascii="Times New Roman" w:hAnsi="Times New Roman" w:cs="Times New Roman"/>
                <w:sz w:val="20"/>
                <w:szCs w:val="20"/>
                <w:lang w:val="ro-MD"/>
              </w:rPr>
              <w:t>61</w:t>
            </w:r>
            <w:r w:rsidRPr="000D19A7">
              <w:rPr>
                <w:rFonts w:ascii="Times New Roman" w:hAnsi="Times New Roman" w:cs="Times New Roman"/>
                <w:sz w:val="20"/>
                <w:szCs w:val="20"/>
                <w:lang w:val="ro-MD"/>
              </w:rPr>
              <w:t xml:space="preserve"> </w:t>
            </w:r>
            <w:r w:rsidR="000C5D6A" w:rsidRPr="000D19A7">
              <w:rPr>
                <w:rFonts w:ascii="Times New Roman" w:hAnsi="Times New Roman" w:cs="Times New Roman"/>
                <w:sz w:val="20"/>
                <w:szCs w:val="20"/>
                <w:lang w:val="ro-MD"/>
              </w:rPr>
              <w:t>0</w:t>
            </w:r>
            <w:r w:rsidRPr="000D19A7">
              <w:rPr>
                <w:rFonts w:ascii="Times New Roman" w:hAnsi="Times New Roman" w:cs="Times New Roman"/>
                <w:sz w:val="20"/>
                <w:szCs w:val="20"/>
                <w:lang w:val="ro-MD"/>
              </w:rPr>
              <w:t xml:space="preserve">0, </w:t>
            </w:r>
            <w:hyperlink r:id="rId9" w:history="1">
              <w:r w:rsidR="00283743" w:rsidRPr="000D19A7">
                <w:rPr>
                  <w:rStyle w:val="af"/>
                  <w:rFonts w:ascii="Times New Roman" w:hAnsi="Times New Roman" w:cs="Times New Roman"/>
                  <w:b/>
                  <w:sz w:val="20"/>
                  <w:szCs w:val="20"/>
                  <w:lang w:val="ro-MD"/>
                </w:rPr>
                <w:t>www.ccrm.md</w:t>
              </w:r>
            </w:hyperlink>
            <w:r w:rsidRPr="000D19A7">
              <w:rPr>
                <w:rFonts w:ascii="Times New Roman" w:hAnsi="Times New Roman" w:cs="Times New Roman"/>
                <w:b/>
                <w:color w:val="0070C0"/>
                <w:sz w:val="20"/>
                <w:szCs w:val="20"/>
                <w:u w:val="single"/>
                <w:lang w:val="ro-MD"/>
              </w:rPr>
              <w:t>;</w:t>
            </w:r>
            <w:r w:rsidR="00283743" w:rsidRPr="000D19A7">
              <w:rPr>
                <w:rFonts w:ascii="Times New Roman" w:hAnsi="Times New Roman" w:cs="Times New Roman"/>
                <w:b/>
                <w:color w:val="0070C0"/>
                <w:sz w:val="20"/>
                <w:szCs w:val="20"/>
                <w:u w:val="single"/>
                <w:lang w:val="ro-MD"/>
              </w:rPr>
              <w:t xml:space="preserve"> </w:t>
            </w:r>
            <w:r w:rsidRPr="000D19A7">
              <w:rPr>
                <w:rFonts w:ascii="Times New Roman" w:hAnsi="Times New Roman" w:cs="Times New Roman"/>
                <w:sz w:val="20"/>
                <w:szCs w:val="20"/>
                <w:lang w:val="ro-MD"/>
              </w:rPr>
              <w:t xml:space="preserve">e-mail: </w:t>
            </w:r>
            <w:hyperlink r:id="rId10" w:history="1">
              <w:r w:rsidRPr="000D19A7">
                <w:rPr>
                  <w:rFonts w:ascii="Times New Roman" w:hAnsi="Times New Roman" w:cs="Times New Roman"/>
                  <w:b/>
                  <w:color w:val="0563C1" w:themeColor="hyperlink"/>
                  <w:sz w:val="20"/>
                  <w:szCs w:val="20"/>
                  <w:u w:val="single"/>
                  <w:lang w:val="ro-MD"/>
                </w:rPr>
                <w:t>ccrm@ccrm.md</w:t>
              </w:r>
            </w:hyperlink>
          </w:p>
        </w:tc>
      </w:tr>
    </w:tbl>
    <w:p w14:paraId="54A0246F" w14:textId="77777777" w:rsidR="00E85DB7" w:rsidRPr="000D19A7" w:rsidRDefault="00E85DB7" w:rsidP="00D63A2D">
      <w:pPr>
        <w:tabs>
          <w:tab w:val="left" w:pos="720"/>
        </w:tabs>
        <w:spacing w:after="0" w:line="276" w:lineRule="auto"/>
        <w:jc w:val="center"/>
        <w:rPr>
          <w:rFonts w:ascii="Times New Roman" w:eastAsia="Times New Roman" w:hAnsi="Times New Roman" w:cs="Times New Roman"/>
          <w:b/>
          <w:bCs/>
          <w:color w:val="1F4E79" w:themeColor="accent1" w:themeShade="80"/>
          <w:szCs w:val="24"/>
          <w:lang w:val="ro-MD"/>
        </w:rPr>
      </w:pPr>
    </w:p>
    <w:p w14:paraId="1EA295EF" w14:textId="77777777" w:rsidR="00E85DB7" w:rsidRPr="000D19A7" w:rsidRDefault="00E85DB7" w:rsidP="00D63A2D">
      <w:pPr>
        <w:tabs>
          <w:tab w:val="left" w:pos="720"/>
        </w:tabs>
        <w:spacing w:after="0" w:line="276" w:lineRule="auto"/>
        <w:jc w:val="center"/>
        <w:rPr>
          <w:rFonts w:ascii="Times New Roman" w:eastAsia="Times New Roman" w:hAnsi="Times New Roman" w:cs="Times New Roman"/>
          <w:b/>
          <w:bCs/>
          <w:color w:val="1F4E79" w:themeColor="accent1" w:themeShade="80"/>
          <w:szCs w:val="24"/>
          <w:lang w:val="ro-MD"/>
        </w:rPr>
      </w:pPr>
    </w:p>
    <w:p w14:paraId="5E5EC2F8" w14:textId="77777777" w:rsidR="00E85DB7" w:rsidRPr="000D19A7" w:rsidRDefault="00E85DB7" w:rsidP="00D63A2D">
      <w:pPr>
        <w:tabs>
          <w:tab w:val="left" w:pos="720"/>
        </w:tabs>
        <w:spacing w:after="0" w:line="276" w:lineRule="auto"/>
        <w:jc w:val="center"/>
        <w:rPr>
          <w:rFonts w:ascii="Times New Roman" w:eastAsia="Times New Roman" w:hAnsi="Times New Roman" w:cs="Times New Roman"/>
          <w:b/>
          <w:bCs/>
          <w:sz w:val="32"/>
          <w:szCs w:val="32"/>
          <w:lang w:val="ro-MD"/>
        </w:rPr>
      </w:pPr>
    </w:p>
    <w:p w14:paraId="746A996E" w14:textId="0F075475" w:rsidR="00E85DB7" w:rsidRPr="000D19A7" w:rsidRDefault="00E85DB7" w:rsidP="004148CE">
      <w:pPr>
        <w:tabs>
          <w:tab w:val="left" w:pos="720"/>
        </w:tabs>
        <w:spacing w:after="0" w:line="276" w:lineRule="auto"/>
        <w:jc w:val="center"/>
        <w:rPr>
          <w:rFonts w:ascii="Times New Roman" w:eastAsia="Times New Roman" w:hAnsi="Times New Roman" w:cs="Times New Roman"/>
          <w:b/>
          <w:bCs/>
          <w:sz w:val="28"/>
          <w:szCs w:val="28"/>
          <w:lang w:val="ro-MD"/>
        </w:rPr>
      </w:pPr>
      <w:r w:rsidRPr="000D19A7">
        <w:rPr>
          <w:rFonts w:ascii="Times New Roman" w:eastAsia="Times New Roman" w:hAnsi="Times New Roman" w:cs="Times New Roman"/>
          <w:b/>
          <w:bCs/>
          <w:sz w:val="28"/>
          <w:szCs w:val="28"/>
          <w:lang w:val="ro-MD"/>
        </w:rPr>
        <w:t>RAPORT</w:t>
      </w:r>
      <w:r w:rsidR="004A469A" w:rsidRPr="000D19A7">
        <w:rPr>
          <w:rFonts w:ascii="Times New Roman" w:eastAsia="Times New Roman" w:hAnsi="Times New Roman" w:cs="Times New Roman"/>
          <w:b/>
          <w:bCs/>
          <w:sz w:val="28"/>
          <w:szCs w:val="28"/>
          <w:lang w:val="ro-MD"/>
        </w:rPr>
        <w:t>UL</w:t>
      </w:r>
    </w:p>
    <w:p w14:paraId="3B7B1AF2" w14:textId="3B228562" w:rsidR="004148CE" w:rsidRPr="000D19A7" w:rsidRDefault="004148CE" w:rsidP="00D63A2D">
      <w:pPr>
        <w:tabs>
          <w:tab w:val="left" w:pos="720"/>
        </w:tabs>
        <w:spacing w:after="0" w:line="276" w:lineRule="auto"/>
        <w:jc w:val="center"/>
        <w:rPr>
          <w:rFonts w:ascii="Times New Roman" w:eastAsia="Times New Roman" w:hAnsi="Times New Roman" w:cs="Times New Roman"/>
          <w:b/>
          <w:bCs/>
          <w:sz w:val="28"/>
          <w:szCs w:val="28"/>
          <w:lang w:val="ro-MD"/>
        </w:rPr>
      </w:pPr>
      <w:r w:rsidRPr="000D19A7">
        <w:rPr>
          <w:rFonts w:ascii="Times New Roman" w:eastAsia="Times New Roman" w:hAnsi="Times New Roman" w:cs="Times New Roman"/>
          <w:b/>
          <w:bCs/>
          <w:sz w:val="28"/>
          <w:szCs w:val="28"/>
          <w:lang w:val="ro-MD"/>
        </w:rPr>
        <w:t>de audit</w:t>
      </w:r>
    </w:p>
    <w:p w14:paraId="388CFC09" w14:textId="60CDDC69" w:rsidR="00E85DB7" w:rsidRPr="000D19A7" w:rsidRDefault="004148CE" w:rsidP="00D63A2D">
      <w:pPr>
        <w:tabs>
          <w:tab w:val="left" w:pos="0"/>
        </w:tabs>
        <w:spacing w:after="0" w:line="276" w:lineRule="auto"/>
        <w:jc w:val="center"/>
        <w:rPr>
          <w:rFonts w:ascii="Times New Roman" w:eastAsia="Times New Roman" w:hAnsi="Times New Roman" w:cs="Times New Roman"/>
          <w:b/>
          <w:bCs/>
          <w:sz w:val="28"/>
          <w:szCs w:val="28"/>
          <w:lang w:val="ro-MD"/>
        </w:rPr>
      </w:pPr>
      <w:r w:rsidRPr="000D19A7">
        <w:rPr>
          <w:rFonts w:ascii="Times New Roman" w:eastAsia="Times New Roman" w:hAnsi="Times New Roman" w:cs="Times New Roman"/>
          <w:b/>
          <w:bCs/>
          <w:sz w:val="28"/>
          <w:szCs w:val="28"/>
          <w:lang w:val="ro-MD"/>
        </w:rPr>
        <w:t>al</w:t>
      </w:r>
      <w:r w:rsidR="00E85DB7" w:rsidRPr="000D19A7">
        <w:rPr>
          <w:rFonts w:ascii="Times New Roman" w:eastAsia="Times New Roman" w:hAnsi="Times New Roman" w:cs="Times New Roman"/>
          <w:b/>
          <w:bCs/>
          <w:sz w:val="28"/>
          <w:szCs w:val="28"/>
          <w:lang w:val="ro-MD"/>
        </w:rPr>
        <w:t xml:space="preserve"> </w:t>
      </w:r>
      <w:r w:rsidR="000C5D6A" w:rsidRPr="000D19A7">
        <w:rPr>
          <w:rFonts w:ascii="Times New Roman" w:eastAsia="Times New Roman" w:hAnsi="Times New Roman" w:cs="Times New Roman"/>
          <w:b/>
          <w:bCs/>
          <w:sz w:val="28"/>
          <w:szCs w:val="28"/>
          <w:lang w:val="ro-MD"/>
        </w:rPr>
        <w:t xml:space="preserve">conformității </w:t>
      </w:r>
      <w:r w:rsidR="009D3B5A" w:rsidRPr="000D19A7">
        <w:rPr>
          <w:rFonts w:ascii="Times New Roman" w:eastAsia="Times New Roman" w:hAnsi="Times New Roman" w:cs="Times New Roman"/>
          <w:b/>
          <w:bCs/>
          <w:sz w:val="28"/>
          <w:szCs w:val="28"/>
          <w:lang w:val="ro-MD"/>
        </w:rPr>
        <w:t xml:space="preserve">asupra </w:t>
      </w:r>
      <w:r w:rsidR="00F0269A" w:rsidRPr="000D19A7">
        <w:rPr>
          <w:rFonts w:ascii="Times New Roman" w:eastAsia="Times New Roman" w:hAnsi="Times New Roman" w:cs="Times New Roman"/>
          <w:b/>
          <w:bCs/>
          <w:sz w:val="28"/>
          <w:szCs w:val="28"/>
          <w:lang w:val="ro-MD"/>
        </w:rPr>
        <w:t>managementului datoriei de stat, garanțiilor de stat și recreditării de stat în anul 20</w:t>
      </w:r>
      <w:r w:rsidR="005121A6" w:rsidRPr="000D19A7">
        <w:rPr>
          <w:rFonts w:ascii="Times New Roman" w:eastAsia="Times New Roman" w:hAnsi="Times New Roman" w:cs="Times New Roman"/>
          <w:b/>
          <w:bCs/>
          <w:sz w:val="28"/>
          <w:szCs w:val="28"/>
          <w:lang w:val="ro-MD"/>
        </w:rPr>
        <w:t>23</w:t>
      </w:r>
    </w:p>
    <w:p w14:paraId="13ADAE7A" w14:textId="77777777" w:rsidR="00E85DB7" w:rsidRPr="000D19A7" w:rsidRDefault="00E85DB7" w:rsidP="00946026">
      <w:pPr>
        <w:tabs>
          <w:tab w:val="left" w:pos="720"/>
        </w:tabs>
        <w:spacing w:after="0" w:line="276" w:lineRule="auto"/>
        <w:jc w:val="both"/>
        <w:rPr>
          <w:rFonts w:ascii="Times New Roman" w:eastAsia="Times New Roman" w:hAnsi="Times New Roman" w:cs="Times New Roman"/>
          <w:b/>
          <w:bCs/>
          <w:sz w:val="32"/>
          <w:szCs w:val="32"/>
          <w:lang w:val="ro-MD"/>
        </w:rPr>
      </w:pPr>
    </w:p>
    <w:p w14:paraId="090B438F" w14:textId="77777777" w:rsidR="00E85DB7" w:rsidRPr="000D19A7" w:rsidRDefault="00E85DB7" w:rsidP="00946026">
      <w:pPr>
        <w:tabs>
          <w:tab w:val="left" w:pos="720"/>
        </w:tabs>
        <w:spacing w:after="0" w:line="276" w:lineRule="auto"/>
        <w:jc w:val="both"/>
        <w:rPr>
          <w:rFonts w:ascii="Times New Roman" w:eastAsia="Times New Roman" w:hAnsi="Times New Roman" w:cs="Times New Roman"/>
          <w:b/>
          <w:bCs/>
          <w:sz w:val="32"/>
          <w:szCs w:val="32"/>
          <w:lang w:val="ro-MD"/>
        </w:rPr>
      </w:pPr>
    </w:p>
    <w:p w14:paraId="102B7222" w14:textId="77777777" w:rsidR="00C8468E" w:rsidRPr="000D19A7" w:rsidRDefault="00C8468E"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6DC64A21" w14:textId="77777777" w:rsidR="00E85DB7" w:rsidRPr="000D19A7" w:rsidRDefault="00E85DB7"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6B16D4A3" w14:textId="77777777" w:rsidR="00E85DB7" w:rsidRPr="000D19A7" w:rsidRDefault="00E85DB7"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65E86CC5" w14:textId="350225A3" w:rsidR="00E85DB7" w:rsidRPr="000D19A7" w:rsidRDefault="00E85DB7"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2E6AB8B2" w14:textId="6AC46B33" w:rsidR="0002458B" w:rsidRPr="000D19A7" w:rsidRDefault="0002458B"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20A1AFA3" w14:textId="77777777" w:rsidR="002A08B8" w:rsidRPr="000D19A7" w:rsidRDefault="002A08B8"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2BF31B74" w14:textId="426E2082" w:rsidR="002A08B8" w:rsidRPr="000D19A7" w:rsidRDefault="002A08B8"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15E1E914" w14:textId="35C2F528" w:rsidR="00F215FF" w:rsidRPr="000D19A7" w:rsidRDefault="00F215FF"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239C54FE" w14:textId="77777777" w:rsidR="00F215FF" w:rsidRPr="000D19A7" w:rsidRDefault="00F215FF"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28710C1B" w14:textId="758EABEF" w:rsidR="002A08B8" w:rsidRPr="000D19A7" w:rsidRDefault="002A08B8" w:rsidP="00946026">
      <w:pPr>
        <w:tabs>
          <w:tab w:val="left" w:pos="1164"/>
        </w:tabs>
        <w:spacing w:after="0" w:line="276" w:lineRule="auto"/>
        <w:jc w:val="both"/>
        <w:rPr>
          <w:rFonts w:ascii="Times New Roman" w:eastAsia="Times New Roman" w:hAnsi="Times New Roman" w:cs="Times New Roman"/>
          <w:sz w:val="28"/>
          <w:szCs w:val="24"/>
          <w:lang w:val="ro-MD" w:eastAsia="ro-RO"/>
        </w:rPr>
      </w:pPr>
    </w:p>
    <w:p w14:paraId="7D66E2E9" w14:textId="77777777" w:rsidR="00D63A2D" w:rsidRPr="000D19A7" w:rsidRDefault="00D63A2D" w:rsidP="00946026">
      <w:pPr>
        <w:tabs>
          <w:tab w:val="left" w:pos="1164"/>
        </w:tabs>
        <w:spacing w:after="0" w:line="276" w:lineRule="auto"/>
        <w:jc w:val="both"/>
        <w:rPr>
          <w:rFonts w:ascii="Times New Roman" w:eastAsia="Times New Roman" w:hAnsi="Times New Roman" w:cs="Times New Roman"/>
          <w:sz w:val="28"/>
          <w:szCs w:val="24"/>
          <w:lang w:val="ro-MD" w:eastAsia="ro-RO"/>
        </w:rPr>
      </w:pPr>
    </w:p>
    <w:sdt>
      <w:sdtPr>
        <w:rPr>
          <w:rFonts w:ascii="Times New Roman" w:eastAsiaTheme="minorHAnsi" w:hAnsi="Times New Roman" w:cs="Times New Roman"/>
          <w:b w:val="0"/>
          <w:sz w:val="22"/>
          <w:szCs w:val="22"/>
          <w:lang w:val="ro-MD"/>
        </w:rPr>
        <w:id w:val="1520422300"/>
        <w:docPartObj>
          <w:docPartGallery w:val="Table of Contents"/>
          <w:docPartUnique/>
        </w:docPartObj>
      </w:sdtPr>
      <w:sdtEndPr>
        <w:rPr>
          <w:bCs/>
          <w:noProof/>
        </w:rPr>
      </w:sdtEndPr>
      <w:sdtContent>
        <w:p w14:paraId="368AF3D9" w14:textId="0C2EDF13" w:rsidR="00FD6262" w:rsidRPr="000D19A7" w:rsidRDefault="00FD6262" w:rsidP="00946026">
          <w:pPr>
            <w:pStyle w:val="ae"/>
            <w:numPr>
              <w:ilvl w:val="0"/>
              <w:numId w:val="0"/>
            </w:numPr>
            <w:spacing w:line="276" w:lineRule="auto"/>
            <w:ind w:left="432"/>
            <w:jc w:val="both"/>
            <w:rPr>
              <w:rFonts w:ascii="Times New Roman" w:hAnsi="Times New Roman" w:cs="Times New Roman"/>
              <w:sz w:val="22"/>
              <w:szCs w:val="22"/>
              <w:lang w:val="ro-MD"/>
            </w:rPr>
          </w:pPr>
          <w:r w:rsidRPr="000D19A7">
            <w:rPr>
              <w:rFonts w:ascii="Times New Roman" w:hAnsi="Times New Roman" w:cs="Times New Roman"/>
              <w:sz w:val="22"/>
              <w:szCs w:val="22"/>
              <w:lang w:val="ro-MD"/>
            </w:rPr>
            <w:t>CUPRINS</w:t>
          </w:r>
          <w:r w:rsidR="00283743" w:rsidRPr="000D19A7">
            <w:rPr>
              <w:rFonts w:ascii="Times New Roman" w:hAnsi="Times New Roman" w:cs="Times New Roman"/>
              <w:sz w:val="22"/>
              <w:szCs w:val="22"/>
              <w:lang w:val="ro-MD"/>
            </w:rPr>
            <w:t xml:space="preserve"> </w:t>
          </w:r>
        </w:p>
        <w:p w14:paraId="2BEA66AD" w14:textId="22E08A9E" w:rsidR="00EB0599" w:rsidRDefault="00FD6262">
          <w:pPr>
            <w:pStyle w:val="11"/>
            <w:tabs>
              <w:tab w:val="right" w:leader="dot" w:pos="9344"/>
            </w:tabs>
            <w:rPr>
              <w:rFonts w:asciiTheme="minorHAnsi" w:eastAsiaTheme="minorEastAsia" w:hAnsiTheme="minorHAnsi"/>
              <w:noProof/>
              <w:sz w:val="22"/>
            </w:rPr>
          </w:pPr>
          <w:r w:rsidRPr="000D19A7">
            <w:rPr>
              <w:rFonts w:ascii="Times New Roman" w:hAnsi="Times New Roman" w:cs="Times New Roman"/>
              <w:b/>
              <w:sz w:val="22"/>
              <w:lang w:val="ro-MD"/>
            </w:rPr>
            <w:fldChar w:fldCharType="begin"/>
          </w:r>
          <w:r w:rsidRPr="000D19A7">
            <w:rPr>
              <w:rFonts w:ascii="Times New Roman" w:hAnsi="Times New Roman" w:cs="Times New Roman"/>
              <w:b/>
              <w:sz w:val="22"/>
              <w:lang w:val="ro-MD"/>
            </w:rPr>
            <w:instrText xml:space="preserve"> TOC \o "1-3" \h \z \u </w:instrText>
          </w:r>
          <w:r w:rsidRPr="000D19A7">
            <w:rPr>
              <w:rFonts w:ascii="Times New Roman" w:hAnsi="Times New Roman" w:cs="Times New Roman"/>
              <w:b/>
              <w:sz w:val="22"/>
              <w:lang w:val="ro-MD"/>
            </w:rPr>
            <w:fldChar w:fldCharType="separate"/>
          </w:r>
          <w:hyperlink w:anchor="_Toc168321543" w:history="1">
            <w:r w:rsidR="00EB0599" w:rsidRPr="00B230D6">
              <w:rPr>
                <w:rStyle w:val="af"/>
                <w:rFonts w:ascii="Times New Roman" w:hAnsi="Times New Roman" w:cs="Times New Roman"/>
                <w:noProof/>
                <w:lang w:val="ro-MD"/>
              </w:rPr>
              <w:t>LISTA ACRONIMELOR</w:t>
            </w:r>
            <w:r w:rsidR="00EB0599">
              <w:rPr>
                <w:noProof/>
                <w:webHidden/>
              </w:rPr>
              <w:tab/>
            </w:r>
            <w:r w:rsidR="00EB0599">
              <w:rPr>
                <w:rStyle w:val="af"/>
                <w:noProof/>
              </w:rPr>
              <w:fldChar w:fldCharType="begin"/>
            </w:r>
            <w:r w:rsidR="00EB0599">
              <w:rPr>
                <w:noProof/>
                <w:webHidden/>
              </w:rPr>
              <w:instrText xml:space="preserve"> PAGEREF _Toc168321543 \h </w:instrText>
            </w:r>
            <w:r w:rsidR="00EB0599">
              <w:rPr>
                <w:rStyle w:val="af"/>
                <w:noProof/>
              </w:rPr>
            </w:r>
            <w:r w:rsidR="00EB0599">
              <w:rPr>
                <w:rStyle w:val="af"/>
                <w:noProof/>
              </w:rPr>
              <w:fldChar w:fldCharType="separate"/>
            </w:r>
            <w:r w:rsidR="00EB0599">
              <w:rPr>
                <w:noProof/>
                <w:webHidden/>
              </w:rPr>
              <w:t>3</w:t>
            </w:r>
            <w:r w:rsidR="00EB0599">
              <w:rPr>
                <w:rStyle w:val="af"/>
                <w:noProof/>
              </w:rPr>
              <w:fldChar w:fldCharType="end"/>
            </w:r>
          </w:hyperlink>
        </w:p>
        <w:p w14:paraId="5A71C10E" w14:textId="477DE824" w:rsidR="00EB0599" w:rsidRDefault="00930280">
          <w:pPr>
            <w:pStyle w:val="11"/>
            <w:tabs>
              <w:tab w:val="right" w:leader="dot" w:pos="9344"/>
            </w:tabs>
            <w:rPr>
              <w:rFonts w:asciiTheme="minorHAnsi" w:eastAsiaTheme="minorEastAsia" w:hAnsiTheme="minorHAnsi"/>
              <w:noProof/>
              <w:sz w:val="22"/>
            </w:rPr>
          </w:pPr>
          <w:hyperlink w:anchor="_Toc168321544" w:history="1">
            <w:r w:rsidR="00EB0599" w:rsidRPr="00B230D6">
              <w:rPr>
                <w:rStyle w:val="af"/>
                <w:rFonts w:ascii="Times New Roman" w:hAnsi="Times New Roman" w:cs="Times New Roman"/>
                <w:noProof/>
                <w:lang w:val="ro-MD"/>
              </w:rPr>
              <w:t>GLOSAR</w:t>
            </w:r>
            <w:r w:rsidR="00EB0599">
              <w:rPr>
                <w:noProof/>
                <w:webHidden/>
              </w:rPr>
              <w:tab/>
            </w:r>
            <w:r w:rsidR="00EB0599">
              <w:rPr>
                <w:rStyle w:val="af"/>
                <w:noProof/>
              </w:rPr>
              <w:fldChar w:fldCharType="begin"/>
            </w:r>
            <w:r w:rsidR="00EB0599">
              <w:rPr>
                <w:noProof/>
                <w:webHidden/>
              </w:rPr>
              <w:instrText xml:space="preserve"> PAGEREF _Toc168321544 \h </w:instrText>
            </w:r>
            <w:r w:rsidR="00EB0599">
              <w:rPr>
                <w:rStyle w:val="af"/>
                <w:noProof/>
              </w:rPr>
            </w:r>
            <w:r w:rsidR="00EB0599">
              <w:rPr>
                <w:rStyle w:val="af"/>
                <w:noProof/>
              </w:rPr>
              <w:fldChar w:fldCharType="separate"/>
            </w:r>
            <w:r w:rsidR="00EB0599">
              <w:rPr>
                <w:noProof/>
                <w:webHidden/>
              </w:rPr>
              <w:t>4</w:t>
            </w:r>
            <w:r w:rsidR="00EB0599">
              <w:rPr>
                <w:rStyle w:val="af"/>
                <w:noProof/>
              </w:rPr>
              <w:fldChar w:fldCharType="end"/>
            </w:r>
          </w:hyperlink>
        </w:p>
        <w:p w14:paraId="5908177E" w14:textId="550E1A79" w:rsidR="00EB0599" w:rsidRDefault="00930280">
          <w:pPr>
            <w:pStyle w:val="11"/>
            <w:tabs>
              <w:tab w:val="left" w:pos="440"/>
              <w:tab w:val="right" w:leader="dot" w:pos="9344"/>
            </w:tabs>
            <w:rPr>
              <w:rFonts w:asciiTheme="minorHAnsi" w:eastAsiaTheme="minorEastAsia" w:hAnsiTheme="minorHAnsi"/>
              <w:noProof/>
              <w:sz w:val="22"/>
            </w:rPr>
          </w:pPr>
          <w:hyperlink w:anchor="_Toc168321545" w:history="1">
            <w:r w:rsidR="00EB0599" w:rsidRPr="00B230D6">
              <w:rPr>
                <w:rStyle w:val="af"/>
                <w:rFonts w:ascii="Times New Roman" w:eastAsia="Times New Roman" w:hAnsi="Times New Roman" w:cs="Times New Roman"/>
                <w:noProof/>
                <w:lang w:val="ro-MD" w:eastAsia="ru-RU"/>
              </w:rPr>
              <w:t>I.</w:t>
            </w:r>
            <w:r w:rsidR="00EB0599">
              <w:rPr>
                <w:rFonts w:asciiTheme="minorHAnsi" w:eastAsiaTheme="minorEastAsia" w:hAnsiTheme="minorHAnsi"/>
                <w:noProof/>
                <w:sz w:val="22"/>
              </w:rPr>
              <w:tab/>
            </w:r>
            <w:r w:rsidR="00EB0599" w:rsidRPr="00B230D6">
              <w:rPr>
                <w:rStyle w:val="af"/>
                <w:rFonts w:ascii="Times New Roman" w:eastAsia="Times New Roman" w:hAnsi="Times New Roman" w:cs="Times New Roman"/>
                <w:noProof/>
                <w:lang w:val="ro-MD" w:eastAsia="ru-RU"/>
              </w:rPr>
              <w:t>SINTEZA</w:t>
            </w:r>
            <w:r w:rsidR="00EB0599">
              <w:rPr>
                <w:noProof/>
                <w:webHidden/>
              </w:rPr>
              <w:tab/>
            </w:r>
            <w:r w:rsidR="00EB0599">
              <w:rPr>
                <w:rStyle w:val="af"/>
                <w:noProof/>
              </w:rPr>
              <w:fldChar w:fldCharType="begin"/>
            </w:r>
            <w:r w:rsidR="00EB0599">
              <w:rPr>
                <w:noProof/>
                <w:webHidden/>
              </w:rPr>
              <w:instrText xml:space="preserve"> PAGEREF _Toc168321545 \h </w:instrText>
            </w:r>
            <w:r w:rsidR="00EB0599">
              <w:rPr>
                <w:rStyle w:val="af"/>
                <w:noProof/>
              </w:rPr>
            </w:r>
            <w:r w:rsidR="00EB0599">
              <w:rPr>
                <w:rStyle w:val="af"/>
                <w:noProof/>
              </w:rPr>
              <w:fldChar w:fldCharType="separate"/>
            </w:r>
            <w:r w:rsidR="00EB0599">
              <w:rPr>
                <w:noProof/>
                <w:webHidden/>
              </w:rPr>
              <w:t>6</w:t>
            </w:r>
            <w:r w:rsidR="00EB0599">
              <w:rPr>
                <w:rStyle w:val="af"/>
                <w:noProof/>
              </w:rPr>
              <w:fldChar w:fldCharType="end"/>
            </w:r>
          </w:hyperlink>
        </w:p>
        <w:p w14:paraId="267A1BB6" w14:textId="5D13F707" w:rsidR="00EB0599" w:rsidRDefault="00930280">
          <w:pPr>
            <w:pStyle w:val="11"/>
            <w:tabs>
              <w:tab w:val="left" w:pos="660"/>
              <w:tab w:val="right" w:leader="dot" w:pos="9344"/>
            </w:tabs>
            <w:rPr>
              <w:rFonts w:asciiTheme="minorHAnsi" w:eastAsiaTheme="minorEastAsia" w:hAnsiTheme="minorHAnsi"/>
              <w:noProof/>
              <w:sz w:val="22"/>
            </w:rPr>
          </w:pPr>
          <w:hyperlink w:anchor="_Toc168321546" w:history="1">
            <w:r w:rsidR="00EB0599" w:rsidRPr="00B230D6">
              <w:rPr>
                <w:rStyle w:val="af"/>
                <w:rFonts w:ascii="Times New Roman" w:eastAsia="Times New Roman" w:hAnsi="Times New Roman" w:cs="Times New Roman"/>
                <w:noProof/>
                <w:lang w:val="ro-MD" w:eastAsia="ru-RU"/>
              </w:rPr>
              <w:t>II.</w:t>
            </w:r>
            <w:r w:rsidR="00EB0599">
              <w:rPr>
                <w:rFonts w:asciiTheme="minorHAnsi" w:eastAsiaTheme="minorEastAsia" w:hAnsiTheme="minorHAnsi"/>
                <w:noProof/>
                <w:sz w:val="22"/>
              </w:rPr>
              <w:tab/>
            </w:r>
            <w:r w:rsidR="00EB0599" w:rsidRPr="00B230D6">
              <w:rPr>
                <w:rStyle w:val="af"/>
                <w:rFonts w:ascii="Times New Roman" w:eastAsia="Times New Roman" w:hAnsi="Times New Roman" w:cs="Times New Roman"/>
                <w:noProof/>
                <w:lang w:val="ro-MD" w:eastAsia="ru-RU"/>
              </w:rPr>
              <w:t>PREZENTAREA GENERALĂ</w:t>
            </w:r>
            <w:r w:rsidR="00EB0599">
              <w:rPr>
                <w:noProof/>
                <w:webHidden/>
              </w:rPr>
              <w:tab/>
            </w:r>
            <w:r w:rsidR="00EB0599">
              <w:rPr>
                <w:rStyle w:val="af"/>
                <w:noProof/>
              </w:rPr>
              <w:fldChar w:fldCharType="begin"/>
            </w:r>
            <w:r w:rsidR="00EB0599">
              <w:rPr>
                <w:noProof/>
                <w:webHidden/>
              </w:rPr>
              <w:instrText xml:space="preserve"> PAGEREF _Toc168321546 \h </w:instrText>
            </w:r>
            <w:r w:rsidR="00EB0599">
              <w:rPr>
                <w:rStyle w:val="af"/>
                <w:noProof/>
              </w:rPr>
            </w:r>
            <w:r w:rsidR="00EB0599">
              <w:rPr>
                <w:rStyle w:val="af"/>
                <w:noProof/>
              </w:rPr>
              <w:fldChar w:fldCharType="separate"/>
            </w:r>
            <w:r w:rsidR="00EB0599">
              <w:rPr>
                <w:noProof/>
                <w:webHidden/>
              </w:rPr>
              <w:t>7</w:t>
            </w:r>
            <w:r w:rsidR="00EB0599">
              <w:rPr>
                <w:rStyle w:val="af"/>
                <w:noProof/>
              </w:rPr>
              <w:fldChar w:fldCharType="end"/>
            </w:r>
          </w:hyperlink>
        </w:p>
        <w:p w14:paraId="3585CDEA" w14:textId="3C81BB45" w:rsidR="00EB0599" w:rsidRDefault="00930280">
          <w:pPr>
            <w:pStyle w:val="11"/>
            <w:tabs>
              <w:tab w:val="left" w:pos="660"/>
              <w:tab w:val="right" w:leader="dot" w:pos="9344"/>
            </w:tabs>
            <w:rPr>
              <w:rFonts w:asciiTheme="minorHAnsi" w:eastAsiaTheme="minorEastAsia" w:hAnsiTheme="minorHAnsi"/>
              <w:noProof/>
              <w:sz w:val="22"/>
            </w:rPr>
          </w:pPr>
          <w:hyperlink w:anchor="_Toc168321547" w:history="1">
            <w:r w:rsidR="00EB0599" w:rsidRPr="00B230D6">
              <w:rPr>
                <w:rStyle w:val="af"/>
                <w:rFonts w:ascii="Times New Roman" w:eastAsia="Times New Roman" w:hAnsi="Times New Roman" w:cs="Times New Roman"/>
                <w:noProof/>
                <w:lang w:val="ro-MD" w:eastAsia="ru-RU"/>
              </w:rPr>
              <w:t>III.</w:t>
            </w:r>
            <w:r w:rsidR="00EB0599">
              <w:rPr>
                <w:rFonts w:asciiTheme="minorHAnsi" w:eastAsiaTheme="minorEastAsia" w:hAnsiTheme="minorHAnsi"/>
                <w:noProof/>
                <w:sz w:val="22"/>
              </w:rPr>
              <w:tab/>
            </w:r>
            <w:r w:rsidR="00EB0599" w:rsidRPr="00B230D6">
              <w:rPr>
                <w:rStyle w:val="af"/>
                <w:rFonts w:ascii="Times New Roman" w:eastAsia="Times New Roman" w:hAnsi="Times New Roman" w:cs="Times New Roman"/>
                <w:noProof/>
                <w:lang w:val="ro-MD" w:eastAsia="ru-RU"/>
              </w:rPr>
              <w:t>SFERA ȘI ABORDAREA DE AUDIT</w:t>
            </w:r>
            <w:r w:rsidR="00EB0599">
              <w:rPr>
                <w:noProof/>
                <w:webHidden/>
              </w:rPr>
              <w:tab/>
            </w:r>
            <w:r w:rsidR="00EB0599">
              <w:rPr>
                <w:rStyle w:val="af"/>
                <w:noProof/>
              </w:rPr>
              <w:fldChar w:fldCharType="begin"/>
            </w:r>
            <w:r w:rsidR="00EB0599">
              <w:rPr>
                <w:noProof/>
                <w:webHidden/>
              </w:rPr>
              <w:instrText xml:space="preserve"> PAGEREF _Toc168321547 \h </w:instrText>
            </w:r>
            <w:r w:rsidR="00EB0599">
              <w:rPr>
                <w:rStyle w:val="af"/>
                <w:noProof/>
              </w:rPr>
            </w:r>
            <w:r w:rsidR="00EB0599">
              <w:rPr>
                <w:rStyle w:val="af"/>
                <w:noProof/>
              </w:rPr>
              <w:fldChar w:fldCharType="separate"/>
            </w:r>
            <w:r w:rsidR="00EB0599">
              <w:rPr>
                <w:noProof/>
                <w:webHidden/>
              </w:rPr>
              <w:t>13</w:t>
            </w:r>
            <w:r w:rsidR="00EB0599">
              <w:rPr>
                <w:rStyle w:val="af"/>
                <w:noProof/>
              </w:rPr>
              <w:fldChar w:fldCharType="end"/>
            </w:r>
          </w:hyperlink>
        </w:p>
        <w:p w14:paraId="693957B5" w14:textId="48FDEBB1" w:rsidR="00EB0599" w:rsidRDefault="00930280">
          <w:pPr>
            <w:pStyle w:val="21"/>
            <w:rPr>
              <w:rFonts w:asciiTheme="minorHAnsi" w:eastAsiaTheme="minorEastAsia" w:hAnsiTheme="minorHAnsi" w:cstheme="minorBidi"/>
              <w:bCs w:val="0"/>
              <w:sz w:val="22"/>
              <w:lang w:val="en-US" w:eastAsia="en-US"/>
            </w:rPr>
          </w:pPr>
          <w:hyperlink w:anchor="_Toc168321548" w:history="1">
            <w:r w:rsidR="00EB0599" w:rsidRPr="00B230D6">
              <w:rPr>
                <w:rStyle w:val="af"/>
                <w:rFonts w:ascii="Times New Roman" w:hAnsi="Times New Roman" w:cs="Times New Roman"/>
              </w:rPr>
              <w:t>3.1.</w:t>
            </w:r>
            <w:r w:rsidR="00EB0599">
              <w:rPr>
                <w:rFonts w:asciiTheme="minorHAnsi" w:eastAsiaTheme="minorEastAsia" w:hAnsiTheme="minorHAnsi" w:cstheme="minorBidi"/>
                <w:bCs w:val="0"/>
                <w:sz w:val="22"/>
                <w:lang w:val="en-US" w:eastAsia="en-US"/>
              </w:rPr>
              <w:tab/>
            </w:r>
            <w:r w:rsidR="00EB0599" w:rsidRPr="00B230D6">
              <w:rPr>
                <w:rStyle w:val="af"/>
                <w:rFonts w:ascii="Times New Roman" w:hAnsi="Times New Roman" w:cs="Times New Roman"/>
              </w:rPr>
              <w:t>Mandatul legal și scopul auditului</w:t>
            </w:r>
            <w:r w:rsidR="00EB0599">
              <w:rPr>
                <w:webHidden/>
              </w:rPr>
              <w:tab/>
            </w:r>
            <w:r w:rsidR="00EB0599">
              <w:rPr>
                <w:rStyle w:val="af"/>
              </w:rPr>
              <w:fldChar w:fldCharType="begin"/>
            </w:r>
            <w:r w:rsidR="00EB0599">
              <w:rPr>
                <w:webHidden/>
              </w:rPr>
              <w:instrText xml:space="preserve"> PAGEREF _Toc168321548 \h </w:instrText>
            </w:r>
            <w:r w:rsidR="00EB0599">
              <w:rPr>
                <w:rStyle w:val="af"/>
              </w:rPr>
            </w:r>
            <w:r w:rsidR="00EB0599">
              <w:rPr>
                <w:rStyle w:val="af"/>
              </w:rPr>
              <w:fldChar w:fldCharType="separate"/>
            </w:r>
            <w:r w:rsidR="00EB0599">
              <w:rPr>
                <w:webHidden/>
              </w:rPr>
              <w:t>13</w:t>
            </w:r>
            <w:r w:rsidR="00EB0599">
              <w:rPr>
                <w:rStyle w:val="af"/>
              </w:rPr>
              <w:fldChar w:fldCharType="end"/>
            </w:r>
          </w:hyperlink>
        </w:p>
        <w:p w14:paraId="57E6A274" w14:textId="52100838" w:rsidR="00EB0599" w:rsidRDefault="00930280">
          <w:pPr>
            <w:pStyle w:val="21"/>
            <w:rPr>
              <w:rFonts w:asciiTheme="minorHAnsi" w:eastAsiaTheme="minorEastAsia" w:hAnsiTheme="minorHAnsi" w:cstheme="minorBidi"/>
              <w:bCs w:val="0"/>
              <w:sz w:val="22"/>
              <w:lang w:val="en-US" w:eastAsia="en-US"/>
            </w:rPr>
          </w:pPr>
          <w:hyperlink w:anchor="_Toc168321549" w:history="1">
            <w:r w:rsidR="00EB0599" w:rsidRPr="00B230D6">
              <w:rPr>
                <w:rStyle w:val="af"/>
                <w:rFonts w:ascii="Times New Roman" w:hAnsi="Times New Roman" w:cs="Times New Roman"/>
              </w:rPr>
              <w:t>3.2.</w:t>
            </w:r>
            <w:r w:rsidR="00EB0599">
              <w:rPr>
                <w:rFonts w:asciiTheme="minorHAnsi" w:eastAsiaTheme="minorEastAsia" w:hAnsiTheme="minorHAnsi" w:cstheme="minorBidi"/>
                <w:bCs w:val="0"/>
                <w:sz w:val="22"/>
                <w:lang w:val="en-US" w:eastAsia="en-US"/>
              </w:rPr>
              <w:tab/>
            </w:r>
            <w:r w:rsidR="00EB0599" w:rsidRPr="00B230D6">
              <w:rPr>
                <w:rStyle w:val="af"/>
                <w:rFonts w:ascii="Times New Roman" w:hAnsi="Times New Roman" w:cs="Times New Roman"/>
              </w:rPr>
              <w:t>Abordarea auditului</w:t>
            </w:r>
            <w:r w:rsidR="00EB0599">
              <w:rPr>
                <w:webHidden/>
              </w:rPr>
              <w:tab/>
            </w:r>
            <w:r w:rsidR="00EB0599">
              <w:rPr>
                <w:rStyle w:val="af"/>
              </w:rPr>
              <w:fldChar w:fldCharType="begin"/>
            </w:r>
            <w:r w:rsidR="00EB0599">
              <w:rPr>
                <w:webHidden/>
              </w:rPr>
              <w:instrText xml:space="preserve"> PAGEREF _Toc168321549 \h </w:instrText>
            </w:r>
            <w:r w:rsidR="00EB0599">
              <w:rPr>
                <w:rStyle w:val="af"/>
              </w:rPr>
            </w:r>
            <w:r w:rsidR="00EB0599">
              <w:rPr>
                <w:rStyle w:val="af"/>
              </w:rPr>
              <w:fldChar w:fldCharType="separate"/>
            </w:r>
            <w:r w:rsidR="00EB0599">
              <w:rPr>
                <w:webHidden/>
              </w:rPr>
              <w:t>14</w:t>
            </w:r>
            <w:r w:rsidR="00EB0599">
              <w:rPr>
                <w:rStyle w:val="af"/>
              </w:rPr>
              <w:fldChar w:fldCharType="end"/>
            </w:r>
          </w:hyperlink>
        </w:p>
        <w:p w14:paraId="45F324F7" w14:textId="438D3075" w:rsidR="00EB0599" w:rsidRDefault="00930280">
          <w:pPr>
            <w:pStyle w:val="11"/>
            <w:tabs>
              <w:tab w:val="left" w:pos="660"/>
              <w:tab w:val="right" w:leader="dot" w:pos="9344"/>
            </w:tabs>
            <w:rPr>
              <w:rFonts w:asciiTheme="minorHAnsi" w:eastAsiaTheme="minorEastAsia" w:hAnsiTheme="minorHAnsi"/>
              <w:noProof/>
              <w:sz w:val="22"/>
            </w:rPr>
          </w:pPr>
          <w:hyperlink w:anchor="_Toc168321550" w:history="1">
            <w:r w:rsidR="00EB0599" w:rsidRPr="00B230D6">
              <w:rPr>
                <w:rStyle w:val="af"/>
                <w:rFonts w:ascii="Times New Roman" w:eastAsia="Times New Roman" w:hAnsi="Times New Roman" w:cs="Times New Roman"/>
                <w:noProof/>
                <w:lang w:val="ro-MD" w:eastAsia="ru-RU"/>
              </w:rPr>
              <w:t>IV.</w:t>
            </w:r>
            <w:r w:rsidR="00EB0599">
              <w:rPr>
                <w:rFonts w:asciiTheme="minorHAnsi" w:eastAsiaTheme="minorEastAsia" w:hAnsiTheme="minorHAnsi"/>
                <w:noProof/>
                <w:sz w:val="22"/>
              </w:rPr>
              <w:tab/>
            </w:r>
            <w:r w:rsidR="00EB0599" w:rsidRPr="00B230D6">
              <w:rPr>
                <w:rStyle w:val="af"/>
                <w:rFonts w:ascii="Times New Roman" w:eastAsia="Times New Roman" w:hAnsi="Times New Roman" w:cs="Times New Roman"/>
                <w:noProof/>
                <w:lang w:val="ro-MD" w:eastAsia="ru-RU"/>
              </w:rPr>
              <w:t>CONSTATĂRI</w:t>
            </w:r>
            <w:r w:rsidR="00EB0599">
              <w:rPr>
                <w:noProof/>
                <w:webHidden/>
              </w:rPr>
              <w:tab/>
            </w:r>
            <w:r w:rsidR="00EB0599">
              <w:rPr>
                <w:rStyle w:val="af"/>
                <w:noProof/>
              </w:rPr>
              <w:fldChar w:fldCharType="begin"/>
            </w:r>
            <w:r w:rsidR="00EB0599">
              <w:rPr>
                <w:noProof/>
                <w:webHidden/>
              </w:rPr>
              <w:instrText xml:space="preserve"> PAGEREF _Toc168321550 \h </w:instrText>
            </w:r>
            <w:r w:rsidR="00EB0599">
              <w:rPr>
                <w:rStyle w:val="af"/>
                <w:noProof/>
              </w:rPr>
            </w:r>
            <w:r w:rsidR="00EB0599">
              <w:rPr>
                <w:rStyle w:val="af"/>
                <w:noProof/>
              </w:rPr>
              <w:fldChar w:fldCharType="separate"/>
            </w:r>
            <w:r w:rsidR="00EB0599">
              <w:rPr>
                <w:noProof/>
                <w:webHidden/>
              </w:rPr>
              <w:t>14</w:t>
            </w:r>
            <w:r w:rsidR="00EB0599">
              <w:rPr>
                <w:rStyle w:val="af"/>
                <w:noProof/>
              </w:rPr>
              <w:fldChar w:fldCharType="end"/>
            </w:r>
          </w:hyperlink>
        </w:p>
        <w:p w14:paraId="1BDDF5FE" w14:textId="57037D00" w:rsidR="00EB0599" w:rsidRDefault="00930280">
          <w:pPr>
            <w:pStyle w:val="21"/>
            <w:rPr>
              <w:rFonts w:asciiTheme="minorHAnsi" w:eastAsiaTheme="minorEastAsia" w:hAnsiTheme="minorHAnsi" w:cstheme="minorBidi"/>
              <w:bCs w:val="0"/>
              <w:sz w:val="22"/>
              <w:lang w:val="en-US" w:eastAsia="en-US"/>
            </w:rPr>
          </w:pPr>
          <w:hyperlink w:anchor="_Toc168321551" w:history="1">
            <w:r w:rsidR="00EB0599" w:rsidRPr="00B230D6">
              <w:rPr>
                <w:rStyle w:val="af"/>
                <w:rFonts w:ascii="Times New Roman" w:hAnsi="Times New Roman" w:cs="Times New Roman"/>
              </w:rPr>
              <w:t>4.1.</w:t>
            </w:r>
            <w:r w:rsidR="00EB0599">
              <w:rPr>
                <w:rFonts w:asciiTheme="minorHAnsi" w:eastAsiaTheme="minorEastAsia" w:hAnsiTheme="minorHAnsi" w:cstheme="minorBidi"/>
                <w:bCs w:val="0"/>
                <w:sz w:val="22"/>
                <w:lang w:val="en-US" w:eastAsia="en-US"/>
              </w:rPr>
              <w:tab/>
            </w:r>
            <w:r w:rsidR="00EB0599" w:rsidRPr="00B230D6">
              <w:rPr>
                <w:rStyle w:val="af"/>
                <w:rFonts w:ascii="Times New Roman" w:hAnsi="Times New Roman" w:cs="Times New Roman"/>
              </w:rPr>
              <w:t>Ministerul Finanțelor a asigurat conformitatea managementului datoriei de stat în raport cu prevederile cadrului normativ aplicabil?</w:t>
            </w:r>
            <w:r w:rsidR="00EB0599">
              <w:rPr>
                <w:webHidden/>
              </w:rPr>
              <w:tab/>
            </w:r>
            <w:r w:rsidR="00EB0599">
              <w:rPr>
                <w:rStyle w:val="af"/>
              </w:rPr>
              <w:fldChar w:fldCharType="begin"/>
            </w:r>
            <w:r w:rsidR="00EB0599">
              <w:rPr>
                <w:webHidden/>
              </w:rPr>
              <w:instrText xml:space="preserve"> PAGEREF _Toc168321551 \h </w:instrText>
            </w:r>
            <w:r w:rsidR="00EB0599">
              <w:rPr>
                <w:rStyle w:val="af"/>
              </w:rPr>
            </w:r>
            <w:r w:rsidR="00EB0599">
              <w:rPr>
                <w:rStyle w:val="af"/>
              </w:rPr>
              <w:fldChar w:fldCharType="separate"/>
            </w:r>
            <w:r w:rsidR="00EB0599">
              <w:rPr>
                <w:webHidden/>
              </w:rPr>
              <w:t>14</w:t>
            </w:r>
            <w:r w:rsidR="00EB0599">
              <w:rPr>
                <w:rStyle w:val="af"/>
              </w:rPr>
              <w:fldChar w:fldCharType="end"/>
            </w:r>
          </w:hyperlink>
        </w:p>
        <w:p w14:paraId="2D32D815" w14:textId="6DD77D73" w:rsidR="00EB0599" w:rsidRDefault="00930280">
          <w:pPr>
            <w:pStyle w:val="21"/>
            <w:rPr>
              <w:rFonts w:asciiTheme="minorHAnsi" w:eastAsiaTheme="minorEastAsia" w:hAnsiTheme="minorHAnsi" w:cstheme="minorBidi"/>
              <w:bCs w:val="0"/>
              <w:sz w:val="22"/>
              <w:lang w:val="en-US" w:eastAsia="en-US"/>
            </w:rPr>
          </w:pPr>
          <w:hyperlink w:anchor="_Toc168321552" w:history="1">
            <w:r w:rsidR="00EB0599" w:rsidRPr="00B230D6">
              <w:rPr>
                <w:rStyle w:val="af"/>
                <w:rFonts w:ascii="Times New Roman" w:hAnsi="Times New Roman" w:cs="Times New Roman"/>
              </w:rPr>
              <w:t>4.2.</w:t>
            </w:r>
            <w:r w:rsidR="00EB0599">
              <w:rPr>
                <w:rFonts w:asciiTheme="minorHAnsi" w:eastAsiaTheme="minorEastAsia" w:hAnsiTheme="minorHAnsi" w:cstheme="minorBidi"/>
                <w:bCs w:val="0"/>
                <w:sz w:val="22"/>
                <w:lang w:val="en-US" w:eastAsia="en-US"/>
              </w:rPr>
              <w:tab/>
            </w:r>
            <w:r w:rsidR="00EB0599" w:rsidRPr="00B230D6">
              <w:rPr>
                <w:rStyle w:val="af"/>
                <w:rFonts w:ascii="Times New Roman" w:hAnsi="Times New Roman" w:cs="Times New Roman"/>
              </w:rPr>
              <w:t>Ministerul Finanțelor a asigurat conformitatea acordării garanțiilor de stat în raport cu prevederile cadrului normativ aplicabil?</w:t>
            </w:r>
            <w:r w:rsidR="00EB0599">
              <w:rPr>
                <w:webHidden/>
              </w:rPr>
              <w:tab/>
            </w:r>
            <w:r w:rsidR="00EB0599">
              <w:rPr>
                <w:rStyle w:val="af"/>
              </w:rPr>
              <w:fldChar w:fldCharType="begin"/>
            </w:r>
            <w:r w:rsidR="00EB0599">
              <w:rPr>
                <w:webHidden/>
              </w:rPr>
              <w:instrText xml:space="preserve"> PAGEREF _Toc168321552 \h </w:instrText>
            </w:r>
            <w:r w:rsidR="00EB0599">
              <w:rPr>
                <w:rStyle w:val="af"/>
              </w:rPr>
            </w:r>
            <w:r w:rsidR="00EB0599">
              <w:rPr>
                <w:rStyle w:val="af"/>
              </w:rPr>
              <w:fldChar w:fldCharType="separate"/>
            </w:r>
            <w:r w:rsidR="00EB0599">
              <w:rPr>
                <w:webHidden/>
              </w:rPr>
              <w:t>19</w:t>
            </w:r>
            <w:r w:rsidR="00EB0599">
              <w:rPr>
                <w:rStyle w:val="af"/>
              </w:rPr>
              <w:fldChar w:fldCharType="end"/>
            </w:r>
          </w:hyperlink>
        </w:p>
        <w:p w14:paraId="12986A0F" w14:textId="13A802C0" w:rsidR="00EB0599" w:rsidRDefault="00930280">
          <w:pPr>
            <w:pStyle w:val="21"/>
            <w:rPr>
              <w:rFonts w:asciiTheme="minorHAnsi" w:eastAsiaTheme="minorEastAsia" w:hAnsiTheme="minorHAnsi" w:cstheme="minorBidi"/>
              <w:bCs w:val="0"/>
              <w:sz w:val="22"/>
              <w:lang w:val="en-US" w:eastAsia="en-US"/>
            </w:rPr>
          </w:pPr>
          <w:hyperlink w:anchor="_Toc168321553" w:history="1">
            <w:r w:rsidR="00EB0599" w:rsidRPr="00B230D6">
              <w:rPr>
                <w:rStyle w:val="af"/>
                <w:rFonts w:ascii="Times New Roman" w:hAnsi="Times New Roman" w:cs="Times New Roman"/>
              </w:rPr>
              <w:t>4.3.</w:t>
            </w:r>
            <w:r w:rsidR="00EB0599">
              <w:rPr>
                <w:rFonts w:asciiTheme="minorHAnsi" w:eastAsiaTheme="minorEastAsia" w:hAnsiTheme="minorHAnsi" w:cstheme="minorBidi"/>
                <w:bCs w:val="0"/>
                <w:sz w:val="22"/>
                <w:lang w:val="en-US" w:eastAsia="en-US"/>
              </w:rPr>
              <w:tab/>
            </w:r>
            <w:r w:rsidR="00EB0599" w:rsidRPr="00B230D6">
              <w:rPr>
                <w:rStyle w:val="af"/>
                <w:rFonts w:ascii="Times New Roman" w:hAnsi="Times New Roman" w:cs="Times New Roman"/>
              </w:rPr>
              <w:t>Ministerul Finanțelor a asigurat conformitatea recreditării de stat în raport cu prevederile cadrului normativ aplicabil?</w:t>
            </w:r>
            <w:r w:rsidR="00EB0599">
              <w:rPr>
                <w:webHidden/>
              </w:rPr>
              <w:tab/>
            </w:r>
            <w:r w:rsidR="00EB0599">
              <w:rPr>
                <w:rStyle w:val="af"/>
              </w:rPr>
              <w:fldChar w:fldCharType="begin"/>
            </w:r>
            <w:r w:rsidR="00EB0599">
              <w:rPr>
                <w:webHidden/>
              </w:rPr>
              <w:instrText xml:space="preserve"> PAGEREF _Toc168321553 \h </w:instrText>
            </w:r>
            <w:r w:rsidR="00EB0599">
              <w:rPr>
                <w:rStyle w:val="af"/>
              </w:rPr>
            </w:r>
            <w:r w:rsidR="00EB0599">
              <w:rPr>
                <w:rStyle w:val="af"/>
              </w:rPr>
              <w:fldChar w:fldCharType="separate"/>
            </w:r>
            <w:r w:rsidR="00EB0599">
              <w:rPr>
                <w:webHidden/>
              </w:rPr>
              <w:t>23</w:t>
            </w:r>
            <w:r w:rsidR="00EB0599">
              <w:rPr>
                <w:rStyle w:val="af"/>
              </w:rPr>
              <w:fldChar w:fldCharType="end"/>
            </w:r>
          </w:hyperlink>
        </w:p>
        <w:p w14:paraId="7C297F69" w14:textId="49217848" w:rsidR="00EB0599" w:rsidRDefault="00930280">
          <w:pPr>
            <w:pStyle w:val="11"/>
            <w:tabs>
              <w:tab w:val="left" w:pos="660"/>
              <w:tab w:val="right" w:leader="dot" w:pos="9344"/>
            </w:tabs>
            <w:rPr>
              <w:rFonts w:asciiTheme="minorHAnsi" w:eastAsiaTheme="minorEastAsia" w:hAnsiTheme="minorHAnsi"/>
              <w:noProof/>
              <w:sz w:val="22"/>
            </w:rPr>
          </w:pPr>
          <w:hyperlink w:anchor="_Toc168321554" w:history="1">
            <w:r w:rsidR="00EB0599" w:rsidRPr="00B230D6">
              <w:rPr>
                <w:rStyle w:val="af"/>
                <w:rFonts w:ascii="Times New Roman" w:hAnsi="Times New Roman" w:cs="Times New Roman"/>
                <w:noProof/>
                <w:lang w:val="ro-MD"/>
              </w:rPr>
              <w:t>V.</w:t>
            </w:r>
            <w:r w:rsidR="00EB0599">
              <w:rPr>
                <w:rFonts w:asciiTheme="minorHAnsi" w:eastAsiaTheme="minorEastAsia" w:hAnsiTheme="minorHAnsi"/>
                <w:noProof/>
                <w:sz w:val="22"/>
              </w:rPr>
              <w:tab/>
            </w:r>
            <w:r w:rsidR="00EB0599" w:rsidRPr="00B230D6">
              <w:rPr>
                <w:rStyle w:val="af"/>
                <w:rFonts w:ascii="Times New Roman" w:hAnsi="Times New Roman" w:cs="Times New Roman"/>
                <w:noProof/>
                <w:lang w:val="ro-MD"/>
              </w:rPr>
              <w:t>CONCLUZIA GENERALĂ</w:t>
            </w:r>
            <w:r w:rsidR="00EB0599">
              <w:rPr>
                <w:noProof/>
                <w:webHidden/>
              </w:rPr>
              <w:tab/>
            </w:r>
            <w:r w:rsidR="00EB0599">
              <w:rPr>
                <w:rStyle w:val="af"/>
                <w:noProof/>
              </w:rPr>
              <w:fldChar w:fldCharType="begin"/>
            </w:r>
            <w:r w:rsidR="00EB0599">
              <w:rPr>
                <w:noProof/>
                <w:webHidden/>
              </w:rPr>
              <w:instrText xml:space="preserve"> PAGEREF _Toc168321554 \h </w:instrText>
            </w:r>
            <w:r w:rsidR="00EB0599">
              <w:rPr>
                <w:rStyle w:val="af"/>
                <w:noProof/>
              </w:rPr>
            </w:r>
            <w:r w:rsidR="00EB0599">
              <w:rPr>
                <w:rStyle w:val="af"/>
                <w:noProof/>
              </w:rPr>
              <w:fldChar w:fldCharType="separate"/>
            </w:r>
            <w:r w:rsidR="00EB0599">
              <w:rPr>
                <w:noProof/>
                <w:webHidden/>
              </w:rPr>
              <w:t>24</w:t>
            </w:r>
            <w:r w:rsidR="00EB0599">
              <w:rPr>
                <w:rStyle w:val="af"/>
                <w:noProof/>
              </w:rPr>
              <w:fldChar w:fldCharType="end"/>
            </w:r>
          </w:hyperlink>
        </w:p>
        <w:p w14:paraId="5F09E7AA" w14:textId="759A61E6" w:rsidR="00EB0599" w:rsidRDefault="00930280">
          <w:pPr>
            <w:pStyle w:val="11"/>
            <w:tabs>
              <w:tab w:val="left" w:pos="660"/>
              <w:tab w:val="right" w:leader="dot" w:pos="9344"/>
            </w:tabs>
            <w:rPr>
              <w:rFonts w:asciiTheme="minorHAnsi" w:eastAsiaTheme="minorEastAsia" w:hAnsiTheme="minorHAnsi"/>
              <w:noProof/>
              <w:sz w:val="22"/>
            </w:rPr>
          </w:pPr>
          <w:hyperlink w:anchor="_Toc168321555" w:history="1">
            <w:r w:rsidR="00EB0599" w:rsidRPr="00B230D6">
              <w:rPr>
                <w:rStyle w:val="af"/>
                <w:rFonts w:ascii="Times New Roman" w:eastAsiaTheme="majorEastAsia" w:hAnsi="Times New Roman" w:cs="Times New Roman"/>
                <w:b/>
                <w:noProof/>
                <w:lang w:val="ro-MD"/>
              </w:rPr>
              <w:t>VI.</w:t>
            </w:r>
            <w:r w:rsidR="00EB0599">
              <w:rPr>
                <w:rFonts w:asciiTheme="minorHAnsi" w:eastAsiaTheme="minorEastAsia" w:hAnsiTheme="minorHAnsi"/>
                <w:noProof/>
                <w:sz w:val="22"/>
              </w:rPr>
              <w:tab/>
            </w:r>
            <w:r w:rsidR="00EB0599" w:rsidRPr="00B230D6">
              <w:rPr>
                <w:rStyle w:val="af"/>
                <w:rFonts w:ascii="Times New Roman" w:eastAsiaTheme="majorEastAsia" w:hAnsi="Times New Roman" w:cs="Times New Roman"/>
                <w:b/>
                <w:noProof/>
                <w:lang w:val="ro-MD"/>
              </w:rPr>
              <w:t>RECOMANDĂRI MINISTERULUI FINANȚELOR</w:t>
            </w:r>
            <w:r w:rsidR="00EB0599">
              <w:rPr>
                <w:noProof/>
                <w:webHidden/>
              </w:rPr>
              <w:tab/>
            </w:r>
            <w:r w:rsidR="00EB0599">
              <w:rPr>
                <w:rStyle w:val="af"/>
                <w:noProof/>
              </w:rPr>
              <w:fldChar w:fldCharType="begin"/>
            </w:r>
            <w:r w:rsidR="00EB0599">
              <w:rPr>
                <w:noProof/>
                <w:webHidden/>
              </w:rPr>
              <w:instrText xml:space="preserve"> PAGEREF _Toc168321555 \h </w:instrText>
            </w:r>
            <w:r w:rsidR="00EB0599">
              <w:rPr>
                <w:rStyle w:val="af"/>
                <w:noProof/>
              </w:rPr>
            </w:r>
            <w:r w:rsidR="00EB0599">
              <w:rPr>
                <w:rStyle w:val="af"/>
                <w:noProof/>
              </w:rPr>
              <w:fldChar w:fldCharType="separate"/>
            </w:r>
            <w:r w:rsidR="00EB0599">
              <w:rPr>
                <w:noProof/>
                <w:webHidden/>
              </w:rPr>
              <w:t>24</w:t>
            </w:r>
            <w:r w:rsidR="00EB0599">
              <w:rPr>
                <w:rStyle w:val="af"/>
                <w:noProof/>
              </w:rPr>
              <w:fldChar w:fldCharType="end"/>
            </w:r>
          </w:hyperlink>
        </w:p>
        <w:p w14:paraId="1A093CCD" w14:textId="16BEE3C1" w:rsidR="00EB0599" w:rsidRDefault="00930280">
          <w:pPr>
            <w:pStyle w:val="11"/>
            <w:tabs>
              <w:tab w:val="right" w:leader="dot" w:pos="9344"/>
            </w:tabs>
            <w:rPr>
              <w:rFonts w:asciiTheme="minorHAnsi" w:eastAsiaTheme="minorEastAsia" w:hAnsiTheme="minorHAnsi"/>
              <w:noProof/>
              <w:sz w:val="22"/>
            </w:rPr>
          </w:pPr>
          <w:hyperlink w:anchor="_Toc168321556" w:history="1">
            <w:r w:rsidR="00EB0599" w:rsidRPr="00B230D6">
              <w:rPr>
                <w:rStyle w:val="af"/>
                <w:rFonts w:ascii="Times New Roman" w:hAnsi="Times New Roman" w:cs="Times New Roman"/>
                <w:noProof/>
                <w:lang w:val="ro-MD" w:eastAsia="ru-RU"/>
              </w:rPr>
              <w:t>Semnăturile echipei misiunii de audit</w:t>
            </w:r>
            <w:r w:rsidR="00EB0599">
              <w:rPr>
                <w:noProof/>
                <w:webHidden/>
              </w:rPr>
              <w:tab/>
            </w:r>
            <w:r w:rsidR="00EB0599">
              <w:rPr>
                <w:rStyle w:val="af"/>
                <w:noProof/>
              </w:rPr>
              <w:fldChar w:fldCharType="begin"/>
            </w:r>
            <w:r w:rsidR="00EB0599">
              <w:rPr>
                <w:noProof/>
                <w:webHidden/>
              </w:rPr>
              <w:instrText xml:space="preserve"> PAGEREF _Toc168321556 \h </w:instrText>
            </w:r>
            <w:r w:rsidR="00EB0599">
              <w:rPr>
                <w:rStyle w:val="af"/>
                <w:noProof/>
              </w:rPr>
            </w:r>
            <w:r w:rsidR="00EB0599">
              <w:rPr>
                <w:rStyle w:val="af"/>
                <w:noProof/>
              </w:rPr>
              <w:fldChar w:fldCharType="separate"/>
            </w:r>
            <w:r w:rsidR="00EB0599">
              <w:rPr>
                <w:noProof/>
                <w:webHidden/>
              </w:rPr>
              <w:t>24</w:t>
            </w:r>
            <w:r w:rsidR="00EB0599">
              <w:rPr>
                <w:rStyle w:val="af"/>
                <w:noProof/>
              </w:rPr>
              <w:fldChar w:fldCharType="end"/>
            </w:r>
          </w:hyperlink>
        </w:p>
        <w:p w14:paraId="6F6E485B" w14:textId="1DF68537" w:rsidR="00EB0599" w:rsidRDefault="00930280">
          <w:pPr>
            <w:pStyle w:val="11"/>
            <w:tabs>
              <w:tab w:val="right" w:leader="dot" w:pos="9344"/>
            </w:tabs>
            <w:rPr>
              <w:rFonts w:asciiTheme="minorHAnsi" w:eastAsiaTheme="minorEastAsia" w:hAnsiTheme="minorHAnsi"/>
              <w:noProof/>
              <w:sz w:val="22"/>
            </w:rPr>
          </w:pPr>
          <w:hyperlink w:anchor="_Toc168321557" w:history="1">
            <w:r w:rsidR="00EB0599" w:rsidRPr="00B230D6">
              <w:rPr>
                <w:rStyle w:val="af"/>
                <w:rFonts w:ascii="Times New Roman" w:hAnsi="Times New Roman" w:cs="Times New Roman"/>
                <w:noProof/>
                <w:lang w:val="ro-MD"/>
              </w:rPr>
              <w:t>ANEXE</w:t>
            </w:r>
            <w:r w:rsidR="00EB0599">
              <w:rPr>
                <w:noProof/>
                <w:webHidden/>
              </w:rPr>
              <w:tab/>
            </w:r>
            <w:r w:rsidR="00EB0599">
              <w:rPr>
                <w:rStyle w:val="af"/>
                <w:noProof/>
              </w:rPr>
              <w:fldChar w:fldCharType="begin"/>
            </w:r>
            <w:r w:rsidR="00EB0599">
              <w:rPr>
                <w:noProof/>
                <w:webHidden/>
              </w:rPr>
              <w:instrText xml:space="preserve"> PAGEREF _Toc168321557 \h </w:instrText>
            </w:r>
            <w:r w:rsidR="00EB0599">
              <w:rPr>
                <w:rStyle w:val="af"/>
                <w:noProof/>
              </w:rPr>
            </w:r>
            <w:r w:rsidR="00EB0599">
              <w:rPr>
                <w:rStyle w:val="af"/>
                <w:noProof/>
              </w:rPr>
              <w:fldChar w:fldCharType="separate"/>
            </w:r>
            <w:r w:rsidR="00EB0599">
              <w:rPr>
                <w:noProof/>
                <w:webHidden/>
              </w:rPr>
              <w:t>25</w:t>
            </w:r>
            <w:r w:rsidR="00EB0599">
              <w:rPr>
                <w:rStyle w:val="af"/>
                <w:noProof/>
              </w:rPr>
              <w:fldChar w:fldCharType="end"/>
            </w:r>
          </w:hyperlink>
        </w:p>
        <w:p w14:paraId="74DABAA0" w14:textId="4B7B2953" w:rsidR="00EB0599" w:rsidRDefault="00930280">
          <w:pPr>
            <w:pStyle w:val="31"/>
            <w:rPr>
              <w:rFonts w:asciiTheme="minorHAnsi" w:hAnsiTheme="minorHAnsi" w:cstheme="minorBidi"/>
              <w:sz w:val="22"/>
            </w:rPr>
          </w:pPr>
          <w:hyperlink w:anchor="_Toc168321558" w:history="1">
            <w:r w:rsidR="00EB0599" w:rsidRPr="00B230D6">
              <w:rPr>
                <w:rStyle w:val="af"/>
                <w:rFonts w:ascii="Times New Roman" w:hAnsi="Times New Roman"/>
                <w:lang w:val="ro-MD"/>
                <w14:glow w14:rad="0">
                  <w14:schemeClr w14:val="tx1"/>
                </w14:glow>
              </w:rPr>
              <w:t>Anexa nr.1</w:t>
            </w:r>
            <w:r w:rsidR="00EB0599">
              <w:rPr>
                <w:webHidden/>
              </w:rPr>
              <w:tab/>
            </w:r>
            <w:r w:rsidR="00EB0599">
              <w:rPr>
                <w:rStyle w:val="af"/>
              </w:rPr>
              <w:fldChar w:fldCharType="begin"/>
            </w:r>
            <w:r w:rsidR="00EB0599">
              <w:rPr>
                <w:webHidden/>
              </w:rPr>
              <w:instrText xml:space="preserve"> PAGEREF _Toc168321558 \h </w:instrText>
            </w:r>
            <w:r w:rsidR="00EB0599">
              <w:rPr>
                <w:rStyle w:val="af"/>
              </w:rPr>
            </w:r>
            <w:r w:rsidR="00EB0599">
              <w:rPr>
                <w:rStyle w:val="af"/>
              </w:rPr>
              <w:fldChar w:fldCharType="separate"/>
            </w:r>
            <w:r w:rsidR="00EB0599">
              <w:rPr>
                <w:webHidden/>
              </w:rPr>
              <w:t>25</w:t>
            </w:r>
            <w:r w:rsidR="00EB0599">
              <w:rPr>
                <w:rStyle w:val="af"/>
              </w:rPr>
              <w:fldChar w:fldCharType="end"/>
            </w:r>
          </w:hyperlink>
        </w:p>
        <w:p w14:paraId="063677CD" w14:textId="096E852E" w:rsidR="00EB0599" w:rsidRDefault="00930280">
          <w:pPr>
            <w:pStyle w:val="31"/>
            <w:rPr>
              <w:rFonts w:asciiTheme="minorHAnsi" w:hAnsiTheme="minorHAnsi" w:cstheme="minorBidi"/>
              <w:sz w:val="22"/>
            </w:rPr>
          </w:pPr>
          <w:hyperlink w:anchor="_Toc168321559" w:history="1">
            <w:r w:rsidR="00EB0599" w:rsidRPr="00B230D6">
              <w:rPr>
                <w:rStyle w:val="af"/>
                <w:rFonts w:ascii="Times New Roman" w:hAnsi="Times New Roman"/>
                <w:lang w:val="ro-MD"/>
                <w14:glow w14:rad="0">
                  <w14:schemeClr w14:val="tx1"/>
                </w14:glow>
              </w:rPr>
              <w:t>Anexa nr.2</w:t>
            </w:r>
            <w:r w:rsidR="00EB0599">
              <w:rPr>
                <w:webHidden/>
              </w:rPr>
              <w:tab/>
            </w:r>
            <w:r w:rsidR="00EB0599">
              <w:rPr>
                <w:rStyle w:val="af"/>
              </w:rPr>
              <w:fldChar w:fldCharType="begin"/>
            </w:r>
            <w:r w:rsidR="00EB0599">
              <w:rPr>
                <w:webHidden/>
              </w:rPr>
              <w:instrText xml:space="preserve"> PAGEREF _Toc168321559 \h </w:instrText>
            </w:r>
            <w:r w:rsidR="00EB0599">
              <w:rPr>
                <w:rStyle w:val="af"/>
              </w:rPr>
            </w:r>
            <w:r w:rsidR="00EB0599">
              <w:rPr>
                <w:rStyle w:val="af"/>
              </w:rPr>
              <w:fldChar w:fldCharType="separate"/>
            </w:r>
            <w:r w:rsidR="00EB0599">
              <w:rPr>
                <w:webHidden/>
              </w:rPr>
              <w:t>26</w:t>
            </w:r>
            <w:r w:rsidR="00EB0599">
              <w:rPr>
                <w:rStyle w:val="af"/>
              </w:rPr>
              <w:fldChar w:fldCharType="end"/>
            </w:r>
          </w:hyperlink>
        </w:p>
        <w:p w14:paraId="729EA7B2" w14:textId="79ECF390" w:rsidR="00EB0599" w:rsidRDefault="00930280">
          <w:pPr>
            <w:pStyle w:val="31"/>
            <w:rPr>
              <w:rFonts w:asciiTheme="minorHAnsi" w:hAnsiTheme="minorHAnsi" w:cstheme="minorBidi"/>
              <w:sz w:val="22"/>
            </w:rPr>
          </w:pPr>
          <w:hyperlink w:anchor="_Toc168321560" w:history="1">
            <w:r w:rsidR="00EB0599" w:rsidRPr="00B230D6">
              <w:rPr>
                <w:rStyle w:val="af"/>
                <w:rFonts w:ascii="Times New Roman" w:hAnsi="Times New Roman"/>
                <w:lang w:val="ro-MD"/>
                <w14:glow w14:rad="0">
                  <w14:schemeClr w14:val="tx1"/>
                </w14:glow>
              </w:rPr>
              <w:t>Anexa nr.3</w:t>
            </w:r>
            <w:r w:rsidR="00EB0599">
              <w:rPr>
                <w:webHidden/>
              </w:rPr>
              <w:tab/>
            </w:r>
            <w:r w:rsidR="00EB0599">
              <w:rPr>
                <w:rStyle w:val="af"/>
              </w:rPr>
              <w:fldChar w:fldCharType="begin"/>
            </w:r>
            <w:r w:rsidR="00EB0599">
              <w:rPr>
                <w:webHidden/>
              </w:rPr>
              <w:instrText xml:space="preserve"> PAGEREF _Toc168321560 \h </w:instrText>
            </w:r>
            <w:r w:rsidR="00EB0599">
              <w:rPr>
                <w:rStyle w:val="af"/>
              </w:rPr>
            </w:r>
            <w:r w:rsidR="00EB0599">
              <w:rPr>
                <w:rStyle w:val="af"/>
              </w:rPr>
              <w:fldChar w:fldCharType="separate"/>
            </w:r>
            <w:r w:rsidR="00EB0599">
              <w:rPr>
                <w:webHidden/>
              </w:rPr>
              <w:t>28</w:t>
            </w:r>
            <w:r w:rsidR="00EB0599">
              <w:rPr>
                <w:rStyle w:val="af"/>
              </w:rPr>
              <w:fldChar w:fldCharType="end"/>
            </w:r>
          </w:hyperlink>
        </w:p>
        <w:p w14:paraId="4B9448A8" w14:textId="47981212" w:rsidR="00EB0599" w:rsidRDefault="00930280">
          <w:pPr>
            <w:pStyle w:val="31"/>
            <w:rPr>
              <w:rFonts w:asciiTheme="minorHAnsi" w:hAnsiTheme="minorHAnsi" w:cstheme="minorBidi"/>
              <w:sz w:val="22"/>
            </w:rPr>
          </w:pPr>
          <w:hyperlink w:anchor="_Toc168321561" w:history="1">
            <w:r w:rsidR="00EB0599" w:rsidRPr="00B230D6">
              <w:rPr>
                <w:rStyle w:val="af"/>
                <w:rFonts w:ascii="Times New Roman" w:hAnsi="Times New Roman"/>
                <w:lang w:val="ro-MD"/>
                <w14:glow w14:rad="0">
                  <w14:schemeClr w14:val="tx1"/>
                </w14:glow>
              </w:rPr>
              <w:t>Anexa nr.4</w:t>
            </w:r>
            <w:r w:rsidR="00EB0599">
              <w:rPr>
                <w:webHidden/>
              </w:rPr>
              <w:tab/>
            </w:r>
            <w:r w:rsidR="00EB0599">
              <w:rPr>
                <w:rStyle w:val="af"/>
              </w:rPr>
              <w:fldChar w:fldCharType="begin"/>
            </w:r>
            <w:r w:rsidR="00EB0599">
              <w:rPr>
                <w:webHidden/>
              </w:rPr>
              <w:instrText xml:space="preserve"> PAGEREF _Toc168321561 \h </w:instrText>
            </w:r>
            <w:r w:rsidR="00EB0599">
              <w:rPr>
                <w:rStyle w:val="af"/>
              </w:rPr>
            </w:r>
            <w:r w:rsidR="00EB0599">
              <w:rPr>
                <w:rStyle w:val="af"/>
              </w:rPr>
              <w:fldChar w:fldCharType="separate"/>
            </w:r>
            <w:r w:rsidR="00EB0599">
              <w:rPr>
                <w:webHidden/>
              </w:rPr>
              <w:t>30</w:t>
            </w:r>
            <w:r w:rsidR="00EB0599">
              <w:rPr>
                <w:rStyle w:val="af"/>
              </w:rPr>
              <w:fldChar w:fldCharType="end"/>
            </w:r>
          </w:hyperlink>
        </w:p>
        <w:p w14:paraId="12B42B94" w14:textId="47BE0591" w:rsidR="00EB0599" w:rsidRDefault="00930280">
          <w:pPr>
            <w:pStyle w:val="31"/>
            <w:rPr>
              <w:rFonts w:asciiTheme="minorHAnsi" w:hAnsiTheme="minorHAnsi" w:cstheme="minorBidi"/>
              <w:sz w:val="22"/>
            </w:rPr>
          </w:pPr>
          <w:hyperlink w:anchor="_Toc168321562" w:history="1">
            <w:r w:rsidR="00EB0599" w:rsidRPr="00B230D6">
              <w:rPr>
                <w:rStyle w:val="af"/>
                <w:rFonts w:ascii="Times New Roman" w:hAnsi="Times New Roman"/>
                <w:lang w:val="ro-MD" w:eastAsia="ru-RU"/>
              </w:rPr>
              <w:t>Anexa nr.5</w:t>
            </w:r>
            <w:r w:rsidR="00EB0599">
              <w:rPr>
                <w:webHidden/>
              </w:rPr>
              <w:tab/>
            </w:r>
            <w:r w:rsidR="00EB0599">
              <w:rPr>
                <w:rStyle w:val="af"/>
              </w:rPr>
              <w:fldChar w:fldCharType="begin"/>
            </w:r>
            <w:r w:rsidR="00EB0599">
              <w:rPr>
                <w:webHidden/>
              </w:rPr>
              <w:instrText xml:space="preserve"> PAGEREF _Toc168321562 \h </w:instrText>
            </w:r>
            <w:r w:rsidR="00EB0599">
              <w:rPr>
                <w:rStyle w:val="af"/>
              </w:rPr>
            </w:r>
            <w:r w:rsidR="00EB0599">
              <w:rPr>
                <w:rStyle w:val="af"/>
              </w:rPr>
              <w:fldChar w:fldCharType="separate"/>
            </w:r>
            <w:r w:rsidR="00EB0599">
              <w:rPr>
                <w:webHidden/>
              </w:rPr>
              <w:t>35</w:t>
            </w:r>
            <w:r w:rsidR="00EB0599">
              <w:rPr>
                <w:rStyle w:val="af"/>
              </w:rPr>
              <w:fldChar w:fldCharType="end"/>
            </w:r>
          </w:hyperlink>
        </w:p>
        <w:p w14:paraId="24F87860" w14:textId="2368DE58" w:rsidR="00EB0599" w:rsidRDefault="00930280">
          <w:pPr>
            <w:pStyle w:val="31"/>
            <w:rPr>
              <w:rFonts w:asciiTheme="minorHAnsi" w:hAnsiTheme="minorHAnsi" w:cstheme="minorBidi"/>
              <w:sz w:val="22"/>
            </w:rPr>
          </w:pPr>
          <w:hyperlink w:anchor="_Toc168321563" w:history="1">
            <w:r w:rsidR="00EB0599" w:rsidRPr="00B230D6">
              <w:rPr>
                <w:rStyle w:val="af"/>
                <w:rFonts w:ascii="Times New Roman" w:eastAsia="Calibri" w:hAnsi="Times New Roman"/>
                <w:lang w:val="ro-MD"/>
              </w:rPr>
              <w:t>Anexa nr.6</w:t>
            </w:r>
            <w:r w:rsidR="00EB0599">
              <w:rPr>
                <w:webHidden/>
              </w:rPr>
              <w:tab/>
            </w:r>
            <w:r w:rsidR="00EB0599">
              <w:rPr>
                <w:rStyle w:val="af"/>
              </w:rPr>
              <w:fldChar w:fldCharType="begin"/>
            </w:r>
            <w:r w:rsidR="00EB0599">
              <w:rPr>
                <w:webHidden/>
              </w:rPr>
              <w:instrText xml:space="preserve"> PAGEREF _Toc168321563 \h </w:instrText>
            </w:r>
            <w:r w:rsidR="00EB0599">
              <w:rPr>
                <w:rStyle w:val="af"/>
              </w:rPr>
            </w:r>
            <w:r w:rsidR="00EB0599">
              <w:rPr>
                <w:rStyle w:val="af"/>
              </w:rPr>
              <w:fldChar w:fldCharType="separate"/>
            </w:r>
            <w:r w:rsidR="00EB0599">
              <w:rPr>
                <w:webHidden/>
              </w:rPr>
              <w:t>39</w:t>
            </w:r>
            <w:r w:rsidR="00EB0599">
              <w:rPr>
                <w:rStyle w:val="af"/>
              </w:rPr>
              <w:fldChar w:fldCharType="end"/>
            </w:r>
          </w:hyperlink>
        </w:p>
        <w:p w14:paraId="6FC6D162" w14:textId="0CA187FB" w:rsidR="00DF65B9" w:rsidRPr="000D19A7" w:rsidRDefault="00FD6262" w:rsidP="00A04936">
          <w:pPr>
            <w:spacing w:line="276" w:lineRule="auto"/>
            <w:jc w:val="both"/>
            <w:rPr>
              <w:rFonts w:ascii="Times New Roman" w:hAnsi="Times New Roman" w:cs="Times New Roman"/>
              <w:b/>
              <w:bCs/>
              <w:noProof/>
              <w:sz w:val="22"/>
              <w:lang w:val="ro-MD"/>
            </w:rPr>
          </w:pPr>
          <w:r w:rsidRPr="000D19A7">
            <w:rPr>
              <w:rFonts w:ascii="Times New Roman" w:hAnsi="Times New Roman" w:cs="Times New Roman"/>
              <w:b/>
              <w:bCs/>
              <w:noProof/>
              <w:sz w:val="22"/>
              <w:lang w:val="ro-MD"/>
            </w:rPr>
            <w:fldChar w:fldCharType="end"/>
          </w:r>
        </w:p>
      </w:sdtContent>
    </w:sdt>
    <w:bookmarkStart w:id="1" w:name="_Toc47012264" w:displacedByCustomXml="prev"/>
    <w:p w14:paraId="6C401FE2" w14:textId="266B7544" w:rsidR="00A04936" w:rsidRPr="000D19A7" w:rsidRDefault="00A04936" w:rsidP="00A04936">
      <w:pPr>
        <w:rPr>
          <w:lang w:val="ro-MD"/>
        </w:rPr>
      </w:pPr>
    </w:p>
    <w:p w14:paraId="037E772A" w14:textId="21BCB101" w:rsidR="007C0F3B" w:rsidRPr="000D19A7" w:rsidRDefault="007C0F3B" w:rsidP="00A04936">
      <w:pPr>
        <w:rPr>
          <w:lang w:val="ro-MD"/>
        </w:rPr>
      </w:pPr>
    </w:p>
    <w:p w14:paraId="5EDF2F9B" w14:textId="47072D22" w:rsidR="007C0F3B" w:rsidRPr="000D19A7" w:rsidRDefault="007C0F3B" w:rsidP="00A04936">
      <w:pPr>
        <w:rPr>
          <w:lang w:val="ro-MD"/>
        </w:rPr>
      </w:pPr>
    </w:p>
    <w:p w14:paraId="795B4531" w14:textId="741C4E6E" w:rsidR="007C0F3B" w:rsidRPr="000D19A7" w:rsidRDefault="007C0F3B" w:rsidP="00A04936">
      <w:pPr>
        <w:rPr>
          <w:lang w:val="ro-MD"/>
        </w:rPr>
      </w:pPr>
    </w:p>
    <w:p w14:paraId="7CF9C679" w14:textId="7C9EA0E2" w:rsidR="005B6A7E" w:rsidRPr="000D19A7" w:rsidRDefault="005B6A7E" w:rsidP="00A04936">
      <w:pPr>
        <w:rPr>
          <w:lang w:val="ro-MD"/>
        </w:rPr>
      </w:pPr>
    </w:p>
    <w:p w14:paraId="6C8F093E" w14:textId="684CD9EA" w:rsidR="005B6A7E" w:rsidRPr="000D19A7" w:rsidRDefault="005B6A7E" w:rsidP="00A04936">
      <w:pPr>
        <w:rPr>
          <w:lang w:val="ro-MD"/>
        </w:rPr>
      </w:pPr>
    </w:p>
    <w:p w14:paraId="6750CEFB" w14:textId="6B630399" w:rsidR="005B6A7E" w:rsidRPr="000D19A7" w:rsidRDefault="005B6A7E" w:rsidP="00A04936">
      <w:pPr>
        <w:rPr>
          <w:lang w:val="ro-MD"/>
        </w:rPr>
      </w:pPr>
    </w:p>
    <w:p w14:paraId="508DEF6E" w14:textId="4A61DD0D" w:rsidR="005B6A7E" w:rsidRPr="000D19A7" w:rsidRDefault="005B6A7E" w:rsidP="00A04936">
      <w:pPr>
        <w:rPr>
          <w:lang w:val="ro-MD"/>
        </w:rPr>
      </w:pPr>
    </w:p>
    <w:p w14:paraId="276A23BA" w14:textId="739559E2" w:rsidR="005B6A7E" w:rsidRPr="000D19A7" w:rsidRDefault="005B6A7E" w:rsidP="00A04936">
      <w:pPr>
        <w:rPr>
          <w:lang w:val="ro-MD"/>
        </w:rPr>
      </w:pPr>
    </w:p>
    <w:p w14:paraId="43A61628" w14:textId="18B9DFB5" w:rsidR="005B6A7E" w:rsidRPr="000D19A7" w:rsidRDefault="005B6A7E" w:rsidP="00A04936">
      <w:pPr>
        <w:rPr>
          <w:lang w:val="ro-MD"/>
        </w:rPr>
      </w:pPr>
    </w:p>
    <w:p w14:paraId="2DC7D0D6" w14:textId="77777777" w:rsidR="005B6A7E" w:rsidRPr="000D19A7" w:rsidRDefault="005B6A7E" w:rsidP="00A04936">
      <w:pPr>
        <w:rPr>
          <w:lang w:val="ro-MD"/>
        </w:rPr>
      </w:pPr>
    </w:p>
    <w:p w14:paraId="2F77E6DE" w14:textId="5F579D53" w:rsidR="00CC270F" w:rsidRPr="000D19A7" w:rsidRDefault="00CA279B" w:rsidP="00946026">
      <w:pPr>
        <w:pStyle w:val="1"/>
        <w:numPr>
          <w:ilvl w:val="0"/>
          <w:numId w:val="0"/>
        </w:numPr>
        <w:spacing w:line="276" w:lineRule="auto"/>
        <w:ind w:left="432"/>
        <w:jc w:val="both"/>
        <w:rPr>
          <w:rFonts w:ascii="Times New Roman" w:hAnsi="Times New Roman" w:cs="Times New Roman"/>
          <w:lang w:val="ro-MD"/>
        </w:rPr>
      </w:pPr>
      <w:bookmarkStart w:id="2" w:name="_Toc168321543"/>
      <w:r w:rsidRPr="000D19A7">
        <w:rPr>
          <w:rFonts w:ascii="Times New Roman" w:hAnsi="Times New Roman" w:cs="Times New Roman"/>
          <w:lang w:val="ro-MD"/>
        </w:rPr>
        <w:t>L</w:t>
      </w:r>
      <w:r w:rsidR="00CC270F" w:rsidRPr="000D19A7">
        <w:rPr>
          <w:rFonts w:ascii="Times New Roman" w:hAnsi="Times New Roman" w:cs="Times New Roman"/>
          <w:lang w:val="ro-MD"/>
        </w:rPr>
        <w:t>ISTA ACRONIMELOR</w:t>
      </w:r>
      <w:bookmarkEnd w:id="1"/>
      <w:bookmarkEnd w:id="2"/>
    </w:p>
    <w:p w14:paraId="3AF85DCE" w14:textId="77777777" w:rsidR="009C5EF3" w:rsidRPr="000D19A7" w:rsidRDefault="009C5EF3" w:rsidP="00946026">
      <w:pPr>
        <w:spacing w:line="276" w:lineRule="auto"/>
        <w:jc w:val="both"/>
        <w:rPr>
          <w:rFonts w:ascii="Times New Roman" w:hAnsi="Times New Roman" w:cs="Times New Roman"/>
          <w:lang w:val="ro-MD"/>
        </w:rPr>
      </w:pPr>
    </w:p>
    <w:tbl>
      <w:tblPr>
        <w:tblW w:w="0" w:type="auto"/>
        <w:tblLook w:val="04A0" w:firstRow="1" w:lastRow="0" w:firstColumn="1" w:lastColumn="0" w:noHBand="0" w:noVBand="1"/>
      </w:tblPr>
      <w:tblGrid>
        <w:gridCol w:w="1620"/>
        <w:gridCol w:w="7380"/>
      </w:tblGrid>
      <w:tr w:rsidR="00CC270F" w:rsidRPr="000D19A7" w14:paraId="6007D902" w14:textId="77777777" w:rsidTr="00B71350">
        <w:tc>
          <w:tcPr>
            <w:tcW w:w="1620" w:type="dxa"/>
          </w:tcPr>
          <w:p w14:paraId="25E09E1A" w14:textId="77777777" w:rsidR="00CC270F" w:rsidRPr="000D19A7" w:rsidRDefault="003160B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AID</w:t>
            </w:r>
          </w:p>
        </w:tc>
        <w:tc>
          <w:tcPr>
            <w:tcW w:w="7380" w:type="dxa"/>
          </w:tcPr>
          <w:p w14:paraId="351E21EA" w14:textId="77777777" w:rsidR="00CC270F" w:rsidRPr="000D19A7" w:rsidRDefault="003160B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Asociația Internațională de Dezvoltare</w:t>
            </w:r>
          </w:p>
        </w:tc>
      </w:tr>
      <w:tr w:rsidR="008D4F26" w:rsidRPr="000D19A7" w14:paraId="4DD437A3" w14:textId="77777777" w:rsidTr="00B71350">
        <w:tc>
          <w:tcPr>
            <w:tcW w:w="1620" w:type="dxa"/>
          </w:tcPr>
          <w:p w14:paraId="6D676C8B" w14:textId="4238010B" w:rsidR="008D4F26" w:rsidRPr="000D19A7" w:rsidRDefault="008D4F2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ASP</w:t>
            </w:r>
          </w:p>
        </w:tc>
        <w:tc>
          <w:tcPr>
            <w:tcW w:w="7380" w:type="dxa"/>
          </w:tcPr>
          <w:p w14:paraId="33BBFC8B" w14:textId="1136C70A" w:rsidR="008D4F26" w:rsidRPr="000D19A7" w:rsidRDefault="008D4F2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Agenția Servicii Publice</w:t>
            </w:r>
          </w:p>
        </w:tc>
      </w:tr>
      <w:tr w:rsidR="00694821" w:rsidRPr="000D19A7" w14:paraId="310DD6B9" w14:textId="77777777" w:rsidTr="00B71350">
        <w:tc>
          <w:tcPr>
            <w:tcW w:w="1620" w:type="dxa"/>
          </w:tcPr>
          <w:p w14:paraId="30B17F3B" w14:textId="77777777" w:rsidR="00694821" w:rsidRPr="000D19A7" w:rsidRDefault="0069482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BERD</w:t>
            </w:r>
          </w:p>
        </w:tc>
        <w:tc>
          <w:tcPr>
            <w:tcW w:w="7380" w:type="dxa"/>
          </w:tcPr>
          <w:p w14:paraId="246AD22D" w14:textId="77777777" w:rsidR="00694821" w:rsidRPr="000D19A7" w:rsidRDefault="00A340B0"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Banca Europeană pentru</w:t>
            </w:r>
            <w:r w:rsidR="00694821" w:rsidRPr="000D19A7">
              <w:rPr>
                <w:rFonts w:ascii="Times New Roman" w:hAnsi="Times New Roman" w:cs="Times New Roman"/>
                <w:bCs/>
                <w:szCs w:val="24"/>
                <w:lang w:val="ro-MD"/>
              </w:rPr>
              <w:t xml:space="preserve"> Reconstrucție și Dezvoltare</w:t>
            </w:r>
          </w:p>
        </w:tc>
      </w:tr>
      <w:tr w:rsidR="00CD6B12" w:rsidRPr="000D19A7" w14:paraId="591C3783" w14:textId="77777777" w:rsidTr="00B71350">
        <w:tc>
          <w:tcPr>
            <w:tcW w:w="1620" w:type="dxa"/>
          </w:tcPr>
          <w:p w14:paraId="7AF350E5"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BEI</w:t>
            </w:r>
          </w:p>
        </w:tc>
        <w:tc>
          <w:tcPr>
            <w:tcW w:w="7380" w:type="dxa"/>
          </w:tcPr>
          <w:p w14:paraId="63734B4A"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Banca Europeană de Investiții</w:t>
            </w:r>
          </w:p>
        </w:tc>
      </w:tr>
      <w:tr w:rsidR="00694821" w:rsidRPr="000D19A7" w14:paraId="717E474C" w14:textId="77777777" w:rsidTr="00B71350">
        <w:tc>
          <w:tcPr>
            <w:tcW w:w="1620" w:type="dxa"/>
          </w:tcPr>
          <w:p w14:paraId="2A8A906E" w14:textId="77777777" w:rsidR="00694821" w:rsidRPr="000D19A7" w:rsidRDefault="0069482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BIRD</w:t>
            </w:r>
          </w:p>
        </w:tc>
        <w:tc>
          <w:tcPr>
            <w:tcW w:w="7380" w:type="dxa"/>
          </w:tcPr>
          <w:p w14:paraId="20D39EC2" w14:textId="77777777" w:rsidR="00694821" w:rsidRPr="000D19A7" w:rsidRDefault="00A340B0"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Banca Internațională pentru Reconstrucție și Dezvoltare</w:t>
            </w:r>
          </w:p>
        </w:tc>
      </w:tr>
      <w:tr w:rsidR="00694821" w:rsidRPr="000D19A7" w14:paraId="7DE7F13E" w14:textId="77777777" w:rsidTr="00B71350">
        <w:tc>
          <w:tcPr>
            <w:tcW w:w="1620" w:type="dxa"/>
          </w:tcPr>
          <w:p w14:paraId="1482321D" w14:textId="77777777" w:rsidR="00694821" w:rsidRPr="000D19A7" w:rsidRDefault="0069482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BM</w:t>
            </w:r>
          </w:p>
        </w:tc>
        <w:tc>
          <w:tcPr>
            <w:tcW w:w="7380" w:type="dxa"/>
          </w:tcPr>
          <w:p w14:paraId="61C92D9E" w14:textId="77777777" w:rsidR="00694821" w:rsidRPr="000D19A7" w:rsidRDefault="0069482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Banca Mondială</w:t>
            </w:r>
          </w:p>
        </w:tc>
      </w:tr>
      <w:tr w:rsidR="003160B2" w:rsidRPr="000D19A7" w14:paraId="0DD942B2" w14:textId="77777777" w:rsidTr="00B71350">
        <w:tc>
          <w:tcPr>
            <w:tcW w:w="1620" w:type="dxa"/>
          </w:tcPr>
          <w:p w14:paraId="461ED87A" w14:textId="77777777" w:rsidR="003160B2" w:rsidRPr="000D19A7" w:rsidRDefault="003160B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BNM</w:t>
            </w:r>
          </w:p>
        </w:tc>
        <w:tc>
          <w:tcPr>
            <w:tcW w:w="7380" w:type="dxa"/>
          </w:tcPr>
          <w:p w14:paraId="28638B07" w14:textId="77777777" w:rsidR="003160B2" w:rsidRPr="000D19A7" w:rsidRDefault="003160B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Banca Națională a Moldovei</w:t>
            </w:r>
          </w:p>
        </w:tc>
      </w:tr>
      <w:tr w:rsidR="00FF7D18" w:rsidRPr="000D19A7" w14:paraId="2361B8A3" w14:textId="77777777" w:rsidTr="00B71350">
        <w:tc>
          <w:tcPr>
            <w:tcW w:w="1620" w:type="dxa"/>
          </w:tcPr>
          <w:p w14:paraId="62E04E26" w14:textId="77777777" w:rsidR="00FF7D18" w:rsidRPr="000D19A7" w:rsidRDefault="00FF7D18"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BNS</w:t>
            </w:r>
          </w:p>
        </w:tc>
        <w:tc>
          <w:tcPr>
            <w:tcW w:w="7380" w:type="dxa"/>
          </w:tcPr>
          <w:p w14:paraId="5222FD71" w14:textId="77777777" w:rsidR="00FF7D18" w:rsidRPr="000D19A7" w:rsidRDefault="00FF7D18"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Biroul Național de Statistică</w:t>
            </w:r>
          </w:p>
        </w:tc>
      </w:tr>
      <w:tr w:rsidR="00A340B0" w:rsidRPr="000D19A7" w14:paraId="51D00760" w14:textId="77777777" w:rsidTr="00B71350">
        <w:tc>
          <w:tcPr>
            <w:tcW w:w="1620" w:type="dxa"/>
          </w:tcPr>
          <w:p w14:paraId="76F4FDDC" w14:textId="77777777" w:rsidR="00A340B0" w:rsidRPr="000D19A7" w:rsidRDefault="00A340B0"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BT</w:t>
            </w:r>
          </w:p>
        </w:tc>
        <w:tc>
          <w:tcPr>
            <w:tcW w:w="7380" w:type="dxa"/>
          </w:tcPr>
          <w:p w14:paraId="2FBBC70D" w14:textId="77777777" w:rsidR="00A340B0" w:rsidRPr="000D19A7" w:rsidRDefault="00A340B0"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Bonuri de trezorerie</w:t>
            </w:r>
          </w:p>
        </w:tc>
      </w:tr>
      <w:tr w:rsidR="00995AE1" w:rsidRPr="000D19A7" w14:paraId="615C84AC" w14:textId="77777777" w:rsidTr="00B71350">
        <w:tc>
          <w:tcPr>
            <w:tcW w:w="1620" w:type="dxa"/>
          </w:tcPr>
          <w:p w14:paraId="12CEE1E7" w14:textId="2DAECB1D" w:rsidR="00995AE1" w:rsidRPr="000D19A7" w:rsidRDefault="00995AE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CBTM</w:t>
            </w:r>
          </w:p>
        </w:tc>
        <w:tc>
          <w:tcPr>
            <w:tcW w:w="7380" w:type="dxa"/>
          </w:tcPr>
          <w:p w14:paraId="25BD11B1" w14:textId="4C63631B" w:rsidR="00995AE1" w:rsidRPr="000D19A7" w:rsidRDefault="00995AE1"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Cadrul bugetar pe termen mediu</w:t>
            </w:r>
          </w:p>
        </w:tc>
      </w:tr>
      <w:tr w:rsidR="00CD6B12" w:rsidRPr="000D19A7" w14:paraId="64F2859D" w14:textId="77777777" w:rsidTr="00B71350">
        <w:tc>
          <w:tcPr>
            <w:tcW w:w="1620" w:type="dxa"/>
          </w:tcPr>
          <w:p w14:paraId="34B7DCEB"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CE</w:t>
            </w:r>
          </w:p>
        </w:tc>
        <w:tc>
          <w:tcPr>
            <w:tcW w:w="7380" w:type="dxa"/>
          </w:tcPr>
          <w:p w14:paraId="0CA3048E"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Comunitatea Europeană</w:t>
            </w:r>
          </w:p>
        </w:tc>
      </w:tr>
      <w:tr w:rsidR="003160B2" w:rsidRPr="000D19A7" w14:paraId="609833F2" w14:textId="77777777" w:rsidTr="00B71350">
        <w:tc>
          <w:tcPr>
            <w:tcW w:w="1620" w:type="dxa"/>
          </w:tcPr>
          <w:p w14:paraId="46FCC38F" w14:textId="2422E857" w:rsidR="003160B2" w:rsidRPr="000D19A7" w:rsidRDefault="005D5C97"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OGP AE</w:t>
            </w:r>
          </w:p>
        </w:tc>
        <w:tc>
          <w:tcPr>
            <w:tcW w:w="7380" w:type="dxa"/>
          </w:tcPr>
          <w:p w14:paraId="69E71186" w14:textId="544E526D" w:rsidR="003160B2" w:rsidRPr="000D19A7" w:rsidRDefault="005D5C97"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Oficiul de Gestionare a Programelor de Asistență Externă</w:t>
            </w:r>
          </w:p>
        </w:tc>
      </w:tr>
      <w:tr w:rsidR="00B32646" w:rsidRPr="000D19A7" w14:paraId="2C72CF4D" w14:textId="77777777" w:rsidTr="00B71350">
        <w:tc>
          <w:tcPr>
            <w:tcW w:w="1620" w:type="dxa"/>
          </w:tcPr>
          <w:p w14:paraId="4A0DA4D4" w14:textId="77777777" w:rsidR="00B32646" w:rsidRPr="000D19A7" w:rsidRDefault="00B3264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DMFAS</w:t>
            </w:r>
          </w:p>
        </w:tc>
        <w:tc>
          <w:tcPr>
            <w:tcW w:w="7380" w:type="dxa"/>
          </w:tcPr>
          <w:p w14:paraId="087931A9" w14:textId="4CFF1FB0" w:rsidR="00B32646" w:rsidRPr="000D19A7" w:rsidRDefault="00B3264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Sistem</w:t>
            </w:r>
            <w:r w:rsidR="008D4F26" w:rsidRPr="000D19A7">
              <w:rPr>
                <w:rFonts w:ascii="Times New Roman" w:hAnsi="Times New Roman" w:cs="Times New Roman"/>
                <w:bCs/>
                <w:szCs w:val="24"/>
                <w:lang w:val="ro-MD"/>
              </w:rPr>
              <w:t>ul</w:t>
            </w:r>
            <w:r w:rsidRPr="000D19A7">
              <w:rPr>
                <w:rFonts w:ascii="Times New Roman" w:hAnsi="Times New Roman" w:cs="Times New Roman"/>
                <w:bCs/>
                <w:szCs w:val="24"/>
                <w:lang w:val="ro-MD"/>
              </w:rPr>
              <w:t xml:space="preserve"> de Management al Datoriei și Analiză Financiară</w:t>
            </w:r>
          </w:p>
        </w:tc>
      </w:tr>
      <w:tr w:rsidR="00CD6B12" w:rsidRPr="000D19A7" w14:paraId="358F7A96" w14:textId="77777777" w:rsidTr="00B71350">
        <w:tc>
          <w:tcPr>
            <w:tcW w:w="1620" w:type="dxa"/>
          </w:tcPr>
          <w:p w14:paraId="4B878B92"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DST</w:t>
            </w:r>
          </w:p>
        </w:tc>
        <w:tc>
          <w:tcPr>
            <w:tcW w:w="7380" w:type="dxa"/>
          </w:tcPr>
          <w:p w14:paraId="2A024EA3"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Drepturi speciale de tragere</w:t>
            </w:r>
          </w:p>
        </w:tc>
      </w:tr>
      <w:tr w:rsidR="00B32646" w:rsidRPr="000D19A7" w14:paraId="42181F9A" w14:textId="77777777" w:rsidTr="00B71350">
        <w:tc>
          <w:tcPr>
            <w:tcW w:w="1620" w:type="dxa"/>
          </w:tcPr>
          <w:p w14:paraId="5C5EAF3F" w14:textId="77777777" w:rsidR="00B32646" w:rsidRPr="000D19A7" w:rsidRDefault="00B3264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FIDA</w:t>
            </w:r>
            <w:r w:rsidR="003D5BDE" w:rsidRPr="000D19A7">
              <w:rPr>
                <w:rFonts w:ascii="Times New Roman" w:hAnsi="Times New Roman" w:cs="Times New Roman"/>
                <w:bCs/>
                <w:szCs w:val="24"/>
                <w:lang w:val="ro-MD"/>
              </w:rPr>
              <w:t xml:space="preserve"> (IFAD)</w:t>
            </w:r>
          </w:p>
        </w:tc>
        <w:tc>
          <w:tcPr>
            <w:tcW w:w="7380" w:type="dxa"/>
          </w:tcPr>
          <w:p w14:paraId="3775ED29" w14:textId="77777777" w:rsidR="00B32646" w:rsidRPr="000D19A7" w:rsidRDefault="00B32646"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Fondul Internațional pentru Dezvoltare Agricolă</w:t>
            </w:r>
          </w:p>
        </w:tc>
      </w:tr>
      <w:tr w:rsidR="00CD6B12" w:rsidRPr="000D19A7" w14:paraId="2D717790" w14:textId="77777777" w:rsidTr="00B71350">
        <w:tc>
          <w:tcPr>
            <w:tcW w:w="1620" w:type="dxa"/>
          </w:tcPr>
          <w:p w14:paraId="32812B64"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FMI</w:t>
            </w:r>
          </w:p>
        </w:tc>
        <w:tc>
          <w:tcPr>
            <w:tcW w:w="7380" w:type="dxa"/>
          </w:tcPr>
          <w:p w14:paraId="206A6A01" w14:textId="77777777" w:rsidR="00CD6B12" w:rsidRPr="000D19A7" w:rsidRDefault="00CD6B12" w:rsidP="00946026">
            <w:pPr>
              <w:spacing w:after="0" w:line="276" w:lineRule="auto"/>
              <w:jc w:val="both"/>
              <w:rPr>
                <w:rFonts w:ascii="Times New Roman" w:hAnsi="Times New Roman" w:cs="Times New Roman"/>
                <w:bCs/>
                <w:szCs w:val="24"/>
                <w:lang w:val="ro-MD"/>
              </w:rPr>
            </w:pPr>
            <w:r w:rsidRPr="000D19A7">
              <w:rPr>
                <w:rFonts w:ascii="Times New Roman" w:hAnsi="Times New Roman" w:cs="Times New Roman"/>
                <w:bCs/>
                <w:szCs w:val="24"/>
                <w:lang w:val="ro-MD"/>
              </w:rPr>
              <w:t>Fondul Monetar Internațional</w:t>
            </w:r>
          </w:p>
        </w:tc>
      </w:tr>
      <w:tr w:rsidR="003160B2" w:rsidRPr="000D19A7" w14:paraId="53A4E9E6" w14:textId="77777777" w:rsidTr="00B71350">
        <w:tc>
          <w:tcPr>
            <w:tcW w:w="1620" w:type="dxa"/>
          </w:tcPr>
          <w:p w14:paraId="7504A8EC"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IFP</w:t>
            </w:r>
          </w:p>
        </w:tc>
        <w:tc>
          <w:tcPr>
            <w:tcW w:w="7380" w:type="dxa"/>
          </w:tcPr>
          <w:p w14:paraId="4ED16F3A"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Instituție financiară participantă</w:t>
            </w:r>
          </w:p>
        </w:tc>
      </w:tr>
      <w:tr w:rsidR="00B32646" w:rsidRPr="000D19A7" w14:paraId="2880B9AC" w14:textId="77777777" w:rsidTr="00B71350">
        <w:tc>
          <w:tcPr>
            <w:tcW w:w="1620" w:type="dxa"/>
          </w:tcPr>
          <w:p w14:paraId="78ADF09F"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ÎS</w:t>
            </w:r>
          </w:p>
        </w:tc>
        <w:tc>
          <w:tcPr>
            <w:tcW w:w="7380" w:type="dxa"/>
          </w:tcPr>
          <w:p w14:paraId="43F4FC52"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Întreprindere de stat</w:t>
            </w:r>
          </w:p>
        </w:tc>
      </w:tr>
      <w:tr w:rsidR="00B32646" w:rsidRPr="000D19A7" w14:paraId="318B6CFE" w14:textId="77777777" w:rsidTr="00B71350">
        <w:tc>
          <w:tcPr>
            <w:tcW w:w="1620" w:type="dxa"/>
          </w:tcPr>
          <w:p w14:paraId="6D5FB3D4"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JICA</w:t>
            </w:r>
          </w:p>
        </w:tc>
        <w:tc>
          <w:tcPr>
            <w:tcW w:w="7380" w:type="dxa"/>
          </w:tcPr>
          <w:p w14:paraId="0B82BCA3"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Agenția Japoneză pentru Cooperare Internațională</w:t>
            </w:r>
          </w:p>
        </w:tc>
      </w:tr>
      <w:tr w:rsidR="003160B2" w:rsidRPr="000D19A7" w14:paraId="29E4E3DF" w14:textId="77777777" w:rsidTr="00B71350">
        <w:tc>
          <w:tcPr>
            <w:tcW w:w="1620" w:type="dxa"/>
          </w:tcPr>
          <w:p w14:paraId="4CE11374"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MF</w:t>
            </w:r>
          </w:p>
        </w:tc>
        <w:tc>
          <w:tcPr>
            <w:tcW w:w="7380" w:type="dxa"/>
          </w:tcPr>
          <w:p w14:paraId="71B43868"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Ministerul Finanțelor</w:t>
            </w:r>
          </w:p>
        </w:tc>
      </w:tr>
      <w:tr w:rsidR="00A340B0" w:rsidRPr="000D19A7" w14:paraId="5085B101" w14:textId="77777777" w:rsidTr="00B71350">
        <w:tc>
          <w:tcPr>
            <w:tcW w:w="1620" w:type="dxa"/>
          </w:tcPr>
          <w:p w14:paraId="4EA96A9E" w14:textId="77777777"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OS</w:t>
            </w:r>
          </w:p>
        </w:tc>
        <w:tc>
          <w:tcPr>
            <w:tcW w:w="7380" w:type="dxa"/>
          </w:tcPr>
          <w:p w14:paraId="546C0EEE" w14:textId="77777777"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Obligațiuni de stat</w:t>
            </w:r>
          </w:p>
        </w:tc>
      </w:tr>
      <w:tr w:rsidR="00A340B0" w:rsidRPr="000D19A7" w14:paraId="7A1F548A" w14:textId="77777777" w:rsidTr="00B71350">
        <w:tc>
          <w:tcPr>
            <w:tcW w:w="1620" w:type="dxa"/>
          </w:tcPr>
          <w:p w14:paraId="33E44676" w14:textId="77777777"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PIB</w:t>
            </w:r>
          </w:p>
        </w:tc>
        <w:tc>
          <w:tcPr>
            <w:tcW w:w="7380" w:type="dxa"/>
          </w:tcPr>
          <w:p w14:paraId="576FE133" w14:textId="77777777"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Produs intern brut</w:t>
            </w:r>
          </w:p>
        </w:tc>
      </w:tr>
      <w:tr w:rsidR="003160B2" w:rsidRPr="000D19A7" w14:paraId="49D3D84F" w14:textId="77777777" w:rsidTr="00B71350">
        <w:tc>
          <w:tcPr>
            <w:tcW w:w="1620" w:type="dxa"/>
          </w:tcPr>
          <w:p w14:paraId="1EFB2B5F"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RM</w:t>
            </w:r>
          </w:p>
        </w:tc>
        <w:tc>
          <w:tcPr>
            <w:tcW w:w="7380" w:type="dxa"/>
          </w:tcPr>
          <w:p w14:paraId="24BB8B18"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Republica Moldova</w:t>
            </w:r>
          </w:p>
        </w:tc>
      </w:tr>
      <w:tr w:rsidR="003160B2" w:rsidRPr="000D19A7" w14:paraId="5170170F" w14:textId="77777777" w:rsidTr="00B71350">
        <w:tc>
          <w:tcPr>
            <w:tcW w:w="1620" w:type="dxa"/>
          </w:tcPr>
          <w:p w14:paraId="5F1E1834"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SA</w:t>
            </w:r>
          </w:p>
        </w:tc>
        <w:tc>
          <w:tcPr>
            <w:tcW w:w="7380" w:type="dxa"/>
          </w:tcPr>
          <w:p w14:paraId="20936400"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Societate pe acțiuni</w:t>
            </w:r>
          </w:p>
        </w:tc>
      </w:tr>
      <w:tr w:rsidR="00B32646" w:rsidRPr="000D19A7" w14:paraId="02C3DB2A" w14:textId="77777777" w:rsidTr="00B71350">
        <w:tc>
          <w:tcPr>
            <w:tcW w:w="1620" w:type="dxa"/>
          </w:tcPr>
          <w:p w14:paraId="54318A17"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SI</w:t>
            </w:r>
          </w:p>
        </w:tc>
        <w:tc>
          <w:tcPr>
            <w:tcW w:w="7380" w:type="dxa"/>
          </w:tcPr>
          <w:p w14:paraId="0B8B86ED"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Sistem informațional</w:t>
            </w:r>
          </w:p>
        </w:tc>
      </w:tr>
      <w:tr w:rsidR="003160B2" w:rsidRPr="000D19A7" w14:paraId="41151A4A" w14:textId="77777777" w:rsidTr="00B71350">
        <w:tc>
          <w:tcPr>
            <w:tcW w:w="1620" w:type="dxa"/>
          </w:tcPr>
          <w:p w14:paraId="2EBB7C0D"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SRL</w:t>
            </w:r>
          </w:p>
        </w:tc>
        <w:tc>
          <w:tcPr>
            <w:tcW w:w="7380" w:type="dxa"/>
          </w:tcPr>
          <w:p w14:paraId="6992D57D"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Societate cu răspundere limitată</w:t>
            </w:r>
          </w:p>
        </w:tc>
      </w:tr>
      <w:tr w:rsidR="003160B2" w:rsidRPr="000D19A7" w14:paraId="40301ECA" w14:textId="77777777" w:rsidTr="00B71350">
        <w:tc>
          <w:tcPr>
            <w:tcW w:w="1620" w:type="dxa"/>
          </w:tcPr>
          <w:p w14:paraId="0DB9C170"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UCIP-IFAD</w:t>
            </w:r>
          </w:p>
        </w:tc>
        <w:tc>
          <w:tcPr>
            <w:tcW w:w="7380" w:type="dxa"/>
          </w:tcPr>
          <w:p w14:paraId="2A3EA441" w14:textId="77777777" w:rsidR="003160B2" w:rsidRPr="000D19A7" w:rsidRDefault="003160B2"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Unitatea Consolidată pentru Implementar</w:t>
            </w:r>
            <w:r w:rsidR="003D5BDE" w:rsidRPr="000D19A7">
              <w:rPr>
                <w:rFonts w:ascii="Times New Roman" w:hAnsi="Times New Roman" w:cs="Times New Roman"/>
                <w:szCs w:val="24"/>
                <w:lang w:val="ro-MD"/>
              </w:rPr>
              <w:t>ea Programelor finanțate de FIDA</w:t>
            </w:r>
          </w:p>
        </w:tc>
      </w:tr>
      <w:tr w:rsidR="00B32646" w:rsidRPr="000D19A7" w14:paraId="4C4BC299" w14:textId="77777777" w:rsidTr="00B71350">
        <w:tc>
          <w:tcPr>
            <w:tcW w:w="1620" w:type="dxa"/>
          </w:tcPr>
          <w:p w14:paraId="111A08AC"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UE</w:t>
            </w:r>
          </w:p>
        </w:tc>
        <w:tc>
          <w:tcPr>
            <w:tcW w:w="7380" w:type="dxa"/>
          </w:tcPr>
          <w:p w14:paraId="2ECB676E" w14:textId="77777777" w:rsidR="00B32646" w:rsidRPr="000D19A7" w:rsidRDefault="00B32646"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Uniunea Europeană</w:t>
            </w:r>
          </w:p>
        </w:tc>
      </w:tr>
      <w:tr w:rsidR="00A340B0" w:rsidRPr="000D19A7" w14:paraId="3C526FF9" w14:textId="77777777" w:rsidTr="00B71350">
        <w:tc>
          <w:tcPr>
            <w:tcW w:w="1620" w:type="dxa"/>
          </w:tcPr>
          <w:p w14:paraId="3BF361EB" w14:textId="77777777"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VMS</w:t>
            </w:r>
          </w:p>
        </w:tc>
        <w:tc>
          <w:tcPr>
            <w:tcW w:w="7380" w:type="dxa"/>
          </w:tcPr>
          <w:p w14:paraId="2686DD41" w14:textId="65E6C495" w:rsidR="00A340B0" w:rsidRPr="000D19A7" w:rsidRDefault="00A340B0" w:rsidP="00946026">
            <w:pPr>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Valori mobiliare de stat</w:t>
            </w:r>
          </w:p>
          <w:p w14:paraId="611076A5" w14:textId="40644FEA" w:rsidR="007C5272" w:rsidRPr="000D19A7" w:rsidRDefault="007C5272" w:rsidP="00946026">
            <w:pPr>
              <w:spacing w:after="0" w:line="276" w:lineRule="auto"/>
              <w:jc w:val="both"/>
              <w:rPr>
                <w:rFonts w:ascii="Times New Roman" w:hAnsi="Times New Roman" w:cs="Times New Roman"/>
                <w:szCs w:val="24"/>
                <w:lang w:val="ro-MD"/>
              </w:rPr>
            </w:pPr>
          </w:p>
          <w:p w14:paraId="635AA69D" w14:textId="1974EEBC" w:rsidR="007C5272" w:rsidRPr="000D19A7" w:rsidRDefault="007C5272" w:rsidP="00946026">
            <w:pPr>
              <w:spacing w:after="0" w:line="276" w:lineRule="auto"/>
              <w:jc w:val="both"/>
              <w:rPr>
                <w:rFonts w:ascii="Times New Roman" w:hAnsi="Times New Roman" w:cs="Times New Roman"/>
                <w:szCs w:val="24"/>
                <w:lang w:val="ro-MD"/>
              </w:rPr>
            </w:pPr>
          </w:p>
          <w:p w14:paraId="35F76EF3" w14:textId="4A5824E1" w:rsidR="007C5272" w:rsidRPr="000D19A7" w:rsidRDefault="007C5272" w:rsidP="00946026">
            <w:pPr>
              <w:spacing w:after="0" w:line="276" w:lineRule="auto"/>
              <w:jc w:val="both"/>
              <w:rPr>
                <w:rFonts w:ascii="Times New Roman" w:hAnsi="Times New Roman" w:cs="Times New Roman"/>
                <w:szCs w:val="24"/>
                <w:lang w:val="ro-MD"/>
              </w:rPr>
            </w:pPr>
          </w:p>
          <w:p w14:paraId="328BBB9B" w14:textId="300C6922" w:rsidR="007C5272" w:rsidRPr="000D19A7" w:rsidRDefault="007C5272" w:rsidP="00946026">
            <w:pPr>
              <w:spacing w:after="0" w:line="276" w:lineRule="auto"/>
              <w:jc w:val="both"/>
              <w:rPr>
                <w:rFonts w:ascii="Times New Roman" w:hAnsi="Times New Roman" w:cs="Times New Roman"/>
                <w:szCs w:val="24"/>
                <w:lang w:val="ro-MD"/>
              </w:rPr>
            </w:pPr>
          </w:p>
          <w:p w14:paraId="672A16D0" w14:textId="7E7BB60E" w:rsidR="007C5272" w:rsidRPr="000D19A7" w:rsidRDefault="007C5272" w:rsidP="00946026">
            <w:pPr>
              <w:spacing w:after="0" w:line="276" w:lineRule="auto"/>
              <w:jc w:val="both"/>
              <w:rPr>
                <w:rFonts w:ascii="Times New Roman" w:hAnsi="Times New Roman" w:cs="Times New Roman"/>
                <w:szCs w:val="24"/>
                <w:lang w:val="ro-MD"/>
              </w:rPr>
            </w:pPr>
          </w:p>
          <w:p w14:paraId="6B04393C" w14:textId="3DD952F0" w:rsidR="007C5272" w:rsidRPr="000D19A7" w:rsidRDefault="007C5272" w:rsidP="00946026">
            <w:pPr>
              <w:spacing w:after="0" w:line="276" w:lineRule="auto"/>
              <w:jc w:val="both"/>
              <w:rPr>
                <w:rFonts w:ascii="Times New Roman" w:hAnsi="Times New Roman" w:cs="Times New Roman"/>
                <w:szCs w:val="24"/>
                <w:lang w:val="ro-MD"/>
              </w:rPr>
            </w:pPr>
          </w:p>
          <w:p w14:paraId="554FA7EA" w14:textId="268E2623" w:rsidR="007C5272" w:rsidRPr="000D19A7" w:rsidRDefault="007C5272" w:rsidP="00946026">
            <w:pPr>
              <w:spacing w:after="0" w:line="276" w:lineRule="auto"/>
              <w:jc w:val="both"/>
              <w:rPr>
                <w:rFonts w:ascii="Times New Roman" w:hAnsi="Times New Roman" w:cs="Times New Roman"/>
                <w:szCs w:val="24"/>
                <w:lang w:val="ro-MD"/>
              </w:rPr>
            </w:pPr>
          </w:p>
          <w:p w14:paraId="3659CB6E" w14:textId="552987D1" w:rsidR="007C5272" w:rsidRPr="000D19A7" w:rsidRDefault="007C5272" w:rsidP="00946026">
            <w:pPr>
              <w:spacing w:after="0" w:line="276" w:lineRule="auto"/>
              <w:jc w:val="both"/>
              <w:rPr>
                <w:rFonts w:ascii="Times New Roman" w:hAnsi="Times New Roman" w:cs="Times New Roman"/>
                <w:szCs w:val="24"/>
                <w:lang w:val="ro-MD"/>
              </w:rPr>
            </w:pPr>
          </w:p>
          <w:p w14:paraId="354C315F" w14:textId="261A2AEA" w:rsidR="007C5272" w:rsidRPr="000D19A7" w:rsidRDefault="007C5272" w:rsidP="00946026">
            <w:pPr>
              <w:spacing w:after="0" w:line="276" w:lineRule="auto"/>
              <w:jc w:val="both"/>
              <w:rPr>
                <w:rFonts w:ascii="Times New Roman" w:hAnsi="Times New Roman" w:cs="Times New Roman"/>
                <w:szCs w:val="24"/>
                <w:lang w:val="ro-MD"/>
              </w:rPr>
            </w:pPr>
          </w:p>
          <w:p w14:paraId="54ED08F5" w14:textId="7F2C6300" w:rsidR="007C5272" w:rsidRPr="000D19A7" w:rsidRDefault="007C5272" w:rsidP="00946026">
            <w:pPr>
              <w:spacing w:after="0" w:line="276" w:lineRule="auto"/>
              <w:jc w:val="both"/>
              <w:rPr>
                <w:rFonts w:ascii="Times New Roman" w:hAnsi="Times New Roman" w:cs="Times New Roman"/>
                <w:szCs w:val="24"/>
                <w:lang w:val="ro-MD"/>
              </w:rPr>
            </w:pPr>
          </w:p>
          <w:p w14:paraId="64DEFE3E" w14:textId="6349DABB" w:rsidR="007C5272" w:rsidRPr="000D19A7" w:rsidRDefault="007C5272" w:rsidP="00946026">
            <w:pPr>
              <w:spacing w:after="0" w:line="276" w:lineRule="auto"/>
              <w:jc w:val="both"/>
              <w:rPr>
                <w:rFonts w:ascii="Times New Roman" w:hAnsi="Times New Roman" w:cs="Times New Roman"/>
                <w:szCs w:val="24"/>
                <w:lang w:val="ro-MD"/>
              </w:rPr>
            </w:pPr>
          </w:p>
          <w:p w14:paraId="23592E9F" w14:textId="1D71C1C2" w:rsidR="007C5272" w:rsidRPr="000D19A7" w:rsidRDefault="005C51C0" w:rsidP="005C51C0">
            <w:pPr>
              <w:tabs>
                <w:tab w:val="left" w:pos="1836"/>
              </w:tabs>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ab/>
            </w:r>
          </w:p>
          <w:p w14:paraId="30230306" w14:textId="6AABBD29" w:rsidR="005C51C0" w:rsidRPr="000D19A7" w:rsidRDefault="005C51C0" w:rsidP="005C51C0">
            <w:pPr>
              <w:tabs>
                <w:tab w:val="left" w:pos="1836"/>
              </w:tabs>
              <w:spacing w:after="0" w:line="276" w:lineRule="auto"/>
              <w:jc w:val="both"/>
              <w:rPr>
                <w:rFonts w:ascii="Times New Roman" w:hAnsi="Times New Roman" w:cs="Times New Roman"/>
                <w:szCs w:val="24"/>
                <w:lang w:val="ro-MD"/>
              </w:rPr>
            </w:pPr>
          </w:p>
          <w:p w14:paraId="5984D0F1" w14:textId="77777777" w:rsidR="005C51C0" w:rsidRPr="000D19A7" w:rsidRDefault="005C51C0" w:rsidP="005C51C0">
            <w:pPr>
              <w:tabs>
                <w:tab w:val="left" w:pos="1836"/>
              </w:tabs>
              <w:spacing w:after="0" w:line="276" w:lineRule="auto"/>
              <w:jc w:val="both"/>
              <w:rPr>
                <w:rFonts w:ascii="Times New Roman" w:hAnsi="Times New Roman" w:cs="Times New Roman"/>
                <w:szCs w:val="24"/>
                <w:lang w:val="ro-MD"/>
              </w:rPr>
            </w:pPr>
          </w:p>
          <w:p w14:paraId="594F80CF" w14:textId="4401F69E" w:rsidR="007C5272" w:rsidRPr="000D19A7" w:rsidRDefault="007C5272" w:rsidP="00946026">
            <w:pPr>
              <w:spacing w:after="0" w:line="276" w:lineRule="auto"/>
              <w:jc w:val="both"/>
              <w:rPr>
                <w:rFonts w:ascii="Times New Roman" w:hAnsi="Times New Roman" w:cs="Times New Roman"/>
                <w:szCs w:val="24"/>
                <w:lang w:val="ro-MD"/>
              </w:rPr>
            </w:pPr>
          </w:p>
          <w:p w14:paraId="1A5EDAAD" w14:textId="77777777" w:rsidR="007C5272" w:rsidRPr="000D19A7" w:rsidRDefault="007C5272" w:rsidP="00946026">
            <w:pPr>
              <w:spacing w:after="0" w:line="276" w:lineRule="auto"/>
              <w:jc w:val="both"/>
              <w:rPr>
                <w:rFonts w:ascii="Times New Roman" w:hAnsi="Times New Roman" w:cs="Times New Roman"/>
                <w:szCs w:val="24"/>
                <w:lang w:val="ro-MD"/>
              </w:rPr>
            </w:pPr>
          </w:p>
          <w:p w14:paraId="0300448C" w14:textId="50C812D2" w:rsidR="00B07550" w:rsidRPr="000D19A7" w:rsidRDefault="00B07550" w:rsidP="00946026">
            <w:pPr>
              <w:spacing w:after="0" w:line="276" w:lineRule="auto"/>
              <w:jc w:val="both"/>
              <w:rPr>
                <w:rFonts w:ascii="Times New Roman" w:hAnsi="Times New Roman" w:cs="Times New Roman"/>
                <w:szCs w:val="24"/>
                <w:lang w:val="ro-MD"/>
              </w:rPr>
            </w:pPr>
          </w:p>
        </w:tc>
      </w:tr>
    </w:tbl>
    <w:p w14:paraId="4FA03F13" w14:textId="4CBB7202" w:rsidR="00D9113B" w:rsidRPr="000D19A7" w:rsidRDefault="00B84F41" w:rsidP="00946026">
      <w:pPr>
        <w:pStyle w:val="1"/>
        <w:numPr>
          <w:ilvl w:val="0"/>
          <w:numId w:val="0"/>
        </w:numPr>
        <w:spacing w:line="276" w:lineRule="auto"/>
        <w:ind w:left="432"/>
        <w:jc w:val="both"/>
        <w:rPr>
          <w:rFonts w:ascii="Times New Roman" w:hAnsi="Times New Roman" w:cs="Times New Roman"/>
          <w:lang w:val="ro-MD"/>
        </w:rPr>
      </w:pPr>
      <w:bookmarkStart w:id="3" w:name="_Toc47012265"/>
      <w:bookmarkStart w:id="4" w:name="_Toc168321544"/>
      <w:r w:rsidRPr="000D19A7">
        <w:rPr>
          <w:rFonts w:ascii="Times New Roman" w:hAnsi="Times New Roman" w:cs="Times New Roman"/>
          <w:lang w:val="ro-MD"/>
        </w:rPr>
        <w:t>GLOSAR</w:t>
      </w:r>
      <w:bookmarkEnd w:id="3"/>
      <w:bookmarkEnd w:id="4"/>
    </w:p>
    <w:p w14:paraId="30CA7F75" w14:textId="77777777" w:rsidR="009C5EF3" w:rsidRPr="000D19A7" w:rsidRDefault="009C5EF3" w:rsidP="00946026">
      <w:pPr>
        <w:spacing w:line="276" w:lineRule="auto"/>
        <w:jc w:val="both"/>
        <w:rPr>
          <w:rFonts w:ascii="Times New Roman" w:hAnsi="Times New Roman" w:cs="Times New Roman"/>
          <w:lang w:val="ro-MD"/>
        </w:rPr>
      </w:pPr>
    </w:p>
    <w:tbl>
      <w:tblPr>
        <w:tblW w:w="0" w:type="auto"/>
        <w:tblBorders>
          <w:insideH w:val="single" w:sz="4" w:space="0" w:color="auto"/>
          <w:insideV w:val="single" w:sz="4" w:space="0" w:color="auto"/>
        </w:tblBorders>
        <w:tblLook w:val="04A0" w:firstRow="1" w:lastRow="0" w:firstColumn="1" w:lastColumn="0" w:noHBand="0" w:noVBand="1"/>
      </w:tblPr>
      <w:tblGrid>
        <w:gridCol w:w="3261"/>
        <w:gridCol w:w="6083"/>
      </w:tblGrid>
      <w:tr w:rsidR="00B84F41" w:rsidRPr="000D19A7" w14:paraId="2982A4C2" w14:textId="77777777" w:rsidTr="005E2C55">
        <w:tc>
          <w:tcPr>
            <w:tcW w:w="3261" w:type="dxa"/>
          </w:tcPr>
          <w:p w14:paraId="3DFAC47C" w14:textId="77777777" w:rsidR="00B84F41" w:rsidRPr="000D19A7" w:rsidRDefault="00B84F41" w:rsidP="00946026">
            <w:pPr>
              <w:spacing w:after="0" w:line="276" w:lineRule="auto"/>
              <w:jc w:val="both"/>
              <w:rPr>
                <w:rFonts w:ascii="Times New Roman" w:eastAsia="Times New Roman" w:hAnsi="Times New Roman" w:cs="Times New Roman"/>
                <w:i/>
                <w:szCs w:val="24"/>
                <w:lang w:val="ro-MD" w:eastAsia="ru-RU"/>
              </w:rPr>
            </w:pPr>
            <w:r w:rsidRPr="000D19A7">
              <w:rPr>
                <w:rFonts w:ascii="Times New Roman" w:eastAsia="Times New Roman" w:hAnsi="Times New Roman" w:cs="Times New Roman"/>
                <w:i/>
                <w:szCs w:val="24"/>
                <w:lang w:val="ro-MD" w:eastAsia="ru-RU"/>
              </w:rPr>
              <w:t>Asistență (cooperare) financiară</w:t>
            </w:r>
          </w:p>
        </w:tc>
        <w:tc>
          <w:tcPr>
            <w:tcW w:w="6083" w:type="dxa"/>
          </w:tcPr>
          <w:p w14:paraId="5850A97A" w14:textId="77777777" w:rsidR="00B84F41"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S</w:t>
            </w:r>
            <w:r w:rsidR="00B84F41" w:rsidRPr="000D19A7">
              <w:rPr>
                <w:rFonts w:ascii="Times New Roman" w:eastAsia="Times New Roman" w:hAnsi="Times New Roman" w:cs="Times New Roman"/>
                <w:szCs w:val="24"/>
                <w:lang w:val="ro-MD" w:eastAsia="ru-RU"/>
              </w:rPr>
              <w:t>uport financiar sub formă de împrumuturi, granturi, inclusiv livrări de bunuri și/sau lucrări pentru implementarea proiectelor/programelor.</w:t>
            </w:r>
          </w:p>
        </w:tc>
      </w:tr>
      <w:tr w:rsidR="00B84F41" w:rsidRPr="000D19A7" w14:paraId="08DCA77F" w14:textId="77777777" w:rsidTr="005E2C55">
        <w:tc>
          <w:tcPr>
            <w:tcW w:w="3261" w:type="dxa"/>
          </w:tcPr>
          <w:p w14:paraId="13F76E7C" w14:textId="77777777" w:rsidR="00B84F41" w:rsidRPr="000D19A7" w:rsidRDefault="00B84F41"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i/>
                <w:iCs/>
                <w:szCs w:val="24"/>
                <w:lang w:val="ro-MD" w:eastAsia="ru-RU"/>
              </w:rPr>
              <w:t>B</w:t>
            </w:r>
            <w:r w:rsidRPr="000D19A7">
              <w:rPr>
                <w:rFonts w:ascii="Times New Roman" w:eastAsia="Times New Roman" w:hAnsi="Times New Roman" w:cs="Times New Roman"/>
                <w:i/>
                <w:szCs w:val="21"/>
                <w:lang w:val="ro-MD" w:eastAsia="ru-RU"/>
              </w:rPr>
              <w:t>eneficiar al recreditării</w:t>
            </w:r>
          </w:p>
        </w:tc>
        <w:tc>
          <w:tcPr>
            <w:tcW w:w="6083" w:type="dxa"/>
          </w:tcPr>
          <w:p w14:paraId="165653E1" w14:textId="77777777" w:rsidR="00B84F41" w:rsidRPr="000D19A7" w:rsidRDefault="00131233" w:rsidP="00946026">
            <w:pPr>
              <w:spacing w:after="0" w:line="276" w:lineRule="auto"/>
              <w:jc w:val="both"/>
              <w:rPr>
                <w:rFonts w:ascii="Times New Roman" w:eastAsia="Times New Roman" w:hAnsi="Times New Roman" w:cs="Times New Roman"/>
                <w:szCs w:val="24"/>
                <w:lang w:val="ro-MD"/>
              </w:rPr>
            </w:pPr>
            <w:r w:rsidRPr="000D19A7">
              <w:rPr>
                <w:rFonts w:ascii="Times New Roman" w:eastAsia="Times New Roman" w:hAnsi="Times New Roman" w:cs="Times New Roman"/>
                <w:lang w:val="ro-MD"/>
              </w:rPr>
              <w:t>O</w:t>
            </w:r>
            <w:r w:rsidR="00B84F41" w:rsidRPr="000D19A7">
              <w:rPr>
                <w:rFonts w:ascii="Times New Roman" w:eastAsia="Times New Roman" w:hAnsi="Times New Roman" w:cs="Times New Roman"/>
                <w:lang w:val="ro-MD"/>
              </w:rPr>
              <w:t>rice persoană fizică sau juridică care este beneficiar f</w:t>
            </w:r>
            <w:r w:rsidR="00B84F41" w:rsidRPr="000D19A7">
              <w:rPr>
                <w:rFonts w:ascii="Times New Roman" w:eastAsia="Times New Roman" w:hAnsi="Times New Roman" w:cs="Times New Roman"/>
                <w:szCs w:val="24"/>
                <w:lang w:val="ro-MD"/>
              </w:rPr>
              <w:t>inal al mijloacelor recreditate.</w:t>
            </w:r>
            <w:r w:rsidR="00B84F41" w:rsidRPr="000D19A7">
              <w:rPr>
                <w:rFonts w:ascii="Times New Roman" w:eastAsia="Times New Roman" w:hAnsi="Times New Roman" w:cs="Times New Roman"/>
                <w:lang w:val="ro-MD"/>
              </w:rPr>
              <w:t xml:space="preserve"> </w:t>
            </w:r>
          </w:p>
        </w:tc>
      </w:tr>
      <w:tr w:rsidR="00F04E6A" w:rsidRPr="000D19A7" w14:paraId="3C9F4703" w14:textId="77777777" w:rsidTr="005E2C55">
        <w:tc>
          <w:tcPr>
            <w:tcW w:w="3261" w:type="dxa"/>
          </w:tcPr>
          <w:p w14:paraId="15CDA3D9" w14:textId="2F6FB472" w:rsidR="00F04E6A" w:rsidRPr="000D19A7" w:rsidRDefault="00F04E6A"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D</w:t>
            </w:r>
            <w:r w:rsidR="00BF27B3" w:rsidRPr="000D19A7">
              <w:rPr>
                <w:rFonts w:ascii="Times New Roman" w:eastAsia="Times New Roman" w:hAnsi="Times New Roman" w:cs="Times New Roman"/>
                <w:i/>
                <w:iCs/>
                <w:szCs w:val="24"/>
                <w:lang w:val="ro-MD" w:eastAsia="ru-RU"/>
              </w:rPr>
              <w:t>atorie a</w:t>
            </w:r>
            <w:r w:rsidRPr="000D19A7">
              <w:rPr>
                <w:rFonts w:ascii="Times New Roman" w:eastAsia="Times New Roman" w:hAnsi="Times New Roman" w:cs="Times New Roman"/>
                <w:i/>
                <w:iCs/>
                <w:szCs w:val="24"/>
                <w:lang w:val="ro-MD" w:eastAsia="ru-RU"/>
              </w:rPr>
              <w:t xml:space="preserve"> sectorului public</w:t>
            </w:r>
          </w:p>
        </w:tc>
        <w:tc>
          <w:tcPr>
            <w:tcW w:w="6083" w:type="dxa"/>
          </w:tcPr>
          <w:p w14:paraId="0D136891" w14:textId="01FA7AF7" w:rsidR="00F04E6A" w:rsidRPr="000D19A7" w:rsidRDefault="00F04E6A" w:rsidP="00946026">
            <w:pPr>
              <w:spacing w:after="0" w:line="276" w:lineRule="auto"/>
              <w:jc w:val="both"/>
              <w:rPr>
                <w:rFonts w:ascii="Times New Roman" w:eastAsia="Times New Roman" w:hAnsi="Times New Roman" w:cs="Times New Roman"/>
                <w:lang w:val="ro-MD"/>
              </w:rPr>
            </w:pPr>
            <w:r w:rsidRPr="000D19A7">
              <w:rPr>
                <w:rFonts w:ascii="Times New Roman" w:eastAsia="Times New Roman" w:hAnsi="Times New Roman" w:cs="Times New Roman"/>
                <w:lang w:val="ro-MD"/>
              </w:rPr>
              <w:t>totalitate a datoriei de stat, a datoriei unităţilor administrativ-teritoriale, a datoriei Băncii Naţionale a Moldovei, a datoriei ce rezultă din împrumuturile interne şi externe ale întreprinderilor de stat/municipale şi ale societăţilor comerciale cu capital integral sau majoritar public, care se prezintă sub formă agregată și consolidată.</w:t>
            </w:r>
          </w:p>
        </w:tc>
      </w:tr>
      <w:tr w:rsidR="00B84F41" w:rsidRPr="000D19A7" w14:paraId="572580A6" w14:textId="77777777" w:rsidTr="005E2C55">
        <w:tc>
          <w:tcPr>
            <w:tcW w:w="3261" w:type="dxa"/>
          </w:tcPr>
          <w:p w14:paraId="550B08B7" w14:textId="77777777" w:rsidR="00B84F41" w:rsidRPr="000D19A7" w:rsidRDefault="00B84F41"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i/>
                <w:iCs/>
                <w:szCs w:val="24"/>
                <w:lang w:val="ro-MD" w:eastAsia="ru-RU"/>
              </w:rPr>
              <w:t>Datorie de stat</w:t>
            </w:r>
          </w:p>
        </w:tc>
        <w:tc>
          <w:tcPr>
            <w:tcW w:w="6083" w:type="dxa"/>
          </w:tcPr>
          <w:p w14:paraId="235A3810" w14:textId="77777777" w:rsidR="00B84F41"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O</w:t>
            </w:r>
            <w:r w:rsidR="00B84F41" w:rsidRPr="000D19A7">
              <w:rPr>
                <w:rFonts w:ascii="Times New Roman" w:eastAsia="Times New Roman" w:hAnsi="Times New Roman" w:cs="Times New Roman"/>
                <w:szCs w:val="24"/>
                <w:lang w:val="ro-MD" w:eastAsia="ru-RU"/>
              </w:rPr>
              <w:t>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B84F41" w:rsidRPr="000D19A7" w14:paraId="46847B9D" w14:textId="77777777" w:rsidTr="005E2C55">
        <w:trPr>
          <w:trHeight w:val="1888"/>
        </w:trPr>
        <w:tc>
          <w:tcPr>
            <w:tcW w:w="3261" w:type="dxa"/>
          </w:tcPr>
          <w:p w14:paraId="54C53B0B" w14:textId="77777777" w:rsidR="00B84F41" w:rsidRPr="000D19A7" w:rsidRDefault="00B84F41"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i/>
                <w:iCs/>
                <w:szCs w:val="24"/>
                <w:lang w:val="ro-MD" w:eastAsia="ru-RU"/>
              </w:rPr>
              <w:t>Datorie de stat externă</w:t>
            </w:r>
          </w:p>
        </w:tc>
        <w:tc>
          <w:tcPr>
            <w:tcW w:w="6083" w:type="dxa"/>
          </w:tcPr>
          <w:p w14:paraId="2D76ED90" w14:textId="77777777" w:rsidR="00B84F41"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P</w:t>
            </w:r>
            <w:r w:rsidR="00B84F41" w:rsidRPr="000D19A7">
              <w:rPr>
                <w:rFonts w:ascii="Times New Roman" w:eastAsia="Times New Roman" w:hAnsi="Times New Roman" w:cs="Times New Roman"/>
                <w:szCs w:val="24"/>
                <w:lang w:val="ro-MD" w:eastAsia="ru-RU"/>
              </w:rPr>
              <w:t xml:space="preserve">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B84F41" w:rsidRPr="000D19A7" w14:paraId="7D971822" w14:textId="77777777" w:rsidTr="005E2C55">
        <w:trPr>
          <w:trHeight w:val="1888"/>
        </w:trPr>
        <w:tc>
          <w:tcPr>
            <w:tcW w:w="3261" w:type="dxa"/>
          </w:tcPr>
          <w:p w14:paraId="638708C1" w14:textId="77777777" w:rsidR="00B84F41" w:rsidRPr="000D19A7" w:rsidRDefault="00B84F41"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Datorie de stat internă</w:t>
            </w:r>
          </w:p>
        </w:tc>
        <w:tc>
          <w:tcPr>
            <w:tcW w:w="6083" w:type="dxa"/>
          </w:tcPr>
          <w:p w14:paraId="4E67C255" w14:textId="2699400F" w:rsidR="00B84F41"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P</w:t>
            </w:r>
            <w:r w:rsidR="00B84F41" w:rsidRPr="000D19A7">
              <w:rPr>
                <w:rFonts w:ascii="Times New Roman" w:eastAsia="Times New Roman" w:hAnsi="Times New Roman" w:cs="Times New Roman"/>
                <w:szCs w:val="24"/>
                <w:lang w:val="ro-MD" w:eastAsia="ru-RU"/>
              </w:rPr>
              <w:t xml:space="preserve">arte integrantă a datoriei de stat ce reprezintă totalul sumelor obligațiilor neonorate și dobânzilor datorate și neonorate, contractate, în numele Republicii Moldova, de </w:t>
            </w:r>
            <w:r w:rsidR="008D4F26" w:rsidRPr="000D19A7">
              <w:rPr>
                <w:rFonts w:ascii="Times New Roman" w:eastAsia="Times New Roman" w:hAnsi="Times New Roman" w:cs="Times New Roman"/>
                <w:szCs w:val="24"/>
                <w:lang w:val="ro-MD" w:eastAsia="ru-RU"/>
              </w:rPr>
              <w:t xml:space="preserve">către </w:t>
            </w:r>
            <w:r w:rsidR="00B84F41" w:rsidRPr="000D19A7">
              <w:rPr>
                <w:rFonts w:ascii="Times New Roman" w:eastAsia="Times New Roman" w:hAnsi="Times New Roman" w:cs="Times New Roman"/>
                <w:szCs w:val="24"/>
                <w:lang w:val="ro-MD" w:eastAsia="ru-RU"/>
              </w:rPr>
              <w:t>Guvern, prin intermediul Ministerului Finanțelor, de la rezidenții Republicii Moldova. Valorile mobiliare de stat emise pentru a fi plasate pe piața internă a Republicii Moldova, care sunt procurate de către nerezidenți, sunt atribuite datoriei de stat interne.</w:t>
            </w:r>
          </w:p>
        </w:tc>
      </w:tr>
      <w:tr w:rsidR="00B84F41" w:rsidRPr="000D19A7" w14:paraId="7D5E3323" w14:textId="77777777" w:rsidTr="005E2C55">
        <w:tc>
          <w:tcPr>
            <w:tcW w:w="3261" w:type="dxa"/>
          </w:tcPr>
          <w:p w14:paraId="77419B65" w14:textId="04E35806" w:rsidR="00BF61B2" w:rsidRPr="000D19A7" w:rsidRDefault="00B84F41"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i/>
                <w:iCs/>
                <w:szCs w:val="24"/>
                <w:lang w:val="ro-MD" w:eastAsia="ru-RU"/>
              </w:rPr>
              <w:t>Deservire a datoriei</w:t>
            </w:r>
          </w:p>
        </w:tc>
        <w:tc>
          <w:tcPr>
            <w:tcW w:w="6083" w:type="dxa"/>
          </w:tcPr>
          <w:p w14:paraId="2F4B7898" w14:textId="7C8C41A1" w:rsidR="00BF61B2"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P</w:t>
            </w:r>
            <w:r w:rsidR="00B84F41" w:rsidRPr="000D19A7">
              <w:rPr>
                <w:rFonts w:ascii="Times New Roman" w:eastAsia="Times New Roman" w:hAnsi="Times New Roman" w:cs="Times New Roman"/>
                <w:szCs w:val="24"/>
                <w:lang w:val="ro-MD" w:eastAsia="ru-RU"/>
              </w:rPr>
              <w:t>lata sumei principale, a dobânzii și a altor sume aferente, prevăzute în contractele din care rezultă datoria.</w:t>
            </w:r>
          </w:p>
        </w:tc>
      </w:tr>
      <w:tr w:rsidR="00131233" w:rsidRPr="000D19A7" w14:paraId="1C6755E1" w14:textId="77777777" w:rsidTr="005E2C55">
        <w:tc>
          <w:tcPr>
            <w:tcW w:w="3261" w:type="dxa"/>
          </w:tcPr>
          <w:p w14:paraId="5739E0AF" w14:textId="77777777" w:rsidR="00131233" w:rsidRPr="000D19A7" w:rsidRDefault="00131233"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G</w:t>
            </w:r>
            <w:r w:rsidRPr="000D19A7">
              <w:rPr>
                <w:rFonts w:ascii="Times New Roman" w:eastAsia="Times New Roman" w:hAnsi="Times New Roman" w:cs="Times New Roman"/>
                <w:i/>
                <w:szCs w:val="21"/>
                <w:lang w:val="ro-MD" w:eastAsia="ru-RU"/>
              </w:rPr>
              <w:t>aranție de stat</w:t>
            </w:r>
          </w:p>
        </w:tc>
        <w:tc>
          <w:tcPr>
            <w:tcW w:w="6083" w:type="dxa"/>
          </w:tcPr>
          <w:p w14:paraId="626D767C" w14:textId="77777777" w:rsidR="00131233" w:rsidRPr="000D19A7" w:rsidRDefault="00131233" w:rsidP="00946026">
            <w:pPr>
              <w:spacing w:after="0" w:line="276" w:lineRule="auto"/>
              <w:jc w:val="both"/>
              <w:rPr>
                <w:rFonts w:ascii="Times New Roman" w:eastAsia="Times New Roman" w:hAnsi="Times New Roman" w:cs="Times New Roman"/>
                <w:szCs w:val="24"/>
                <w:lang w:val="ro-MD"/>
              </w:rPr>
            </w:pPr>
            <w:r w:rsidRPr="000D19A7">
              <w:rPr>
                <w:rFonts w:ascii="Times New Roman" w:eastAsia="Times New Roman" w:hAnsi="Times New Roman" w:cs="Times New Roman"/>
                <w:lang w:val="ro-MD"/>
              </w:rPr>
              <w:t>Angajament asumat, în contul și în numele statului, de către Guvern, în calitate de garant, de a plăti la scadență obligațiile neon</w:t>
            </w:r>
            <w:r w:rsidRPr="000D19A7">
              <w:rPr>
                <w:rFonts w:ascii="Times New Roman" w:eastAsia="Times New Roman" w:hAnsi="Times New Roman" w:cs="Times New Roman"/>
                <w:szCs w:val="24"/>
                <w:lang w:val="ro-MD"/>
              </w:rPr>
              <w:t>orate ale debitorului garantat.</w:t>
            </w:r>
          </w:p>
        </w:tc>
      </w:tr>
      <w:tr w:rsidR="00131233" w:rsidRPr="000D19A7" w14:paraId="2721AC5E" w14:textId="77777777" w:rsidTr="005E2C55">
        <w:tc>
          <w:tcPr>
            <w:tcW w:w="3261" w:type="dxa"/>
          </w:tcPr>
          <w:p w14:paraId="4356629E" w14:textId="77777777" w:rsidR="00131233" w:rsidRPr="000D19A7" w:rsidRDefault="003D5BDE"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i/>
                <w:iCs/>
                <w:szCs w:val="24"/>
                <w:lang w:val="ro-MD" w:eastAsia="ru-RU"/>
              </w:rPr>
              <w:t>Instituții</w:t>
            </w:r>
            <w:r w:rsidR="00131233" w:rsidRPr="000D19A7">
              <w:rPr>
                <w:rFonts w:ascii="Times New Roman" w:eastAsia="Times New Roman" w:hAnsi="Times New Roman" w:cs="Times New Roman"/>
                <w:i/>
                <w:iCs/>
                <w:szCs w:val="24"/>
                <w:lang w:val="ro-MD" w:eastAsia="ru-RU"/>
              </w:rPr>
              <w:t xml:space="preserve"> Financiare Participante (IFP)</w:t>
            </w:r>
          </w:p>
        </w:tc>
        <w:tc>
          <w:tcPr>
            <w:tcW w:w="6083" w:type="dxa"/>
          </w:tcPr>
          <w:p w14:paraId="641224FB" w14:textId="352B86E2" w:rsidR="00131233" w:rsidRPr="000D19A7" w:rsidRDefault="00131233" w:rsidP="00103BEE">
            <w:pPr>
              <w:spacing w:after="0" w:line="276" w:lineRule="auto"/>
              <w:jc w:val="both"/>
              <w:rPr>
                <w:rFonts w:ascii="Times New Roman" w:eastAsia="Times New Roman" w:hAnsi="Times New Roman" w:cs="Times New Roman"/>
                <w:szCs w:val="24"/>
                <w:lang w:val="ro-MD"/>
              </w:rPr>
            </w:pPr>
            <w:r w:rsidRPr="000D19A7">
              <w:rPr>
                <w:rFonts w:ascii="Times New Roman" w:eastAsia="Times New Roman" w:hAnsi="Times New Roman" w:cs="Times New Roman"/>
                <w:lang w:val="ro-MD"/>
              </w:rPr>
              <w:t>Bănci</w:t>
            </w:r>
            <w:r w:rsidR="00103BEE" w:rsidRPr="000D19A7">
              <w:rPr>
                <w:rFonts w:ascii="Times New Roman" w:eastAsia="Times New Roman" w:hAnsi="Times New Roman" w:cs="Times New Roman"/>
                <w:lang w:val="ro-MD"/>
              </w:rPr>
              <w:t xml:space="preserve">, </w:t>
            </w:r>
            <w:r w:rsidRPr="000D19A7">
              <w:rPr>
                <w:rFonts w:ascii="Times New Roman" w:eastAsia="Times New Roman" w:hAnsi="Times New Roman" w:cs="Times New Roman"/>
                <w:lang w:val="ro-MD"/>
              </w:rPr>
              <w:t xml:space="preserve"> organizații de creditare nebancară,</w:t>
            </w:r>
            <w:r w:rsidR="00103BEE" w:rsidRPr="000D19A7">
              <w:rPr>
                <w:rFonts w:ascii="Times New Roman" w:eastAsia="Times New Roman" w:hAnsi="Times New Roman" w:cs="Times New Roman"/>
                <w:lang w:val="ro-MD"/>
              </w:rPr>
              <w:t xml:space="preserve"> și/sau asociații de economii și împrumut, selectate pentru îndeplinirea funcției de intermediere a liniilor de credit din resurse directe sau din</w:t>
            </w:r>
            <w:r w:rsidR="008D4F26" w:rsidRPr="000D19A7">
              <w:rPr>
                <w:rFonts w:ascii="Times New Roman" w:eastAsia="Times New Roman" w:hAnsi="Times New Roman" w:cs="Times New Roman"/>
                <w:lang w:val="ro-MD"/>
              </w:rPr>
              <w:t xml:space="preserve"> </w:t>
            </w:r>
            <w:r w:rsidR="00103BEE" w:rsidRPr="000D19A7">
              <w:rPr>
                <w:rFonts w:ascii="Times New Roman" w:eastAsia="Times New Roman" w:hAnsi="Times New Roman" w:cs="Times New Roman"/>
                <w:lang w:val="ro-MD"/>
              </w:rPr>
              <w:t xml:space="preserve">resurse de refinanțare (revolving) </w:t>
            </w:r>
            <w:r w:rsidRPr="000D19A7">
              <w:rPr>
                <w:rFonts w:ascii="Times New Roman" w:eastAsia="Times New Roman" w:hAnsi="Times New Roman" w:cs="Times New Roman"/>
                <w:lang w:val="ro-MD"/>
              </w:rPr>
              <w:t xml:space="preserve"> </w:t>
            </w:r>
            <w:r w:rsidR="00103BEE" w:rsidRPr="000D19A7">
              <w:rPr>
                <w:rFonts w:ascii="Times New Roman" w:eastAsia="Times New Roman" w:hAnsi="Times New Roman" w:cs="Times New Roman"/>
                <w:lang w:val="ro-MD"/>
              </w:rPr>
              <w:t>în baza criteriilor de eligibilitate stabilite în Regulamentul privind recreditarea de stat (Anexa nr.5), aprobat prin Hotărârea Guvernului nr. 1136 din 18.10.2007</w:t>
            </w:r>
            <w:r w:rsidRPr="000D19A7">
              <w:rPr>
                <w:rFonts w:ascii="Times New Roman" w:eastAsia="Times New Roman" w:hAnsi="Times New Roman" w:cs="Times New Roman"/>
                <w:lang w:val="ro-MD"/>
              </w:rPr>
              <w:t xml:space="preserve">. </w:t>
            </w:r>
          </w:p>
        </w:tc>
      </w:tr>
      <w:tr w:rsidR="00131233" w:rsidRPr="000D19A7" w14:paraId="680B0CF2" w14:textId="77777777" w:rsidTr="005E2C55">
        <w:tc>
          <w:tcPr>
            <w:tcW w:w="3261" w:type="dxa"/>
          </w:tcPr>
          <w:p w14:paraId="51DE5D4D" w14:textId="77777777" w:rsidR="00131233" w:rsidRPr="000D19A7" w:rsidRDefault="00131233"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i/>
                <w:iCs/>
                <w:szCs w:val="24"/>
                <w:lang w:val="ro-MD" w:eastAsia="ru-RU"/>
              </w:rPr>
              <w:t>Instrument al datoriei</w:t>
            </w:r>
          </w:p>
        </w:tc>
        <w:tc>
          <w:tcPr>
            <w:tcW w:w="6083" w:type="dxa"/>
          </w:tcPr>
          <w:p w14:paraId="5AAE33EE" w14:textId="00FC4052" w:rsidR="00131233"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Obligație financiară care presupune efectuarea plăților sumei principale și/sau a dobânzii de către debitor în favoarea creditorului</w:t>
            </w:r>
            <w:r w:rsidR="002C3802" w:rsidRPr="000D19A7">
              <w:rPr>
                <w:rFonts w:ascii="Times New Roman" w:eastAsia="Times New Roman" w:hAnsi="Times New Roman" w:cs="Times New Roman"/>
                <w:szCs w:val="24"/>
                <w:lang w:val="ro-MD" w:eastAsia="ru-RU"/>
              </w:rPr>
              <w:t>,</w:t>
            </w:r>
            <w:r w:rsidRPr="000D19A7">
              <w:rPr>
                <w:rFonts w:ascii="Times New Roman" w:eastAsia="Times New Roman" w:hAnsi="Times New Roman" w:cs="Times New Roman"/>
                <w:szCs w:val="24"/>
                <w:lang w:val="ro-MD" w:eastAsia="ru-RU"/>
              </w:rPr>
              <w:t xml:space="preserve"> la o anumită dată în viitor.</w:t>
            </w:r>
          </w:p>
        </w:tc>
      </w:tr>
      <w:tr w:rsidR="00131233" w:rsidRPr="000D19A7" w14:paraId="343E8091" w14:textId="77777777" w:rsidTr="005E2C55">
        <w:tc>
          <w:tcPr>
            <w:tcW w:w="3261" w:type="dxa"/>
          </w:tcPr>
          <w:p w14:paraId="0AFC97CE" w14:textId="77777777" w:rsidR="00131233" w:rsidRPr="000D19A7" w:rsidRDefault="00131233"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Împrumut de stat</w:t>
            </w:r>
          </w:p>
        </w:tc>
        <w:tc>
          <w:tcPr>
            <w:tcW w:w="6083" w:type="dxa"/>
          </w:tcPr>
          <w:p w14:paraId="17585EEE" w14:textId="77777777" w:rsidR="00131233" w:rsidRPr="000D19A7" w:rsidRDefault="00131233"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Relație contractuală prin care creditorul transmite în proprietatea statului mijloace, cu condiția rambursării acestora de către stat la expirarea termenului pentru care au fost acordate.</w:t>
            </w:r>
          </w:p>
        </w:tc>
      </w:tr>
      <w:tr w:rsidR="00131233" w:rsidRPr="000D19A7" w14:paraId="3A2B23BC" w14:textId="77777777" w:rsidTr="005E2C55">
        <w:tc>
          <w:tcPr>
            <w:tcW w:w="3261" w:type="dxa"/>
          </w:tcPr>
          <w:p w14:paraId="3A2DBA08" w14:textId="77777777" w:rsidR="00131233" w:rsidRPr="000D19A7" w:rsidRDefault="00131233"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i/>
                <w:iCs/>
                <w:szCs w:val="24"/>
                <w:lang w:val="ro-MD" w:eastAsia="ru-RU"/>
              </w:rPr>
              <w:t>Recreditare</w:t>
            </w:r>
          </w:p>
        </w:tc>
        <w:tc>
          <w:tcPr>
            <w:tcW w:w="6083" w:type="dxa"/>
          </w:tcPr>
          <w:p w14:paraId="07469768" w14:textId="77777777" w:rsidR="00131233" w:rsidRPr="000D19A7" w:rsidRDefault="00131233"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szCs w:val="24"/>
                <w:lang w:val="ro-MD" w:eastAsia="ru-RU"/>
              </w:rPr>
              <w:t>Acordarea de împrumut beneficiarilor recreditării din contul mijloacelor obținute din împrumuturi de stat.</w:t>
            </w:r>
          </w:p>
        </w:tc>
      </w:tr>
      <w:tr w:rsidR="00107024" w:rsidRPr="000D19A7" w14:paraId="0E8CCDB0" w14:textId="77777777" w:rsidTr="005E2C55">
        <w:tc>
          <w:tcPr>
            <w:tcW w:w="3261" w:type="dxa"/>
          </w:tcPr>
          <w:p w14:paraId="4B212612" w14:textId="1CF02D04"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Serviciul datoriei de stat</w:t>
            </w:r>
          </w:p>
        </w:tc>
        <w:tc>
          <w:tcPr>
            <w:tcW w:w="6083" w:type="dxa"/>
          </w:tcPr>
          <w:p w14:paraId="51BE59EE" w14:textId="4FE05B52"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Plățile de dobândă și comisioanele aferente datoriei.</w:t>
            </w:r>
          </w:p>
        </w:tc>
      </w:tr>
      <w:tr w:rsidR="00107024" w:rsidRPr="00F06A38" w14:paraId="10A84F79" w14:textId="77777777" w:rsidTr="005E2C55">
        <w:tc>
          <w:tcPr>
            <w:tcW w:w="3261" w:type="dxa"/>
          </w:tcPr>
          <w:p w14:paraId="2406AA8E" w14:textId="77777777"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i/>
                <w:iCs/>
                <w:szCs w:val="24"/>
                <w:lang w:val="ro-MD" w:eastAsia="ru-RU"/>
              </w:rPr>
              <w:t>Sumă principală</w:t>
            </w:r>
            <w:r w:rsidRPr="000D19A7">
              <w:rPr>
                <w:rFonts w:ascii="Times New Roman" w:eastAsia="Times New Roman" w:hAnsi="Times New Roman" w:cs="Times New Roman"/>
                <w:szCs w:val="24"/>
                <w:lang w:val="ro-MD" w:eastAsia="ru-RU"/>
              </w:rPr>
              <w:t xml:space="preserve"> </w:t>
            </w:r>
          </w:p>
        </w:tc>
        <w:tc>
          <w:tcPr>
            <w:tcW w:w="6083" w:type="dxa"/>
          </w:tcPr>
          <w:p w14:paraId="2EC9D976" w14:textId="77777777" w:rsidR="00107024" w:rsidRPr="000D19A7" w:rsidRDefault="00107024" w:rsidP="00946026">
            <w:pPr>
              <w:spacing w:after="0" w:line="276" w:lineRule="auto"/>
              <w:jc w:val="both"/>
              <w:rPr>
                <w:rFonts w:ascii="Times New Roman" w:eastAsia="Times New Roman" w:hAnsi="Times New Roman" w:cs="Times New Roman"/>
                <w:b/>
                <w:szCs w:val="24"/>
                <w:lang w:val="ro-MD" w:eastAsia="ru-RU"/>
              </w:rPr>
            </w:pPr>
            <w:r w:rsidRPr="000D19A7">
              <w:rPr>
                <w:rFonts w:ascii="Times New Roman" w:eastAsia="Times New Roman" w:hAnsi="Times New Roman" w:cs="Times New Roman"/>
                <w:szCs w:val="24"/>
                <w:lang w:val="ro-MD" w:eastAsia="ru-RU"/>
              </w:rPr>
              <w:t>Sumă acordată în cadrul unui împrumut.</w:t>
            </w:r>
          </w:p>
        </w:tc>
      </w:tr>
      <w:tr w:rsidR="00107024" w:rsidRPr="000D19A7" w14:paraId="7837F19B" w14:textId="77777777" w:rsidTr="005E2C55">
        <w:tc>
          <w:tcPr>
            <w:tcW w:w="3261" w:type="dxa"/>
          </w:tcPr>
          <w:p w14:paraId="23FD9300" w14:textId="0A7A3B90"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Sumă principală a valorii mobiliare de stat</w:t>
            </w:r>
          </w:p>
        </w:tc>
        <w:tc>
          <w:tcPr>
            <w:tcW w:w="6083" w:type="dxa"/>
          </w:tcPr>
          <w:p w14:paraId="51FD29C3" w14:textId="3395FB2C"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hAnsi="Times New Roman" w:cs="Times New Roman"/>
                <w:lang w:val="ro-MD"/>
              </w:rPr>
              <w:t>Preţul plătit de către creditor la procurarea valorii m</w:t>
            </w:r>
            <w:r w:rsidR="00B5013A" w:rsidRPr="000D19A7">
              <w:rPr>
                <w:rFonts w:ascii="Times New Roman" w:hAnsi="Times New Roman" w:cs="Times New Roman"/>
                <w:lang w:val="ro-MD"/>
              </w:rPr>
              <w:t>obiliare de stat emise cu scont.</w:t>
            </w:r>
          </w:p>
        </w:tc>
      </w:tr>
      <w:tr w:rsidR="00107024" w:rsidRPr="000D19A7" w14:paraId="154C3AC2" w14:textId="77777777" w:rsidTr="005E2C55">
        <w:tc>
          <w:tcPr>
            <w:tcW w:w="3261" w:type="dxa"/>
          </w:tcPr>
          <w:p w14:paraId="0F447F14" w14:textId="5157640D"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Sumă principală a obligațiunii de stat</w:t>
            </w:r>
          </w:p>
        </w:tc>
        <w:tc>
          <w:tcPr>
            <w:tcW w:w="6083" w:type="dxa"/>
          </w:tcPr>
          <w:p w14:paraId="51CBDF8E" w14:textId="35A0761A" w:rsidR="00107024" w:rsidRPr="000D19A7" w:rsidRDefault="00107024" w:rsidP="00946026">
            <w:pPr>
              <w:spacing w:after="0" w:line="276" w:lineRule="auto"/>
              <w:jc w:val="both"/>
              <w:rPr>
                <w:rFonts w:ascii="Times New Roman" w:hAnsi="Times New Roman" w:cs="Times New Roman"/>
                <w:lang w:val="ro-MD"/>
              </w:rPr>
            </w:pPr>
            <w:r w:rsidRPr="000D19A7">
              <w:rPr>
                <w:rFonts w:ascii="Times New Roman" w:hAnsi="Times New Roman" w:cs="Times New Roman"/>
                <w:lang w:val="ro-MD"/>
              </w:rPr>
              <w:t xml:space="preserve">Sumă egală cu valoarea </w:t>
            </w:r>
            <w:r w:rsidR="000063DD" w:rsidRPr="000D19A7">
              <w:rPr>
                <w:rFonts w:ascii="Times New Roman" w:hAnsi="Times New Roman" w:cs="Times New Roman"/>
                <w:lang w:val="ro-MD"/>
              </w:rPr>
              <w:t>nominală a obligațiunii de stat</w:t>
            </w:r>
            <w:r w:rsidR="00B5013A" w:rsidRPr="000D19A7">
              <w:rPr>
                <w:rFonts w:ascii="Times New Roman" w:hAnsi="Times New Roman" w:cs="Times New Roman"/>
                <w:lang w:val="ro-MD"/>
              </w:rPr>
              <w:t>.</w:t>
            </w:r>
          </w:p>
        </w:tc>
      </w:tr>
      <w:tr w:rsidR="00107024" w:rsidRPr="000D19A7" w14:paraId="2A0C8172" w14:textId="77777777" w:rsidTr="005E2C55">
        <w:tc>
          <w:tcPr>
            <w:tcW w:w="3261" w:type="dxa"/>
          </w:tcPr>
          <w:p w14:paraId="153CCA5C" w14:textId="77777777"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szCs w:val="21"/>
                <w:lang w:val="ro-MD" w:eastAsia="ru-RU"/>
              </w:rPr>
              <w:t>Termen scurt</w:t>
            </w:r>
          </w:p>
        </w:tc>
        <w:tc>
          <w:tcPr>
            <w:tcW w:w="6083" w:type="dxa"/>
          </w:tcPr>
          <w:p w14:paraId="582BF96C" w14:textId="77777777"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1"/>
                <w:lang w:val="ro-MD" w:eastAsia="ru-RU"/>
              </w:rPr>
              <w:t>Perioadă de rambursare de până la un an și/sau de rambursare la solicitarea creditorului în lipsa te</w:t>
            </w:r>
            <w:r w:rsidRPr="000D19A7">
              <w:rPr>
                <w:rFonts w:ascii="Times New Roman" w:eastAsia="Times New Roman" w:hAnsi="Times New Roman" w:cs="Times New Roman"/>
                <w:szCs w:val="24"/>
                <w:lang w:val="ro-MD" w:eastAsia="ru-RU"/>
              </w:rPr>
              <w:t>rmenului de scadență.</w:t>
            </w:r>
          </w:p>
        </w:tc>
      </w:tr>
      <w:tr w:rsidR="00107024" w:rsidRPr="000D19A7" w14:paraId="4CFDA318" w14:textId="77777777" w:rsidTr="005E2C55">
        <w:tc>
          <w:tcPr>
            <w:tcW w:w="3261" w:type="dxa"/>
          </w:tcPr>
          <w:p w14:paraId="3CCECAC1" w14:textId="77777777"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szCs w:val="21"/>
                <w:lang w:val="ro-MD" w:eastAsia="ru-RU"/>
              </w:rPr>
              <w:t>Termen mediu</w:t>
            </w:r>
          </w:p>
        </w:tc>
        <w:tc>
          <w:tcPr>
            <w:tcW w:w="6083" w:type="dxa"/>
          </w:tcPr>
          <w:p w14:paraId="64452DDF" w14:textId="77777777" w:rsidR="00107024" w:rsidRPr="000D19A7" w:rsidRDefault="00107024" w:rsidP="00946026">
            <w:pPr>
              <w:spacing w:after="0" w:line="276" w:lineRule="auto"/>
              <w:jc w:val="both"/>
              <w:rPr>
                <w:rFonts w:ascii="Times New Roman" w:eastAsia="Times New Roman" w:hAnsi="Times New Roman" w:cs="Times New Roman"/>
                <w:szCs w:val="24"/>
                <w:lang w:val="ro-MD"/>
              </w:rPr>
            </w:pPr>
            <w:r w:rsidRPr="000D19A7">
              <w:rPr>
                <w:rFonts w:ascii="Times New Roman" w:eastAsia="Times New Roman" w:hAnsi="Times New Roman" w:cs="Times New Roman"/>
                <w:lang w:val="ro-MD"/>
              </w:rPr>
              <w:t>Perioadă de timp de 3 ani ce vizează termenul pentru care sunt stabilite obiectivele și este analizată evoluția indicatorilor aferenți datoriei de stat în cadrul Programului „Managementul datoriei de stat pe termen medi</w:t>
            </w:r>
            <w:r w:rsidRPr="000D19A7">
              <w:rPr>
                <w:rFonts w:ascii="Times New Roman" w:eastAsia="Times New Roman" w:hAnsi="Times New Roman" w:cs="Times New Roman"/>
                <w:szCs w:val="24"/>
                <w:lang w:val="ro-MD"/>
              </w:rPr>
              <w:t>u”.</w:t>
            </w:r>
          </w:p>
        </w:tc>
      </w:tr>
      <w:tr w:rsidR="00107024" w:rsidRPr="000D19A7" w14:paraId="33FF8F0D" w14:textId="77777777" w:rsidTr="005E2C55">
        <w:tc>
          <w:tcPr>
            <w:tcW w:w="3261" w:type="dxa"/>
          </w:tcPr>
          <w:p w14:paraId="3966BCD1" w14:textId="77777777"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szCs w:val="21"/>
                <w:lang w:val="ro-MD" w:eastAsia="ru-RU"/>
              </w:rPr>
              <w:t>Termen lung</w:t>
            </w:r>
          </w:p>
        </w:tc>
        <w:tc>
          <w:tcPr>
            <w:tcW w:w="6083" w:type="dxa"/>
          </w:tcPr>
          <w:p w14:paraId="35666363" w14:textId="77777777" w:rsidR="00107024" w:rsidRPr="000D19A7" w:rsidRDefault="00107024" w:rsidP="00946026">
            <w:pPr>
              <w:spacing w:after="0" w:line="276" w:lineRule="auto"/>
              <w:jc w:val="both"/>
              <w:rPr>
                <w:rFonts w:ascii="Times New Roman" w:eastAsia="Times New Roman" w:hAnsi="Times New Roman" w:cs="Times New Roman"/>
                <w:szCs w:val="24"/>
                <w:lang w:val="ro-MD"/>
              </w:rPr>
            </w:pPr>
            <w:r w:rsidRPr="000D19A7">
              <w:rPr>
                <w:rFonts w:ascii="Times New Roman" w:eastAsia="Times New Roman" w:hAnsi="Times New Roman" w:cs="Times New Roman"/>
                <w:lang w:val="ro-MD"/>
              </w:rPr>
              <w:t>Perioadă de ram</w:t>
            </w:r>
            <w:r w:rsidRPr="000D19A7">
              <w:rPr>
                <w:rFonts w:ascii="Times New Roman" w:eastAsia="Times New Roman" w:hAnsi="Times New Roman" w:cs="Times New Roman"/>
                <w:szCs w:val="24"/>
                <w:lang w:val="ro-MD"/>
              </w:rPr>
              <w:t>bursare de la un an și mai mare.</w:t>
            </w:r>
          </w:p>
        </w:tc>
      </w:tr>
      <w:tr w:rsidR="00107024" w:rsidRPr="000D19A7" w14:paraId="22C71D59" w14:textId="77777777" w:rsidTr="005E2C55">
        <w:tc>
          <w:tcPr>
            <w:tcW w:w="3261" w:type="dxa"/>
          </w:tcPr>
          <w:p w14:paraId="6E1FC780" w14:textId="77777777"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Valoare mobiliară de stat</w:t>
            </w:r>
          </w:p>
        </w:tc>
        <w:tc>
          <w:tcPr>
            <w:tcW w:w="6083" w:type="dxa"/>
          </w:tcPr>
          <w:p w14:paraId="54357B46" w14:textId="77777777"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eastAsia="Times New Roman" w:hAnsi="Times New Roman" w:cs="Times New Roman"/>
                <w:szCs w:val="24"/>
                <w:lang w:val="ro-MD" w:eastAsia="ru-RU"/>
              </w:rPr>
              <w:t>Instrument al datoriei de stat emis în formă de titlu financiar negociabil.</w:t>
            </w:r>
          </w:p>
        </w:tc>
      </w:tr>
      <w:tr w:rsidR="00107024" w:rsidRPr="000D19A7" w14:paraId="3AC75B6A" w14:textId="77777777" w:rsidTr="005E2C55">
        <w:tc>
          <w:tcPr>
            <w:tcW w:w="3261" w:type="dxa"/>
          </w:tcPr>
          <w:p w14:paraId="65E79A15" w14:textId="47EBA606" w:rsidR="00107024" w:rsidRPr="000D19A7" w:rsidRDefault="00107024" w:rsidP="00946026">
            <w:pPr>
              <w:spacing w:after="0" w:line="276" w:lineRule="auto"/>
              <w:jc w:val="both"/>
              <w:rPr>
                <w:rFonts w:ascii="Times New Roman" w:eastAsia="Times New Roman" w:hAnsi="Times New Roman" w:cs="Times New Roman"/>
                <w:i/>
                <w:iCs/>
                <w:szCs w:val="24"/>
                <w:lang w:val="ro-MD" w:eastAsia="ru-RU"/>
              </w:rPr>
            </w:pPr>
            <w:r w:rsidRPr="000D19A7">
              <w:rPr>
                <w:rFonts w:ascii="Times New Roman" w:eastAsia="Times New Roman" w:hAnsi="Times New Roman" w:cs="Times New Roman"/>
                <w:i/>
                <w:iCs/>
                <w:szCs w:val="24"/>
                <w:lang w:val="ro-MD" w:eastAsia="ru-RU"/>
              </w:rPr>
              <w:t>VMS convertite</w:t>
            </w:r>
          </w:p>
        </w:tc>
        <w:tc>
          <w:tcPr>
            <w:tcW w:w="6083" w:type="dxa"/>
          </w:tcPr>
          <w:p w14:paraId="010F15E3" w14:textId="023B68E3" w:rsidR="00107024" w:rsidRPr="000D19A7" w:rsidRDefault="00107024" w:rsidP="00946026">
            <w:pPr>
              <w:spacing w:after="0" w:line="276" w:lineRule="auto"/>
              <w:jc w:val="both"/>
              <w:rPr>
                <w:rFonts w:ascii="Times New Roman" w:eastAsia="Times New Roman" w:hAnsi="Times New Roman" w:cs="Times New Roman"/>
                <w:szCs w:val="24"/>
                <w:lang w:val="ro-MD" w:eastAsia="ru-RU"/>
              </w:rPr>
            </w:pPr>
            <w:r w:rsidRPr="000D19A7">
              <w:rPr>
                <w:rFonts w:ascii="Times New Roman" w:hAnsi="Times New Roman" w:cs="Times New Roman"/>
                <w:szCs w:val="24"/>
                <w:lang w:val="ro-MD" w:eastAsia="ru-RU"/>
              </w:rPr>
              <w:t>Soldul împrumuturilor contractate anterior de la BNM.</w:t>
            </w:r>
          </w:p>
        </w:tc>
      </w:tr>
    </w:tbl>
    <w:p w14:paraId="4BBDAEE8" w14:textId="77777777" w:rsidR="00B84F41" w:rsidRPr="000D19A7" w:rsidRDefault="00B84F41" w:rsidP="00946026">
      <w:pPr>
        <w:spacing w:line="276" w:lineRule="auto"/>
        <w:jc w:val="both"/>
        <w:rPr>
          <w:rFonts w:ascii="Times New Roman" w:hAnsi="Times New Roman" w:cs="Times New Roman"/>
          <w:lang w:val="ro-MD" w:eastAsia="ru-RU"/>
        </w:rPr>
      </w:pPr>
    </w:p>
    <w:p w14:paraId="46EBD060" w14:textId="77777777" w:rsidR="00B84F41" w:rsidRPr="000D19A7" w:rsidRDefault="00B84F41" w:rsidP="00946026">
      <w:pPr>
        <w:spacing w:line="276" w:lineRule="auto"/>
        <w:jc w:val="both"/>
        <w:rPr>
          <w:rFonts w:ascii="Times New Roman" w:hAnsi="Times New Roman" w:cs="Times New Roman"/>
          <w:lang w:val="ro-MD" w:eastAsia="ru-RU"/>
        </w:rPr>
      </w:pPr>
    </w:p>
    <w:p w14:paraId="5FA5C166" w14:textId="77777777" w:rsidR="00B84F41" w:rsidRPr="000D19A7" w:rsidRDefault="00B84F41" w:rsidP="00946026">
      <w:pPr>
        <w:spacing w:line="276" w:lineRule="auto"/>
        <w:jc w:val="both"/>
        <w:rPr>
          <w:rFonts w:ascii="Times New Roman" w:hAnsi="Times New Roman" w:cs="Times New Roman"/>
          <w:lang w:val="ro-MD" w:eastAsia="ru-RU"/>
        </w:rPr>
      </w:pPr>
    </w:p>
    <w:p w14:paraId="74F94DAD" w14:textId="77777777" w:rsidR="00B84F41" w:rsidRPr="000D19A7" w:rsidRDefault="00B84F41" w:rsidP="00946026">
      <w:pPr>
        <w:spacing w:line="276" w:lineRule="auto"/>
        <w:jc w:val="both"/>
        <w:rPr>
          <w:rFonts w:ascii="Times New Roman" w:hAnsi="Times New Roman" w:cs="Times New Roman"/>
          <w:lang w:val="ro-MD" w:eastAsia="ru-RU"/>
        </w:rPr>
      </w:pPr>
    </w:p>
    <w:p w14:paraId="1B25EE12" w14:textId="77777777" w:rsidR="00B84F41" w:rsidRPr="000D19A7" w:rsidRDefault="00B84F41" w:rsidP="00946026">
      <w:pPr>
        <w:spacing w:line="276" w:lineRule="auto"/>
        <w:jc w:val="both"/>
        <w:rPr>
          <w:rFonts w:ascii="Times New Roman" w:hAnsi="Times New Roman" w:cs="Times New Roman"/>
          <w:lang w:val="ro-MD" w:eastAsia="ru-RU"/>
        </w:rPr>
      </w:pPr>
    </w:p>
    <w:p w14:paraId="1E746338" w14:textId="62A996F0" w:rsidR="00F442C9" w:rsidRPr="000D19A7" w:rsidRDefault="00F442C9" w:rsidP="00946026">
      <w:pPr>
        <w:spacing w:line="276" w:lineRule="auto"/>
        <w:jc w:val="both"/>
        <w:rPr>
          <w:rFonts w:ascii="Times New Roman" w:hAnsi="Times New Roman" w:cs="Times New Roman"/>
          <w:lang w:val="ro-MD" w:eastAsia="ru-RU"/>
        </w:rPr>
      </w:pPr>
    </w:p>
    <w:p w14:paraId="04879D9D" w14:textId="4F4165A2" w:rsidR="007C5272" w:rsidRPr="000D19A7" w:rsidRDefault="007C5272" w:rsidP="00946026">
      <w:pPr>
        <w:spacing w:line="276" w:lineRule="auto"/>
        <w:jc w:val="both"/>
        <w:rPr>
          <w:rFonts w:ascii="Times New Roman" w:hAnsi="Times New Roman" w:cs="Times New Roman"/>
          <w:lang w:val="ro-MD" w:eastAsia="ru-RU"/>
        </w:rPr>
      </w:pPr>
    </w:p>
    <w:p w14:paraId="32EBA2EE" w14:textId="66C107D2" w:rsidR="000C19ED" w:rsidRPr="000D19A7" w:rsidRDefault="00B84F41" w:rsidP="00946026">
      <w:pPr>
        <w:pStyle w:val="1"/>
        <w:numPr>
          <w:ilvl w:val="0"/>
          <w:numId w:val="12"/>
        </w:numPr>
        <w:tabs>
          <w:tab w:val="left" w:pos="284"/>
          <w:tab w:val="left" w:pos="993"/>
        </w:tabs>
        <w:spacing w:line="276" w:lineRule="auto"/>
        <w:ind w:left="0" w:firstLine="0"/>
        <w:jc w:val="both"/>
        <w:rPr>
          <w:rFonts w:ascii="Times New Roman" w:eastAsia="Times New Roman" w:hAnsi="Times New Roman" w:cs="Times New Roman"/>
          <w:lang w:val="ro-MD" w:eastAsia="ru-RU"/>
        </w:rPr>
      </w:pPr>
      <w:bookmarkStart w:id="5" w:name="_Toc47012266"/>
      <w:bookmarkStart w:id="6" w:name="_Toc168321545"/>
      <w:r w:rsidRPr="000D19A7">
        <w:rPr>
          <w:rFonts w:ascii="Times New Roman" w:eastAsia="Times New Roman" w:hAnsi="Times New Roman" w:cs="Times New Roman"/>
          <w:lang w:val="ro-MD" w:eastAsia="ru-RU"/>
        </w:rPr>
        <w:t>SINTE</w:t>
      </w:r>
      <w:bookmarkStart w:id="7" w:name="_Toc47012267"/>
      <w:bookmarkEnd w:id="5"/>
      <w:r w:rsidR="00A820B6" w:rsidRPr="000D19A7">
        <w:rPr>
          <w:rFonts w:ascii="Times New Roman" w:eastAsia="Times New Roman" w:hAnsi="Times New Roman" w:cs="Times New Roman"/>
          <w:lang w:val="ro-MD" w:eastAsia="ru-RU"/>
        </w:rPr>
        <w:t>ZA</w:t>
      </w:r>
      <w:bookmarkEnd w:id="6"/>
    </w:p>
    <w:p w14:paraId="5359A2A5" w14:textId="6B998903" w:rsidR="003B3A61" w:rsidRPr="000D19A7" w:rsidRDefault="009F3544" w:rsidP="0094602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Managementul datoriei de stat, recreditării de stat și garanțiilor de stat constă într-un set de măsuri și activităț</w:t>
      </w:r>
      <w:r w:rsidR="003B56A2" w:rsidRPr="000D19A7">
        <w:rPr>
          <w:rFonts w:ascii="Times New Roman" w:hAnsi="Times New Roman" w:cs="Times New Roman"/>
          <w:lang w:val="ro-MD" w:eastAsia="ru-RU"/>
        </w:rPr>
        <w:t xml:space="preserve">i exercitate și asigurate de MF, </w:t>
      </w:r>
      <w:r w:rsidR="00B37E9E" w:rsidRPr="000D19A7">
        <w:rPr>
          <w:rFonts w:ascii="Times New Roman" w:hAnsi="Times New Roman" w:cs="Times New Roman"/>
          <w:lang w:val="ro-MD" w:eastAsia="ru-RU"/>
        </w:rPr>
        <w:t xml:space="preserve">orientate spre </w:t>
      </w:r>
      <w:r w:rsidR="003B3A61" w:rsidRPr="000D19A7">
        <w:rPr>
          <w:rFonts w:ascii="Times New Roman" w:hAnsi="Times New Roman" w:cs="Times New Roman"/>
          <w:lang w:val="ro-MD" w:eastAsia="ru-RU"/>
        </w:rPr>
        <w:t xml:space="preserve">identificarea, monitorizarea şi gestionarea riscurilor aferente </w:t>
      </w:r>
      <w:r w:rsidR="00B37E9E" w:rsidRPr="000D19A7">
        <w:rPr>
          <w:rFonts w:ascii="Times New Roman" w:hAnsi="Times New Roman" w:cs="Times New Roman"/>
          <w:lang w:val="ro-MD" w:eastAsia="ru-RU"/>
        </w:rPr>
        <w:t xml:space="preserve">portofoliului datoriei de stat, </w:t>
      </w:r>
      <w:r w:rsidR="003B3A61" w:rsidRPr="000D19A7">
        <w:rPr>
          <w:rFonts w:ascii="Times New Roman" w:hAnsi="Times New Roman" w:cs="Times New Roman"/>
          <w:lang w:val="ro-MD" w:eastAsia="ru-RU"/>
        </w:rPr>
        <w:t>menţinerea costurilor datoriei de stat pe termen me</w:t>
      </w:r>
      <w:r w:rsidR="00B37E9E" w:rsidRPr="000D19A7">
        <w:rPr>
          <w:rFonts w:ascii="Times New Roman" w:hAnsi="Times New Roman" w:cs="Times New Roman"/>
          <w:lang w:val="ro-MD" w:eastAsia="ru-RU"/>
        </w:rPr>
        <w:t xml:space="preserve">diu şi lung la nivel acceptabil precum și </w:t>
      </w:r>
      <w:r w:rsidR="003B3A61" w:rsidRPr="000D19A7">
        <w:rPr>
          <w:rFonts w:ascii="Times New Roman" w:hAnsi="Times New Roman" w:cs="Times New Roman"/>
          <w:lang w:val="ro-MD" w:eastAsia="ru-RU"/>
        </w:rPr>
        <w:t xml:space="preserve">dezvoltarea pieţei </w:t>
      </w:r>
      <w:r w:rsidR="00B37E9E" w:rsidRPr="000D19A7">
        <w:rPr>
          <w:rFonts w:ascii="Times New Roman" w:hAnsi="Times New Roman" w:cs="Times New Roman"/>
          <w:lang w:val="ro-MD" w:eastAsia="ru-RU"/>
        </w:rPr>
        <w:t>VMS</w:t>
      </w:r>
      <w:r w:rsidR="003B3A61" w:rsidRPr="000D19A7">
        <w:rPr>
          <w:rFonts w:ascii="Times New Roman" w:hAnsi="Times New Roman" w:cs="Times New Roman"/>
          <w:lang w:val="ro-MD" w:eastAsia="ru-RU"/>
        </w:rPr>
        <w:t>.</w:t>
      </w:r>
    </w:p>
    <w:p w14:paraId="3DBBCAC9" w14:textId="1ECF1F06" w:rsidR="006540E5" w:rsidRPr="000D19A7" w:rsidRDefault="001516E3" w:rsidP="006540E5">
      <w:pPr>
        <w:tabs>
          <w:tab w:val="left" w:pos="0"/>
        </w:tabs>
        <w:spacing w:line="276" w:lineRule="auto"/>
        <w:jc w:val="both"/>
        <w:rPr>
          <w:rFonts w:ascii="Times New Roman" w:hAnsi="Times New Roman" w:cs="Times New Roman"/>
          <w:color w:val="000000"/>
          <w:szCs w:val="24"/>
          <w:lang w:val="ro-MD"/>
        </w:rPr>
      </w:pPr>
      <w:r w:rsidRPr="000D19A7">
        <w:rPr>
          <w:rFonts w:ascii="Times New Roman" w:hAnsi="Times New Roman" w:cs="Times New Roman"/>
          <w:color w:val="000000"/>
          <w:szCs w:val="24"/>
          <w:lang w:val="ro-MD"/>
        </w:rPr>
        <w:t xml:space="preserve">Desfășurarea misiunii de audit a fost condiționată </w:t>
      </w:r>
      <w:r w:rsidR="006540E5" w:rsidRPr="000D19A7">
        <w:rPr>
          <w:rFonts w:ascii="Times New Roman" w:hAnsi="Times New Roman" w:cs="Times New Roman"/>
          <w:color w:val="000000"/>
          <w:szCs w:val="24"/>
          <w:lang w:val="ro-MD"/>
        </w:rPr>
        <w:t xml:space="preserve">de faptul că datoria de stat este parte integrantă a </w:t>
      </w:r>
      <w:r w:rsidR="003B56A2" w:rsidRPr="000D19A7">
        <w:rPr>
          <w:rFonts w:ascii="Times New Roman" w:hAnsi="Times New Roman" w:cs="Times New Roman"/>
          <w:color w:val="000000"/>
          <w:szCs w:val="24"/>
          <w:lang w:val="ro-MD"/>
        </w:rPr>
        <w:t>R</w:t>
      </w:r>
      <w:r w:rsidR="006540E5" w:rsidRPr="000D19A7">
        <w:rPr>
          <w:rFonts w:ascii="Times New Roman" w:hAnsi="Times New Roman" w:cs="Times New Roman"/>
          <w:color w:val="000000"/>
          <w:szCs w:val="24"/>
          <w:lang w:val="ro-MD"/>
        </w:rPr>
        <w:t xml:space="preserve">aportului Guvernului privind executarea bugetului de stat, iar Curtea de Conturi, prin mandatul său, obligator, anual efectuează auditul financiar al </w:t>
      </w:r>
      <w:r w:rsidR="003B56A2" w:rsidRPr="000D19A7">
        <w:rPr>
          <w:rFonts w:ascii="Times New Roman" w:hAnsi="Times New Roman" w:cs="Times New Roman"/>
          <w:color w:val="000000"/>
          <w:szCs w:val="24"/>
          <w:lang w:val="ro-MD"/>
        </w:rPr>
        <w:t>R</w:t>
      </w:r>
      <w:r w:rsidR="006540E5" w:rsidRPr="000D19A7">
        <w:rPr>
          <w:rFonts w:ascii="Times New Roman" w:hAnsi="Times New Roman" w:cs="Times New Roman"/>
          <w:color w:val="000000"/>
          <w:szCs w:val="24"/>
          <w:lang w:val="ro-MD"/>
        </w:rPr>
        <w:t>aportului Guvernului privind executarea bugetului de stat.</w:t>
      </w:r>
    </w:p>
    <w:p w14:paraId="1813D662" w14:textId="0DD8DD8E" w:rsidR="009D4683" w:rsidRPr="000D19A7" w:rsidRDefault="00657CC7" w:rsidP="006540E5">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Astfel, m</w:t>
      </w:r>
      <w:r w:rsidR="00303F1D" w:rsidRPr="000D19A7">
        <w:rPr>
          <w:rFonts w:ascii="Times New Roman" w:hAnsi="Times New Roman" w:cs="Times New Roman"/>
          <w:lang w:val="ro-MD" w:eastAsia="ru-RU"/>
        </w:rPr>
        <w:t xml:space="preserve">isiunea de audit public extern, </w:t>
      </w:r>
      <w:r w:rsidR="00C24190" w:rsidRPr="000D19A7">
        <w:rPr>
          <w:rFonts w:ascii="Times New Roman" w:hAnsi="Times New Roman" w:cs="Times New Roman"/>
          <w:lang w:val="ro-MD" w:eastAsia="ru-RU"/>
        </w:rPr>
        <w:t>desfășurată în temeiul art. 31 și art. 32 din Legea privind organizarea și funcționarea Curții de Conturi a Republicii Moldova nr.260 din 07.12.2017 și în conformitate cu Programul activității de audit a Curții de Conturi pe anul 202</w:t>
      </w:r>
      <w:r w:rsidR="00A17DBC" w:rsidRPr="000D19A7">
        <w:rPr>
          <w:rFonts w:ascii="Times New Roman" w:hAnsi="Times New Roman" w:cs="Times New Roman"/>
          <w:lang w:val="ro-MD" w:eastAsia="ru-RU"/>
        </w:rPr>
        <w:t>4</w:t>
      </w:r>
      <w:r w:rsidR="00EB5648" w:rsidRPr="000D19A7">
        <w:rPr>
          <w:rStyle w:val="a6"/>
          <w:rFonts w:ascii="Times New Roman" w:hAnsi="Times New Roman" w:cs="Times New Roman"/>
          <w:lang w:val="ro-MD" w:eastAsia="ru-RU"/>
        </w:rPr>
        <w:footnoteReference w:id="1"/>
      </w:r>
      <w:r w:rsidR="00B7130E" w:rsidRPr="000D19A7">
        <w:rPr>
          <w:rFonts w:ascii="Times New Roman" w:hAnsi="Times New Roman" w:cs="Times New Roman"/>
          <w:lang w:val="ro-MD" w:eastAsia="ru-RU"/>
        </w:rPr>
        <w:t xml:space="preserve">, </w:t>
      </w:r>
      <w:r w:rsidR="00303F1D" w:rsidRPr="000D19A7">
        <w:rPr>
          <w:rFonts w:ascii="Times New Roman" w:hAnsi="Times New Roman" w:cs="Times New Roman"/>
          <w:lang w:val="ro-MD" w:eastAsia="ru-RU"/>
        </w:rPr>
        <w:t xml:space="preserve">a </w:t>
      </w:r>
      <w:r w:rsidR="00B7130E" w:rsidRPr="000D19A7">
        <w:rPr>
          <w:rFonts w:ascii="Times New Roman" w:hAnsi="Times New Roman" w:cs="Times New Roman"/>
          <w:lang w:val="ro-MD" w:eastAsia="ru-RU"/>
        </w:rPr>
        <w:t>av</w:t>
      </w:r>
      <w:r w:rsidR="00303F1D" w:rsidRPr="000D19A7">
        <w:rPr>
          <w:rFonts w:ascii="Times New Roman" w:hAnsi="Times New Roman" w:cs="Times New Roman"/>
          <w:lang w:val="ro-MD" w:eastAsia="ru-RU"/>
        </w:rPr>
        <w:t>ut</w:t>
      </w:r>
      <w:r w:rsidR="00C24190" w:rsidRPr="000D19A7">
        <w:rPr>
          <w:rFonts w:ascii="Times New Roman" w:hAnsi="Times New Roman" w:cs="Times New Roman"/>
          <w:lang w:val="ro-MD" w:eastAsia="ru-RU"/>
        </w:rPr>
        <w:t xml:space="preserve"> drept scop evaluarea conformității managementului datoriei de stat, garanțiilor de stat și recreditării de stat în anul 202</w:t>
      </w:r>
      <w:r w:rsidR="00A17DBC" w:rsidRPr="000D19A7">
        <w:rPr>
          <w:rFonts w:ascii="Times New Roman" w:hAnsi="Times New Roman" w:cs="Times New Roman"/>
          <w:lang w:val="ro-MD" w:eastAsia="ru-RU"/>
        </w:rPr>
        <w:t>3</w:t>
      </w:r>
      <w:r w:rsidR="00C24190" w:rsidRPr="000D19A7">
        <w:rPr>
          <w:rFonts w:ascii="Times New Roman" w:hAnsi="Times New Roman" w:cs="Times New Roman"/>
          <w:lang w:val="ro-MD" w:eastAsia="ru-RU"/>
        </w:rPr>
        <w:t xml:space="preserve">, în raport cu prevederile cadrului normativ aplicabil. </w:t>
      </w:r>
      <w:r w:rsidR="003A350A" w:rsidRPr="000D19A7">
        <w:rPr>
          <w:rFonts w:ascii="Times New Roman" w:hAnsi="Times New Roman" w:cs="Times New Roman"/>
          <w:lang w:val="ro-MD" w:eastAsia="ru-RU"/>
        </w:rPr>
        <w:t xml:space="preserve">Misiunea de audit s-a desfășurat la Ministerul Finanțelor și este o misiune de raportare directă cu un nivel de asigurare limitată. </w:t>
      </w:r>
    </w:p>
    <w:p w14:paraId="7F569402" w14:textId="19F3D358" w:rsidR="008B1922" w:rsidRPr="000D19A7" w:rsidRDefault="0093724B" w:rsidP="0094602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Potrivit datelor raportate de MF, la situația din 31.12.2023, datoria sectorului public constituie  107 931,3 mil. lei, </w:t>
      </w:r>
      <w:r w:rsidR="008B1922" w:rsidRPr="000D19A7">
        <w:rPr>
          <w:rFonts w:ascii="Times New Roman" w:hAnsi="Times New Roman" w:cs="Times New Roman"/>
          <w:lang w:val="ro-MD" w:eastAsia="ru-RU"/>
        </w:rPr>
        <w:t xml:space="preserve">din care: </w:t>
      </w:r>
      <w:r w:rsidR="00252192" w:rsidRPr="000D19A7">
        <w:rPr>
          <w:rFonts w:ascii="Times New Roman" w:hAnsi="Times New Roman" w:cs="Times New Roman"/>
          <w:lang w:val="ro-MD" w:eastAsia="ru-RU"/>
        </w:rPr>
        <w:t>104 003,1 mil. lei (96,3</w:t>
      </w:r>
      <w:r w:rsidR="0076484D" w:rsidRPr="000D19A7">
        <w:rPr>
          <w:rFonts w:ascii="Times New Roman" w:hAnsi="Times New Roman" w:cs="Times New Roman"/>
          <w:lang w:val="ro-MD" w:eastAsia="ru-RU"/>
        </w:rPr>
        <w:t>6</w:t>
      </w:r>
      <w:r w:rsidR="00252192" w:rsidRPr="000D19A7">
        <w:rPr>
          <w:rFonts w:ascii="Times New Roman" w:hAnsi="Times New Roman" w:cs="Times New Roman"/>
          <w:lang w:val="ro-MD" w:eastAsia="ru-RU"/>
        </w:rPr>
        <w:t xml:space="preserve">%) reprezintă datoria de stat, </w:t>
      </w:r>
      <w:r w:rsidR="0023145F" w:rsidRPr="000D19A7">
        <w:rPr>
          <w:rFonts w:ascii="Times New Roman" w:hAnsi="Times New Roman" w:cs="Times New Roman"/>
          <w:lang w:val="ro-MD" w:eastAsia="ru-RU"/>
        </w:rPr>
        <w:t>fiind menținută în limitele plafoanelor apro</w:t>
      </w:r>
      <w:r w:rsidR="008B1922" w:rsidRPr="000D19A7">
        <w:rPr>
          <w:rFonts w:ascii="Times New Roman" w:hAnsi="Times New Roman" w:cs="Times New Roman"/>
          <w:lang w:val="ro-MD" w:eastAsia="ru-RU"/>
        </w:rPr>
        <w:t xml:space="preserve">bate prin Legea bugetară anuală, </w:t>
      </w:r>
      <w:r w:rsidR="0023145F" w:rsidRPr="000D19A7">
        <w:rPr>
          <w:rFonts w:ascii="Times New Roman" w:hAnsi="Times New Roman" w:cs="Times New Roman"/>
          <w:lang w:val="ro-MD" w:eastAsia="ru-RU"/>
        </w:rPr>
        <w:t xml:space="preserve"> </w:t>
      </w:r>
      <w:r w:rsidR="008B1922" w:rsidRPr="000D19A7">
        <w:rPr>
          <w:rFonts w:ascii="Times New Roman" w:hAnsi="Times New Roman" w:cs="Times New Roman"/>
          <w:lang w:val="ro-MD" w:eastAsia="ru-RU"/>
        </w:rPr>
        <w:t>1 038,4  mil. lei (</w:t>
      </w:r>
      <w:r w:rsidR="0076484D" w:rsidRPr="000D19A7">
        <w:rPr>
          <w:rFonts w:ascii="Times New Roman" w:hAnsi="Times New Roman" w:cs="Times New Roman"/>
          <w:lang w:val="ro-MD" w:eastAsia="ru-RU"/>
        </w:rPr>
        <w:t>0,96</w:t>
      </w:r>
      <w:r w:rsidR="008B1922" w:rsidRPr="000D19A7">
        <w:rPr>
          <w:rFonts w:ascii="Times New Roman" w:hAnsi="Times New Roman" w:cs="Times New Roman"/>
          <w:lang w:val="ro-MD" w:eastAsia="ru-RU"/>
        </w:rPr>
        <w:t xml:space="preserve">%) constituie datoria BNM și 2 889,8 mil. lei (2,68%) – datoria UAT. </w:t>
      </w:r>
    </w:p>
    <w:p w14:paraId="4F987217" w14:textId="3BA335E0" w:rsidR="0093724B" w:rsidRPr="000D19A7" w:rsidRDefault="0023145F" w:rsidP="0094602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Datoria sectorului public a înregistrat în anul 2023 un nivel sustenabil </w:t>
      </w:r>
      <w:r w:rsidR="0093724B" w:rsidRPr="000D19A7">
        <w:rPr>
          <w:rFonts w:ascii="Times New Roman" w:hAnsi="Times New Roman" w:cs="Times New Roman"/>
          <w:lang w:val="ro-MD" w:eastAsia="ru-RU"/>
        </w:rPr>
        <w:t>de 35,9% din PIB-ul prognozat pentru anul 2023</w:t>
      </w:r>
      <w:r w:rsidR="0093724B" w:rsidRPr="000D19A7">
        <w:rPr>
          <w:rStyle w:val="a6"/>
          <w:rFonts w:ascii="Times New Roman" w:hAnsi="Times New Roman" w:cs="Times New Roman"/>
          <w:lang w:val="ro-MD" w:eastAsia="ru-RU"/>
        </w:rPr>
        <w:footnoteReference w:id="2"/>
      </w:r>
      <w:r w:rsidR="00252192" w:rsidRPr="000D19A7">
        <w:rPr>
          <w:rFonts w:ascii="Times New Roman" w:hAnsi="Times New Roman" w:cs="Times New Roman"/>
          <w:lang w:val="ro-MD" w:eastAsia="ru-RU"/>
        </w:rPr>
        <w:t xml:space="preserve">, </w:t>
      </w:r>
      <w:r w:rsidR="00F129CC" w:rsidRPr="000D19A7">
        <w:rPr>
          <w:rFonts w:ascii="Times New Roman" w:hAnsi="Times New Roman" w:cs="Times New Roman"/>
          <w:lang w:val="ro-MD" w:eastAsia="ru-RU"/>
        </w:rPr>
        <w:t xml:space="preserve">fiind la </w:t>
      </w:r>
      <w:r w:rsidR="005B7C87" w:rsidRPr="000D19A7">
        <w:rPr>
          <w:rFonts w:ascii="Times New Roman" w:hAnsi="Times New Roman" w:cs="Times New Roman"/>
          <w:lang w:val="ro-MD" w:eastAsia="ru-RU"/>
        </w:rPr>
        <w:t xml:space="preserve">același nivel </w:t>
      </w:r>
      <w:r w:rsidR="00F129CC" w:rsidRPr="000D19A7">
        <w:rPr>
          <w:rFonts w:ascii="Times New Roman" w:hAnsi="Times New Roman" w:cs="Times New Roman"/>
          <w:lang w:val="ro-MD" w:eastAsia="ru-RU"/>
        </w:rPr>
        <w:t>înregistrat la</w:t>
      </w:r>
      <w:r w:rsidR="005B7C87" w:rsidRPr="000D19A7">
        <w:rPr>
          <w:rFonts w:ascii="Times New Roman" w:hAnsi="Times New Roman" w:cs="Times New Roman"/>
          <w:lang w:val="ro-MD" w:eastAsia="ru-RU"/>
        </w:rPr>
        <w:t xml:space="preserve"> finele anului 2022,</w:t>
      </w:r>
      <w:r w:rsidR="00F129CC" w:rsidRPr="000D19A7">
        <w:rPr>
          <w:rFonts w:ascii="Times New Roman" w:hAnsi="Times New Roman" w:cs="Times New Roman"/>
          <w:lang w:val="ro-MD" w:eastAsia="ru-RU"/>
        </w:rPr>
        <w:t xml:space="preserve"> totodată</w:t>
      </w:r>
      <w:r w:rsidR="005B7C87" w:rsidRPr="000D19A7">
        <w:rPr>
          <w:rFonts w:ascii="Times New Roman" w:hAnsi="Times New Roman" w:cs="Times New Roman"/>
          <w:lang w:val="ro-MD" w:eastAsia="ru-RU"/>
        </w:rPr>
        <w:t xml:space="preserve"> </w:t>
      </w:r>
      <w:r w:rsidRPr="000D19A7">
        <w:rPr>
          <w:rFonts w:ascii="Times New Roman" w:hAnsi="Times New Roman" w:cs="Times New Roman"/>
          <w:lang w:val="ro-MD" w:eastAsia="ru-RU"/>
        </w:rPr>
        <w:t xml:space="preserve">fiind sub </w:t>
      </w:r>
      <w:r w:rsidR="00CE0DA6" w:rsidRPr="000D19A7">
        <w:rPr>
          <w:rFonts w:ascii="Times New Roman" w:hAnsi="Times New Roman" w:cs="Times New Roman"/>
          <w:lang w:val="ro-MD" w:eastAsia="ru-RU"/>
        </w:rPr>
        <w:t>plafonul de 60% stabilit prin Tratatul de la Maastricht.</w:t>
      </w:r>
    </w:p>
    <w:p w14:paraId="0DE3252C" w14:textId="73288F4D" w:rsidR="00F37A77" w:rsidRPr="000D19A7" w:rsidRDefault="009F3544" w:rsidP="007C599F">
      <w:pPr>
        <w:spacing w:after="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Î</w:t>
      </w:r>
      <w:r w:rsidR="00E90CF1" w:rsidRPr="000D19A7">
        <w:rPr>
          <w:rFonts w:ascii="Times New Roman" w:hAnsi="Times New Roman" w:cs="Times New Roman"/>
          <w:lang w:val="ro-MD" w:eastAsia="ru-RU"/>
        </w:rPr>
        <w:t>n baza</w:t>
      </w:r>
      <w:r w:rsidR="009D4683" w:rsidRPr="000D19A7">
        <w:rPr>
          <w:rFonts w:ascii="Times New Roman" w:hAnsi="Times New Roman" w:cs="Times New Roman"/>
          <w:lang w:val="ro-MD" w:eastAsia="ru-RU"/>
        </w:rPr>
        <w:t xml:space="preserve"> activităților de audit </w:t>
      </w:r>
      <w:r w:rsidR="00E90CF1" w:rsidRPr="000D19A7">
        <w:rPr>
          <w:rFonts w:ascii="Times New Roman" w:hAnsi="Times New Roman" w:cs="Times New Roman"/>
          <w:lang w:val="ro-MD" w:eastAsia="ru-RU"/>
        </w:rPr>
        <w:t>desfășurate</w:t>
      </w:r>
      <w:r w:rsidR="009D4683" w:rsidRPr="000D19A7">
        <w:rPr>
          <w:rFonts w:ascii="Times New Roman" w:hAnsi="Times New Roman" w:cs="Times New Roman"/>
          <w:lang w:val="ro-MD" w:eastAsia="ru-RU"/>
        </w:rPr>
        <w:t>, auditul concluzionează că managementul datoriei de stat, garanțiilor de stat și recreditări</w:t>
      </w:r>
      <w:r w:rsidR="007464C4" w:rsidRPr="000D19A7">
        <w:rPr>
          <w:rFonts w:ascii="Times New Roman" w:hAnsi="Times New Roman" w:cs="Times New Roman"/>
          <w:lang w:val="ro-MD" w:eastAsia="ru-RU"/>
        </w:rPr>
        <w:t xml:space="preserve">i de stat este în conformitate </w:t>
      </w:r>
      <w:r w:rsidR="009D4683" w:rsidRPr="000D19A7">
        <w:rPr>
          <w:rFonts w:ascii="Times New Roman" w:hAnsi="Times New Roman" w:cs="Times New Roman"/>
          <w:lang w:val="ro-MD" w:eastAsia="ru-RU"/>
        </w:rPr>
        <w:t>cu criteriile aplicate în anul de gestiune 202</w:t>
      </w:r>
      <w:r w:rsidR="003B56A2" w:rsidRPr="000D19A7">
        <w:rPr>
          <w:rFonts w:ascii="Times New Roman" w:hAnsi="Times New Roman" w:cs="Times New Roman"/>
          <w:lang w:val="ro-MD" w:eastAsia="ru-RU"/>
        </w:rPr>
        <w:t xml:space="preserve">3, exceptând unele problematici, </w:t>
      </w:r>
      <w:r w:rsidR="009D4683" w:rsidRPr="000D19A7">
        <w:rPr>
          <w:rFonts w:ascii="Times New Roman" w:hAnsi="Times New Roman" w:cs="Times New Roman"/>
          <w:lang w:val="ro-MD" w:eastAsia="ru-RU"/>
        </w:rPr>
        <w:t>care se exprimă prin:</w:t>
      </w:r>
    </w:p>
    <w:p w14:paraId="54516413" w14:textId="26CD0381" w:rsidR="008525CE" w:rsidRPr="000D19A7" w:rsidRDefault="009F3544" w:rsidP="007C599F">
      <w:pPr>
        <w:pStyle w:val="a7"/>
        <w:numPr>
          <w:ilvl w:val="0"/>
          <w:numId w:val="45"/>
        </w:numPr>
        <w:spacing w:after="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tergiversarea </w:t>
      </w:r>
      <w:r w:rsidR="008525CE" w:rsidRPr="000D19A7">
        <w:rPr>
          <w:rFonts w:ascii="Times New Roman" w:hAnsi="Times New Roman" w:cs="Times New Roman"/>
          <w:lang w:val="ro-MD" w:eastAsia="ru-RU"/>
        </w:rPr>
        <w:t>implement</w:t>
      </w:r>
      <w:r w:rsidRPr="000D19A7">
        <w:rPr>
          <w:rFonts w:ascii="Times New Roman" w:hAnsi="Times New Roman" w:cs="Times New Roman"/>
          <w:lang w:val="ro-MD" w:eastAsia="ru-RU"/>
        </w:rPr>
        <w:t>ării</w:t>
      </w:r>
      <w:r w:rsidR="008525CE" w:rsidRPr="000D19A7">
        <w:rPr>
          <w:rFonts w:ascii="Times New Roman" w:hAnsi="Times New Roman" w:cs="Times New Roman"/>
          <w:lang w:val="ro-MD" w:eastAsia="ru-RU"/>
        </w:rPr>
        <w:t xml:space="preserve"> Conceptului și platformei aferente Programului de vânzare directă a VMS persoanelor fizice în RM,</w:t>
      </w:r>
      <w:r w:rsidR="00AA63A2" w:rsidRPr="000D19A7">
        <w:rPr>
          <w:rFonts w:ascii="Times New Roman" w:hAnsi="Times New Roman" w:cs="Times New Roman"/>
          <w:lang w:val="ro-MD" w:eastAsia="ru-RU"/>
        </w:rPr>
        <w:t xml:space="preserve"> în principal cauzată </w:t>
      </w:r>
      <w:r w:rsidRPr="000D19A7">
        <w:rPr>
          <w:rFonts w:ascii="Times New Roman" w:hAnsi="Times New Roman" w:cs="Times New Roman"/>
          <w:lang w:val="ro-MD" w:eastAsia="ru-RU"/>
        </w:rPr>
        <w:t xml:space="preserve">de </w:t>
      </w:r>
      <w:r w:rsidR="008525CE" w:rsidRPr="000D19A7">
        <w:rPr>
          <w:rFonts w:ascii="Times New Roman" w:hAnsi="Times New Roman" w:cs="Times New Roman"/>
          <w:lang w:val="ro-MD" w:eastAsia="ru-RU"/>
        </w:rPr>
        <w:t xml:space="preserve">factori care nu </w:t>
      </w:r>
      <w:r w:rsidR="00AA63A2" w:rsidRPr="000D19A7">
        <w:rPr>
          <w:rFonts w:ascii="Times New Roman" w:hAnsi="Times New Roman" w:cs="Times New Roman"/>
          <w:lang w:val="ro-MD" w:eastAsia="ru-RU"/>
        </w:rPr>
        <w:t xml:space="preserve">au </w:t>
      </w:r>
      <w:r w:rsidR="008525CE" w:rsidRPr="000D19A7">
        <w:rPr>
          <w:rFonts w:ascii="Times New Roman" w:hAnsi="Times New Roman" w:cs="Times New Roman"/>
          <w:lang w:val="ro-MD" w:eastAsia="ru-RU"/>
        </w:rPr>
        <w:t>depin</w:t>
      </w:r>
      <w:r w:rsidR="00AA63A2" w:rsidRPr="000D19A7">
        <w:rPr>
          <w:rFonts w:ascii="Times New Roman" w:hAnsi="Times New Roman" w:cs="Times New Roman"/>
          <w:lang w:val="ro-MD" w:eastAsia="ru-RU"/>
        </w:rPr>
        <w:t>s</w:t>
      </w:r>
      <w:r w:rsidR="008525CE" w:rsidRPr="000D19A7">
        <w:rPr>
          <w:rFonts w:ascii="Times New Roman" w:hAnsi="Times New Roman" w:cs="Times New Roman"/>
          <w:lang w:val="ro-MD" w:eastAsia="ru-RU"/>
        </w:rPr>
        <w:t xml:space="preserve"> nemijlocit de MF (pct. 4.1.1</w:t>
      </w:r>
      <w:r w:rsidR="003B56A2" w:rsidRPr="000D19A7">
        <w:rPr>
          <w:rFonts w:ascii="Times New Roman" w:hAnsi="Times New Roman" w:cs="Times New Roman"/>
          <w:lang w:val="ro-MD" w:eastAsia="ru-RU"/>
        </w:rPr>
        <w:t>.</w:t>
      </w:r>
      <w:r w:rsidR="008525CE" w:rsidRPr="000D19A7">
        <w:rPr>
          <w:rFonts w:ascii="Times New Roman" w:hAnsi="Times New Roman" w:cs="Times New Roman"/>
          <w:lang w:val="ro-MD" w:eastAsia="ru-RU"/>
        </w:rPr>
        <w:t>);</w:t>
      </w:r>
    </w:p>
    <w:p w14:paraId="51790744" w14:textId="5BAD258F" w:rsidR="008525CE" w:rsidRPr="000D19A7" w:rsidRDefault="009F3544" w:rsidP="008525CE">
      <w:pPr>
        <w:pStyle w:val="a7"/>
        <w:numPr>
          <w:ilvl w:val="0"/>
          <w:numId w:val="45"/>
        </w:num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menținerea</w:t>
      </w:r>
      <w:r w:rsidR="008525CE" w:rsidRPr="000D19A7">
        <w:rPr>
          <w:rFonts w:ascii="Times New Roman" w:hAnsi="Times New Roman" w:cs="Times New Roman"/>
          <w:lang w:val="ro-MD" w:eastAsia="ru-RU"/>
        </w:rPr>
        <w:t xml:space="preserve"> </w:t>
      </w:r>
      <w:r w:rsidRPr="000D19A7">
        <w:rPr>
          <w:rFonts w:ascii="Times New Roman" w:hAnsi="Times New Roman" w:cs="Times New Roman"/>
          <w:lang w:val="ro-MD" w:eastAsia="ru-RU"/>
        </w:rPr>
        <w:t>unui sold</w:t>
      </w:r>
      <w:r w:rsidR="008525CE" w:rsidRPr="000D19A7">
        <w:rPr>
          <w:rFonts w:ascii="Times New Roman" w:hAnsi="Times New Roman" w:cs="Times New Roman"/>
          <w:lang w:val="ro-MD" w:eastAsia="ru-RU"/>
        </w:rPr>
        <w:t xml:space="preserve"> </w:t>
      </w:r>
      <w:r w:rsidR="000D1145" w:rsidRPr="000D19A7">
        <w:rPr>
          <w:rFonts w:ascii="Times New Roman" w:hAnsi="Times New Roman" w:cs="Times New Roman"/>
          <w:lang w:val="ro-MD" w:eastAsia="ru-RU"/>
        </w:rPr>
        <w:t xml:space="preserve">semnificativ de </w:t>
      </w:r>
      <w:r w:rsidR="000D1145" w:rsidRPr="000D19A7">
        <w:rPr>
          <w:rFonts w:ascii="Times New Roman" w:hAnsi="Times New Roman" w:cs="Times New Roman"/>
          <w:lang w:val="ro-MD" w:eastAsia="ru-RU"/>
        </w:rPr>
        <w:softHyphen/>
      </w:r>
      <w:r w:rsidR="000D1145" w:rsidRPr="000D19A7">
        <w:rPr>
          <w:rFonts w:ascii="Times New Roman" w:hAnsi="Times New Roman" w:cs="Times New Roman"/>
          <w:lang w:val="ro-MD" w:eastAsia="ru-RU"/>
        </w:rPr>
        <w:softHyphen/>
      </w:r>
      <w:r w:rsidR="000D1145" w:rsidRPr="000D19A7">
        <w:rPr>
          <w:rFonts w:ascii="Times New Roman" w:hAnsi="Times New Roman" w:cs="Times New Roman"/>
          <w:lang w:val="ro-MD" w:eastAsia="ru-RU"/>
        </w:rPr>
        <w:softHyphen/>
      </w:r>
      <w:r w:rsidR="005A7193" w:rsidRPr="000D19A7">
        <w:rPr>
          <w:rFonts w:ascii="Times New Roman" w:hAnsi="Times New Roman" w:cs="Times New Roman"/>
          <w:lang w:val="ro-MD" w:eastAsia="ru-RU"/>
        </w:rPr>
        <w:t>11 640,4 mil. lei,</w:t>
      </w:r>
      <w:r w:rsidRPr="000D19A7">
        <w:rPr>
          <w:rFonts w:ascii="Times New Roman" w:hAnsi="Times New Roman" w:cs="Times New Roman"/>
          <w:lang w:val="ro-MD" w:eastAsia="ru-RU"/>
        </w:rPr>
        <w:t xml:space="preserve"> al </w:t>
      </w:r>
      <w:r w:rsidR="008525CE" w:rsidRPr="000D19A7">
        <w:rPr>
          <w:rFonts w:ascii="Times New Roman" w:hAnsi="Times New Roman" w:cs="Times New Roman"/>
          <w:lang w:val="ro-MD" w:eastAsia="ru-RU"/>
        </w:rPr>
        <w:t>datoriei băncilor supuse lichidării față de MF, persistând riscul de nerecuperare a acestor</w:t>
      </w:r>
      <w:r w:rsidR="000D1145" w:rsidRPr="000D19A7">
        <w:rPr>
          <w:rFonts w:ascii="Times New Roman" w:hAnsi="Times New Roman" w:cs="Times New Roman"/>
          <w:lang w:val="ro-MD" w:eastAsia="ru-RU"/>
        </w:rPr>
        <w:t>a, din</w:t>
      </w:r>
      <w:r w:rsidR="008525CE" w:rsidRPr="000D19A7">
        <w:rPr>
          <w:rFonts w:ascii="Times New Roman" w:hAnsi="Times New Roman" w:cs="Times New Roman"/>
          <w:lang w:val="ro-MD" w:eastAsia="ru-RU"/>
        </w:rPr>
        <w:t xml:space="preserve"> imposibilit</w:t>
      </w:r>
      <w:r w:rsidR="000D1145" w:rsidRPr="000D19A7">
        <w:rPr>
          <w:rFonts w:ascii="Times New Roman" w:hAnsi="Times New Roman" w:cs="Times New Roman"/>
          <w:lang w:val="ro-MD" w:eastAsia="ru-RU"/>
        </w:rPr>
        <w:t>atea</w:t>
      </w:r>
      <w:r w:rsidR="008525CE" w:rsidRPr="000D19A7">
        <w:rPr>
          <w:rFonts w:ascii="Times New Roman" w:hAnsi="Times New Roman" w:cs="Times New Roman"/>
          <w:lang w:val="ro-MD" w:eastAsia="ru-RU"/>
        </w:rPr>
        <w:t xml:space="preserve"> realizării de către bănci a activelor deținute</w:t>
      </w:r>
      <w:r w:rsidR="00EE0146" w:rsidRPr="000D19A7">
        <w:rPr>
          <w:rFonts w:ascii="Times New Roman" w:hAnsi="Times New Roman" w:cs="Times New Roman"/>
          <w:lang w:val="ro-MD" w:eastAsia="ru-RU"/>
        </w:rPr>
        <w:t xml:space="preserve">, pe parcursul anului 2023, băncile supuse lichidării restituind doar 102,5 mil. lei </w:t>
      </w:r>
      <w:r w:rsidR="008525CE" w:rsidRPr="000D19A7">
        <w:rPr>
          <w:rFonts w:ascii="Times New Roman" w:hAnsi="Times New Roman" w:cs="Times New Roman"/>
          <w:lang w:val="ro-MD" w:eastAsia="ru-RU"/>
        </w:rPr>
        <w:t>(pct. 4.1.3</w:t>
      </w:r>
      <w:r w:rsidR="003B56A2" w:rsidRPr="000D19A7">
        <w:rPr>
          <w:rFonts w:ascii="Times New Roman" w:hAnsi="Times New Roman" w:cs="Times New Roman"/>
          <w:lang w:val="ro-MD" w:eastAsia="ru-RU"/>
        </w:rPr>
        <w:t>.</w:t>
      </w:r>
      <w:r w:rsidRPr="000D19A7">
        <w:rPr>
          <w:rFonts w:ascii="Times New Roman" w:hAnsi="Times New Roman" w:cs="Times New Roman"/>
          <w:lang w:val="ro-MD" w:eastAsia="ru-RU"/>
        </w:rPr>
        <w:t>)</w:t>
      </w:r>
      <w:r w:rsidR="008525CE" w:rsidRPr="000D19A7">
        <w:rPr>
          <w:rFonts w:ascii="Times New Roman" w:hAnsi="Times New Roman" w:cs="Times New Roman"/>
          <w:lang w:val="ro-MD" w:eastAsia="ru-RU"/>
        </w:rPr>
        <w:t>;</w:t>
      </w:r>
    </w:p>
    <w:p w14:paraId="2B1897CB" w14:textId="25590DC7" w:rsidR="008525CE" w:rsidRPr="000D19A7" w:rsidRDefault="000D1145" w:rsidP="008525CE">
      <w:pPr>
        <w:pStyle w:val="a7"/>
        <w:numPr>
          <w:ilvl w:val="0"/>
          <w:numId w:val="45"/>
        </w:num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înregistrarea unui </w:t>
      </w:r>
      <w:r w:rsidR="008525CE" w:rsidRPr="000D19A7">
        <w:rPr>
          <w:rFonts w:ascii="Times New Roman" w:hAnsi="Times New Roman" w:cs="Times New Roman"/>
          <w:lang w:val="ro-MD" w:eastAsia="ru-RU"/>
        </w:rPr>
        <w:t xml:space="preserve">nivel </w:t>
      </w:r>
      <w:r w:rsidRPr="000D19A7">
        <w:rPr>
          <w:rFonts w:ascii="Times New Roman" w:hAnsi="Times New Roman" w:cs="Times New Roman"/>
          <w:lang w:val="ro-MD" w:eastAsia="ru-RU"/>
        </w:rPr>
        <w:t xml:space="preserve">scăzut </w:t>
      </w:r>
      <w:r w:rsidR="008525CE" w:rsidRPr="000D19A7">
        <w:rPr>
          <w:rFonts w:ascii="Times New Roman" w:hAnsi="Times New Roman" w:cs="Times New Roman"/>
          <w:lang w:val="ro-MD" w:eastAsia="ru-RU"/>
        </w:rPr>
        <w:t xml:space="preserve">de </w:t>
      </w:r>
      <w:r w:rsidR="00115ADF" w:rsidRPr="000D19A7">
        <w:rPr>
          <w:rFonts w:ascii="Times New Roman" w:hAnsi="Times New Roman" w:cs="Times New Roman"/>
          <w:lang w:val="ro-MD" w:eastAsia="ru-RU"/>
        </w:rPr>
        <w:t>absorbție a</w:t>
      </w:r>
      <w:r w:rsidRPr="000D19A7">
        <w:rPr>
          <w:rFonts w:ascii="Times New Roman" w:hAnsi="Times New Roman" w:cs="Times New Roman"/>
          <w:lang w:val="ro-MD" w:eastAsia="ru-RU"/>
        </w:rPr>
        <w:t>l</w:t>
      </w:r>
      <w:r w:rsidR="00115ADF" w:rsidRPr="000D19A7">
        <w:rPr>
          <w:rFonts w:ascii="Times New Roman" w:hAnsi="Times New Roman" w:cs="Times New Roman"/>
          <w:lang w:val="ro-MD" w:eastAsia="ru-RU"/>
        </w:rPr>
        <w:t xml:space="preserve"> mijloacelor financiare aferente </w:t>
      </w:r>
      <w:r w:rsidR="003F123A" w:rsidRPr="000D19A7">
        <w:rPr>
          <w:rFonts w:ascii="Times New Roman" w:hAnsi="Times New Roman" w:cs="Times New Roman"/>
          <w:lang w:val="ro-MD" w:eastAsia="ru-RU"/>
        </w:rPr>
        <w:t>proiectelor investiționale</w:t>
      </w:r>
      <w:r w:rsidR="008525CE" w:rsidRPr="000D19A7">
        <w:rPr>
          <w:rFonts w:ascii="Times New Roman" w:hAnsi="Times New Roman" w:cs="Times New Roman"/>
          <w:lang w:val="ro-MD" w:eastAsia="ru-RU"/>
        </w:rPr>
        <w:t>, în unele cazuri fiind necesar</w:t>
      </w:r>
      <w:r w:rsidR="00115ADF" w:rsidRPr="000D19A7">
        <w:rPr>
          <w:rFonts w:ascii="Times New Roman" w:hAnsi="Times New Roman" w:cs="Times New Roman"/>
          <w:lang w:val="ro-MD" w:eastAsia="ru-RU"/>
        </w:rPr>
        <w:t>ă</w:t>
      </w:r>
      <w:r w:rsidR="008525CE" w:rsidRPr="000D19A7">
        <w:rPr>
          <w:rFonts w:ascii="Times New Roman" w:hAnsi="Times New Roman" w:cs="Times New Roman"/>
          <w:lang w:val="ro-MD" w:eastAsia="ru-RU"/>
        </w:rPr>
        <w:t xml:space="preserve"> revizuirea și actualizarea acestora, </w:t>
      </w:r>
      <w:r w:rsidR="00115ADF" w:rsidRPr="000D19A7">
        <w:rPr>
          <w:rFonts w:ascii="Times New Roman" w:hAnsi="Times New Roman" w:cs="Times New Roman"/>
          <w:lang w:val="ro-MD" w:eastAsia="ru-RU"/>
        </w:rPr>
        <w:t xml:space="preserve">ceea ce nemijlocit atrage </w:t>
      </w:r>
      <w:r w:rsidR="008525CE" w:rsidRPr="000D19A7">
        <w:rPr>
          <w:rFonts w:ascii="Times New Roman" w:hAnsi="Times New Roman" w:cs="Times New Roman"/>
          <w:lang w:val="ro-MD" w:eastAsia="ru-RU"/>
        </w:rPr>
        <w:t>suporta</w:t>
      </w:r>
      <w:r w:rsidR="00115ADF" w:rsidRPr="000D19A7">
        <w:rPr>
          <w:rFonts w:ascii="Times New Roman" w:hAnsi="Times New Roman" w:cs="Times New Roman"/>
          <w:lang w:val="ro-MD" w:eastAsia="ru-RU"/>
        </w:rPr>
        <w:t>rea</w:t>
      </w:r>
      <w:r w:rsidR="008525CE" w:rsidRPr="000D19A7">
        <w:rPr>
          <w:rFonts w:ascii="Times New Roman" w:hAnsi="Times New Roman" w:cs="Times New Roman"/>
          <w:lang w:val="ro-MD" w:eastAsia="ru-RU"/>
        </w:rPr>
        <w:t xml:space="preserve"> cheltuieli</w:t>
      </w:r>
      <w:r w:rsidR="00115ADF" w:rsidRPr="000D19A7">
        <w:rPr>
          <w:rFonts w:ascii="Times New Roman" w:hAnsi="Times New Roman" w:cs="Times New Roman"/>
          <w:lang w:val="ro-MD" w:eastAsia="ru-RU"/>
        </w:rPr>
        <w:t>lor</w:t>
      </w:r>
      <w:r w:rsidR="008525CE" w:rsidRPr="000D19A7">
        <w:rPr>
          <w:rFonts w:ascii="Times New Roman" w:hAnsi="Times New Roman" w:cs="Times New Roman"/>
          <w:lang w:val="ro-MD" w:eastAsia="ru-RU"/>
        </w:rPr>
        <w:t xml:space="preserve"> suplimentare d</w:t>
      </w:r>
      <w:r w:rsidR="003B56A2" w:rsidRPr="000D19A7">
        <w:rPr>
          <w:rFonts w:ascii="Times New Roman" w:hAnsi="Times New Roman" w:cs="Times New Roman"/>
          <w:lang w:val="ro-MD" w:eastAsia="ru-RU"/>
        </w:rPr>
        <w:t xml:space="preserve">in </w:t>
      </w:r>
      <w:r w:rsidR="008525CE" w:rsidRPr="000D19A7">
        <w:rPr>
          <w:rFonts w:ascii="Times New Roman" w:hAnsi="Times New Roman" w:cs="Times New Roman"/>
          <w:lang w:val="ro-MD" w:eastAsia="ru-RU"/>
        </w:rPr>
        <w:t>bugetul de stat (pct. 4.1.4</w:t>
      </w:r>
      <w:r w:rsidR="003B56A2" w:rsidRPr="000D19A7">
        <w:rPr>
          <w:rFonts w:ascii="Times New Roman" w:hAnsi="Times New Roman" w:cs="Times New Roman"/>
          <w:lang w:val="ro-MD" w:eastAsia="ru-RU"/>
        </w:rPr>
        <w:t>.</w:t>
      </w:r>
      <w:r w:rsidR="008525CE" w:rsidRPr="000D19A7">
        <w:rPr>
          <w:rFonts w:ascii="Times New Roman" w:hAnsi="Times New Roman" w:cs="Times New Roman"/>
          <w:lang w:val="ro-MD" w:eastAsia="ru-RU"/>
        </w:rPr>
        <w:t>);</w:t>
      </w:r>
    </w:p>
    <w:p w14:paraId="69840349" w14:textId="7236B29E" w:rsidR="008525CE" w:rsidRPr="000D19A7" w:rsidRDefault="008525CE" w:rsidP="008525CE">
      <w:pPr>
        <w:pStyle w:val="a7"/>
        <w:numPr>
          <w:ilvl w:val="0"/>
          <w:numId w:val="45"/>
        </w:num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imposibilitatea achitării unei datorii externe</w:t>
      </w:r>
      <w:r w:rsidR="00115ADF" w:rsidRPr="000D19A7">
        <w:rPr>
          <w:rFonts w:ascii="Times New Roman" w:hAnsi="Times New Roman" w:cs="Times New Roman"/>
          <w:lang w:val="ro-MD" w:eastAsia="ru-RU"/>
        </w:rPr>
        <w:t xml:space="preserve"> în sumă totală de 15,</w:t>
      </w:r>
      <w:r w:rsidR="008B5013" w:rsidRPr="000D19A7">
        <w:rPr>
          <w:rFonts w:ascii="Times New Roman" w:hAnsi="Times New Roman" w:cs="Times New Roman"/>
          <w:lang w:val="ro-MD" w:eastAsia="ru-RU"/>
        </w:rPr>
        <w:t>4</w:t>
      </w:r>
      <w:r w:rsidR="00115ADF" w:rsidRPr="000D19A7">
        <w:rPr>
          <w:rFonts w:ascii="Times New Roman" w:hAnsi="Times New Roman" w:cs="Times New Roman"/>
          <w:lang w:val="ro-MD" w:eastAsia="ru-RU"/>
        </w:rPr>
        <w:t xml:space="preserve"> mil. dol. SUA</w:t>
      </w:r>
      <w:r w:rsidRPr="000D19A7">
        <w:rPr>
          <w:rFonts w:ascii="Times New Roman" w:hAnsi="Times New Roman" w:cs="Times New Roman"/>
          <w:lang w:val="ro-MD" w:eastAsia="ru-RU"/>
        </w:rPr>
        <w:t>,</w:t>
      </w:r>
      <w:r w:rsidR="00115ADF" w:rsidRPr="000D19A7">
        <w:rPr>
          <w:rFonts w:ascii="Times New Roman" w:hAnsi="Times New Roman" w:cs="Times New Roman"/>
          <w:lang w:val="ro-MD" w:eastAsia="ru-RU"/>
        </w:rPr>
        <w:t xml:space="preserve"> situație generată de unii</w:t>
      </w:r>
      <w:r w:rsidRPr="000D19A7">
        <w:rPr>
          <w:rFonts w:ascii="Times New Roman" w:hAnsi="Times New Roman" w:cs="Times New Roman"/>
          <w:lang w:val="ro-MD" w:eastAsia="ru-RU"/>
        </w:rPr>
        <w:t xml:space="preserve"> factori</w:t>
      </w:r>
      <w:r w:rsidR="00115ADF" w:rsidRPr="000D19A7">
        <w:rPr>
          <w:rFonts w:ascii="Times New Roman" w:hAnsi="Times New Roman" w:cs="Times New Roman"/>
          <w:lang w:val="ro-MD" w:eastAsia="ru-RU"/>
        </w:rPr>
        <w:t xml:space="preserve"> </w:t>
      </w:r>
      <w:r w:rsidR="005A7193" w:rsidRPr="000D19A7">
        <w:rPr>
          <w:rFonts w:ascii="Times New Roman" w:hAnsi="Times New Roman" w:cs="Times New Roman"/>
          <w:lang w:val="ro-MD" w:eastAsia="ru-RU"/>
        </w:rPr>
        <w:t xml:space="preserve">obiectivi </w:t>
      </w:r>
      <w:r w:rsidRPr="000D19A7">
        <w:rPr>
          <w:rFonts w:ascii="Times New Roman" w:hAnsi="Times New Roman" w:cs="Times New Roman"/>
          <w:lang w:val="ro-MD" w:eastAsia="ru-RU"/>
        </w:rPr>
        <w:t>care nu au depins de Republica Moldova (pct. 4.1.5);</w:t>
      </w:r>
    </w:p>
    <w:p w14:paraId="087EFEBC" w14:textId="3C612390" w:rsidR="008525CE" w:rsidRPr="000D19A7" w:rsidRDefault="0050054D" w:rsidP="0050054D">
      <w:pPr>
        <w:pStyle w:val="a7"/>
        <w:numPr>
          <w:ilvl w:val="0"/>
          <w:numId w:val="45"/>
        </w:num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majorarea numărului de beneficiari garantați în cadrul Programului</w:t>
      </w:r>
      <w:r w:rsidR="003B56A2" w:rsidRPr="000D19A7">
        <w:rPr>
          <w:rFonts w:ascii="Times New Roman" w:hAnsi="Times New Roman" w:cs="Times New Roman"/>
          <w:lang w:val="ro-MD" w:eastAsia="ru-RU"/>
        </w:rPr>
        <w:t xml:space="preserve"> de stat</w:t>
      </w:r>
      <w:r w:rsidRPr="000D19A7">
        <w:rPr>
          <w:rFonts w:ascii="Times New Roman" w:hAnsi="Times New Roman" w:cs="Times New Roman"/>
          <w:lang w:val="ro-MD" w:eastAsia="ru-RU"/>
        </w:rPr>
        <w:t xml:space="preserve"> „Prima casă”, care nu și-au onorat obligați</w:t>
      </w:r>
      <w:r w:rsidR="005A7193" w:rsidRPr="000D19A7">
        <w:rPr>
          <w:rFonts w:ascii="Times New Roman" w:hAnsi="Times New Roman" w:cs="Times New Roman"/>
          <w:lang w:val="ro-MD" w:eastAsia="ru-RU"/>
        </w:rPr>
        <w:t>ile</w:t>
      </w:r>
      <w:r w:rsidRPr="000D19A7">
        <w:rPr>
          <w:rFonts w:ascii="Times New Roman" w:hAnsi="Times New Roman" w:cs="Times New Roman"/>
          <w:lang w:val="ro-MD" w:eastAsia="ru-RU"/>
        </w:rPr>
        <w:t xml:space="preserve"> aferente împrum</w:t>
      </w:r>
      <w:r w:rsidR="003B56A2" w:rsidRPr="000D19A7">
        <w:rPr>
          <w:rFonts w:ascii="Times New Roman" w:hAnsi="Times New Roman" w:cs="Times New Roman"/>
          <w:lang w:val="ro-MD" w:eastAsia="ru-RU"/>
        </w:rPr>
        <w:t>uturilor contractate în cadrul P</w:t>
      </w:r>
      <w:r w:rsidRPr="000D19A7">
        <w:rPr>
          <w:rFonts w:ascii="Times New Roman" w:hAnsi="Times New Roman" w:cs="Times New Roman"/>
          <w:lang w:val="ro-MD" w:eastAsia="ru-RU"/>
        </w:rPr>
        <w:t>rogramului, în pofida faptului că aceștia constant au beneficiat de compensații din contul mijloacelor bugetare</w:t>
      </w:r>
      <w:r w:rsidR="008525CE" w:rsidRPr="000D19A7">
        <w:rPr>
          <w:rFonts w:ascii="Times New Roman" w:hAnsi="Times New Roman" w:cs="Times New Roman"/>
          <w:lang w:val="ro-MD" w:eastAsia="ru-RU"/>
        </w:rPr>
        <w:t xml:space="preserve"> (pct. 4.2.1</w:t>
      </w:r>
      <w:r w:rsidR="003B56A2" w:rsidRPr="000D19A7">
        <w:rPr>
          <w:rFonts w:ascii="Times New Roman" w:hAnsi="Times New Roman" w:cs="Times New Roman"/>
          <w:lang w:val="ro-MD" w:eastAsia="ru-RU"/>
        </w:rPr>
        <w:t>.</w:t>
      </w:r>
      <w:r w:rsidR="008525CE" w:rsidRPr="000D19A7">
        <w:rPr>
          <w:rFonts w:ascii="Times New Roman" w:hAnsi="Times New Roman" w:cs="Times New Roman"/>
          <w:lang w:val="ro-MD" w:eastAsia="ru-RU"/>
        </w:rPr>
        <w:t>);</w:t>
      </w:r>
    </w:p>
    <w:p w14:paraId="7B44E78A" w14:textId="7A4A1EEC" w:rsidR="009D4683" w:rsidRPr="000D19A7" w:rsidRDefault="00897C7E" w:rsidP="00897C7E">
      <w:pPr>
        <w:pStyle w:val="a7"/>
        <w:numPr>
          <w:ilvl w:val="0"/>
          <w:numId w:val="45"/>
        </w:num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înregistrarea unor pierderi pentru bugetul de stat în valoare </w:t>
      </w:r>
      <w:r w:rsidR="00E36848" w:rsidRPr="000D19A7">
        <w:rPr>
          <w:rFonts w:ascii="Times New Roman" w:hAnsi="Times New Roman" w:cs="Times New Roman"/>
          <w:lang w:val="ro-MD" w:eastAsia="ru-RU"/>
        </w:rPr>
        <w:t>de 518</w:t>
      </w:r>
      <w:r w:rsidRPr="000D19A7">
        <w:rPr>
          <w:rFonts w:ascii="Times New Roman" w:hAnsi="Times New Roman" w:cs="Times New Roman"/>
          <w:lang w:val="ro-MD" w:eastAsia="ru-RU"/>
        </w:rPr>
        <w:t>,</w:t>
      </w:r>
      <w:r w:rsidR="00E36848" w:rsidRPr="000D19A7">
        <w:rPr>
          <w:rFonts w:ascii="Times New Roman" w:hAnsi="Times New Roman" w:cs="Times New Roman"/>
          <w:lang w:val="ro-MD" w:eastAsia="ru-RU"/>
        </w:rPr>
        <w:t>7</w:t>
      </w:r>
      <w:r w:rsidRPr="000D19A7">
        <w:rPr>
          <w:rFonts w:ascii="Times New Roman" w:hAnsi="Times New Roman" w:cs="Times New Roman"/>
          <w:lang w:val="ro-MD" w:eastAsia="ru-RU"/>
        </w:rPr>
        <w:t xml:space="preserve">8 mil. lei, urmare anulării unor </w:t>
      </w:r>
      <w:r w:rsidR="008525CE" w:rsidRPr="000D19A7">
        <w:rPr>
          <w:rFonts w:ascii="Times New Roman" w:hAnsi="Times New Roman" w:cs="Times New Roman"/>
          <w:lang w:val="ro-MD" w:eastAsia="ru-RU"/>
        </w:rPr>
        <w:t>datorii aferente debitorilor garantați și beneficiari</w:t>
      </w:r>
      <w:r w:rsidR="003B56A2" w:rsidRPr="000D19A7">
        <w:rPr>
          <w:rFonts w:ascii="Times New Roman" w:hAnsi="Times New Roman" w:cs="Times New Roman"/>
          <w:lang w:val="ro-MD" w:eastAsia="ru-RU"/>
        </w:rPr>
        <w:t>lor</w:t>
      </w:r>
      <w:r w:rsidR="008525CE" w:rsidRPr="000D19A7">
        <w:rPr>
          <w:rFonts w:ascii="Times New Roman" w:hAnsi="Times New Roman" w:cs="Times New Roman"/>
          <w:lang w:val="ro-MD" w:eastAsia="ru-RU"/>
        </w:rPr>
        <w:t xml:space="preserve"> recreditați</w:t>
      </w:r>
      <w:r w:rsidR="005A7193" w:rsidRPr="000D19A7">
        <w:rPr>
          <w:rFonts w:ascii="Times New Roman" w:hAnsi="Times New Roman" w:cs="Times New Roman"/>
          <w:lang w:val="ro-MD" w:eastAsia="ru-RU"/>
        </w:rPr>
        <w:t>, radiați din Registrul peroanelor juridice la decizia organelor de resort</w:t>
      </w:r>
      <w:r w:rsidR="008525CE" w:rsidRPr="000D19A7">
        <w:rPr>
          <w:rFonts w:ascii="Times New Roman" w:hAnsi="Times New Roman" w:cs="Times New Roman"/>
          <w:lang w:val="ro-MD" w:eastAsia="ru-RU"/>
        </w:rPr>
        <w:t xml:space="preserve"> (pct. 4.2.2</w:t>
      </w:r>
      <w:r w:rsidR="003B56A2" w:rsidRPr="000D19A7">
        <w:rPr>
          <w:rFonts w:ascii="Times New Roman" w:hAnsi="Times New Roman" w:cs="Times New Roman"/>
          <w:lang w:val="ro-MD" w:eastAsia="ru-RU"/>
        </w:rPr>
        <w:t>.</w:t>
      </w:r>
      <w:r w:rsidR="00DC5B50">
        <w:rPr>
          <w:rFonts w:ascii="Times New Roman" w:hAnsi="Times New Roman" w:cs="Times New Roman"/>
          <w:lang w:val="ro-MD" w:eastAsia="ru-RU"/>
        </w:rPr>
        <w:t xml:space="preserve"> și pct. 4.3.</w:t>
      </w:r>
      <w:r w:rsidR="008525CE" w:rsidRPr="000D19A7">
        <w:rPr>
          <w:rFonts w:ascii="Times New Roman" w:hAnsi="Times New Roman" w:cs="Times New Roman"/>
          <w:lang w:val="ro-MD" w:eastAsia="ru-RU"/>
        </w:rPr>
        <w:t>).</w:t>
      </w:r>
    </w:p>
    <w:p w14:paraId="7D36E04D" w14:textId="45C072CE" w:rsidR="00C24190" w:rsidRPr="000D19A7" w:rsidRDefault="00604E4C" w:rsidP="006B7DAC">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P</w:t>
      </w:r>
      <w:r w:rsidR="00C24190" w:rsidRPr="000D19A7">
        <w:rPr>
          <w:rFonts w:ascii="Times New Roman" w:hAnsi="Times New Roman" w:cs="Times New Roman"/>
          <w:lang w:val="ro-MD" w:eastAsia="ru-RU"/>
        </w:rPr>
        <w:t>rincipalele constatări și concluzii ale auditului</w:t>
      </w:r>
      <w:r w:rsidRPr="000D19A7">
        <w:rPr>
          <w:rFonts w:ascii="Times New Roman" w:hAnsi="Times New Roman" w:cs="Times New Roman"/>
          <w:lang w:val="ro-MD" w:eastAsia="ru-RU"/>
        </w:rPr>
        <w:t xml:space="preserve"> expuse în prezentul Raport de audit</w:t>
      </w:r>
      <w:r w:rsidR="00C24190" w:rsidRPr="000D19A7">
        <w:rPr>
          <w:rFonts w:ascii="Times New Roman" w:hAnsi="Times New Roman" w:cs="Times New Roman"/>
          <w:lang w:val="ro-MD" w:eastAsia="ru-RU"/>
        </w:rPr>
        <w:t xml:space="preserve">, </w:t>
      </w:r>
      <w:r w:rsidR="004A469A" w:rsidRPr="000D19A7">
        <w:rPr>
          <w:rFonts w:ascii="Times New Roman" w:hAnsi="Times New Roman" w:cs="Times New Roman"/>
          <w:lang w:val="ro-MD" w:eastAsia="ru-RU"/>
        </w:rPr>
        <w:t>au fost comunicate MF, fapt ce a</w:t>
      </w:r>
      <w:r w:rsidR="00C24190" w:rsidRPr="000D19A7">
        <w:rPr>
          <w:rFonts w:ascii="Times New Roman" w:hAnsi="Times New Roman" w:cs="Times New Roman"/>
          <w:lang w:val="ro-MD" w:eastAsia="ru-RU"/>
        </w:rPr>
        <w:t xml:space="preserve"> permis înaintarea </w:t>
      </w:r>
      <w:r w:rsidR="003B56A2" w:rsidRPr="000D19A7">
        <w:rPr>
          <w:rFonts w:ascii="Times New Roman" w:hAnsi="Times New Roman" w:cs="Times New Roman"/>
          <w:lang w:val="ro-MD" w:eastAsia="ru-RU"/>
        </w:rPr>
        <w:t>către MF a unor recomandări</w:t>
      </w:r>
      <w:r w:rsidR="00C24190" w:rsidRPr="000D19A7">
        <w:rPr>
          <w:rFonts w:ascii="Times New Roman" w:hAnsi="Times New Roman" w:cs="Times New Roman"/>
          <w:lang w:val="ro-MD" w:eastAsia="ru-RU"/>
        </w:rPr>
        <w:t>, orientate spre îmbunătățirea procesului de gestionare și raportare a datoriei de stat, garanțiilor de stat și recreditării de stat.</w:t>
      </w:r>
    </w:p>
    <w:p w14:paraId="0B239FA4" w14:textId="1F3AD22B" w:rsidR="00C8468E" w:rsidRPr="000D19A7" w:rsidRDefault="00391965" w:rsidP="00946026">
      <w:pPr>
        <w:pStyle w:val="1"/>
        <w:numPr>
          <w:ilvl w:val="0"/>
          <w:numId w:val="12"/>
        </w:numPr>
        <w:tabs>
          <w:tab w:val="left" w:pos="284"/>
          <w:tab w:val="left" w:pos="993"/>
        </w:tabs>
        <w:spacing w:before="0" w:line="276" w:lineRule="auto"/>
        <w:ind w:left="0" w:firstLine="0"/>
        <w:jc w:val="both"/>
        <w:rPr>
          <w:rFonts w:ascii="Times New Roman" w:eastAsia="Times New Roman" w:hAnsi="Times New Roman" w:cs="Times New Roman"/>
          <w:lang w:val="ro-MD" w:eastAsia="ru-RU"/>
        </w:rPr>
      </w:pPr>
      <w:bookmarkStart w:id="8" w:name="_Toc168321546"/>
      <w:r w:rsidRPr="000D19A7">
        <w:rPr>
          <w:rFonts w:ascii="Times New Roman" w:eastAsia="Times New Roman" w:hAnsi="Times New Roman" w:cs="Times New Roman"/>
          <w:lang w:val="ro-MD" w:eastAsia="ru-RU"/>
        </w:rPr>
        <w:t>PREZENTARE</w:t>
      </w:r>
      <w:r w:rsidR="00800BE7" w:rsidRPr="000D19A7">
        <w:rPr>
          <w:rFonts w:ascii="Times New Roman" w:eastAsia="Times New Roman" w:hAnsi="Times New Roman" w:cs="Times New Roman"/>
          <w:lang w:val="ro-MD" w:eastAsia="ru-RU"/>
        </w:rPr>
        <w:t>A</w:t>
      </w:r>
      <w:r w:rsidR="00A07D82" w:rsidRPr="000D19A7">
        <w:rPr>
          <w:rFonts w:ascii="Times New Roman" w:eastAsia="Times New Roman" w:hAnsi="Times New Roman" w:cs="Times New Roman"/>
          <w:lang w:val="ro-MD" w:eastAsia="ru-RU"/>
        </w:rPr>
        <w:t xml:space="preserve"> GENERALĂ</w:t>
      </w:r>
      <w:bookmarkEnd w:id="7"/>
      <w:bookmarkEnd w:id="8"/>
    </w:p>
    <w:p w14:paraId="6E1788E8" w14:textId="15C2667F" w:rsidR="00634924" w:rsidRPr="000D19A7" w:rsidRDefault="00634924"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Managementul datoriei de stat este reglementat de Legea nr.419 din 22.12.2006 cu privire la datoria sectorului public, garanțiile </w:t>
      </w:r>
      <w:r w:rsidR="008554B9" w:rsidRPr="000D19A7">
        <w:rPr>
          <w:rFonts w:ascii="Times New Roman" w:hAnsi="Times New Roman" w:cs="Times New Roman"/>
          <w:szCs w:val="24"/>
          <w:lang w:val="ro-MD" w:eastAsia="ru-RU"/>
        </w:rPr>
        <w:t>de stat și recreditarea de stat</w:t>
      </w:r>
      <w:r w:rsidRPr="000D19A7">
        <w:rPr>
          <w:rFonts w:ascii="Times New Roman" w:hAnsi="Times New Roman" w:cs="Times New Roman"/>
          <w:szCs w:val="24"/>
          <w:lang w:val="ro-MD" w:eastAsia="ru-RU"/>
        </w:rPr>
        <w:t>, Hotărârile Guvernului nr.1136 din 18.10</w:t>
      </w:r>
      <w:r w:rsidR="008554B9" w:rsidRPr="000D19A7">
        <w:rPr>
          <w:rFonts w:ascii="Times New Roman" w:hAnsi="Times New Roman" w:cs="Times New Roman"/>
          <w:szCs w:val="24"/>
          <w:lang w:val="ro-MD" w:eastAsia="ru-RU"/>
        </w:rPr>
        <w:t>.2007  și nr. 696 din 30.08.2017</w:t>
      </w:r>
      <w:r w:rsidRPr="000D19A7">
        <w:rPr>
          <w:rFonts w:ascii="Times New Roman" w:hAnsi="Times New Roman" w:cs="Times New Roman"/>
          <w:szCs w:val="24"/>
          <w:lang w:val="ro-MD" w:eastAsia="ru-RU"/>
        </w:rPr>
        <w:t>, precum și de alte acte normative.</w:t>
      </w:r>
    </w:p>
    <w:p w14:paraId="7E7677CD" w14:textId="1E7C1DD8" w:rsidR="00634924" w:rsidRPr="000D19A7" w:rsidRDefault="00EA1FE0" w:rsidP="006B6415">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R</w:t>
      </w:r>
      <w:r w:rsidR="009C2D6A" w:rsidRPr="000D19A7">
        <w:rPr>
          <w:rFonts w:ascii="Times New Roman" w:hAnsi="Times New Roman" w:cs="Times New Roman"/>
          <w:szCs w:val="24"/>
          <w:lang w:val="ro-MD" w:eastAsia="ru-RU"/>
        </w:rPr>
        <w:t xml:space="preserve">esponsabil de administrarea </w:t>
      </w:r>
      <w:r w:rsidR="00EC40A5" w:rsidRPr="000D19A7">
        <w:rPr>
          <w:rFonts w:ascii="Times New Roman" w:hAnsi="Times New Roman" w:cs="Times New Roman"/>
          <w:szCs w:val="24"/>
          <w:lang w:val="ro-MD" w:eastAsia="ru-RU"/>
        </w:rPr>
        <w:t>datoriei de stat</w:t>
      </w:r>
      <w:r w:rsidR="00634924" w:rsidRPr="000D19A7">
        <w:rPr>
          <w:rFonts w:ascii="Times New Roman" w:hAnsi="Times New Roman" w:cs="Times New Roman"/>
          <w:szCs w:val="24"/>
          <w:lang w:val="ro-MD" w:eastAsia="ru-RU"/>
        </w:rPr>
        <w:t xml:space="preserve"> și</w:t>
      </w:r>
      <w:r w:rsidR="00EC40A5" w:rsidRPr="000D19A7">
        <w:rPr>
          <w:rFonts w:ascii="Times New Roman" w:hAnsi="Times New Roman" w:cs="Times New Roman"/>
          <w:szCs w:val="24"/>
          <w:lang w:val="ro-MD" w:eastAsia="ru-RU"/>
        </w:rPr>
        <w:t xml:space="preserve"> garanțiilor de stat, </w:t>
      </w:r>
      <w:r w:rsidRPr="000D19A7">
        <w:rPr>
          <w:rFonts w:ascii="Times New Roman" w:hAnsi="Times New Roman" w:cs="Times New Roman"/>
          <w:szCs w:val="24"/>
          <w:lang w:val="ro-MD" w:eastAsia="ru-RU"/>
        </w:rPr>
        <w:t xml:space="preserve">este </w:t>
      </w:r>
      <w:r w:rsidRPr="000D19A7">
        <w:rPr>
          <w:rFonts w:ascii="Times New Roman" w:hAnsi="Times New Roman" w:cs="Times New Roman"/>
          <w:b/>
          <w:i/>
          <w:szCs w:val="24"/>
          <w:lang w:val="ro-MD" w:eastAsia="ru-RU"/>
        </w:rPr>
        <w:t>Ministerul Finanțelor, autorizat de Guvern</w:t>
      </w:r>
      <w:r w:rsidRPr="000D19A7">
        <w:rPr>
          <w:rFonts w:ascii="Times New Roman" w:hAnsi="Times New Roman" w:cs="Times New Roman"/>
          <w:b/>
          <w:szCs w:val="24"/>
          <w:lang w:val="ro-MD" w:eastAsia="ru-RU"/>
        </w:rPr>
        <w:t xml:space="preserve"> </w:t>
      </w:r>
      <w:r w:rsidRPr="000D19A7">
        <w:rPr>
          <w:rFonts w:ascii="Times New Roman" w:hAnsi="Times New Roman" w:cs="Times New Roman"/>
          <w:szCs w:val="24"/>
          <w:lang w:val="ro-MD" w:eastAsia="ru-RU"/>
        </w:rPr>
        <w:t xml:space="preserve">în calitate de administrator de buget. </w:t>
      </w:r>
      <w:r w:rsidR="00634924" w:rsidRPr="000D19A7">
        <w:rPr>
          <w:rFonts w:ascii="Times New Roman" w:hAnsi="Times New Roman" w:cs="Times New Roman"/>
          <w:szCs w:val="24"/>
          <w:lang w:val="ro-MD" w:eastAsia="ru-RU"/>
        </w:rPr>
        <w:t xml:space="preserve">În acest scop, MF: i) elaborează Programul anual al împrumuturilor de stat, care include structura și volumele finanțării deficitului bugetului de stat pe anul respectiv; ii) evaluează condițiile financiare ale împrumuturilor și/sau ale emiterii VMS; iii) examinează condițiile contractelor privind împrumuturile de stat și garanțiile de stat, evaluează posibilitățile de împrumut și condițiile financiare pe piețele internaționale; iv) </w:t>
      </w:r>
      <w:r w:rsidR="006B6415" w:rsidRPr="000D19A7">
        <w:rPr>
          <w:rFonts w:ascii="Times New Roman" w:hAnsi="Times New Roman" w:cs="Times New Roman"/>
          <w:szCs w:val="24"/>
          <w:lang w:val="ro-MD" w:eastAsia="ru-RU"/>
        </w:rPr>
        <w:t>analizează oportunităţile şi condiţiile de contractare a mijloacelor necesare pentru dezvoltarea ţării şi pentru refinanţarea datoriei de stat şi supraveghează ca impactul net al noului împrumut să nu depăşească limitele datoriei de stat, stabilite în legea bugetului de stat pe anul respectiv; v)</w:t>
      </w:r>
      <w:r w:rsidR="006B6415" w:rsidRPr="000D19A7">
        <w:t xml:space="preserve"> </w:t>
      </w:r>
      <w:r w:rsidR="006B6415" w:rsidRPr="000D19A7">
        <w:rPr>
          <w:rFonts w:ascii="Times New Roman" w:hAnsi="Times New Roman" w:cs="Times New Roman"/>
          <w:szCs w:val="24"/>
          <w:lang w:val="ro-MD" w:eastAsia="ru-RU"/>
        </w:rPr>
        <w:t xml:space="preserve">efectuează emisiunea primară a valorilor mobiliare de stat pe pieţele financiare interne şi externe; vi) determină volumul total al valorilor mobiliare care vor fi emise pe parcursul anului bugetar pentru plasare pe pieţele financiare internă şi externă, în limitele stabilite de legea bugetului de stat pe anul respectiv, şi propune modificări la aceste limite în funcţie de necesităţile financiare şi de situaţia pe pieţele financiare; vii) determină planul plasării interne şi externe a valorilor mobiliare de stat la începutul fiecărui an bugetar, precum şi modifică acest plan în funcţie de necesităţi; viii) </w:t>
      </w:r>
      <w:r w:rsidR="00EC4C42" w:rsidRPr="000D19A7">
        <w:rPr>
          <w:rFonts w:ascii="Times New Roman" w:hAnsi="Times New Roman" w:cs="Times New Roman"/>
          <w:szCs w:val="24"/>
          <w:lang w:val="ro-MD" w:eastAsia="ru-RU"/>
        </w:rPr>
        <w:t>e</w:t>
      </w:r>
      <w:r w:rsidR="006B6415" w:rsidRPr="000D19A7">
        <w:rPr>
          <w:rFonts w:ascii="Times New Roman" w:hAnsi="Times New Roman" w:cs="Times New Roman"/>
          <w:szCs w:val="24"/>
          <w:lang w:val="ro-MD" w:eastAsia="ru-RU"/>
        </w:rPr>
        <w:t xml:space="preserve">valuează şi monitorizează riscurile financiare aferente portofoliului datoriei de stat; </w:t>
      </w:r>
      <w:r w:rsidR="00995AE1" w:rsidRPr="000D19A7">
        <w:rPr>
          <w:rFonts w:ascii="Times New Roman" w:hAnsi="Times New Roman" w:cs="Times New Roman"/>
          <w:szCs w:val="24"/>
          <w:lang w:val="ro-MD" w:eastAsia="ru-RU"/>
        </w:rPr>
        <w:t>i</w:t>
      </w:r>
      <w:r w:rsidR="006B6415" w:rsidRPr="000D19A7">
        <w:rPr>
          <w:rFonts w:ascii="Times New Roman" w:hAnsi="Times New Roman" w:cs="Times New Roman"/>
          <w:szCs w:val="24"/>
          <w:lang w:val="ro-MD" w:eastAsia="ru-RU"/>
        </w:rPr>
        <w:t>x) stabileşte obiectivele administrării datoriei de stat şi a garanţiilor de stat; etc.</w:t>
      </w:r>
    </w:p>
    <w:p w14:paraId="622E9A8A" w14:textId="15B8E57B" w:rsidR="007D6FCF" w:rsidRPr="000D19A7" w:rsidRDefault="00995AE1" w:rsidP="00995AE1">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MF elaborează, cu consultarea BNM şi </w:t>
      </w:r>
      <w:r w:rsidR="003B56A2" w:rsidRPr="000D19A7">
        <w:rPr>
          <w:rFonts w:ascii="Times New Roman" w:hAnsi="Times New Roman" w:cs="Times New Roman"/>
          <w:szCs w:val="24"/>
          <w:lang w:val="ro-MD" w:eastAsia="ru-RU"/>
        </w:rPr>
        <w:t>a altor instituţii interesate, P</w:t>
      </w:r>
      <w:r w:rsidRPr="000D19A7">
        <w:rPr>
          <w:rFonts w:ascii="Times New Roman" w:hAnsi="Times New Roman" w:cs="Times New Roman"/>
          <w:szCs w:val="24"/>
          <w:lang w:val="ro-MD" w:eastAsia="ru-RU"/>
        </w:rPr>
        <w:t>rogramul „Managementul datoriei de stat pe termen mediu”, pe care îl înaintează spre aprobare Guvernului. Programul este revizuit şi actualizat anual, concomitent cu actualizarea prognozelor din CBTM</w:t>
      </w:r>
      <w:r w:rsidR="002A015B" w:rsidRPr="000D19A7">
        <w:rPr>
          <w:rFonts w:ascii="Times New Roman" w:hAnsi="Times New Roman" w:cs="Times New Roman"/>
          <w:szCs w:val="24"/>
          <w:lang w:val="ro-MD" w:eastAsia="ru-RU"/>
        </w:rPr>
        <w:t xml:space="preserve">. </w:t>
      </w:r>
      <w:r w:rsidR="004A1487" w:rsidRPr="000D19A7">
        <w:rPr>
          <w:rFonts w:ascii="Times New Roman" w:hAnsi="Times New Roman" w:cs="Times New Roman"/>
          <w:szCs w:val="24"/>
          <w:lang w:val="ro-MD" w:eastAsia="ru-RU"/>
        </w:rPr>
        <w:t xml:space="preserve">Programul stabileşte obiectivul fundamental al procesului de management al datoriei de stat, obiectivele specifice, acţiunile care vor fi întreprinse pentru realizarea obiectivelor, precum și o analiză detaliată a riscurilor aferente datoriei de stat, impactul și măsurile de atenuare propuse. </w:t>
      </w:r>
      <w:r w:rsidRPr="000D19A7">
        <w:rPr>
          <w:rFonts w:ascii="Times New Roman" w:hAnsi="Times New Roman" w:cs="Times New Roman"/>
          <w:szCs w:val="24"/>
          <w:lang w:val="ro-MD" w:eastAsia="ru-RU"/>
        </w:rPr>
        <w:t>Informaţia p</w:t>
      </w:r>
      <w:r w:rsidR="003B56A2" w:rsidRPr="000D19A7">
        <w:rPr>
          <w:rFonts w:ascii="Times New Roman" w:hAnsi="Times New Roman" w:cs="Times New Roman"/>
          <w:szCs w:val="24"/>
          <w:lang w:val="ro-MD" w:eastAsia="ru-RU"/>
        </w:rPr>
        <w:t>rivind implementarea măsurilor P</w:t>
      </w:r>
      <w:r w:rsidRPr="000D19A7">
        <w:rPr>
          <w:rFonts w:ascii="Times New Roman" w:hAnsi="Times New Roman" w:cs="Times New Roman"/>
          <w:szCs w:val="24"/>
          <w:lang w:val="ro-MD" w:eastAsia="ru-RU"/>
        </w:rPr>
        <w:t xml:space="preserve">rogramului „Managementul datoriei de stat pe termen mediu” </w:t>
      </w:r>
      <w:r w:rsidR="002A015B" w:rsidRPr="000D19A7">
        <w:rPr>
          <w:rFonts w:ascii="Times New Roman" w:hAnsi="Times New Roman" w:cs="Times New Roman"/>
          <w:szCs w:val="24"/>
          <w:lang w:val="ro-MD" w:eastAsia="ru-RU"/>
        </w:rPr>
        <w:t>este</w:t>
      </w:r>
      <w:r w:rsidRPr="000D19A7">
        <w:rPr>
          <w:rFonts w:ascii="Times New Roman" w:hAnsi="Times New Roman" w:cs="Times New Roman"/>
          <w:szCs w:val="24"/>
          <w:lang w:val="ro-MD" w:eastAsia="ru-RU"/>
        </w:rPr>
        <w:t xml:space="preserve"> inclusă în raportul anual privind situaţia în domeniul datoriei sectorului public, al garanţiilor de stat şi al recreditării de stat.</w:t>
      </w:r>
    </w:p>
    <w:p w14:paraId="7BE616DF" w14:textId="119E3FBE" w:rsidR="00E13171" w:rsidRPr="000D19A7" w:rsidRDefault="00F442C9"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În scopul deservirii datoriei de stat, MF supraveghează şi asigură rambursarea datoriei de</w:t>
      </w:r>
      <w:r w:rsidR="0044613F" w:rsidRPr="000D19A7">
        <w:rPr>
          <w:rFonts w:ascii="Times New Roman" w:hAnsi="Times New Roman" w:cs="Times New Roman"/>
          <w:szCs w:val="24"/>
          <w:lang w:val="ro-MD" w:eastAsia="ru-RU"/>
        </w:rPr>
        <w:t xml:space="preserve"> stat, calculează şi achită dobâ</w:t>
      </w:r>
      <w:r w:rsidRPr="000D19A7">
        <w:rPr>
          <w:rFonts w:ascii="Times New Roman" w:hAnsi="Times New Roman" w:cs="Times New Roman"/>
          <w:szCs w:val="24"/>
          <w:lang w:val="ro-MD" w:eastAsia="ru-RU"/>
        </w:rPr>
        <w:t>nda şi alte plăţi aferente, înregistrează toate achitările efectuate.</w:t>
      </w:r>
    </w:p>
    <w:p w14:paraId="5BF31407" w14:textId="6B7BCDCA" w:rsidR="007D6FCF" w:rsidRPr="000D19A7" w:rsidRDefault="007D6FCF" w:rsidP="007D6FCF">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Mijloacele financiare obţinute din împrumuturile de stat interne şi/sau externe pot fi recreditate pentru realizarea proiectelor şi a programelor de dezvoltare finanţate din surse externe şi/sau interne. MF este unicul organ împuternicit cu administrarea acestor mijloace fie direct, fie prin intermediul băncilor şi/sau organizaţiilor de creditare nebancare, şi/sau asociaţiilor de economii şi împrumut, fie prin intermediul subdiviziunilor special create pentru scopuri de recreditare, precum şi </w:t>
      </w:r>
      <w:r w:rsidR="003B56A2" w:rsidRPr="000D19A7">
        <w:rPr>
          <w:rFonts w:ascii="Times New Roman" w:hAnsi="Times New Roman" w:cs="Times New Roman"/>
          <w:szCs w:val="24"/>
          <w:lang w:val="ro-MD" w:eastAsia="ru-RU"/>
        </w:rPr>
        <w:t>cu semnarea</w:t>
      </w:r>
      <w:r w:rsidRPr="000D19A7">
        <w:rPr>
          <w:rFonts w:ascii="Times New Roman" w:hAnsi="Times New Roman" w:cs="Times New Roman"/>
          <w:szCs w:val="24"/>
          <w:lang w:val="ro-MD" w:eastAsia="ru-RU"/>
        </w:rPr>
        <w:t xml:space="preserve"> contractel</w:t>
      </w:r>
      <w:r w:rsidR="003B56A2" w:rsidRPr="000D19A7">
        <w:rPr>
          <w:rFonts w:ascii="Times New Roman" w:hAnsi="Times New Roman" w:cs="Times New Roman"/>
          <w:szCs w:val="24"/>
          <w:lang w:val="ro-MD" w:eastAsia="ru-RU"/>
        </w:rPr>
        <w:t>or</w:t>
      </w:r>
      <w:r w:rsidRPr="000D19A7">
        <w:rPr>
          <w:rFonts w:ascii="Times New Roman" w:hAnsi="Times New Roman" w:cs="Times New Roman"/>
          <w:szCs w:val="24"/>
          <w:lang w:val="ro-MD" w:eastAsia="ru-RU"/>
        </w:rPr>
        <w:t xml:space="preserve"> şi alt</w:t>
      </w:r>
      <w:r w:rsidR="003B56A2" w:rsidRPr="000D19A7">
        <w:rPr>
          <w:rFonts w:ascii="Times New Roman" w:hAnsi="Times New Roman" w:cs="Times New Roman"/>
          <w:szCs w:val="24"/>
          <w:lang w:val="ro-MD" w:eastAsia="ru-RU"/>
        </w:rPr>
        <w:t>or</w:t>
      </w:r>
      <w:r w:rsidRPr="000D19A7">
        <w:rPr>
          <w:rFonts w:ascii="Times New Roman" w:hAnsi="Times New Roman" w:cs="Times New Roman"/>
          <w:szCs w:val="24"/>
          <w:lang w:val="ro-MD" w:eastAsia="ru-RU"/>
        </w:rPr>
        <w:t xml:space="preserve"> acte juridice aferente atribuţiilor stabilite de cadrul normativ în vigoare.</w:t>
      </w:r>
    </w:p>
    <w:p w14:paraId="3BE25692" w14:textId="67F495C2" w:rsidR="00984A9E" w:rsidRPr="000D19A7" w:rsidRDefault="00984A9E"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Atribuțiile specifice cu privire la administrarea și gestionarea datoriei de stat se realizează prin intermediul Direcției generale datoria </w:t>
      </w:r>
      <w:r w:rsidR="006F21E9" w:rsidRPr="000D19A7">
        <w:rPr>
          <w:rFonts w:ascii="Times New Roman" w:hAnsi="Times New Roman" w:cs="Times New Roman"/>
          <w:szCs w:val="24"/>
          <w:lang w:val="ro-MD" w:eastAsia="ru-RU"/>
        </w:rPr>
        <w:t>sectorului public și asistența externă din cadrul MF</w:t>
      </w:r>
      <w:r w:rsidR="003B56A2" w:rsidRPr="000D19A7">
        <w:rPr>
          <w:rFonts w:ascii="Times New Roman" w:hAnsi="Times New Roman" w:cs="Times New Roman"/>
          <w:szCs w:val="24"/>
          <w:lang w:val="ro-MD" w:eastAsia="ru-RU"/>
        </w:rPr>
        <w:t xml:space="preserve">, precum și al </w:t>
      </w:r>
      <w:r w:rsidR="006F21E9" w:rsidRPr="000D19A7">
        <w:rPr>
          <w:rFonts w:ascii="Times New Roman" w:hAnsi="Times New Roman" w:cs="Times New Roman"/>
          <w:szCs w:val="24"/>
          <w:lang w:val="ro-MD" w:eastAsia="ru-RU"/>
        </w:rPr>
        <w:t xml:space="preserve">IP „Oficiul de Gestionare a Programelor de Asistență Externă”, al cărui fondator este MF. Totodată, evidența completă a datoriei de stat interne, este ținută de către BNM, </w:t>
      </w:r>
      <w:r w:rsidR="003B56A2" w:rsidRPr="000D19A7">
        <w:rPr>
          <w:rFonts w:ascii="Times New Roman" w:hAnsi="Times New Roman" w:cs="Times New Roman"/>
          <w:szCs w:val="24"/>
          <w:lang w:val="ro-MD" w:eastAsia="ru-RU"/>
        </w:rPr>
        <w:t xml:space="preserve">care are funcția </w:t>
      </w:r>
      <w:r w:rsidR="006F21E9" w:rsidRPr="000D19A7">
        <w:rPr>
          <w:rFonts w:ascii="Times New Roman" w:hAnsi="Times New Roman" w:cs="Times New Roman"/>
          <w:szCs w:val="24"/>
          <w:lang w:val="ro-MD" w:eastAsia="ru-RU"/>
        </w:rPr>
        <w:t xml:space="preserve">de agent al statului în organizarea plasării VMS. </w:t>
      </w:r>
    </w:p>
    <w:p w14:paraId="7D3FE38D" w14:textId="1235FAC7" w:rsidR="00E13171" w:rsidRPr="000D19A7" w:rsidRDefault="00E45D6D"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Evidența informației generale și a tuturor tranzacțiilor aferente datoriei de stat, recreditării de stat</w:t>
      </w:r>
      <w:r w:rsidR="007678D9" w:rsidRPr="000D19A7">
        <w:rPr>
          <w:rFonts w:ascii="Times New Roman" w:hAnsi="Times New Roman" w:cs="Times New Roman"/>
          <w:szCs w:val="24"/>
          <w:lang w:val="ro-MD" w:eastAsia="ru-RU"/>
        </w:rPr>
        <w:t>,</w:t>
      </w:r>
      <w:r w:rsidRPr="000D19A7">
        <w:rPr>
          <w:rFonts w:ascii="Times New Roman" w:hAnsi="Times New Roman" w:cs="Times New Roman"/>
          <w:szCs w:val="24"/>
          <w:lang w:val="ro-MD" w:eastAsia="ru-RU"/>
        </w:rPr>
        <w:t xml:space="preserve"> precum și a garanțiilor de stat este asigurată de sistemul informațional DMFAS</w:t>
      </w:r>
      <w:r w:rsidR="00C46CF4" w:rsidRPr="000D19A7">
        <w:rPr>
          <w:rFonts w:ascii="Times New Roman" w:hAnsi="Times New Roman" w:cs="Times New Roman"/>
          <w:szCs w:val="24"/>
          <w:lang w:val="ro-MD" w:eastAsia="ru-RU"/>
        </w:rPr>
        <w:t xml:space="preserve"> și Credite-2000</w:t>
      </w:r>
      <w:r w:rsidRPr="000D19A7">
        <w:rPr>
          <w:rFonts w:ascii="Times New Roman" w:hAnsi="Times New Roman" w:cs="Times New Roman"/>
          <w:szCs w:val="24"/>
          <w:lang w:val="ro-MD" w:eastAsia="ru-RU"/>
        </w:rPr>
        <w:t>.</w:t>
      </w:r>
    </w:p>
    <w:p w14:paraId="740922D9" w14:textId="0F27BC45" w:rsidR="00E00C90" w:rsidRPr="000D19A7" w:rsidRDefault="001B7AF2"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Totodată, c</w:t>
      </w:r>
      <w:r w:rsidR="00E00C90" w:rsidRPr="000D19A7">
        <w:rPr>
          <w:rFonts w:ascii="Times New Roman" w:hAnsi="Times New Roman" w:cs="Times New Roman"/>
          <w:szCs w:val="24"/>
          <w:lang w:val="ro-MD" w:eastAsia="ru-RU"/>
        </w:rPr>
        <w:t>onform art. 12 alin</w:t>
      </w:r>
      <w:r w:rsidR="005174F1" w:rsidRPr="000D19A7">
        <w:rPr>
          <w:rFonts w:ascii="Times New Roman" w:hAnsi="Times New Roman" w:cs="Times New Roman"/>
          <w:szCs w:val="24"/>
          <w:lang w:val="ro-MD" w:eastAsia="ru-RU"/>
        </w:rPr>
        <w:t>.</w:t>
      </w:r>
      <w:r w:rsidR="00E00C90" w:rsidRPr="000D19A7">
        <w:rPr>
          <w:rFonts w:ascii="Times New Roman" w:hAnsi="Times New Roman" w:cs="Times New Roman"/>
          <w:szCs w:val="24"/>
          <w:lang w:val="ro-MD" w:eastAsia="ru-RU"/>
        </w:rPr>
        <w:t xml:space="preserve"> (6) din Legea nr. 419-XVI din 22.12.2006, MF elaborează rapoarte trimestriale și anuale (rapoarte privind situația în domeniul datoriei sectorului public, garanțiilor de stat și recreditării de stat), </w:t>
      </w:r>
      <w:r w:rsidR="003B56A2" w:rsidRPr="000D19A7">
        <w:rPr>
          <w:rFonts w:ascii="Times New Roman" w:hAnsi="Times New Roman" w:cs="Times New Roman"/>
          <w:szCs w:val="24"/>
          <w:lang w:val="ro-MD" w:eastAsia="ru-RU"/>
        </w:rPr>
        <w:t xml:space="preserve">pe care </w:t>
      </w:r>
      <w:r w:rsidR="00E00C90" w:rsidRPr="000D19A7">
        <w:rPr>
          <w:rFonts w:ascii="Times New Roman" w:hAnsi="Times New Roman" w:cs="Times New Roman"/>
          <w:szCs w:val="24"/>
          <w:lang w:val="ro-MD" w:eastAsia="ru-RU"/>
        </w:rPr>
        <w:t xml:space="preserve">le prezintă Guvernului și Parlamentului în termen de 70 de zile după sfârșitul trimestrului și, respectiv, în termen de 90 de zile după sfârșitului anului. </w:t>
      </w:r>
    </w:p>
    <w:p w14:paraId="2C89515D" w14:textId="0F5655F4" w:rsidR="00F54931" w:rsidRPr="000D19A7" w:rsidRDefault="00EA1FE0" w:rsidP="00F54931">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Astfel, p</w:t>
      </w:r>
      <w:r w:rsidR="00BE5382" w:rsidRPr="000D19A7">
        <w:rPr>
          <w:rFonts w:ascii="Times New Roman" w:hAnsi="Times New Roman" w:cs="Times New Roman"/>
          <w:lang w:val="ro-MD" w:eastAsia="ru-RU"/>
        </w:rPr>
        <w:t xml:space="preserve">otrivit datelor raportate de MF, </w:t>
      </w:r>
      <w:r w:rsidR="00F54931" w:rsidRPr="000D19A7">
        <w:rPr>
          <w:rFonts w:ascii="Times New Roman" w:hAnsi="Times New Roman" w:cs="Times New Roman"/>
          <w:lang w:val="ro-MD" w:eastAsia="ru-RU"/>
        </w:rPr>
        <w:t>soldul datoriei de stat înr</w:t>
      </w:r>
      <w:r w:rsidR="003B56A2" w:rsidRPr="000D19A7">
        <w:rPr>
          <w:rFonts w:ascii="Times New Roman" w:hAnsi="Times New Roman" w:cs="Times New Roman"/>
          <w:lang w:val="ro-MD" w:eastAsia="ru-RU"/>
        </w:rPr>
        <w:t xml:space="preserve">egistrat la finele anului 2023, </w:t>
      </w:r>
      <w:r w:rsidR="00F54931" w:rsidRPr="000D19A7">
        <w:rPr>
          <w:rFonts w:ascii="Times New Roman" w:hAnsi="Times New Roman" w:cs="Times New Roman"/>
          <w:lang w:val="ro-MD" w:eastAsia="ru-RU"/>
        </w:rPr>
        <w:t xml:space="preserve">a constituit 104 003,1 mil. lei, </w:t>
      </w:r>
      <w:r w:rsidR="00EE10AD" w:rsidRPr="000D19A7">
        <w:rPr>
          <w:rFonts w:ascii="Times New Roman" w:hAnsi="Times New Roman" w:cs="Times New Roman"/>
          <w:lang w:val="ro-MD" w:eastAsia="ru-RU"/>
        </w:rPr>
        <w:t>încadrându-se în limitele plafonului de 114 554,20 mil. lei, stabilit în Legea bugetară anuală</w:t>
      </w:r>
      <w:r w:rsidR="00EE10AD" w:rsidRPr="000D19A7">
        <w:rPr>
          <w:rStyle w:val="a6"/>
          <w:rFonts w:ascii="Times New Roman" w:hAnsi="Times New Roman" w:cs="Times New Roman"/>
          <w:lang w:val="ro-MD" w:eastAsia="ru-RU"/>
        </w:rPr>
        <w:footnoteReference w:id="3"/>
      </w:r>
      <w:r w:rsidR="00EE10AD" w:rsidRPr="000D19A7">
        <w:rPr>
          <w:rFonts w:ascii="Times New Roman" w:hAnsi="Times New Roman" w:cs="Times New Roman"/>
          <w:lang w:val="ro-MD" w:eastAsia="ru-RU"/>
        </w:rPr>
        <w:t xml:space="preserve">. </w:t>
      </w:r>
    </w:p>
    <w:p w14:paraId="1FCA6F80" w14:textId="1B5E0376" w:rsidR="00106333" w:rsidRPr="000D19A7" w:rsidRDefault="00F54931" w:rsidP="00A27DB2">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Datoria de stat în perioada 2019-2023 </w:t>
      </w:r>
      <w:r w:rsidR="00C92B9C" w:rsidRPr="000D19A7">
        <w:rPr>
          <w:rFonts w:ascii="Times New Roman" w:hAnsi="Times New Roman" w:cs="Times New Roman"/>
          <w:lang w:val="ro-MD" w:eastAsia="ru-RU"/>
        </w:rPr>
        <w:t>a crescut aproximativ de 2 ori, de la 52 494,3 mil.lei în anul 2019,</w:t>
      </w:r>
      <w:r w:rsidR="003B56A2" w:rsidRPr="000D19A7">
        <w:rPr>
          <w:rFonts w:ascii="Times New Roman" w:hAnsi="Times New Roman" w:cs="Times New Roman"/>
          <w:lang w:val="ro-MD" w:eastAsia="ru-RU"/>
        </w:rPr>
        <w:t xml:space="preserve"> până</w:t>
      </w:r>
      <w:r w:rsidR="00C92B9C" w:rsidRPr="000D19A7">
        <w:rPr>
          <w:rFonts w:ascii="Times New Roman" w:hAnsi="Times New Roman" w:cs="Times New Roman"/>
          <w:lang w:val="ro-MD" w:eastAsia="ru-RU"/>
        </w:rPr>
        <w:t xml:space="preserve"> la 104 003,10 mil.</w:t>
      </w:r>
      <w:r w:rsidR="0022556B" w:rsidRPr="000D19A7">
        <w:rPr>
          <w:rFonts w:ascii="Times New Roman" w:hAnsi="Times New Roman" w:cs="Times New Roman"/>
          <w:lang w:val="ro-MD" w:eastAsia="ru-RU"/>
        </w:rPr>
        <w:t xml:space="preserve"> </w:t>
      </w:r>
      <w:r w:rsidR="00C92B9C" w:rsidRPr="000D19A7">
        <w:rPr>
          <w:rFonts w:ascii="Times New Roman" w:hAnsi="Times New Roman" w:cs="Times New Roman"/>
          <w:lang w:val="ro-MD" w:eastAsia="ru-RU"/>
        </w:rPr>
        <w:t xml:space="preserve">lei în anul 2023. </w:t>
      </w:r>
    </w:p>
    <w:p w14:paraId="67D096EC" w14:textId="70FAC744" w:rsidR="00F36223" w:rsidRPr="000D19A7" w:rsidRDefault="00F36223"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La situația din 31.12.2023, </w:t>
      </w:r>
      <w:r w:rsidRPr="000D19A7">
        <w:rPr>
          <w:rFonts w:ascii="Times New Roman" w:hAnsi="Times New Roman" w:cs="Times New Roman"/>
          <w:b/>
          <w:i/>
          <w:lang w:val="ro-MD" w:eastAsia="ru-RU"/>
        </w:rPr>
        <w:t>datoria de stat internă</w:t>
      </w:r>
      <w:r w:rsidRPr="000D19A7">
        <w:rPr>
          <w:rFonts w:ascii="Times New Roman" w:hAnsi="Times New Roman" w:cs="Times New Roman"/>
          <w:lang w:val="ro-MD" w:eastAsia="ru-RU"/>
        </w:rPr>
        <w:t>, comparativ cu anul 2022</w:t>
      </w:r>
      <w:r w:rsidR="003B56A2" w:rsidRPr="000D19A7">
        <w:rPr>
          <w:rFonts w:ascii="Times New Roman" w:hAnsi="Times New Roman" w:cs="Times New Roman"/>
          <w:lang w:val="ro-MD" w:eastAsia="ru-RU"/>
        </w:rPr>
        <w:t>,</w:t>
      </w:r>
      <w:r w:rsidRPr="000D19A7">
        <w:rPr>
          <w:rFonts w:ascii="Times New Roman" w:hAnsi="Times New Roman" w:cs="Times New Roman"/>
          <w:lang w:val="ro-MD" w:eastAsia="ru-RU"/>
        </w:rPr>
        <w:t xml:space="preserve"> </w:t>
      </w:r>
      <w:r w:rsidRPr="000D19A7">
        <w:rPr>
          <w:rFonts w:ascii="Times New Roman" w:hAnsi="Times New Roman" w:cs="Times New Roman"/>
          <w:b/>
          <w:i/>
          <w:lang w:val="ro-MD" w:eastAsia="ru-RU"/>
        </w:rPr>
        <w:t>s-a</w:t>
      </w:r>
      <w:r w:rsidRPr="000D19A7">
        <w:rPr>
          <w:rFonts w:ascii="Times New Roman" w:hAnsi="Times New Roman" w:cs="Times New Roman"/>
          <w:lang w:val="ro-MD" w:eastAsia="ru-RU"/>
        </w:rPr>
        <w:t xml:space="preserve"> </w:t>
      </w:r>
      <w:r w:rsidRPr="000D19A7">
        <w:rPr>
          <w:rFonts w:ascii="Times New Roman" w:hAnsi="Times New Roman" w:cs="Times New Roman"/>
          <w:b/>
          <w:i/>
          <w:lang w:val="ro-MD" w:eastAsia="ru-RU"/>
        </w:rPr>
        <w:t xml:space="preserve">majorat cu </w:t>
      </w:r>
      <w:r w:rsidR="00A04936" w:rsidRPr="000D19A7">
        <w:rPr>
          <w:rFonts w:ascii="Times New Roman" w:hAnsi="Times New Roman" w:cs="Times New Roman"/>
          <w:b/>
          <w:i/>
          <w:lang w:val="ro-MD" w:eastAsia="ru-RU"/>
        </w:rPr>
        <w:t xml:space="preserve">              </w:t>
      </w:r>
      <w:r w:rsidR="006F21E9" w:rsidRPr="000D19A7">
        <w:rPr>
          <w:rFonts w:ascii="Times New Roman" w:hAnsi="Times New Roman" w:cs="Times New Roman"/>
          <w:b/>
          <w:i/>
          <w:lang w:val="ro-MD" w:eastAsia="ru-RU"/>
        </w:rPr>
        <w:t>5 173,8</w:t>
      </w:r>
      <w:r w:rsidRPr="000D19A7">
        <w:rPr>
          <w:rFonts w:ascii="Times New Roman" w:hAnsi="Times New Roman" w:cs="Times New Roman"/>
          <w:b/>
          <w:i/>
          <w:lang w:val="ro-MD" w:eastAsia="ru-RU"/>
        </w:rPr>
        <w:t xml:space="preserve"> mil. lei</w:t>
      </w:r>
      <w:r w:rsidRPr="000D19A7">
        <w:rPr>
          <w:rFonts w:ascii="Times New Roman" w:hAnsi="Times New Roman" w:cs="Times New Roman"/>
          <w:lang w:val="ro-MD" w:eastAsia="ru-RU"/>
        </w:rPr>
        <w:t xml:space="preserve"> (la valoarea nominală),</w:t>
      </w:r>
      <w:r w:rsidR="00E9758E" w:rsidRPr="000D19A7">
        <w:rPr>
          <w:rFonts w:ascii="Times New Roman" w:hAnsi="Times New Roman" w:cs="Times New Roman"/>
          <w:lang w:val="ro-MD" w:eastAsia="ru-RU"/>
        </w:rPr>
        <w:t xml:space="preserve"> constitui</w:t>
      </w:r>
      <w:r w:rsidR="003B56A2" w:rsidRPr="000D19A7">
        <w:rPr>
          <w:rFonts w:ascii="Times New Roman" w:hAnsi="Times New Roman" w:cs="Times New Roman"/>
          <w:lang w:val="ro-MD" w:eastAsia="ru-RU"/>
        </w:rPr>
        <w:t>nd</w:t>
      </w:r>
      <w:r w:rsidR="00E9758E" w:rsidRPr="000D19A7">
        <w:rPr>
          <w:rFonts w:ascii="Times New Roman" w:hAnsi="Times New Roman" w:cs="Times New Roman"/>
          <w:lang w:val="ro-MD" w:eastAsia="ru-RU"/>
        </w:rPr>
        <w:t xml:space="preserve"> 39 666,10 mil. lei (38,1%) (la valoarea nominală). Modif</w:t>
      </w:r>
      <w:r w:rsidR="003B56A2" w:rsidRPr="000D19A7">
        <w:rPr>
          <w:rFonts w:ascii="Times New Roman" w:hAnsi="Times New Roman" w:cs="Times New Roman"/>
          <w:lang w:val="ro-MD" w:eastAsia="ru-RU"/>
        </w:rPr>
        <w:t>icarea datoriei de stat interne</w:t>
      </w:r>
      <w:r w:rsidR="00E9758E" w:rsidRPr="000D19A7">
        <w:rPr>
          <w:rFonts w:ascii="Times New Roman" w:hAnsi="Times New Roman" w:cs="Times New Roman"/>
          <w:lang w:val="ro-MD" w:eastAsia="ru-RU"/>
        </w:rPr>
        <w:t xml:space="preserve"> s-a produs </w:t>
      </w:r>
      <w:r w:rsidR="006F21E9" w:rsidRPr="000D19A7">
        <w:rPr>
          <w:rFonts w:ascii="Times New Roman" w:hAnsi="Times New Roman" w:cs="Times New Roman"/>
          <w:lang w:val="ro-MD" w:eastAsia="ru-RU"/>
        </w:rPr>
        <w:t xml:space="preserve">preponderent </w:t>
      </w:r>
      <w:r w:rsidR="00E9758E" w:rsidRPr="000D19A7">
        <w:rPr>
          <w:rFonts w:ascii="Times New Roman" w:hAnsi="Times New Roman" w:cs="Times New Roman"/>
          <w:lang w:val="ro-MD" w:eastAsia="ru-RU"/>
        </w:rPr>
        <w:t xml:space="preserve">din contul </w:t>
      </w:r>
      <w:r w:rsidR="006F21E9" w:rsidRPr="000D19A7">
        <w:rPr>
          <w:rFonts w:ascii="Times New Roman" w:hAnsi="Times New Roman" w:cs="Times New Roman"/>
          <w:lang w:val="ro-MD" w:eastAsia="ru-RU"/>
        </w:rPr>
        <w:t>majorării emisiunii</w:t>
      </w:r>
      <w:r w:rsidR="00E9758E" w:rsidRPr="000D19A7">
        <w:rPr>
          <w:rFonts w:ascii="Times New Roman" w:hAnsi="Times New Roman" w:cs="Times New Roman"/>
          <w:lang w:val="ro-MD" w:eastAsia="ru-RU"/>
        </w:rPr>
        <w:t xml:space="preserve"> VMS pe piața primară cu 5 591,7 mil. lei și răscumpărării VMS emise pentru executarea obligațiunilor de plată derivate din garanțiile de stat în sumă de 310,0 mil. lei.</w:t>
      </w:r>
    </w:p>
    <w:p w14:paraId="4A1389B7" w14:textId="1875E55C" w:rsidR="001866C2" w:rsidRPr="000D19A7" w:rsidRDefault="00566789"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În anul 2023, MF a propus spre vânzare VMS în valoare totală de 33 515,0 mil. lei, c</w:t>
      </w:r>
      <w:r w:rsidR="006F21E9" w:rsidRPr="000D19A7">
        <w:rPr>
          <w:rFonts w:ascii="Times New Roman" w:hAnsi="Times New Roman" w:cs="Times New Roman"/>
          <w:lang w:val="ro-MD" w:eastAsia="ru-RU"/>
        </w:rPr>
        <w:t>e</w:t>
      </w:r>
      <w:r w:rsidRPr="000D19A7">
        <w:rPr>
          <w:rFonts w:ascii="Times New Roman" w:hAnsi="Times New Roman" w:cs="Times New Roman"/>
          <w:lang w:val="ro-MD" w:eastAsia="ru-RU"/>
        </w:rPr>
        <w:t xml:space="preserve">rerea </w:t>
      </w:r>
      <w:r w:rsidR="006F21E9" w:rsidRPr="000D19A7">
        <w:rPr>
          <w:rFonts w:ascii="Times New Roman" w:hAnsi="Times New Roman" w:cs="Times New Roman"/>
          <w:lang w:val="ro-MD" w:eastAsia="ru-RU"/>
        </w:rPr>
        <w:t>la VMS pe piața primară</w:t>
      </w:r>
      <w:r w:rsidRPr="000D19A7">
        <w:rPr>
          <w:rFonts w:ascii="Times New Roman" w:hAnsi="Times New Roman" w:cs="Times New Roman"/>
          <w:lang w:val="ro-MD" w:eastAsia="ru-RU"/>
        </w:rPr>
        <w:t xml:space="preserve"> constituind 58 795,1 mil. lei, sau cu 25 280,1 mil. lei mai mult decât oferta MF. De facto, în rezultatul lictațiilor, au fost </w:t>
      </w:r>
      <w:r w:rsidRPr="000D19A7">
        <w:rPr>
          <w:rFonts w:ascii="Times New Roman" w:hAnsi="Times New Roman" w:cs="Times New Roman"/>
          <w:b/>
          <w:i/>
          <w:lang w:val="ro-MD" w:eastAsia="ru-RU"/>
        </w:rPr>
        <w:t>comercilizate VMS</w:t>
      </w:r>
      <w:r w:rsidRPr="000D19A7">
        <w:rPr>
          <w:rFonts w:ascii="Times New Roman" w:hAnsi="Times New Roman" w:cs="Times New Roman"/>
          <w:lang w:val="ro-MD" w:eastAsia="ru-RU"/>
        </w:rPr>
        <w:t xml:space="preserve"> </w:t>
      </w:r>
      <w:r w:rsidR="006F21E9" w:rsidRPr="000D19A7">
        <w:rPr>
          <w:rFonts w:ascii="Times New Roman" w:hAnsi="Times New Roman" w:cs="Times New Roman"/>
          <w:lang w:val="ro-MD" w:eastAsia="ru-RU"/>
        </w:rPr>
        <w:t>la</w:t>
      </w:r>
      <w:r w:rsidRPr="000D19A7">
        <w:rPr>
          <w:rFonts w:ascii="Times New Roman" w:hAnsi="Times New Roman" w:cs="Times New Roman"/>
          <w:lang w:val="ro-MD" w:eastAsia="ru-RU"/>
        </w:rPr>
        <w:t xml:space="preserve"> valoarea nominală </w:t>
      </w:r>
      <w:r w:rsidR="006F21E9" w:rsidRPr="000D19A7">
        <w:rPr>
          <w:rFonts w:ascii="Times New Roman" w:hAnsi="Times New Roman" w:cs="Times New Roman"/>
          <w:lang w:val="ro-MD" w:eastAsia="ru-RU"/>
        </w:rPr>
        <w:t xml:space="preserve">în sumă </w:t>
      </w:r>
      <w:r w:rsidRPr="000D19A7">
        <w:rPr>
          <w:rFonts w:ascii="Times New Roman" w:hAnsi="Times New Roman" w:cs="Times New Roman"/>
          <w:lang w:val="ro-MD" w:eastAsia="ru-RU"/>
        </w:rPr>
        <w:t xml:space="preserve">totală de 34 743,7 mil. lei, </w:t>
      </w:r>
      <w:r w:rsidR="003B56A2" w:rsidRPr="000D19A7">
        <w:rPr>
          <w:rFonts w:ascii="Times New Roman" w:hAnsi="Times New Roman" w:cs="Times New Roman"/>
          <w:lang w:val="ro-MD" w:eastAsia="ru-RU"/>
        </w:rPr>
        <w:t xml:space="preserve">sau </w:t>
      </w:r>
      <w:r w:rsidR="006F21E9" w:rsidRPr="000D19A7">
        <w:rPr>
          <w:rFonts w:ascii="Times New Roman" w:hAnsi="Times New Roman" w:cs="Times New Roman"/>
          <w:lang w:val="ro-MD" w:eastAsia="ru-RU"/>
        </w:rPr>
        <w:t xml:space="preserve">cu 8 455,6 mil. lei </w:t>
      </w:r>
      <w:r w:rsidRPr="000D19A7">
        <w:rPr>
          <w:rFonts w:ascii="Times New Roman" w:hAnsi="Times New Roman" w:cs="Times New Roman"/>
          <w:lang w:val="ro-MD" w:eastAsia="ru-RU"/>
        </w:rPr>
        <w:t xml:space="preserve">mai mult decît în anul 2022. Totodată, pe parcursul anului 2023 au fost răscumpărate VMS </w:t>
      </w:r>
      <w:r w:rsidR="00F06044" w:rsidRPr="000D19A7">
        <w:rPr>
          <w:rFonts w:ascii="Times New Roman" w:hAnsi="Times New Roman" w:cs="Times New Roman"/>
          <w:lang w:val="ro-MD" w:eastAsia="ru-RU"/>
        </w:rPr>
        <w:t>în sumă totală de 29 152,0 mil. lei (la valoarea nominală).</w:t>
      </w:r>
    </w:p>
    <w:p w14:paraId="736AE159" w14:textId="11CB7616" w:rsidR="007C6606" w:rsidRPr="000D19A7" w:rsidRDefault="00596743"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Astfel, volumul </w:t>
      </w:r>
      <w:r w:rsidRPr="000D19A7">
        <w:rPr>
          <w:rFonts w:ascii="Times New Roman" w:hAnsi="Times New Roman" w:cs="Times New Roman"/>
          <w:b/>
          <w:i/>
          <w:lang w:val="ro-MD" w:eastAsia="ru-RU"/>
        </w:rPr>
        <w:t>VMS emise pe piața primară</w:t>
      </w:r>
      <w:r w:rsidRPr="000D19A7">
        <w:rPr>
          <w:rFonts w:ascii="Times New Roman" w:hAnsi="Times New Roman" w:cs="Times New Roman"/>
          <w:lang w:val="ro-MD" w:eastAsia="ru-RU"/>
        </w:rPr>
        <w:t xml:space="preserve"> aflate în circulație la situația din 31.12.2023 a constituit 25 781,5 mil. lei. </w:t>
      </w:r>
      <w:r w:rsidR="00972A30" w:rsidRPr="000D19A7">
        <w:rPr>
          <w:rFonts w:ascii="Times New Roman" w:hAnsi="Times New Roman" w:cs="Times New Roman"/>
          <w:lang w:val="ro-MD" w:eastAsia="ru-RU"/>
        </w:rPr>
        <w:t xml:space="preserve">În perioada de referință, </w:t>
      </w:r>
      <w:r w:rsidR="001C79C3" w:rsidRPr="000D19A7">
        <w:rPr>
          <w:rFonts w:ascii="Times New Roman" w:hAnsi="Times New Roman" w:cs="Times New Roman"/>
          <w:lang w:val="ro-MD" w:eastAsia="ru-RU"/>
        </w:rPr>
        <w:t>pe piața primară au fost emise 8 tipuri de VMS: BT cu maturitatea de 91 zile, 182 zile și 364 zile și OS cu maturitatea de 2 ani, 3 ani, 5 ani, 7 ani și</w:t>
      </w:r>
      <w:r w:rsidR="008B0515" w:rsidRPr="000D19A7">
        <w:rPr>
          <w:rFonts w:ascii="Times New Roman" w:hAnsi="Times New Roman" w:cs="Times New Roman"/>
          <w:lang w:val="ro-MD" w:eastAsia="ru-RU"/>
        </w:rPr>
        <w:t xml:space="preserve">, în premieră OS, </w:t>
      </w:r>
      <w:r w:rsidR="001C79C3" w:rsidRPr="000D19A7">
        <w:rPr>
          <w:rFonts w:ascii="Times New Roman" w:hAnsi="Times New Roman" w:cs="Times New Roman"/>
          <w:lang w:val="ro-MD" w:eastAsia="ru-RU"/>
        </w:rPr>
        <w:t xml:space="preserve">cu maturitatea de 10 ani. Ponderea majoră în </w:t>
      </w:r>
      <w:r w:rsidR="00403DA0" w:rsidRPr="000D19A7">
        <w:rPr>
          <w:rFonts w:ascii="Times New Roman" w:hAnsi="Times New Roman" w:cs="Times New Roman"/>
          <w:lang w:val="ro-MD" w:eastAsia="ru-RU"/>
        </w:rPr>
        <w:t>v</w:t>
      </w:r>
      <w:r w:rsidR="001C79C3" w:rsidRPr="000D19A7">
        <w:rPr>
          <w:rFonts w:ascii="Times New Roman" w:hAnsi="Times New Roman" w:cs="Times New Roman"/>
          <w:lang w:val="ro-MD" w:eastAsia="ru-RU"/>
        </w:rPr>
        <w:t xml:space="preserve">olumul VMS </w:t>
      </w:r>
      <w:r w:rsidR="0075367C" w:rsidRPr="000D19A7">
        <w:rPr>
          <w:rFonts w:ascii="Times New Roman" w:hAnsi="Times New Roman" w:cs="Times New Roman"/>
          <w:lang w:val="ro-MD" w:eastAsia="ru-RU"/>
        </w:rPr>
        <w:t>aflate în circulație</w:t>
      </w:r>
      <w:r w:rsidR="001C79C3" w:rsidRPr="000D19A7">
        <w:rPr>
          <w:rFonts w:ascii="Times New Roman" w:hAnsi="Times New Roman" w:cs="Times New Roman"/>
          <w:lang w:val="ro-MD" w:eastAsia="ru-RU"/>
        </w:rPr>
        <w:t xml:space="preserve"> revine BT cu scadența de </w:t>
      </w:r>
      <w:r w:rsidR="0075367C" w:rsidRPr="000D19A7">
        <w:rPr>
          <w:rFonts w:ascii="Times New Roman" w:hAnsi="Times New Roman" w:cs="Times New Roman"/>
          <w:lang w:val="ro-MD" w:eastAsia="ru-RU"/>
        </w:rPr>
        <w:t>364</w:t>
      </w:r>
      <w:r w:rsidR="001C79C3" w:rsidRPr="000D19A7">
        <w:rPr>
          <w:rFonts w:ascii="Times New Roman" w:hAnsi="Times New Roman" w:cs="Times New Roman"/>
          <w:lang w:val="ro-MD" w:eastAsia="ru-RU"/>
        </w:rPr>
        <w:t xml:space="preserve"> zile (</w:t>
      </w:r>
      <w:r w:rsidR="0075367C" w:rsidRPr="000D19A7">
        <w:rPr>
          <w:rFonts w:ascii="Times New Roman" w:hAnsi="Times New Roman" w:cs="Times New Roman"/>
          <w:lang w:val="ro-MD" w:eastAsia="ru-RU"/>
        </w:rPr>
        <w:t>14 914,94</w:t>
      </w:r>
      <w:r w:rsidR="001C79C3" w:rsidRPr="000D19A7">
        <w:rPr>
          <w:rFonts w:ascii="Times New Roman" w:hAnsi="Times New Roman" w:cs="Times New Roman"/>
          <w:lang w:val="ro-MD" w:eastAsia="ru-RU"/>
        </w:rPr>
        <w:t xml:space="preserve"> mil. lei</w:t>
      </w:r>
      <w:r w:rsidR="008B0515" w:rsidRPr="000D19A7">
        <w:rPr>
          <w:rFonts w:ascii="Times New Roman" w:hAnsi="Times New Roman" w:cs="Times New Roman"/>
          <w:lang w:val="ro-MD" w:eastAsia="ru-RU"/>
        </w:rPr>
        <w:t>,</w:t>
      </w:r>
      <w:r w:rsidR="001C79C3" w:rsidRPr="000D19A7">
        <w:rPr>
          <w:rFonts w:ascii="Times New Roman" w:hAnsi="Times New Roman" w:cs="Times New Roman"/>
          <w:lang w:val="ro-MD" w:eastAsia="ru-RU"/>
        </w:rPr>
        <w:t xml:space="preserve"> sau </w:t>
      </w:r>
      <w:r w:rsidR="0075367C" w:rsidRPr="000D19A7">
        <w:rPr>
          <w:rFonts w:ascii="Times New Roman" w:hAnsi="Times New Roman" w:cs="Times New Roman"/>
          <w:lang w:val="ro-MD" w:eastAsia="ru-RU"/>
        </w:rPr>
        <w:t>57,85</w:t>
      </w:r>
      <w:r w:rsidR="001C79C3" w:rsidRPr="000D19A7">
        <w:rPr>
          <w:rFonts w:ascii="Times New Roman" w:hAnsi="Times New Roman" w:cs="Times New Roman"/>
          <w:lang w:val="ro-MD" w:eastAsia="ru-RU"/>
        </w:rPr>
        <w:t xml:space="preserve"> %), fiind urmate de BT cu scadența de </w:t>
      </w:r>
      <w:r w:rsidR="0075367C" w:rsidRPr="000D19A7">
        <w:rPr>
          <w:rFonts w:ascii="Times New Roman" w:hAnsi="Times New Roman" w:cs="Times New Roman"/>
          <w:lang w:val="ro-MD" w:eastAsia="ru-RU"/>
        </w:rPr>
        <w:t>182</w:t>
      </w:r>
      <w:r w:rsidR="001C79C3" w:rsidRPr="000D19A7">
        <w:rPr>
          <w:rFonts w:ascii="Times New Roman" w:hAnsi="Times New Roman" w:cs="Times New Roman"/>
          <w:lang w:val="ro-MD" w:eastAsia="ru-RU"/>
        </w:rPr>
        <w:t xml:space="preserve"> zile (</w:t>
      </w:r>
      <w:r w:rsidR="0075367C" w:rsidRPr="000D19A7">
        <w:rPr>
          <w:rFonts w:ascii="Times New Roman" w:hAnsi="Times New Roman" w:cs="Times New Roman"/>
          <w:lang w:val="ro-MD" w:eastAsia="ru-RU"/>
        </w:rPr>
        <w:t xml:space="preserve">7 549,09 </w:t>
      </w:r>
      <w:r w:rsidR="008B0515" w:rsidRPr="000D19A7">
        <w:rPr>
          <w:rFonts w:ascii="Times New Roman" w:hAnsi="Times New Roman" w:cs="Times New Roman"/>
          <w:lang w:val="ro-MD" w:eastAsia="ru-RU"/>
        </w:rPr>
        <w:t xml:space="preserve">mil. lei, </w:t>
      </w:r>
      <w:r w:rsidR="001C79C3" w:rsidRPr="000D19A7">
        <w:rPr>
          <w:rFonts w:ascii="Times New Roman" w:hAnsi="Times New Roman" w:cs="Times New Roman"/>
          <w:lang w:val="ro-MD" w:eastAsia="ru-RU"/>
        </w:rPr>
        <w:t xml:space="preserve">sau </w:t>
      </w:r>
      <w:r w:rsidR="0075367C" w:rsidRPr="000D19A7">
        <w:rPr>
          <w:rFonts w:ascii="Times New Roman" w:hAnsi="Times New Roman" w:cs="Times New Roman"/>
          <w:lang w:val="ro-MD" w:eastAsia="ru-RU"/>
        </w:rPr>
        <w:t>29,28</w:t>
      </w:r>
      <w:r w:rsidR="001C79C3" w:rsidRPr="000D19A7">
        <w:rPr>
          <w:rFonts w:ascii="Times New Roman" w:hAnsi="Times New Roman" w:cs="Times New Roman"/>
          <w:lang w:val="ro-MD" w:eastAsia="ru-RU"/>
        </w:rPr>
        <w:t xml:space="preserve">%) și </w:t>
      </w:r>
      <w:r w:rsidR="0075367C" w:rsidRPr="000D19A7">
        <w:rPr>
          <w:rFonts w:ascii="Times New Roman" w:hAnsi="Times New Roman" w:cs="Times New Roman"/>
          <w:lang w:val="ro-MD" w:eastAsia="ru-RU"/>
        </w:rPr>
        <w:t>OS</w:t>
      </w:r>
      <w:r w:rsidR="001C79C3" w:rsidRPr="000D19A7">
        <w:rPr>
          <w:rFonts w:ascii="Times New Roman" w:hAnsi="Times New Roman" w:cs="Times New Roman"/>
          <w:lang w:val="ro-MD" w:eastAsia="ru-RU"/>
        </w:rPr>
        <w:t xml:space="preserve"> cu </w:t>
      </w:r>
      <w:r w:rsidR="0075367C" w:rsidRPr="000D19A7">
        <w:rPr>
          <w:rFonts w:ascii="Times New Roman" w:hAnsi="Times New Roman" w:cs="Times New Roman"/>
          <w:lang w:val="ro-MD" w:eastAsia="ru-RU"/>
        </w:rPr>
        <w:t>maturitatea de 2 ani</w:t>
      </w:r>
      <w:r w:rsidR="001C79C3" w:rsidRPr="000D19A7">
        <w:rPr>
          <w:rFonts w:ascii="Times New Roman" w:hAnsi="Times New Roman" w:cs="Times New Roman"/>
          <w:lang w:val="ro-MD" w:eastAsia="ru-RU"/>
        </w:rPr>
        <w:t xml:space="preserve"> (</w:t>
      </w:r>
      <w:r w:rsidR="0075367C" w:rsidRPr="000D19A7">
        <w:rPr>
          <w:rFonts w:ascii="Times New Roman" w:hAnsi="Times New Roman" w:cs="Times New Roman"/>
          <w:lang w:val="ro-MD" w:eastAsia="ru-RU"/>
        </w:rPr>
        <w:t>974,33</w:t>
      </w:r>
      <w:r w:rsidR="001C79C3" w:rsidRPr="000D19A7">
        <w:rPr>
          <w:rFonts w:ascii="Times New Roman" w:hAnsi="Times New Roman" w:cs="Times New Roman"/>
          <w:lang w:val="ro-MD" w:eastAsia="ru-RU"/>
        </w:rPr>
        <w:t xml:space="preserve"> mil. lei</w:t>
      </w:r>
      <w:r w:rsidR="008B0515" w:rsidRPr="000D19A7">
        <w:rPr>
          <w:rFonts w:ascii="Times New Roman" w:hAnsi="Times New Roman" w:cs="Times New Roman"/>
          <w:lang w:val="ro-MD" w:eastAsia="ru-RU"/>
        </w:rPr>
        <w:t>,</w:t>
      </w:r>
      <w:r w:rsidR="001C79C3" w:rsidRPr="000D19A7">
        <w:rPr>
          <w:rFonts w:ascii="Times New Roman" w:hAnsi="Times New Roman" w:cs="Times New Roman"/>
          <w:lang w:val="ro-MD" w:eastAsia="ru-RU"/>
        </w:rPr>
        <w:t xml:space="preserve"> sau </w:t>
      </w:r>
      <w:r w:rsidR="0075367C" w:rsidRPr="000D19A7">
        <w:rPr>
          <w:rFonts w:ascii="Times New Roman" w:hAnsi="Times New Roman" w:cs="Times New Roman"/>
          <w:lang w:val="ro-MD" w:eastAsia="ru-RU"/>
        </w:rPr>
        <w:t>3,78</w:t>
      </w:r>
      <w:r w:rsidR="001C79C3" w:rsidRPr="000D19A7">
        <w:rPr>
          <w:rFonts w:ascii="Times New Roman" w:hAnsi="Times New Roman" w:cs="Times New Roman"/>
          <w:lang w:val="ro-MD" w:eastAsia="ru-RU"/>
        </w:rPr>
        <w:t>%).</w:t>
      </w:r>
      <w:r w:rsidR="000F3709" w:rsidRPr="000D19A7">
        <w:rPr>
          <w:rFonts w:ascii="Times New Roman" w:hAnsi="Times New Roman" w:cs="Times New Roman"/>
          <w:lang w:val="ro-MD" w:eastAsia="ru-RU"/>
        </w:rPr>
        <w:t xml:space="preserve"> </w:t>
      </w:r>
      <w:r w:rsidR="000F3709" w:rsidRPr="000D19A7">
        <w:rPr>
          <w:rFonts w:ascii="Times New Roman" w:hAnsi="Times New Roman" w:cs="Times New Roman"/>
          <w:i/>
          <w:lang w:val="ro-MD" w:eastAsia="ru-RU"/>
        </w:rPr>
        <w:t xml:space="preserve">Dinamica </w:t>
      </w:r>
      <w:r w:rsidR="007C6606" w:rsidRPr="000D19A7">
        <w:rPr>
          <w:rFonts w:ascii="Times New Roman" w:hAnsi="Times New Roman" w:cs="Times New Roman"/>
          <w:i/>
          <w:lang w:val="ro-MD" w:eastAsia="ru-RU"/>
        </w:rPr>
        <w:t xml:space="preserve">ratelor nominale medii ponderate a dobânzilor pentru VMS comercializate pe piața primară, în funcție de tipul VMS se prezintă în </w:t>
      </w:r>
      <w:r w:rsidR="00F640BF" w:rsidRPr="000D19A7">
        <w:rPr>
          <w:rFonts w:ascii="Times New Roman" w:hAnsi="Times New Roman" w:cs="Times New Roman"/>
          <w:b/>
          <w:i/>
          <w:lang w:val="ro-MD" w:eastAsia="ru-RU"/>
        </w:rPr>
        <w:t>Anexa nr.1</w:t>
      </w:r>
      <w:r w:rsidR="00F640BF" w:rsidRPr="000D19A7">
        <w:rPr>
          <w:rFonts w:ascii="Times New Roman" w:hAnsi="Times New Roman" w:cs="Times New Roman"/>
          <w:i/>
          <w:lang w:val="ro-MD" w:eastAsia="ru-RU"/>
        </w:rPr>
        <w:t xml:space="preserve"> la prezentul Raport de audit.</w:t>
      </w:r>
    </w:p>
    <w:p w14:paraId="01F66E12" w14:textId="77873E48" w:rsidR="00157F16" w:rsidRPr="000D19A7" w:rsidRDefault="0067405E"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Totodată, soldul </w:t>
      </w:r>
      <w:r w:rsidRPr="000D19A7">
        <w:rPr>
          <w:rFonts w:ascii="Times New Roman" w:hAnsi="Times New Roman" w:cs="Times New Roman"/>
          <w:b/>
          <w:i/>
          <w:lang w:val="ro-MD" w:eastAsia="ru-RU"/>
        </w:rPr>
        <w:t>VMS converite</w:t>
      </w:r>
      <w:r w:rsidRPr="000D19A7">
        <w:rPr>
          <w:rFonts w:ascii="Times New Roman" w:hAnsi="Times New Roman" w:cs="Times New Roman"/>
          <w:lang w:val="ro-MD" w:eastAsia="ru-RU"/>
        </w:rPr>
        <w:t xml:space="preserve"> la începutul anului 2023 a constituit </w:t>
      </w:r>
      <w:r w:rsidR="00157F16" w:rsidRPr="000D19A7">
        <w:rPr>
          <w:rFonts w:ascii="Times New Roman" w:hAnsi="Times New Roman" w:cs="Times New Roman"/>
          <w:lang w:val="ro-MD" w:eastAsia="ru-RU"/>
        </w:rPr>
        <w:t xml:space="preserve">2 241,4 mil. lei (la valoarea nominală), </w:t>
      </w:r>
      <w:r w:rsidRPr="000D19A7">
        <w:rPr>
          <w:rFonts w:ascii="Times New Roman" w:hAnsi="Times New Roman" w:cs="Times New Roman"/>
          <w:lang w:val="ro-MD" w:eastAsia="ru-RU"/>
        </w:rPr>
        <w:t xml:space="preserve">pe parcursul </w:t>
      </w:r>
      <w:r w:rsidR="008B0515" w:rsidRPr="000D19A7">
        <w:rPr>
          <w:rFonts w:ascii="Times New Roman" w:hAnsi="Times New Roman" w:cs="Times New Roman"/>
          <w:lang w:val="ro-MD" w:eastAsia="ru-RU"/>
        </w:rPr>
        <w:t xml:space="preserve">acestui </w:t>
      </w:r>
      <w:r w:rsidR="00180D21" w:rsidRPr="000D19A7">
        <w:rPr>
          <w:rFonts w:ascii="Times New Roman" w:hAnsi="Times New Roman" w:cs="Times New Roman"/>
          <w:lang w:val="ro-MD" w:eastAsia="ru-RU"/>
        </w:rPr>
        <w:t>an</w:t>
      </w:r>
      <w:r w:rsidR="008B0515" w:rsidRPr="000D19A7">
        <w:rPr>
          <w:rFonts w:ascii="Times New Roman" w:hAnsi="Times New Roman" w:cs="Times New Roman"/>
          <w:lang w:val="ro-MD" w:eastAsia="ru-RU"/>
        </w:rPr>
        <w:t xml:space="preserve"> </w:t>
      </w:r>
      <w:r w:rsidR="00157F16" w:rsidRPr="000D19A7">
        <w:rPr>
          <w:rFonts w:ascii="Times New Roman" w:hAnsi="Times New Roman" w:cs="Times New Roman"/>
          <w:lang w:val="ro-MD" w:eastAsia="ru-RU"/>
        </w:rPr>
        <w:t xml:space="preserve">fiind </w:t>
      </w:r>
      <w:r w:rsidR="00157F16" w:rsidRPr="000D19A7">
        <w:rPr>
          <w:rFonts w:ascii="Times New Roman" w:hAnsi="Times New Roman" w:cs="Times New Roman"/>
          <w:b/>
          <w:i/>
          <w:lang w:val="ro-MD" w:eastAsia="ru-RU"/>
        </w:rPr>
        <w:t>reemise VMS convertite</w:t>
      </w:r>
      <w:r w:rsidR="00157F16" w:rsidRPr="000D19A7">
        <w:rPr>
          <w:rFonts w:ascii="Times New Roman" w:hAnsi="Times New Roman" w:cs="Times New Roman"/>
          <w:lang w:val="ro-MD" w:eastAsia="ru-RU"/>
        </w:rPr>
        <w:t xml:space="preserve"> în sumă totală de 3 489,6 mil. lei și </w:t>
      </w:r>
      <w:r w:rsidR="00157F16" w:rsidRPr="000D19A7">
        <w:rPr>
          <w:rFonts w:ascii="Times New Roman" w:hAnsi="Times New Roman" w:cs="Times New Roman"/>
          <w:b/>
          <w:i/>
          <w:lang w:val="ro-MD" w:eastAsia="ru-RU"/>
        </w:rPr>
        <w:t>răscumpărate VMS convertite</w:t>
      </w:r>
      <w:r w:rsidR="00157F16" w:rsidRPr="000D19A7">
        <w:rPr>
          <w:rFonts w:ascii="Times New Roman" w:hAnsi="Times New Roman" w:cs="Times New Roman"/>
          <w:lang w:val="ro-MD" w:eastAsia="ru-RU"/>
        </w:rPr>
        <w:t xml:space="preserve"> în sumă totală de 3 597,5 mil. lei (la valoarea nominală). Soldul VMS convertite la sfârșitul anului 2023 a constituit 2 133,4 mil. lei (la valoarea nominală) </w:t>
      </w:r>
      <w:r w:rsidR="008B0515" w:rsidRPr="000D19A7">
        <w:rPr>
          <w:rFonts w:ascii="Times New Roman" w:hAnsi="Times New Roman" w:cs="Times New Roman"/>
          <w:lang w:val="ro-MD" w:eastAsia="ru-RU"/>
        </w:rPr>
        <w:t xml:space="preserve">sau </w:t>
      </w:r>
      <w:r w:rsidR="00157F16" w:rsidRPr="000D19A7">
        <w:rPr>
          <w:rFonts w:ascii="Times New Roman" w:hAnsi="Times New Roman" w:cs="Times New Roman"/>
          <w:lang w:val="ro-MD" w:eastAsia="ru-RU"/>
        </w:rPr>
        <w:t>5,4% din totalul datoriei de stat.</w:t>
      </w:r>
    </w:p>
    <w:p w14:paraId="6F9E6A3C" w14:textId="6DF4942B" w:rsidR="00157F16" w:rsidRPr="000D19A7" w:rsidRDefault="00157F16"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La fel, din componeța datoriei de stat fac parte și VMS emise pentru unele scopuri stabilite de lege, </w:t>
      </w:r>
      <w:r w:rsidR="008B0515" w:rsidRPr="000D19A7">
        <w:rPr>
          <w:rFonts w:ascii="Times New Roman" w:hAnsi="Times New Roman" w:cs="Times New Roman"/>
          <w:lang w:val="ro-MD" w:eastAsia="ru-RU"/>
        </w:rPr>
        <w:t xml:space="preserve">care </w:t>
      </w:r>
      <w:r w:rsidRPr="000D19A7">
        <w:rPr>
          <w:rFonts w:ascii="Times New Roman" w:hAnsi="Times New Roman" w:cs="Times New Roman"/>
          <w:lang w:val="ro-MD" w:eastAsia="ru-RU"/>
        </w:rPr>
        <w:t xml:space="preserve">la începutul anului au constituit suma de 12 061,2 mil. lei (35,0%), pe prcursul anului fiind răscumpărate în sumă totală de 310,0 mil. lei. Astfel, la finele anului 2023 soldul VMS emise pentru unele scopuri stabilite de lege a constituit 11 751,2 mil. lei, </w:t>
      </w:r>
      <w:r w:rsidR="008B0515" w:rsidRPr="000D19A7">
        <w:rPr>
          <w:rFonts w:ascii="Times New Roman" w:hAnsi="Times New Roman" w:cs="Times New Roman"/>
          <w:lang w:val="ro-MD" w:eastAsia="ru-RU"/>
        </w:rPr>
        <w:t>sau</w:t>
      </w:r>
      <w:r w:rsidRPr="000D19A7">
        <w:rPr>
          <w:rFonts w:ascii="Times New Roman" w:hAnsi="Times New Roman" w:cs="Times New Roman"/>
          <w:lang w:val="ro-MD" w:eastAsia="ru-RU"/>
        </w:rPr>
        <w:t xml:space="preserve"> circa 29,6% din totalul datoriei de stat interne.</w:t>
      </w:r>
    </w:p>
    <w:p w14:paraId="3701DD82" w14:textId="4443401D" w:rsidR="00E9758E" w:rsidRPr="000D19A7" w:rsidRDefault="008B0515" w:rsidP="00C16886">
      <w:pPr>
        <w:spacing w:before="240" w:line="276" w:lineRule="auto"/>
        <w:jc w:val="both"/>
        <w:rPr>
          <w:rFonts w:ascii="Times New Roman" w:hAnsi="Times New Roman" w:cs="Times New Roman"/>
          <w:lang w:val="ro-MD" w:eastAsia="ru-RU"/>
        </w:rPr>
      </w:pPr>
      <w:r w:rsidRPr="000D19A7">
        <w:rPr>
          <w:rFonts w:ascii="Times New Roman" w:hAnsi="Times New Roman" w:cs="Times New Roman"/>
          <w:b/>
          <w:i/>
          <w:lang w:val="ro-MD" w:eastAsia="ru-RU"/>
        </w:rPr>
        <w:t>D</w:t>
      </w:r>
      <w:r w:rsidR="00E9758E" w:rsidRPr="000D19A7">
        <w:rPr>
          <w:rFonts w:ascii="Times New Roman" w:hAnsi="Times New Roman" w:cs="Times New Roman"/>
          <w:b/>
          <w:i/>
          <w:lang w:val="ro-MD" w:eastAsia="ru-RU"/>
        </w:rPr>
        <w:t>atoria de stat externă</w:t>
      </w:r>
      <w:r w:rsidR="00E9758E" w:rsidRPr="000D19A7">
        <w:rPr>
          <w:rFonts w:ascii="Times New Roman" w:hAnsi="Times New Roman" w:cs="Times New Roman"/>
          <w:lang w:val="ro-MD" w:eastAsia="ru-RU"/>
        </w:rPr>
        <w:t>, în an</w:t>
      </w:r>
      <w:r w:rsidR="00F06044" w:rsidRPr="000D19A7">
        <w:rPr>
          <w:rFonts w:ascii="Times New Roman" w:hAnsi="Times New Roman" w:cs="Times New Roman"/>
          <w:lang w:val="ro-MD" w:eastAsia="ru-RU"/>
        </w:rPr>
        <w:t>ul 2023, comparativ cu anul 2022</w:t>
      </w:r>
      <w:r w:rsidR="00E9758E" w:rsidRPr="000D19A7">
        <w:rPr>
          <w:rFonts w:ascii="Times New Roman" w:hAnsi="Times New Roman" w:cs="Times New Roman"/>
          <w:lang w:val="ro-MD" w:eastAsia="ru-RU"/>
        </w:rPr>
        <w:t xml:space="preserve">, a crescut cu 4 169,3 mil. </w:t>
      </w:r>
      <w:r w:rsidRPr="000D19A7">
        <w:rPr>
          <w:rFonts w:ascii="Times New Roman" w:hAnsi="Times New Roman" w:cs="Times New Roman"/>
          <w:lang w:val="ro-MD" w:eastAsia="ru-RU"/>
        </w:rPr>
        <w:t>lei</w:t>
      </w:r>
      <w:r w:rsidR="00E9758E" w:rsidRPr="000D19A7">
        <w:rPr>
          <w:rFonts w:ascii="Times New Roman" w:hAnsi="Times New Roman" w:cs="Times New Roman"/>
          <w:lang w:val="ro-MD" w:eastAsia="ru-RU"/>
        </w:rPr>
        <w:t xml:space="preserve"> și constituie </w:t>
      </w:r>
      <w:r w:rsidR="00CB17DE" w:rsidRPr="000D19A7">
        <w:rPr>
          <w:rFonts w:ascii="Times New Roman" w:hAnsi="Times New Roman" w:cs="Times New Roman"/>
          <w:lang w:val="ro-MD" w:eastAsia="ru-RU"/>
        </w:rPr>
        <w:t xml:space="preserve">64 337,00 mil. lei, obligațiile externe ale Guvernului constituind circa 61,9% din totalul datoriei de stat. </w:t>
      </w:r>
      <w:r w:rsidR="00E9758E" w:rsidRPr="000D19A7">
        <w:rPr>
          <w:rFonts w:ascii="Times New Roman" w:hAnsi="Times New Roman" w:cs="Times New Roman"/>
          <w:lang w:val="ro-MD" w:eastAsia="ru-RU"/>
        </w:rPr>
        <w:t>Modificare</w:t>
      </w:r>
      <w:r w:rsidR="00CB17DE" w:rsidRPr="000D19A7">
        <w:rPr>
          <w:rFonts w:ascii="Times New Roman" w:hAnsi="Times New Roman" w:cs="Times New Roman"/>
          <w:lang w:val="ro-MD" w:eastAsia="ru-RU"/>
        </w:rPr>
        <w:t xml:space="preserve">a soldului datoriei de stat externe </w:t>
      </w:r>
      <w:r w:rsidR="00E9758E" w:rsidRPr="000D19A7">
        <w:rPr>
          <w:rFonts w:ascii="Times New Roman" w:hAnsi="Times New Roman" w:cs="Times New Roman"/>
          <w:lang w:val="ro-MD" w:eastAsia="ru-RU"/>
        </w:rPr>
        <w:t>se datorează finanțării externe nete pozitive în valoare de 8 490,30 mil. lei (echivalentul a 459,67 mil. dolari SUA) și fluctuației pozitive a ratei de schimb a dolarului SUA față de alte valute în va</w:t>
      </w:r>
      <w:r w:rsidR="00CB17DE" w:rsidRPr="000D19A7">
        <w:rPr>
          <w:rFonts w:ascii="Times New Roman" w:hAnsi="Times New Roman" w:cs="Times New Roman"/>
          <w:lang w:val="ro-MD" w:eastAsia="ru-RU"/>
        </w:rPr>
        <w:t xml:space="preserve">loare de 95,93 mil. dolari SUA. </w:t>
      </w:r>
    </w:p>
    <w:p w14:paraId="44B5DF6B" w14:textId="7FDE0E86" w:rsidR="00106333" w:rsidRPr="000D19A7" w:rsidRDefault="00047133" w:rsidP="00C1688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Ca pondere în PIB</w:t>
      </w:r>
      <w:r w:rsidR="00403DA0" w:rsidRPr="000D19A7">
        <w:rPr>
          <w:rStyle w:val="a6"/>
          <w:rFonts w:ascii="Times New Roman" w:hAnsi="Times New Roman" w:cs="Times New Roman"/>
          <w:lang w:val="ro-MD" w:eastAsia="ru-RU"/>
        </w:rPr>
        <w:footnoteReference w:id="4"/>
      </w:r>
      <w:r w:rsidRPr="000D19A7">
        <w:rPr>
          <w:rFonts w:ascii="Times New Roman" w:hAnsi="Times New Roman" w:cs="Times New Roman"/>
          <w:lang w:val="ro-MD" w:eastAsia="ru-RU"/>
        </w:rPr>
        <w:t xml:space="preserve">, </w:t>
      </w:r>
      <w:r w:rsidR="005A7369" w:rsidRPr="000D19A7">
        <w:rPr>
          <w:rFonts w:ascii="Times New Roman" w:hAnsi="Times New Roman" w:cs="Times New Roman"/>
          <w:lang w:val="ro-MD" w:eastAsia="ru-RU"/>
        </w:rPr>
        <w:t xml:space="preserve">datoria de stat </w:t>
      </w:r>
      <w:r w:rsidR="008B0515" w:rsidRPr="000D19A7">
        <w:rPr>
          <w:rFonts w:ascii="Times New Roman" w:hAnsi="Times New Roman" w:cs="Times New Roman"/>
          <w:lang w:val="ro-MD" w:eastAsia="ru-RU"/>
        </w:rPr>
        <w:t xml:space="preserve">în anul 2023 </w:t>
      </w:r>
      <w:r w:rsidR="005A7369" w:rsidRPr="000D19A7">
        <w:rPr>
          <w:rFonts w:ascii="Times New Roman" w:hAnsi="Times New Roman" w:cs="Times New Roman"/>
          <w:lang w:val="ro-MD" w:eastAsia="ru-RU"/>
        </w:rPr>
        <w:t>constituie 34,6</w:t>
      </w:r>
      <w:r w:rsidRPr="000D19A7">
        <w:rPr>
          <w:rFonts w:ascii="Times New Roman" w:hAnsi="Times New Roman" w:cs="Times New Roman"/>
          <w:lang w:val="ro-MD" w:eastAsia="ru-RU"/>
        </w:rPr>
        <w:t>% (</w:t>
      </w:r>
      <w:r w:rsidR="008B0515" w:rsidRPr="000D19A7">
        <w:rPr>
          <w:rFonts w:ascii="Times New Roman" w:hAnsi="Times New Roman" w:cs="Times New Roman"/>
          <w:lang w:val="ro-MD" w:eastAsia="ru-RU"/>
        </w:rPr>
        <w:t xml:space="preserve">datoria de stat internă – 13,2%, </w:t>
      </w:r>
      <w:r w:rsidRPr="000D19A7">
        <w:rPr>
          <w:rFonts w:ascii="Times New Roman" w:hAnsi="Times New Roman" w:cs="Times New Roman"/>
          <w:lang w:val="ro-MD" w:eastAsia="ru-RU"/>
        </w:rPr>
        <w:t>și datoria de stat externă – 21,4</w:t>
      </w:r>
      <w:r w:rsidR="008B0515" w:rsidRPr="000D19A7">
        <w:rPr>
          <w:rFonts w:ascii="Times New Roman" w:hAnsi="Times New Roman" w:cs="Times New Roman"/>
          <w:lang w:val="ro-MD" w:eastAsia="ru-RU"/>
        </w:rPr>
        <w:t xml:space="preserve">%), față </w:t>
      </w:r>
      <w:r w:rsidR="00EF58CA" w:rsidRPr="000D19A7">
        <w:rPr>
          <w:rFonts w:ascii="Times New Roman" w:hAnsi="Times New Roman" w:cs="Times New Roman"/>
          <w:lang w:val="ro-MD" w:eastAsia="ru-RU"/>
        </w:rPr>
        <w:t>de 25% în anul 2019</w:t>
      </w:r>
      <w:r w:rsidR="008B0515" w:rsidRPr="000D19A7">
        <w:rPr>
          <w:rFonts w:ascii="Times New Roman" w:hAnsi="Times New Roman" w:cs="Times New Roman"/>
          <w:lang w:val="ro-MD" w:eastAsia="ru-RU"/>
        </w:rPr>
        <w:t xml:space="preserve">. </w:t>
      </w:r>
      <w:r w:rsidR="00106333" w:rsidRPr="000D19A7">
        <w:rPr>
          <w:rFonts w:ascii="Times New Roman" w:hAnsi="Times New Roman" w:cs="Times New Roman"/>
          <w:i/>
          <w:lang w:val="ro-MD" w:eastAsia="ru-RU"/>
        </w:rPr>
        <w:t>Evoluția datoriei de stat, precum și ponderea în PIB, pe parcursul ultimilor 5 ani se prezintă în Tabelul nr. 1.</w:t>
      </w:r>
    </w:p>
    <w:p w14:paraId="1048D77A" w14:textId="77777777" w:rsidR="00106333" w:rsidRPr="000D19A7" w:rsidRDefault="00106333" w:rsidP="00106333">
      <w:pPr>
        <w:spacing w:after="0" w:line="276" w:lineRule="auto"/>
        <w:jc w:val="right"/>
        <w:rPr>
          <w:rFonts w:ascii="Times New Roman" w:hAnsi="Times New Roman" w:cs="Times New Roman"/>
          <w:b/>
          <w:i/>
          <w:lang w:val="ro-MD" w:eastAsia="ru-RU"/>
        </w:rPr>
      </w:pPr>
      <w:r w:rsidRPr="000D19A7">
        <w:rPr>
          <w:rFonts w:ascii="Times New Roman" w:hAnsi="Times New Roman" w:cs="Times New Roman"/>
          <w:b/>
          <w:i/>
          <w:lang w:val="ro-MD" w:eastAsia="ru-RU"/>
        </w:rPr>
        <w:t>Tabelul nr.1</w:t>
      </w:r>
    </w:p>
    <w:p w14:paraId="557F215C" w14:textId="77777777" w:rsidR="00106333" w:rsidRPr="000D19A7" w:rsidRDefault="00106333" w:rsidP="00106333">
      <w:pPr>
        <w:spacing w:after="0" w:line="240" w:lineRule="auto"/>
        <w:jc w:val="center"/>
        <w:rPr>
          <w:rFonts w:ascii="Times New Roman" w:hAnsi="Times New Roman" w:cs="Times New Roman"/>
          <w:b/>
          <w:szCs w:val="24"/>
          <w:lang w:val="ro-MD"/>
        </w:rPr>
      </w:pPr>
      <w:r w:rsidRPr="000D19A7">
        <w:rPr>
          <w:rFonts w:ascii="Times New Roman" w:hAnsi="Times New Roman" w:cs="Times New Roman"/>
          <w:b/>
          <w:szCs w:val="24"/>
          <w:lang w:val="ro-MD"/>
        </w:rPr>
        <w:t>Evoluția datoriei de stat în perioada 2019-2023, mil. lei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80"/>
        <w:gridCol w:w="1072"/>
        <w:gridCol w:w="640"/>
        <w:gridCol w:w="1228"/>
        <w:gridCol w:w="666"/>
        <w:gridCol w:w="1246"/>
        <w:gridCol w:w="1428"/>
        <w:gridCol w:w="1265"/>
      </w:tblGrid>
      <w:tr w:rsidR="00106333" w:rsidRPr="000D19A7" w14:paraId="7A4ACC49" w14:textId="77777777" w:rsidTr="00604E4C">
        <w:tc>
          <w:tcPr>
            <w:tcW w:w="909" w:type="dxa"/>
            <w:vMerge w:val="restart"/>
            <w:shd w:val="clear" w:color="auto" w:fill="auto"/>
            <w:vAlign w:val="center"/>
          </w:tcPr>
          <w:p w14:paraId="092FAF8D" w14:textId="77777777" w:rsidR="00106333" w:rsidRPr="000D19A7" w:rsidRDefault="00106333" w:rsidP="00604E4C">
            <w:pPr>
              <w:spacing w:after="0" w:line="240" w:lineRule="auto"/>
              <w:jc w:val="both"/>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Anul</w:t>
            </w:r>
          </w:p>
        </w:tc>
        <w:tc>
          <w:tcPr>
            <w:tcW w:w="1180" w:type="dxa"/>
            <w:vMerge w:val="restart"/>
            <w:shd w:val="clear" w:color="auto" w:fill="auto"/>
            <w:vAlign w:val="center"/>
          </w:tcPr>
          <w:p w14:paraId="056E61A2"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Total datoria de stat</w:t>
            </w:r>
          </w:p>
        </w:tc>
        <w:tc>
          <w:tcPr>
            <w:tcW w:w="1712" w:type="dxa"/>
            <w:gridSpan w:val="2"/>
            <w:shd w:val="clear" w:color="auto" w:fill="auto"/>
            <w:vAlign w:val="center"/>
          </w:tcPr>
          <w:p w14:paraId="76A43A2C"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Datoria de stat externă</w:t>
            </w:r>
          </w:p>
        </w:tc>
        <w:tc>
          <w:tcPr>
            <w:tcW w:w="1894" w:type="dxa"/>
            <w:gridSpan w:val="2"/>
            <w:shd w:val="clear" w:color="auto" w:fill="auto"/>
            <w:vAlign w:val="center"/>
          </w:tcPr>
          <w:p w14:paraId="15589E47"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Datoria de stat internă</w:t>
            </w:r>
          </w:p>
        </w:tc>
        <w:tc>
          <w:tcPr>
            <w:tcW w:w="1246" w:type="dxa"/>
            <w:vMerge w:val="restart"/>
          </w:tcPr>
          <w:p w14:paraId="03BCB9AD" w14:textId="27A95808"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Ponderea datoriei de stat în PIB,</w:t>
            </w:r>
          </w:p>
          <w:p w14:paraId="7A2BD7F1"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w:t>
            </w:r>
          </w:p>
        </w:tc>
        <w:tc>
          <w:tcPr>
            <w:tcW w:w="2693" w:type="dxa"/>
            <w:gridSpan w:val="2"/>
          </w:tcPr>
          <w:p w14:paraId="7F083E4B" w14:textId="77777777" w:rsidR="00106333" w:rsidRPr="000D19A7" w:rsidRDefault="00106333" w:rsidP="00604E4C">
            <w:pPr>
              <w:spacing w:after="0" w:line="240" w:lineRule="auto"/>
              <w:jc w:val="center"/>
              <w:rPr>
                <w:rFonts w:ascii="Times New Roman" w:hAnsi="Times New Roman" w:cs="Times New Roman"/>
                <w:b/>
                <w:i/>
                <w:color w:val="000000" w:themeColor="text1"/>
                <w:sz w:val="20"/>
                <w:szCs w:val="20"/>
                <w:lang w:val="ro-MD" w:eastAsia="ru-RU"/>
              </w:rPr>
            </w:pPr>
            <w:r w:rsidRPr="000D19A7">
              <w:rPr>
                <w:rFonts w:ascii="Times New Roman" w:hAnsi="Times New Roman" w:cs="Times New Roman"/>
                <w:b/>
                <w:i/>
                <w:color w:val="000000" w:themeColor="text1"/>
                <w:sz w:val="20"/>
                <w:szCs w:val="20"/>
                <w:lang w:val="ro-MD" w:eastAsia="ru-RU"/>
              </w:rPr>
              <w:t>din care:</w:t>
            </w:r>
          </w:p>
        </w:tc>
      </w:tr>
      <w:tr w:rsidR="00106333" w:rsidRPr="000D19A7" w14:paraId="1C9315B0" w14:textId="77777777" w:rsidTr="00604E4C">
        <w:tc>
          <w:tcPr>
            <w:tcW w:w="909" w:type="dxa"/>
            <w:vMerge/>
            <w:shd w:val="clear" w:color="auto" w:fill="44546A" w:themeFill="text2"/>
            <w:vAlign w:val="center"/>
          </w:tcPr>
          <w:p w14:paraId="228C1544" w14:textId="77777777" w:rsidR="00106333" w:rsidRPr="000D19A7" w:rsidRDefault="00106333" w:rsidP="00604E4C">
            <w:pPr>
              <w:spacing w:after="0" w:line="240" w:lineRule="auto"/>
              <w:jc w:val="both"/>
              <w:rPr>
                <w:rFonts w:ascii="Times New Roman" w:hAnsi="Times New Roman" w:cs="Times New Roman"/>
                <w:b/>
                <w:color w:val="FFFFFF" w:themeColor="background1"/>
                <w:sz w:val="20"/>
                <w:szCs w:val="20"/>
                <w:lang w:val="ro-MD" w:eastAsia="ru-RU"/>
              </w:rPr>
            </w:pPr>
          </w:p>
        </w:tc>
        <w:tc>
          <w:tcPr>
            <w:tcW w:w="1180" w:type="dxa"/>
            <w:vMerge/>
            <w:shd w:val="clear" w:color="auto" w:fill="44546A" w:themeFill="text2"/>
            <w:vAlign w:val="center"/>
          </w:tcPr>
          <w:p w14:paraId="73189835" w14:textId="77777777" w:rsidR="00106333" w:rsidRPr="000D19A7" w:rsidRDefault="00106333" w:rsidP="00604E4C">
            <w:pPr>
              <w:spacing w:after="0" w:line="240" w:lineRule="auto"/>
              <w:jc w:val="center"/>
              <w:rPr>
                <w:rFonts w:ascii="Times New Roman" w:hAnsi="Times New Roman" w:cs="Times New Roman"/>
                <w:b/>
                <w:color w:val="FFFFFF" w:themeColor="background1"/>
                <w:sz w:val="20"/>
                <w:szCs w:val="20"/>
                <w:lang w:val="ro-MD" w:eastAsia="ru-RU"/>
              </w:rPr>
            </w:pPr>
          </w:p>
        </w:tc>
        <w:tc>
          <w:tcPr>
            <w:tcW w:w="1072" w:type="dxa"/>
            <w:shd w:val="clear" w:color="auto" w:fill="auto"/>
            <w:vAlign w:val="center"/>
          </w:tcPr>
          <w:p w14:paraId="1194268A"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valoare</w:t>
            </w:r>
          </w:p>
        </w:tc>
        <w:tc>
          <w:tcPr>
            <w:tcW w:w="640" w:type="dxa"/>
            <w:shd w:val="clear" w:color="auto" w:fill="auto"/>
            <w:vAlign w:val="center"/>
          </w:tcPr>
          <w:p w14:paraId="7B972437"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 în total</w:t>
            </w:r>
          </w:p>
        </w:tc>
        <w:tc>
          <w:tcPr>
            <w:tcW w:w="1228" w:type="dxa"/>
            <w:shd w:val="clear" w:color="auto" w:fill="auto"/>
            <w:vAlign w:val="center"/>
          </w:tcPr>
          <w:p w14:paraId="70555900"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valoare</w:t>
            </w:r>
          </w:p>
        </w:tc>
        <w:tc>
          <w:tcPr>
            <w:tcW w:w="666" w:type="dxa"/>
            <w:shd w:val="clear" w:color="auto" w:fill="auto"/>
            <w:vAlign w:val="center"/>
          </w:tcPr>
          <w:p w14:paraId="15443B21"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 în total</w:t>
            </w:r>
          </w:p>
        </w:tc>
        <w:tc>
          <w:tcPr>
            <w:tcW w:w="1246" w:type="dxa"/>
            <w:vMerge/>
          </w:tcPr>
          <w:p w14:paraId="759D2AA4" w14:textId="7777777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p>
        </w:tc>
        <w:tc>
          <w:tcPr>
            <w:tcW w:w="1428" w:type="dxa"/>
          </w:tcPr>
          <w:p w14:paraId="2979C4A0" w14:textId="242E29F7"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 xml:space="preserve">datoria </w:t>
            </w:r>
            <w:r w:rsidR="00452C77" w:rsidRPr="000D19A7">
              <w:rPr>
                <w:rFonts w:ascii="Times New Roman" w:hAnsi="Times New Roman" w:cs="Times New Roman"/>
                <w:b/>
                <w:color w:val="000000" w:themeColor="text1"/>
                <w:sz w:val="20"/>
                <w:szCs w:val="20"/>
                <w:lang w:val="ro-MD" w:eastAsia="ru-RU"/>
              </w:rPr>
              <w:t>de stat ex</w:t>
            </w:r>
            <w:r w:rsidRPr="000D19A7">
              <w:rPr>
                <w:rFonts w:ascii="Times New Roman" w:hAnsi="Times New Roman" w:cs="Times New Roman"/>
                <w:b/>
                <w:color w:val="000000" w:themeColor="text1"/>
                <w:sz w:val="20"/>
                <w:szCs w:val="20"/>
                <w:lang w:val="ro-MD" w:eastAsia="ru-RU"/>
              </w:rPr>
              <w:t>ternă</w:t>
            </w:r>
          </w:p>
        </w:tc>
        <w:tc>
          <w:tcPr>
            <w:tcW w:w="1265" w:type="dxa"/>
          </w:tcPr>
          <w:p w14:paraId="3F78E918" w14:textId="0F70F256" w:rsidR="00106333" w:rsidRPr="000D19A7" w:rsidRDefault="00106333" w:rsidP="00604E4C">
            <w:pPr>
              <w:spacing w:after="0" w:line="240" w:lineRule="auto"/>
              <w:jc w:val="center"/>
              <w:rPr>
                <w:rFonts w:ascii="Times New Roman" w:hAnsi="Times New Roman" w:cs="Times New Roman"/>
                <w:b/>
                <w:color w:val="000000" w:themeColor="text1"/>
                <w:sz w:val="20"/>
                <w:szCs w:val="20"/>
                <w:lang w:val="ro-MD" w:eastAsia="ru-RU"/>
              </w:rPr>
            </w:pPr>
            <w:r w:rsidRPr="000D19A7">
              <w:rPr>
                <w:rFonts w:ascii="Times New Roman" w:hAnsi="Times New Roman" w:cs="Times New Roman"/>
                <w:b/>
                <w:color w:val="000000" w:themeColor="text1"/>
                <w:sz w:val="20"/>
                <w:szCs w:val="20"/>
                <w:lang w:val="ro-MD" w:eastAsia="ru-RU"/>
              </w:rPr>
              <w:t>d</w:t>
            </w:r>
            <w:r w:rsidR="00452C77" w:rsidRPr="000D19A7">
              <w:rPr>
                <w:rFonts w:ascii="Times New Roman" w:hAnsi="Times New Roman" w:cs="Times New Roman"/>
                <w:b/>
                <w:color w:val="000000" w:themeColor="text1"/>
                <w:sz w:val="20"/>
                <w:szCs w:val="20"/>
                <w:lang w:val="ro-MD" w:eastAsia="ru-RU"/>
              </w:rPr>
              <w:t>atoria de stat in</w:t>
            </w:r>
            <w:r w:rsidRPr="000D19A7">
              <w:rPr>
                <w:rFonts w:ascii="Times New Roman" w:hAnsi="Times New Roman" w:cs="Times New Roman"/>
                <w:b/>
                <w:color w:val="000000" w:themeColor="text1"/>
                <w:sz w:val="20"/>
                <w:szCs w:val="20"/>
                <w:lang w:val="ro-MD" w:eastAsia="ru-RU"/>
              </w:rPr>
              <w:t>ternă</w:t>
            </w:r>
          </w:p>
        </w:tc>
      </w:tr>
      <w:tr w:rsidR="00106333" w:rsidRPr="000D19A7" w14:paraId="1150A05D" w14:textId="77777777" w:rsidTr="00604E4C">
        <w:tc>
          <w:tcPr>
            <w:tcW w:w="909" w:type="dxa"/>
          </w:tcPr>
          <w:p w14:paraId="51B3BDDA" w14:textId="77777777" w:rsidR="00106333" w:rsidRPr="000D19A7" w:rsidRDefault="00106333" w:rsidP="00604E4C">
            <w:pPr>
              <w:spacing w:after="0" w:line="240" w:lineRule="auto"/>
              <w:jc w:val="both"/>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2019</w:t>
            </w:r>
          </w:p>
        </w:tc>
        <w:tc>
          <w:tcPr>
            <w:tcW w:w="1180" w:type="dxa"/>
          </w:tcPr>
          <w:p w14:paraId="778747E2"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52 494,3</w:t>
            </w:r>
          </w:p>
        </w:tc>
        <w:tc>
          <w:tcPr>
            <w:tcW w:w="1072" w:type="dxa"/>
          </w:tcPr>
          <w:p w14:paraId="1BDD9454"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29 326,1</w:t>
            </w:r>
          </w:p>
        </w:tc>
        <w:tc>
          <w:tcPr>
            <w:tcW w:w="640" w:type="dxa"/>
          </w:tcPr>
          <w:p w14:paraId="1E900B4C"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55,9</w:t>
            </w:r>
          </w:p>
        </w:tc>
        <w:tc>
          <w:tcPr>
            <w:tcW w:w="1228" w:type="dxa"/>
          </w:tcPr>
          <w:p w14:paraId="170E1F9B"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23 168,2</w:t>
            </w:r>
          </w:p>
        </w:tc>
        <w:tc>
          <w:tcPr>
            <w:tcW w:w="666" w:type="dxa"/>
          </w:tcPr>
          <w:p w14:paraId="13DF2B3E"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44,1</w:t>
            </w:r>
          </w:p>
        </w:tc>
        <w:tc>
          <w:tcPr>
            <w:tcW w:w="1246" w:type="dxa"/>
          </w:tcPr>
          <w:p w14:paraId="738AAA42" w14:textId="556BBA61"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25,0</w:t>
            </w:r>
          </w:p>
        </w:tc>
        <w:tc>
          <w:tcPr>
            <w:tcW w:w="1428" w:type="dxa"/>
          </w:tcPr>
          <w:p w14:paraId="29B2A3C8" w14:textId="73BC8EEE"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13,9</w:t>
            </w:r>
          </w:p>
        </w:tc>
        <w:tc>
          <w:tcPr>
            <w:tcW w:w="1265" w:type="dxa"/>
          </w:tcPr>
          <w:p w14:paraId="45420899" w14:textId="0C9064C0"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11,1</w:t>
            </w:r>
          </w:p>
        </w:tc>
      </w:tr>
      <w:tr w:rsidR="00106333" w:rsidRPr="000D19A7" w14:paraId="105449CB" w14:textId="77777777" w:rsidTr="00604E4C">
        <w:tc>
          <w:tcPr>
            <w:tcW w:w="909" w:type="dxa"/>
          </w:tcPr>
          <w:p w14:paraId="5D24CDE6" w14:textId="77777777" w:rsidR="00106333" w:rsidRPr="000D19A7" w:rsidRDefault="00106333" w:rsidP="00604E4C">
            <w:pPr>
              <w:spacing w:after="0" w:line="240" w:lineRule="auto"/>
              <w:jc w:val="both"/>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2020</w:t>
            </w:r>
          </w:p>
        </w:tc>
        <w:tc>
          <w:tcPr>
            <w:tcW w:w="1180" w:type="dxa"/>
          </w:tcPr>
          <w:p w14:paraId="67FBE0A5"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67 820,7</w:t>
            </w:r>
          </w:p>
        </w:tc>
        <w:tc>
          <w:tcPr>
            <w:tcW w:w="1072" w:type="dxa"/>
          </w:tcPr>
          <w:p w14:paraId="44E60FF4"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38 585,1</w:t>
            </w:r>
          </w:p>
        </w:tc>
        <w:tc>
          <w:tcPr>
            <w:tcW w:w="640" w:type="dxa"/>
          </w:tcPr>
          <w:p w14:paraId="48FEE0B4"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56,9</w:t>
            </w:r>
          </w:p>
        </w:tc>
        <w:tc>
          <w:tcPr>
            <w:tcW w:w="1228" w:type="dxa"/>
          </w:tcPr>
          <w:p w14:paraId="74FF23CB"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29 235,6</w:t>
            </w:r>
          </w:p>
        </w:tc>
        <w:tc>
          <w:tcPr>
            <w:tcW w:w="666" w:type="dxa"/>
          </w:tcPr>
          <w:p w14:paraId="7B0D0ABE"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43,1</w:t>
            </w:r>
          </w:p>
        </w:tc>
        <w:tc>
          <w:tcPr>
            <w:tcW w:w="1246" w:type="dxa"/>
          </w:tcPr>
          <w:p w14:paraId="3E621FB9" w14:textId="0A2D8444"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33,9</w:t>
            </w:r>
          </w:p>
        </w:tc>
        <w:tc>
          <w:tcPr>
            <w:tcW w:w="1428" w:type="dxa"/>
          </w:tcPr>
          <w:p w14:paraId="5567CA0E" w14:textId="1F5484A9"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19,3</w:t>
            </w:r>
          </w:p>
        </w:tc>
        <w:tc>
          <w:tcPr>
            <w:tcW w:w="1265" w:type="dxa"/>
          </w:tcPr>
          <w:p w14:paraId="09BF70BA" w14:textId="6FF5C092" w:rsidR="00106333" w:rsidRPr="000D19A7" w:rsidRDefault="006E68D9"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14,6</w:t>
            </w:r>
          </w:p>
        </w:tc>
      </w:tr>
      <w:tr w:rsidR="00106333" w:rsidRPr="000D19A7" w14:paraId="7E707BF5" w14:textId="77777777" w:rsidTr="00604E4C">
        <w:tc>
          <w:tcPr>
            <w:tcW w:w="909" w:type="dxa"/>
          </w:tcPr>
          <w:p w14:paraId="0C9FA965" w14:textId="77777777" w:rsidR="00106333" w:rsidRPr="000D19A7" w:rsidRDefault="00106333" w:rsidP="00604E4C">
            <w:pPr>
              <w:spacing w:after="0" w:line="240" w:lineRule="auto"/>
              <w:jc w:val="both"/>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2021</w:t>
            </w:r>
          </w:p>
        </w:tc>
        <w:tc>
          <w:tcPr>
            <w:tcW w:w="1180" w:type="dxa"/>
          </w:tcPr>
          <w:p w14:paraId="64324774"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77 752,7</w:t>
            </w:r>
          </w:p>
        </w:tc>
        <w:tc>
          <w:tcPr>
            <w:tcW w:w="1072" w:type="dxa"/>
          </w:tcPr>
          <w:p w14:paraId="77EC1D15"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44 471,3</w:t>
            </w:r>
          </w:p>
        </w:tc>
        <w:tc>
          <w:tcPr>
            <w:tcW w:w="640" w:type="dxa"/>
          </w:tcPr>
          <w:p w14:paraId="382496B5"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57,2</w:t>
            </w:r>
          </w:p>
        </w:tc>
        <w:tc>
          <w:tcPr>
            <w:tcW w:w="1228" w:type="dxa"/>
          </w:tcPr>
          <w:p w14:paraId="6EB65CC4"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33 281,4</w:t>
            </w:r>
          </w:p>
        </w:tc>
        <w:tc>
          <w:tcPr>
            <w:tcW w:w="666" w:type="dxa"/>
          </w:tcPr>
          <w:p w14:paraId="6511C230"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42,8</w:t>
            </w:r>
          </w:p>
        </w:tc>
        <w:tc>
          <w:tcPr>
            <w:tcW w:w="1246" w:type="dxa"/>
          </w:tcPr>
          <w:p w14:paraId="7553965B" w14:textId="3C77EE08"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32,1</w:t>
            </w:r>
          </w:p>
        </w:tc>
        <w:tc>
          <w:tcPr>
            <w:tcW w:w="1428" w:type="dxa"/>
          </w:tcPr>
          <w:p w14:paraId="22BC28FB" w14:textId="734BE4F9"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18,4</w:t>
            </w:r>
          </w:p>
        </w:tc>
        <w:tc>
          <w:tcPr>
            <w:tcW w:w="1265" w:type="dxa"/>
          </w:tcPr>
          <w:p w14:paraId="277CEBD8" w14:textId="085A7A73"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13,7</w:t>
            </w:r>
          </w:p>
        </w:tc>
      </w:tr>
      <w:tr w:rsidR="00106333" w:rsidRPr="000D19A7" w14:paraId="64E698B3" w14:textId="77777777" w:rsidTr="00604E4C">
        <w:tc>
          <w:tcPr>
            <w:tcW w:w="909" w:type="dxa"/>
          </w:tcPr>
          <w:p w14:paraId="3C505293" w14:textId="77777777" w:rsidR="00106333" w:rsidRPr="000D19A7" w:rsidRDefault="00106333" w:rsidP="00604E4C">
            <w:pPr>
              <w:spacing w:after="0" w:line="240" w:lineRule="auto"/>
              <w:jc w:val="both"/>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2022</w:t>
            </w:r>
          </w:p>
        </w:tc>
        <w:tc>
          <w:tcPr>
            <w:tcW w:w="1180" w:type="dxa"/>
          </w:tcPr>
          <w:p w14:paraId="707CB2E2"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94 660,0</w:t>
            </w:r>
          </w:p>
        </w:tc>
        <w:tc>
          <w:tcPr>
            <w:tcW w:w="1072" w:type="dxa"/>
          </w:tcPr>
          <w:p w14:paraId="7AE76E00"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60 167,7</w:t>
            </w:r>
          </w:p>
        </w:tc>
        <w:tc>
          <w:tcPr>
            <w:tcW w:w="640" w:type="dxa"/>
          </w:tcPr>
          <w:p w14:paraId="1B73F767"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63,6</w:t>
            </w:r>
          </w:p>
        </w:tc>
        <w:tc>
          <w:tcPr>
            <w:tcW w:w="1228" w:type="dxa"/>
          </w:tcPr>
          <w:p w14:paraId="4AE6F891"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34 492,4</w:t>
            </w:r>
          </w:p>
        </w:tc>
        <w:tc>
          <w:tcPr>
            <w:tcW w:w="666" w:type="dxa"/>
          </w:tcPr>
          <w:p w14:paraId="19DABDD3"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36,4</w:t>
            </w:r>
          </w:p>
        </w:tc>
        <w:tc>
          <w:tcPr>
            <w:tcW w:w="1246" w:type="dxa"/>
          </w:tcPr>
          <w:p w14:paraId="77B117BF" w14:textId="483810F7"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34,5</w:t>
            </w:r>
          </w:p>
        </w:tc>
        <w:tc>
          <w:tcPr>
            <w:tcW w:w="1428" w:type="dxa"/>
          </w:tcPr>
          <w:p w14:paraId="5FE90142" w14:textId="66050A20"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21,9</w:t>
            </w:r>
          </w:p>
        </w:tc>
        <w:tc>
          <w:tcPr>
            <w:tcW w:w="1265" w:type="dxa"/>
          </w:tcPr>
          <w:p w14:paraId="08E21905" w14:textId="1EE7F1D5"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12,6</w:t>
            </w:r>
          </w:p>
        </w:tc>
      </w:tr>
      <w:tr w:rsidR="00106333" w:rsidRPr="000D19A7" w14:paraId="250586F2" w14:textId="77777777" w:rsidTr="00604E4C">
        <w:tc>
          <w:tcPr>
            <w:tcW w:w="909" w:type="dxa"/>
          </w:tcPr>
          <w:p w14:paraId="7D7CFA98" w14:textId="77777777" w:rsidR="00106333" w:rsidRPr="000D19A7" w:rsidRDefault="00106333" w:rsidP="00604E4C">
            <w:pPr>
              <w:spacing w:after="0" w:line="240" w:lineRule="auto"/>
              <w:jc w:val="both"/>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2023</w:t>
            </w:r>
          </w:p>
        </w:tc>
        <w:tc>
          <w:tcPr>
            <w:tcW w:w="1180" w:type="dxa"/>
          </w:tcPr>
          <w:p w14:paraId="3EA684D1" w14:textId="73552675" w:rsidR="00106333" w:rsidRPr="000D19A7" w:rsidRDefault="00F06044"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104 003,1</w:t>
            </w:r>
          </w:p>
        </w:tc>
        <w:tc>
          <w:tcPr>
            <w:tcW w:w="1072" w:type="dxa"/>
          </w:tcPr>
          <w:p w14:paraId="15421979" w14:textId="0C6C7684" w:rsidR="00106333" w:rsidRPr="000D19A7" w:rsidRDefault="00F06044"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64 337,0</w:t>
            </w:r>
          </w:p>
        </w:tc>
        <w:tc>
          <w:tcPr>
            <w:tcW w:w="640" w:type="dxa"/>
          </w:tcPr>
          <w:p w14:paraId="23D7FEBE" w14:textId="77777777" w:rsidR="00106333" w:rsidRPr="000D19A7" w:rsidRDefault="00106333"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61,9</w:t>
            </w:r>
          </w:p>
        </w:tc>
        <w:tc>
          <w:tcPr>
            <w:tcW w:w="1228" w:type="dxa"/>
          </w:tcPr>
          <w:p w14:paraId="305472F3" w14:textId="35D23ED1" w:rsidR="00106333" w:rsidRPr="000D19A7" w:rsidRDefault="00F06044"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39 666,1</w:t>
            </w:r>
          </w:p>
        </w:tc>
        <w:tc>
          <w:tcPr>
            <w:tcW w:w="666" w:type="dxa"/>
          </w:tcPr>
          <w:p w14:paraId="32CAA966" w14:textId="33A6C4C9" w:rsidR="00106333" w:rsidRPr="000D19A7" w:rsidRDefault="0022556B"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38,1</w:t>
            </w:r>
          </w:p>
        </w:tc>
        <w:tc>
          <w:tcPr>
            <w:tcW w:w="1246" w:type="dxa"/>
          </w:tcPr>
          <w:p w14:paraId="23D16EB8" w14:textId="08636FF3"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34,6</w:t>
            </w:r>
          </w:p>
        </w:tc>
        <w:tc>
          <w:tcPr>
            <w:tcW w:w="1428" w:type="dxa"/>
          </w:tcPr>
          <w:p w14:paraId="34915951" w14:textId="24ABB9A0"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21,4</w:t>
            </w:r>
          </w:p>
        </w:tc>
        <w:tc>
          <w:tcPr>
            <w:tcW w:w="1265" w:type="dxa"/>
          </w:tcPr>
          <w:p w14:paraId="471C5569" w14:textId="7510804C" w:rsidR="00106333" w:rsidRPr="000D19A7" w:rsidRDefault="00452C77" w:rsidP="00604E4C">
            <w:pPr>
              <w:spacing w:after="0" w:line="240" w:lineRule="auto"/>
              <w:jc w:val="center"/>
              <w:rPr>
                <w:rFonts w:ascii="Times New Roman" w:hAnsi="Times New Roman" w:cs="Times New Roman"/>
                <w:sz w:val="20"/>
                <w:szCs w:val="20"/>
                <w:lang w:val="ro-MD" w:eastAsia="ru-RU"/>
              </w:rPr>
            </w:pPr>
            <w:r w:rsidRPr="000D19A7">
              <w:rPr>
                <w:rFonts w:ascii="Times New Roman" w:hAnsi="Times New Roman" w:cs="Times New Roman"/>
                <w:sz w:val="20"/>
                <w:szCs w:val="20"/>
                <w:lang w:val="ro-MD" w:eastAsia="ru-RU"/>
              </w:rPr>
              <w:t>13,2</w:t>
            </w:r>
          </w:p>
        </w:tc>
      </w:tr>
    </w:tbl>
    <w:p w14:paraId="6016B7AC" w14:textId="701311F8" w:rsidR="00106333" w:rsidRPr="000D19A7" w:rsidRDefault="00106333" w:rsidP="00106333">
      <w:pPr>
        <w:spacing w:line="276" w:lineRule="auto"/>
        <w:ind w:firstLine="284"/>
        <w:jc w:val="both"/>
        <w:rPr>
          <w:rFonts w:ascii="Times New Roman" w:hAnsi="Times New Roman" w:cs="Times New Roman"/>
          <w:i/>
          <w:sz w:val="16"/>
          <w:szCs w:val="16"/>
          <w:lang w:val="ro-MD" w:eastAsia="ru-RU"/>
        </w:rPr>
      </w:pPr>
      <w:r w:rsidRPr="000D19A7">
        <w:rPr>
          <w:rFonts w:ascii="Times New Roman" w:hAnsi="Times New Roman" w:cs="Times New Roman"/>
          <w:b/>
          <w:i/>
          <w:sz w:val="16"/>
          <w:szCs w:val="16"/>
          <w:lang w:val="ro-MD" w:eastAsia="ru-RU"/>
        </w:rPr>
        <w:t>Sursa:</w:t>
      </w:r>
      <w:r w:rsidRPr="000D19A7">
        <w:rPr>
          <w:rFonts w:ascii="Times New Roman" w:hAnsi="Times New Roman" w:cs="Times New Roman"/>
          <w:i/>
          <w:sz w:val="16"/>
          <w:szCs w:val="16"/>
          <w:lang w:val="ro-MD" w:eastAsia="ru-RU"/>
        </w:rPr>
        <w:t xml:space="preserve"> Datele Rapoartelor privind datoria de stat la situațiile din 31.12.2019, 31.12.2020, 31.12.2021, 31.12.2022 și 31.12.2023</w:t>
      </w:r>
      <w:r w:rsidR="008B0515" w:rsidRPr="000D19A7">
        <w:rPr>
          <w:rFonts w:ascii="Times New Roman" w:hAnsi="Times New Roman" w:cs="Times New Roman"/>
          <w:i/>
          <w:sz w:val="16"/>
          <w:szCs w:val="16"/>
          <w:lang w:val="ro-MD" w:eastAsia="ru-RU"/>
        </w:rPr>
        <w:t>.</w:t>
      </w:r>
    </w:p>
    <w:p w14:paraId="3E0C978F" w14:textId="10328510" w:rsidR="004C33DF" w:rsidRPr="000D19A7" w:rsidRDefault="005F7ED5" w:rsidP="0094602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Din datele analizate pe parcursul ultimilor 5 ani, se observă că, constant, ponderea mai mare în totalul datoriei de stat o deține soldul datoriei de stat externe, de la 55,9% în anul 2019 </w:t>
      </w:r>
      <w:r w:rsidR="008B0515" w:rsidRPr="000D19A7">
        <w:rPr>
          <w:rFonts w:ascii="Times New Roman" w:hAnsi="Times New Roman" w:cs="Times New Roman"/>
          <w:lang w:val="ro-MD" w:eastAsia="ru-RU"/>
        </w:rPr>
        <w:t xml:space="preserve">până </w:t>
      </w:r>
      <w:r w:rsidRPr="000D19A7">
        <w:rPr>
          <w:rFonts w:ascii="Times New Roman" w:hAnsi="Times New Roman" w:cs="Times New Roman"/>
          <w:lang w:val="ro-MD" w:eastAsia="ru-RU"/>
        </w:rPr>
        <w:t>la 61,9% în anul 2023, ceea ce denotă că în totalul datoriei de stat ponderea cea mai mare o dețin obligațiunile financiare ale statului datorate creditorilor de pe piața externă, care</w:t>
      </w:r>
      <w:r w:rsidR="008B0515" w:rsidRPr="000D19A7">
        <w:rPr>
          <w:rFonts w:ascii="Times New Roman" w:hAnsi="Times New Roman" w:cs="Times New Roman"/>
          <w:lang w:val="ro-MD" w:eastAsia="ru-RU"/>
        </w:rPr>
        <w:t>,</w:t>
      </w:r>
      <w:r w:rsidRPr="000D19A7">
        <w:rPr>
          <w:rFonts w:ascii="Times New Roman" w:hAnsi="Times New Roman" w:cs="Times New Roman"/>
          <w:lang w:val="ro-MD" w:eastAsia="ru-RU"/>
        </w:rPr>
        <w:t xml:space="preserve"> fiind în totalitate denominate în valută străină, sunt supuse riscului de schimb valutar. </w:t>
      </w:r>
      <w:r w:rsidR="0057693B" w:rsidRPr="000D19A7">
        <w:rPr>
          <w:rFonts w:ascii="Times New Roman" w:hAnsi="Times New Roman" w:cs="Times New Roman"/>
          <w:lang w:val="ro-MD" w:eastAsia="ru-RU"/>
        </w:rPr>
        <w:t>Totodată, auditul relevă că portofoliul de creditori ai RM este suficient de diversificat, iar majoritatea împ</w:t>
      </w:r>
      <w:r w:rsidR="008B0515" w:rsidRPr="000D19A7">
        <w:rPr>
          <w:rFonts w:ascii="Times New Roman" w:hAnsi="Times New Roman" w:cs="Times New Roman"/>
          <w:lang w:val="ro-MD" w:eastAsia="ru-RU"/>
        </w:rPr>
        <w:t>rumuturilor sunt pe termen lung (</w:t>
      </w:r>
      <w:r w:rsidR="0057693B" w:rsidRPr="000D19A7">
        <w:rPr>
          <w:rFonts w:ascii="Times New Roman" w:hAnsi="Times New Roman" w:cs="Times New Roman"/>
          <w:lang w:val="ro-MD" w:eastAsia="ru-RU"/>
        </w:rPr>
        <w:t>25</w:t>
      </w:r>
      <w:r w:rsidR="008B0515" w:rsidRPr="000D19A7">
        <w:rPr>
          <w:rFonts w:ascii="Times New Roman" w:hAnsi="Times New Roman" w:cs="Times New Roman"/>
          <w:lang w:val="ro-MD" w:eastAsia="ru-RU"/>
        </w:rPr>
        <w:t xml:space="preserve"> </w:t>
      </w:r>
      <w:r w:rsidR="0057693B" w:rsidRPr="000D19A7">
        <w:rPr>
          <w:rFonts w:ascii="Times New Roman" w:hAnsi="Times New Roman" w:cs="Times New Roman"/>
          <w:lang w:val="ro-MD" w:eastAsia="ru-RU"/>
        </w:rPr>
        <w:t>-</w:t>
      </w:r>
      <w:r w:rsidR="008B0515" w:rsidRPr="000D19A7">
        <w:rPr>
          <w:rFonts w:ascii="Times New Roman" w:hAnsi="Times New Roman" w:cs="Times New Roman"/>
          <w:lang w:val="ro-MD" w:eastAsia="ru-RU"/>
        </w:rPr>
        <w:t xml:space="preserve"> </w:t>
      </w:r>
      <w:r w:rsidR="0057693B" w:rsidRPr="000D19A7">
        <w:rPr>
          <w:rFonts w:ascii="Times New Roman" w:hAnsi="Times New Roman" w:cs="Times New Roman"/>
          <w:lang w:val="ro-MD" w:eastAsia="ru-RU"/>
        </w:rPr>
        <w:t>40 ani</w:t>
      </w:r>
      <w:r w:rsidR="008B0515" w:rsidRPr="000D19A7">
        <w:rPr>
          <w:rFonts w:ascii="Times New Roman" w:hAnsi="Times New Roman" w:cs="Times New Roman"/>
          <w:lang w:val="ro-MD" w:eastAsia="ru-RU"/>
        </w:rPr>
        <w:t>)</w:t>
      </w:r>
      <w:r w:rsidR="0057693B" w:rsidRPr="000D19A7">
        <w:rPr>
          <w:rFonts w:ascii="Times New Roman" w:hAnsi="Times New Roman" w:cs="Times New Roman"/>
          <w:lang w:val="ro-MD" w:eastAsia="ru-RU"/>
        </w:rPr>
        <w:t>.</w:t>
      </w:r>
    </w:p>
    <w:p w14:paraId="6DEE8CA0" w14:textId="79E0CEF2" w:rsidR="00506C1B" w:rsidRPr="000D19A7" w:rsidRDefault="00506C1B" w:rsidP="00506C1B">
      <w:pPr>
        <w:spacing w:after="0" w:line="276" w:lineRule="auto"/>
        <w:jc w:val="both"/>
        <w:rPr>
          <w:rFonts w:ascii="Times New Roman" w:hAnsi="Times New Roman" w:cs="Times New Roman"/>
          <w:color w:val="000000"/>
          <w:szCs w:val="24"/>
          <w:lang w:val="ro-MD"/>
        </w:rPr>
      </w:pPr>
      <w:r w:rsidRPr="000D19A7">
        <w:rPr>
          <w:rFonts w:ascii="Times New Roman" w:hAnsi="Times New Roman" w:cs="Times New Roman"/>
          <w:lang w:val="ro-MD" w:eastAsia="ru-RU"/>
        </w:rPr>
        <w:t>O problemă pent</w:t>
      </w:r>
      <w:r w:rsidR="00C37AC7" w:rsidRPr="000D19A7">
        <w:rPr>
          <w:rFonts w:ascii="Times New Roman" w:hAnsi="Times New Roman" w:cs="Times New Roman"/>
          <w:lang w:val="ro-MD" w:eastAsia="ru-RU"/>
        </w:rPr>
        <w:t>ru bugetul de stat este și creș</w:t>
      </w:r>
      <w:r w:rsidRPr="000D19A7">
        <w:rPr>
          <w:rFonts w:ascii="Times New Roman" w:hAnsi="Times New Roman" w:cs="Times New Roman"/>
          <w:lang w:val="ro-MD" w:eastAsia="ru-RU"/>
        </w:rPr>
        <w:t>t</w:t>
      </w:r>
      <w:r w:rsidR="00C37AC7" w:rsidRPr="000D19A7">
        <w:rPr>
          <w:rFonts w:ascii="Times New Roman" w:hAnsi="Times New Roman" w:cs="Times New Roman"/>
          <w:lang w:val="ro-MD" w:eastAsia="ru-RU"/>
        </w:rPr>
        <w:t>e</w:t>
      </w:r>
      <w:r w:rsidRPr="000D19A7">
        <w:rPr>
          <w:rFonts w:ascii="Times New Roman" w:hAnsi="Times New Roman" w:cs="Times New Roman"/>
          <w:lang w:val="ro-MD" w:eastAsia="ru-RU"/>
        </w:rPr>
        <w:t xml:space="preserve">rea de la an la an a cheltuielilor pentru serviciul datoriei de stat. Astfel, </w:t>
      </w:r>
      <w:r w:rsidRPr="000D19A7">
        <w:rPr>
          <w:rFonts w:ascii="Times New Roman" w:hAnsi="Times New Roman" w:cs="Times New Roman"/>
          <w:color w:val="000000"/>
          <w:szCs w:val="24"/>
          <w:lang w:val="ro-MD"/>
        </w:rPr>
        <w:t xml:space="preserve">pe parcursul anului 2023, pentru </w:t>
      </w:r>
      <w:r w:rsidRPr="000D19A7">
        <w:rPr>
          <w:rFonts w:ascii="Times New Roman" w:hAnsi="Times New Roman" w:cs="Times New Roman"/>
          <w:b/>
          <w:i/>
          <w:color w:val="000000"/>
          <w:szCs w:val="24"/>
          <w:lang w:val="ro-MD"/>
        </w:rPr>
        <w:t>serviciul datoriei de stat</w:t>
      </w:r>
      <w:r w:rsidRPr="000D19A7">
        <w:rPr>
          <w:rFonts w:ascii="Times New Roman" w:hAnsi="Times New Roman" w:cs="Times New Roman"/>
          <w:color w:val="000000"/>
          <w:szCs w:val="24"/>
          <w:lang w:val="ro-MD"/>
        </w:rPr>
        <w:t xml:space="preserve"> (dobânzi și comisioane), din bugetul de stat au fost utilizate mijloace în sumă de 5 301,5 mil. lei, </w:t>
      </w:r>
      <w:r w:rsidR="008B0515" w:rsidRPr="000D19A7">
        <w:rPr>
          <w:rFonts w:ascii="Times New Roman" w:hAnsi="Times New Roman" w:cs="Times New Roman"/>
          <w:color w:val="000000"/>
          <w:szCs w:val="24"/>
          <w:lang w:val="ro-MD"/>
        </w:rPr>
        <w:t>inclusiv</w:t>
      </w:r>
      <w:r w:rsidRPr="000D19A7">
        <w:rPr>
          <w:rFonts w:ascii="Times New Roman" w:hAnsi="Times New Roman" w:cs="Times New Roman"/>
          <w:color w:val="000000"/>
          <w:szCs w:val="24"/>
          <w:lang w:val="ro-MD"/>
        </w:rPr>
        <w:t xml:space="preserve"> pentru: a) serviciul datoriei de stat externe </w:t>
      </w:r>
      <w:r w:rsidR="00DA346A" w:rsidRPr="000D19A7">
        <w:rPr>
          <w:rFonts w:ascii="Times New Roman" w:hAnsi="Times New Roman" w:cs="Times New Roman"/>
          <w:color w:val="000000"/>
          <w:szCs w:val="24"/>
          <w:lang w:val="ro-MD"/>
        </w:rPr>
        <w:t>- 1 434,0 mil. lei (27,0%)</w:t>
      </w:r>
      <w:r w:rsidRPr="000D19A7">
        <w:rPr>
          <w:rFonts w:ascii="Times New Roman" w:hAnsi="Times New Roman" w:cs="Times New Roman"/>
          <w:color w:val="000000"/>
          <w:szCs w:val="24"/>
          <w:lang w:val="ro-MD"/>
        </w:rPr>
        <w:t xml:space="preserve">; b) serviciul datoriei de stat interne – </w:t>
      </w:r>
      <w:r w:rsidR="00DA346A" w:rsidRPr="000D19A7">
        <w:rPr>
          <w:rFonts w:ascii="Times New Roman" w:hAnsi="Times New Roman" w:cs="Times New Roman"/>
          <w:color w:val="000000"/>
          <w:szCs w:val="24"/>
          <w:lang w:val="ro-MD"/>
        </w:rPr>
        <w:t>3 867,5 mil. lei (73,0%)</w:t>
      </w:r>
      <w:r w:rsidR="008B0515" w:rsidRPr="000D19A7">
        <w:rPr>
          <w:rFonts w:ascii="Times New Roman" w:hAnsi="Times New Roman" w:cs="Times New Roman"/>
          <w:color w:val="000000"/>
          <w:szCs w:val="24"/>
          <w:lang w:val="ro-MD"/>
        </w:rPr>
        <w:t xml:space="preserve">. </w:t>
      </w:r>
      <w:r w:rsidRPr="000D19A7">
        <w:rPr>
          <w:rFonts w:ascii="Times New Roman" w:hAnsi="Times New Roman" w:cs="Times New Roman"/>
          <w:i/>
          <w:color w:val="000000"/>
          <w:szCs w:val="24"/>
          <w:lang w:val="ro-MD"/>
        </w:rPr>
        <w:t>Analiza în dinamică a cheltuielilor suportate pentru serviciul datoriei de stat se prezintă în Tabelul nr.2</w:t>
      </w:r>
    </w:p>
    <w:p w14:paraId="7395D0DB" w14:textId="0AFCD83B" w:rsidR="00506C1B" w:rsidRPr="000D19A7" w:rsidRDefault="00506C1B" w:rsidP="00506C1B">
      <w:pPr>
        <w:autoSpaceDE w:val="0"/>
        <w:autoSpaceDN w:val="0"/>
        <w:adjustRightInd w:val="0"/>
        <w:spacing w:after="0" w:line="276" w:lineRule="auto"/>
        <w:ind w:left="7200" w:firstLine="720"/>
        <w:jc w:val="center"/>
        <w:rPr>
          <w:rFonts w:ascii="Times New Roman" w:hAnsi="Times New Roman" w:cs="Times New Roman"/>
          <w:b/>
          <w:i/>
          <w:color w:val="000000"/>
          <w:szCs w:val="24"/>
          <w:lang w:val="ro-MD"/>
        </w:rPr>
      </w:pPr>
      <w:r w:rsidRPr="000D19A7">
        <w:rPr>
          <w:rFonts w:ascii="Times New Roman" w:hAnsi="Times New Roman" w:cs="Times New Roman"/>
          <w:b/>
          <w:i/>
          <w:color w:val="000000"/>
          <w:szCs w:val="24"/>
          <w:lang w:val="ro-MD"/>
        </w:rPr>
        <w:t>Tabelul nr.2</w:t>
      </w:r>
    </w:p>
    <w:p w14:paraId="557A4FC7" w14:textId="77777777" w:rsidR="00506C1B" w:rsidRPr="000D19A7" w:rsidRDefault="00506C1B" w:rsidP="00506C1B">
      <w:pPr>
        <w:autoSpaceDE w:val="0"/>
        <w:autoSpaceDN w:val="0"/>
        <w:adjustRightInd w:val="0"/>
        <w:spacing w:after="0" w:line="276" w:lineRule="auto"/>
        <w:jc w:val="center"/>
        <w:rPr>
          <w:rFonts w:ascii="Times New Roman" w:hAnsi="Times New Roman" w:cs="Times New Roman"/>
          <w:b/>
          <w:color w:val="000000"/>
          <w:szCs w:val="24"/>
          <w:lang w:val="ro-MD"/>
        </w:rPr>
      </w:pPr>
      <w:r w:rsidRPr="000D19A7">
        <w:rPr>
          <w:rFonts w:ascii="Times New Roman" w:hAnsi="Times New Roman" w:cs="Times New Roman"/>
          <w:b/>
          <w:color w:val="000000"/>
          <w:szCs w:val="24"/>
          <w:lang w:val="ro-MD"/>
        </w:rPr>
        <w:t>Dinamica cheltuielilor aferente serviciului datoriei de stat, anii 2019-2023</w:t>
      </w:r>
    </w:p>
    <w:p w14:paraId="505366A0" w14:textId="77777777" w:rsidR="00506C1B" w:rsidRPr="000D19A7" w:rsidRDefault="00506C1B" w:rsidP="00506C1B">
      <w:pPr>
        <w:autoSpaceDE w:val="0"/>
        <w:autoSpaceDN w:val="0"/>
        <w:adjustRightInd w:val="0"/>
        <w:spacing w:after="0" w:line="276" w:lineRule="auto"/>
        <w:ind w:left="7200" w:firstLine="720"/>
        <w:jc w:val="center"/>
        <w:rPr>
          <w:rFonts w:ascii="Times New Roman" w:hAnsi="Times New Roman" w:cs="Times New Roman"/>
          <w:i/>
          <w:color w:val="000000"/>
          <w:sz w:val="20"/>
          <w:szCs w:val="20"/>
          <w:lang w:val="ro-MD"/>
        </w:rPr>
      </w:pPr>
      <w:r w:rsidRPr="000D19A7">
        <w:rPr>
          <w:rFonts w:ascii="Times New Roman" w:hAnsi="Times New Roman" w:cs="Times New Roman"/>
          <w:i/>
          <w:color w:val="000000"/>
          <w:sz w:val="20"/>
          <w:szCs w:val="20"/>
          <w:lang w:val="ro-MD"/>
        </w:rPr>
        <w:t>mil. lei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141"/>
        <w:gridCol w:w="1127"/>
        <w:gridCol w:w="992"/>
        <w:gridCol w:w="1045"/>
        <w:gridCol w:w="1082"/>
      </w:tblGrid>
      <w:tr w:rsidR="00506C1B" w:rsidRPr="000D19A7" w14:paraId="71BA7839" w14:textId="77777777" w:rsidTr="003527AD">
        <w:trPr>
          <w:trHeight w:val="564"/>
        </w:trPr>
        <w:tc>
          <w:tcPr>
            <w:tcW w:w="2835" w:type="dxa"/>
            <w:shd w:val="clear" w:color="auto" w:fill="auto"/>
            <w:vAlign w:val="center"/>
            <w:hideMark/>
          </w:tcPr>
          <w:p w14:paraId="2A94E018"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Anul</w:t>
            </w:r>
          </w:p>
        </w:tc>
        <w:tc>
          <w:tcPr>
            <w:tcW w:w="1134" w:type="dxa"/>
            <w:shd w:val="clear" w:color="auto" w:fill="auto"/>
            <w:vAlign w:val="center"/>
            <w:hideMark/>
          </w:tcPr>
          <w:p w14:paraId="2C65B5A3"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2019</w:t>
            </w:r>
          </w:p>
        </w:tc>
        <w:tc>
          <w:tcPr>
            <w:tcW w:w="1141" w:type="dxa"/>
            <w:shd w:val="clear" w:color="auto" w:fill="auto"/>
            <w:vAlign w:val="center"/>
            <w:hideMark/>
          </w:tcPr>
          <w:p w14:paraId="54F5FB8A"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2020</w:t>
            </w:r>
          </w:p>
        </w:tc>
        <w:tc>
          <w:tcPr>
            <w:tcW w:w="1127" w:type="dxa"/>
            <w:shd w:val="clear" w:color="auto" w:fill="auto"/>
            <w:vAlign w:val="center"/>
            <w:hideMark/>
          </w:tcPr>
          <w:p w14:paraId="7BBFC85A"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2021</w:t>
            </w:r>
          </w:p>
        </w:tc>
        <w:tc>
          <w:tcPr>
            <w:tcW w:w="992" w:type="dxa"/>
            <w:shd w:val="clear" w:color="auto" w:fill="auto"/>
            <w:vAlign w:val="center"/>
            <w:hideMark/>
          </w:tcPr>
          <w:p w14:paraId="07762221"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2022</w:t>
            </w:r>
          </w:p>
        </w:tc>
        <w:tc>
          <w:tcPr>
            <w:tcW w:w="1045" w:type="dxa"/>
          </w:tcPr>
          <w:p w14:paraId="5A080229"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p>
          <w:p w14:paraId="0047C540"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2023</w:t>
            </w:r>
          </w:p>
        </w:tc>
        <w:tc>
          <w:tcPr>
            <w:tcW w:w="1082" w:type="dxa"/>
            <w:shd w:val="clear" w:color="auto" w:fill="auto"/>
            <w:vAlign w:val="center"/>
            <w:hideMark/>
          </w:tcPr>
          <w:p w14:paraId="5C66E05F" w14:textId="77777777" w:rsidR="00506C1B" w:rsidRPr="000D19A7" w:rsidRDefault="00506C1B" w:rsidP="00506C1B">
            <w:pPr>
              <w:spacing w:after="0" w:line="240" w:lineRule="auto"/>
              <w:jc w:val="center"/>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Devieri 2023 față de 2022</w:t>
            </w:r>
          </w:p>
        </w:tc>
      </w:tr>
      <w:tr w:rsidR="00506C1B" w:rsidRPr="000D19A7" w14:paraId="7B60E53B" w14:textId="77777777" w:rsidTr="003527AD">
        <w:trPr>
          <w:trHeight w:val="350"/>
        </w:trPr>
        <w:tc>
          <w:tcPr>
            <w:tcW w:w="2835" w:type="dxa"/>
            <w:shd w:val="clear" w:color="auto" w:fill="auto"/>
            <w:hideMark/>
          </w:tcPr>
          <w:p w14:paraId="19A31786" w14:textId="77777777" w:rsidR="00506C1B" w:rsidRPr="000D19A7" w:rsidRDefault="00506C1B" w:rsidP="00506C1B">
            <w:pPr>
              <w:spacing w:after="0" w:line="240"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 xml:space="preserve">Serviciul datoriei de stat, </w:t>
            </w:r>
            <w:r w:rsidRPr="000D19A7">
              <w:rPr>
                <w:rFonts w:ascii="Times New Roman" w:eastAsia="Times New Roman" w:hAnsi="Times New Roman" w:cs="Times New Roman"/>
                <w:i/>
                <w:color w:val="000000"/>
                <w:sz w:val="20"/>
                <w:szCs w:val="20"/>
                <w:lang w:val="ro-MD"/>
              </w:rPr>
              <w:t xml:space="preserve">inclusiv </w:t>
            </w:r>
            <w:r w:rsidRPr="000D19A7">
              <w:rPr>
                <w:rFonts w:ascii="Times New Roman" w:eastAsia="Times New Roman" w:hAnsi="Times New Roman" w:cs="Times New Roman"/>
                <w:color w:val="000000"/>
                <w:sz w:val="20"/>
                <w:szCs w:val="20"/>
                <w:lang w:val="ro-MD"/>
              </w:rPr>
              <w:t>:</w:t>
            </w:r>
          </w:p>
        </w:tc>
        <w:tc>
          <w:tcPr>
            <w:tcW w:w="1134" w:type="dxa"/>
            <w:shd w:val="clear" w:color="auto" w:fill="auto"/>
            <w:hideMark/>
          </w:tcPr>
          <w:p w14:paraId="20CA2A0D" w14:textId="3EB3DA85" w:rsidR="00506C1B" w:rsidRPr="000D19A7" w:rsidRDefault="00506C1B" w:rsidP="00965E44">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1 619,</w:t>
            </w:r>
            <w:r w:rsidR="00965E44" w:rsidRPr="000D19A7">
              <w:rPr>
                <w:rFonts w:ascii="Times New Roman" w:eastAsia="Times New Roman" w:hAnsi="Times New Roman" w:cs="Times New Roman"/>
                <w:color w:val="000000"/>
                <w:sz w:val="20"/>
                <w:szCs w:val="20"/>
                <w:lang w:val="ro-MD"/>
              </w:rPr>
              <w:t>56</w:t>
            </w:r>
          </w:p>
        </w:tc>
        <w:tc>
          <w:tcPr>
            <w:tcW w:w="1141" w:type="dxa"/>
            <w:shd w:val="clear" w:color="auto" w:fill="auto"/>
            <w:hideMark/>
          </w:tcPr>
          <w:p w14:paraId="06BBFB4F" w14:textId="05EE0596" w:rsidR="00506C1B" w:rsidRPr="000D19A7" w:rsidRDefault="00506C1B" w:rsidP="009927B6">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1 684,</w:t>
            </w:r>
            <w:r w:rsidR="009927B6" w:rsidRPr="000D19A7">
              <w:rPr>
                <w:rFonts w:ascii="Times New Roman" w:eastAsia="Times New Roman" w:hAnsi="Times New Roman" w:cs="Times New Roman"/>
                <w:color w:val="000000"/>
                <w:sz w:val="20"/>
                <w:szCs w:val="20"/>
                <w:lang w:val="ro-MD"/>
              </w:rPr>
              <w:t>19</w:t>
            </w:r>
          </w:p>
        </w:tc>
        <w:tc>
          <w:tcPr>
            <w:tcW w:w="1127" w:type="dxa"/>
            <w:shd w:val="clear" w:color="auto" w:fill="auto"/>
            <w:hideMark/>
          </w:tcPr>
          <w:p w14:paraId="74A4BD38" w14:textId="77777777" w:rsidR="00506C1B" w:rsidRPr="000D19A7" w:rsidRDefault="00506C1B" w:rsidP="00506C1B">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1 897,30</w:t>
            </w:r>
          </w:p>
        </w:tc>
        <w:tc>
          <w:tcPr>
            <w:tcW w:w="992" w:type="dxa"/>
            <w:shd w:val="clear" w:color="auto" w:fill="auto"/>
            <w:hideMark/>
          </w:tcPr>
          <w:p w14:paraId="6EFBFE09" w14:textId="74A386A2" w:rsidR="00506C1B" w:rsidRPr="000D19A7" w:rsidRDefault="0050003B" w:rsidP="00506C1B">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2 645,39</w:t>
            </w:r>
          </w:p>
        </w:tc>
        <w:tc>
          <w:tcPr>
            <w:tcW w:w="1045" w:type="dxa"/>
          </w:tcPr>
          <w:p w14:paraId="544D804D" w14:textId="6483A13C" w:rsidR="00506C1B" w:rsidRPr="000D19A7" w:rsidRDefault="00506C1B" w:rsidP="0050003B">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5 301,5</w:t>
            </w:r>
            <w:r w:rsidR="0050003B" w:rsidRPr="000D19A7">
              <w:rPr>
                <w:rFonts w:ascii="Times New Roman" w:eastAsia="Times New Roman" w:hAnsi="Times New Roman" w:cs="Times New Roman"/>
                <w:color w:val="000000"/>
                <w:sz w:val="20"/>
                <w:szCs w:val="20"/>
                <w:lang w:val="ro-MD"/>
              </w:rPr>
              <w:t>6</w:t>
            </w:r>
          </w:p>
        </w:tc>
        <w:tc>
          <w:tcPr>
            <w:tcW w:w="1082" w:type="dxa"/>
            <w:shd w:val="clear" w:color="auto" w:fill="auto"/>
            <w:hideMark/>
          </w:tcPr>
          <w:p w14:paraId="3C3FEC81" w14:textId="7AABED18" w:rsidR="00506C1B" w:rsidRPr="000D19A7" w:rsidRDefault="00506C1B" w:rsidP="00506C1B">
            <w:pPr>
              <w:spacing w:after="0" w:line="240" w:lineRule="auto"/>
              <w:jc w:val="center"/>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w:t>
            </w:r>
            <w:r w:rsidR="00DB0112" w:rsidRPr="000D19A7">
              <w:rPr>
                <w:rFonts w:ascii="Times New Roman" w:eastAsia="Times New Roman" w:hAnsi="Times New Roman" w:cs="Times New Roman"/>
                <w:color w:val="000000"/>
                <w:sz w:val="20"/>
                <w:szCs w:val="20"/>
                <w:lang w:val="ro-MD"/>
              </w:rPr>
              <w:t>2 656,17</w:t>
            </w:r>
          </w:p>
        </w:tc>
      </w:tr>
      <w:tr w:rsidR="00506C1B" w:rsidRPr="000D19A7" w14:paraId="15BE4C53" w14:textId="77777777" w:rsidTr="003527AD">
        <w:trPr>
          <w:trHeight w:val="253"/>
        </w:trPr>
        <w:tc>
          <w:tcPr>
            <w:tcW w:w="2835" w:type="dxa"/>
            <w:shd w:val="clear" w:color="auto" w:fill="auto"/>
          </w:tcPr>
          <w:p w14:paraId="4F46F681" w14:textId="77777777" w:rsidR="00506C1B" w:rsidRPr="000D19A7" w:rsidRDefault="00506C1B" w:rsidP="00506C1B">
            <w:pPr>
              <w:spacing w:after="0" w:line="240" w:lineRule="auto"/>
              <w:jc w:val="right"/>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Serviciul datoriei de stat interne</w:t>
            </w:r>
          </w:p>
        </w:tc>
        <w:tc>
          <w:tcPr>
            <w:tcW w:w="1134" w:type="dxa"/>
            <w:shd w:val="clear" w:color="auto" w:fill="auto"/>
          </w:tcPr>
          <w:p w14:paraId="706B8641" w14:textId="25316C23" w:rsidR="00506C1B" w:rsidRPr="000D19A7" w:rsidRDefault="00965E44"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1 207,44</w:t>
            </w:r>
          </w:p>
        </w:tc>
        <w:tc>
          <w:tcPr>
            <w:tcW w:w="1141" w:type="dxa"/>
            <w:shd w:val="clear" w:color="auto" w:fill="auto"/>
          </w:tcPr>
          <w:p w14:paraId="680A722F" w14:textId="1183EB3D" w:rsidR="00506C1B" w:rsidRPr="000D19A7" w:rsidRDefault="009927B6"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1 322,71</w:t>
            </w:r>
          </w:p>
        </w:tc>
        <w:tc>
          <w:tcPr>
            <w:tcW w:w="1127" w:type="dxa"/>
            <w:shd w:val="clear" w:color="auto" w:fill="auto"/>
          </w:tcPr>
          <w:p w14:paraId="73CB579A" w14:textId="77777777" w:rsidR="00506C1B" w:rsidRPr="000D19A7" w:rsidRDefault="00506C1B"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1 519,30</w:t>
            </w:r>
          </w:p>
        </w:tc>
        <w:tc>
          <w:tcPr>
            <w:tcW w:w="992" w:type="dxa"/>
            <w:shd w:val="clear" w:color="auto" w:fill="auto"/>
          </w:tcPr>
          <w:p w14:paraId="5AECA9AD" w14:textId="77777777" w:rsidR="00506C1B" w:rsidRPr="000D19A7" w:rsidRDefault="00506C1B"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2 084,80</w:t>
            </w:r>
          </w:p>
        </w:tc>
        <w:tc>
          <w:tcPr>
            <w:tcW w:w="1045" w:type="dxa"/>
          </w:tcPr>
          <w:p w14:paraId="44364011" w14:textId="79705280" w:rsidR="00506C1B" w:rsidRPr="000D19A7" w:rsidRDefault="0050003B"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3 867,52</w:t>
            </w:r>
          </w:p>
        </w:tc>
        <w:tc>
          <w:tcPr>
            <w:tcW w:w="1082" w:type="dxa"/>
            <w:shd w:val="clear" w:color="auto" w:fill="auto"/>
          </w:tcPr>
          <w:p w14:paraId="7044AD6E" w14:textId="46474420" w:rsidR="00506C1B" w:rsidRPr="000D19A7" w:rsidRDefault="00506C1B" w:rsidP="00506C1B">
            <w:pPr>
              <w:spacing w:after="0" w:line="240"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+1 78</w:t>
            </w:r>
            <w:r w:rsidR="00DB0112" w:rsidRPr="000D19A7">
              <w:rPr>
                <w:rFonts w:ascii="Times New Roman" w:eastAsia="Times New Roman" w:hAnsi="Times New Roman" w:cs="Times New Roman"/>
                <w:i/>
                <w:color w:val="000000"/>
                <w:sz w:val="20"/>
                <w:szCs w:val="20"/>
                <w:lang w:val="ro-MD"/>
              </w:rPr>
              <w:t>2,72</w:t>
            </w:r>
          </w:p>
        </w:tc>
      </w:tr>
      <w:tr w:rsidR="00506C1B" w:rsidRPr="000D19A7" w14:paraId="7B153BDB" w14:textId="77777777" w:rsidTr="003527AD">
        <w:trPr>
          <w:trHeight w:val="272"/>
        </w:trPr>
        <w:tc>
          <w:tcPr>
            <w:tcW w:w="2835" w:type="dxa"/>
            <w:shd w:val="clear" w:color="auto" w:fill="auto"/>
          </w:tcPr>
          <w:p w14:paraId="4082CD44" w14:textId="77777777" w:rsidR="00506C1B" w:rsidRPr="000D19A7" w:rsidRDefault="00506C1B" w:rsidP="00506C1B">
            <w:pPr>
              <w:spacing w:line="276" w:lineRule="auto"/>
              <w:jc w:val="right"/>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Serviciul datoriei de stat externe</w:t>
            </w:r>
          </w:p>
        </w:tc>
        <w:tc>
          <w:tcPr>
            <w:tcW w:w="1134" w:type="dxa"/>
            <w:shd w:val="clear" w:color="auto" w:fill="auto"/>
          </w:tcPr>
          <w:p w14:paraId="75097D9F" w14:textId="782A5882" w:rsidR="00506C1B" w:rsidRPr="000D19A7" w:rsidRDefault="00965E44" w:rsidP="00506C1B">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412,12</w:t>
            </w:r>
          </w:p>
        </w:tc>
        <w:tc>
          <w:tcPr>
            <w:tcW w:w="1141" w:type="dxa"/>
            <w:shd w:val="clear" w:color="auto" w:fill="auto"/>
          </w:tcPr>
          <w:p w14:paraId="08252763" w14:textId="590FE591" w:rsidR="00506C1B" w:rsidRPr="000D19A7" w:rsidRDefault="009927B6" w:rsidP="00506C1B">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361,48</w:t>
            </w:r>
          </w:p>
        </w:tc>
        <w:tc>
          <w:tcPr>
            <w:tcW w:w="1127" w:type="dxa"/>
            <w:shd w:val="clear" w:color="auto" w:fill="auto"/>
          </w:tcPr>
          <w:p w14:paraId="1464C6BA" w14:textId="05CACCF3" w:rsidR="00506C1B" w:rsidRPr="000D19A7" w:rsidRDefault="009927B6" w:rsidP="009927B6">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377</w:t>
            </w:r>
            <w:r w:rsidR="00506C1B" w:rsidRPr="000D19A7">
              <w:rPr>
                <w:rFonts w:ascii="Times New Roman" w:eastAsia="Times New Roman" w:hAnsi="Times New Roman" w:cs="Times New Roman"/>
                <w:i/>
                <w:color w:val="000000"/>
                <w:sz w:val="20"/>
                <w:szCs w:val="20"/>
                <w:lang w:val="ro-MD"/>
              </w:rPr>
              <w:t>,</w:t>
            </w:r>
            <w:r w:rsidRPr="000D19A7">
              <w:rPr>
                <w:rFonts w:ascii="Times New Roman" w:eastAsia="Times New Roman" w:hAnsi="Times New Roman" w:cs="Times New Roman"/>
                <w:i/>
                <w:color w:val="000000"/>
                <w:sz w:val="20"/>
                <w:szCs w:val="20"/>
                <w:lang w:val="ro-MD"/>
              </w:rPr>
              <w:t>96</w:t>
            </w:r>
          </w:p>
        </w:tc>
        <w:tc>
          <w:tcPr>
            <w:tcW w:w="992" w:type="dxa"/>
            <w:shd w:val="clear" w:color="auto" w:fill="auto"/>
          </w:tcPr>
          <w:p w14:paraId="7928852A" w14:textId="36FACB43" w:rsidR="00506C1B" w:rsidRPr="000D19A7" w:rsidRDefault="00506C1B" w:rsidP="0050003B">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560,</w:t>
            </w:r>
            <w:r w:rsidR="0050003B" w:rsidRPr="000D19A7">
              <w:rPr>
                <w:rFonts w:ascii="Times New Roman" w:eastAsia="Times New Roman" w:hAnsi="Times New Roman" w:cs="Times New Roman"/>
                <w:i/>
                <w:color w:val="000000"/>
                <w:sz w:val="20"/>
                <w:szCs w:val="20"/>
                <w:lang w:val="ro-MD"/>
              </w:rPr>
              <w:t>59</w:t>
            </w:r>
          </w:p>
        </w:tc>
        <w:tc>
          <w:tcPr>
            <w:tcW w:w="1045" w:type="dxa"/>
          </w:tcPr>
          <w:p w14:paraId="228993EC" w14:textId="584DC83F" w:rsidR="00506C1B" w:rsidRPr="000D19A7" w:rsidRDefault="00506C1B" w:rsidP="00506C1B">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1</w:t>
            </w:r>
            <w:r w:rsidR="0050003B" w:rsidRPr="000D19A7">
              <w:rPr>
                <w:rFonts w:ascii="Times New Roman" w:eastAsia="Times New Roman" w:hAnsi="Times New Roman" w:cs="Times New Roman"/>
                <w:i/>
                <w:color w:val="000000"/>
                <w:sz w:val="20"/>
                <w:szCs w:val="20"/>
                <w:lang w:val="ro-MD"/>
              </w:rPr>
              <w:t xml:space="preserve"> 434,04</w:t>
            </w:r>
          </w:p>
        </w:tc>
        <w:tc>
          <w:tcPr>
            <w:tcW w:w="1082" w:type="dxa"/>
            <w:shd w:val="clear" w:color="auto" w:fill="auto"/>
          </w:tcPr>
          <w:p w14:paraId="12FC7B5C" w14:textId="6FBD7221" w:rsidR="00506C1B" w:rsidRPr="000D19A7" w:rsidRDefault="00506C1B" w:rsidP="00506C1B">
            <w:pPr>
              <w:spacing w:line="276" w:lineRule="auto"/>
              <w:jc w:val="center"/>
              <w:rPr>
                <w:rFonts w:ascii="Times New Roman" w:eastAsia="Times New Roman" w:hAnsi="Times New Roman" w:cs="Times New Roman"/>
                <w:i/>
                <w:color w:val="000000"/>
                <w:sz w:val="20"/>
                <w:szCs w:val="20"/>
                <w:lang w:val="ro-MD"/>
              </w:rPr>
            </w:pPr>
            <w:r w:rsidRPr="000D19A7">
              <w:rPr>
                <w:rFonts w:ascii="Times New Roman" w:eastAsia="Times New Roman" w:hAnsi="Times New Roman" w:cs="Times New Roman"/>
                <w:i/>
                <w:color w:val="000000"/>
                <w:sz w:val="20"/>
                <w:szCs w:val="20"/>
                <w:lang w:val="ro-MD"/>
              </w:rPr>
              <w:t>+873,4</w:t>
            </w:r>
            <w:r w:rsidR="00DB0112" w:rsidRPr="000D19A7">
              <w:rPr>
                <w:rFonts w:ascii="Times New Roman" w:eastAsia="Times New Roman" w:hAnsi="Times New Roman" w:cs="Times New Roman"/>
                <w:i/>
                <w:color w:val="000000"/>
                <w:sz w:val="20"/>
                <w:szCs w:val="20"/>
                <w:lang w:val="ro-MD"/>
              </w:rPr>
              <w:t>5</w:t>
            </w:r>
          </w:p>
        </w:tc>
      </w:tr>
    </w:tbl>
    <w:p w14:paraId="78A62CAD" w14:textId="232D0CB9" w:rsidR="00506C1B" w:rsidRPr="000D19A7" w:rsidRDefault="00506C1B" w:rsidP="00C37AC7">
      <w:pPr>
        <w:autoSpaceDE w:val="0"/>
        <w:autoSpaceDN w:val="0"/>
        <w:adjustRightInd w:val="0"/>
        <w:spacing w:line="276" w:lineRule="auto"/>
        <w:ind w:firstLine="567"/>
        <w:jc w:val="both"/>
        <w:rPr>
          <w:rFonts w:ascii="Times New Roman" w:hAnsi="Times New Roman" w:cs="Times New Roman"/>
          <w:i/>
          <w:color w:val="000000"/>
          <w:sz w:val="20"/>
          <w:szCs w:val="20"/>
          <w:lang w:val="ro-MD"/>
        </w:rPr>
      </w:pPr>
      <w:r w:rsidRPr="000D19A7">
        <w:rPr>
          <w:rFonts w:ascii="Times New Roman" w:hAnsi="Times New Roman" w:cs="Times New Roman"/>
          <w:b/>
          <w:i/>
          <w:color w:val="000000"/>
          <w:sz w:val="20"/>
          <w:szCs w:val="20"/>
          <w:lang w:val="ro-MD"/>
        </w:rPr>
        <w:t>Sursa:</w:t>
      </w:r>
      <w:r w:rsidRPr="000D19A7">
        <w:rPr>
          <w:rFonts w:ascii="Times New Roman" w:hAnsi="Times New Roman" w:cs="Times New Roman"/>
          <w:i/>
          <w:color w:val="000000"/>
          <w:sz w:val="20"/>
          <w:szCs w:val="20"/>
          <w:lang w:val="ro-MD"/>
        </w:rPr>
        <w:t xml:space="preserve"> Informații generalizate de audit în baza datelor prezentate de MF</w:t>
      </w:r>
      <w:r w:rsidR="00923F9F" w:rsidRPr="000D19A7">
        <w:rPr>
          <w:rFonts w:ascii="Times New Roman" w:hAnsi="Times New Roman" w:cs="Times New Roman"/>
          <w:i/>
          <w:color w:val="000000"/>
          <w:sz w:val="20"/>
          <w:szCs w:val="20"/>
          <w:lang w:val="ro-MD"/>
        </w:rPr>
        <w:t>.</w:t>
      </w:r>
    </w:p>
    <w:p w14:paraId="207A6292" w14:textId="28D61827" w:rsidR="005740CB" w:rsidRPr="000D19A7" w:rsidRDefault="00506C1B" w:rsidP="005740CB">
      <w:pPr>
        <w:spacing w:after="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Analiza în dinamică </w:t>
      </w:r>
      <w:r w:rsidR="00C37AC7" w:rsidRPr="000D19A7">
        <w:rPr>
          <w:rFonts w:ascii="Times New Roman" w:hAnsi="Times New Roman" w:cs="Times New Roman"/>
          <w:lang w:val="ro-MD" w:eastAsia="ru-RU"/>
        </w:rPr>
        <w:t>a cheltuielilor aferen</w:t>
      </w:r>
      <w:r w:rsidR="00923F9F" w:rsidRPr="000D19A7">
        <w:rPr>
          <w:rFonts w:ascii="Times New Roman" w:hAnsi="Times New Roman" w:cs="Times New Roman"/>
          <w:lang w:val="ro-MD" w:eastAsia="ru-RU"/>
        </w:rPr>
        <w:t xml:space="preserve">te serviciului datoriei de stat relevă, </w:t>
      </w:r>
      <w:r w:rsidR="00C37AC7" w:rsidRPr="000D19A7">
        <w:rPr>
          <w:rFonts w:ascii="Times New Roman" w:hAnsi="Times New Roman" w:cs="Times New Roman"/>
          <w:lang w:val="ro-MD" w:eastAsia="ru-RU"/>
        </w:rPr>
        <w:t>la fel</w:t>
      </w:r>
      <w:r w:rsidR="00923F9F" w:rsidRPr="000D19A7">
        <w:rPr>
          <w:rFonts w:ascii="Times New Roman" w:hAnsi="Times New Roman" w:cs="Times New Roman"/>
          <w:lang w:val="ro-MD" w:eastAsia="ru-RU"/>
        </w:rPr>
        <w:t>,</w:t>
      </w:r>
      <w:r w:rsidR="00C37AC7" w:rsidRPr="000D19A7">
        <w:rPr>
          <w:rFonts w:ascii="Times New Roman" w:hAnsi="Times New Roman" w:cs="Times New Roman"/>
          <w:lang w:val="ro-MD" w:eastAsia="ru-RU"/>
        </w:rPr>
        <w:t xml:space="preserve"> un trend</w:t>
      </w:r>
      <w:r w:rsidR="00FA0623" w:rsidRPr="000D19A7">
        <w:rPr>
          <w:rFonts w:ascii="Times New Roman" w:hAnsi="Times New Roman" w:cs="Times New Roman"/>
          <w:lang w:val="ro-MD" w:eastAsia="ru-RU"/>
        </w:rPr>
        <w:t xml:space="preserve"> crescător, de la 1 619,56</w:t>
      </w:r>
      <w:r w:rsidR="00923F9F" w:rsidRPr="000D19A7">
        <w:rPr>
          <w:rFonts w:ascii="Times New Roman" w:hAnsi="Times New Roman" w:cs="Times New Roman"/>
          <w:lang w:val="ro-MD" w:eastAsia="ru-RU"/>
        </w:rPr>
        <w:t xml:space="preserve"> mil. lei în anul 2019 până la </w:t>
      </w:r>
      <w:r w:rsidR="00C37AC7" w:rsidRPr="000D19A7">
        <w:rPr>
          <w:rFonts w:ascii="Times New Roman" w:hAnsi="Times New Roman" w:cs="Times New Roman"/>
          <w:lang w:val="ro-MD" w:eastAsia="ru-RU"/>
        </w:rPr>
        <w:t>5 301,5</w:t>
      </w:r>
      <w:r w:rsidR="00FA0623" w:rsidRPr="000D19A7">
        <w:rPr>
          <w:rFonts w:ascii="Times New Roman" w:hAnsi="Times New Roman" w:cs="Times New Roman"/>
          <w:lang w:val="ro-MD" w:eastAsia="ru-RU"/>
        </w:rPr>
        <w:t>6</w:t>
      </w:r>
      <w:r w:rsidR="00C37AC7" w:rsidRPr="000D19A7">
        <w:rPr>
          <w:rFonts w:ascii="Times New Roman" w:hAnsi="Times New Roman" w:cs="Times New Roman"/>
          <w:lang w:val="ro-MD" w:eastAsia="ru-RU"/>
        </w:rPr>
        <w:t xml:space="preserve"> mil. lei în anul 2023. Această creștere</w:t>
      </w:r>
      <w:r w:rsidR="00E120A2" w:rsidRPr="000D19A7">
        <w:rPr>
          <w:rFonts w:ascii="Times New Roman" w:hAnsi="Times New Roman" w:cs="Times New Roman"/>
          <w:lang w:val="ro-MD" w:eastAsia="ru-RU"/>
        </w:rPr>
        <w:t xml:space="preserve">, potrivit explicațiilor MF, </w:t>
      </w:r>
      <w:r w:rsidR="00C37AC7" w:rsidRPr="000D19A7">
        <w:rPr>
          <w:rFonts w:ascii="Times New Roman" w:hAnsi="Times New Roman" w:cs="Times New Roman"/>
          <w:lang w:val="ro-MD" w:eastAsia="ru-RU"/>
        </w:rPr>
        <w:t xml:space="preserve"> </w:t>
      </w:r>
      <w:r w:rsidR="00E120A2" w:rsidRPr="000D19A7">
        <w:rPr>
          <w:rFonts w:ascii="Times New Roman" w:hAnsi="Times New Roman" w:cs="Times New Roman"/>
          <w:lang w:val="ro-MD" w:eastAsia="ru-RU"/>
        </w:rPr>
        <w:t>se datorează</w:t>
      </w:r>
      <w:r w:rsidR="00C37AC7" w:rsidRPr="000D19A7">
        <w:rPr>
          <w:rFonts w:ascii="Times New Roman" w:hAnsi="Times New Roman" w:cs="Times New Roman"/>
          <w:lang w:val="ro-MD" w:eastAsia="ru-RU"/>
        </w:rPr>
        <w:t xml:space="preserve"> major</w:t>
      </w:r>
      <w:r w:rsidR="00E120A2" w:rsidRPr="000D19A7">
        <w:rPr>
          <w:rFonts w:ascii="Times New Roman" w:hAnsi="Times New Roman" w:cs="Times New Roman"/>
          <w:lang w:val="ro-MD" w:eastAsia="ru-RU"/>
        </w:rPr>
        <w:t>ării</w:t>
      </w:r>
      <w:r w:rsidR="00C37AC7" w:rsidRPr="000D19A7">
        <w:rPr>
          <w:rFonts w:ascii="Times New Roman" w:hAnsi="Times New Roman" w:cs="Times New Roman"/>
          <w:lang w:val="ro-MD" w:eastAsia="ru-RU"/>
        </w:rPr>
        <w:t xml:space="preserve"> </w:t>
      </w:r>
      <w:r w:rsidR="00E120A2" w:rsidRPr="000D19A7">
        <w:rPr>
          <w:rFonts w:ascii="Times New Roman" w:hAnsi="Times New Roman" w:cs="Times New Roman"/>
          <w:lang w:val="ro-MD" w:eastAsia="ru-RU"/>
        </w:rPr>
        <w:t>ratelor de dobândă, atât la împrumuturile interne</w:t>
      </w:r>
      <w:r w:rsidR="00923F9F" w:rsidRPr="000D19A7">
        <w:rPr>
          <w:rFonts w:ascii="Times New Roman" w:hAnsi="Times New Roman" w:cs="Times New Roman"/>
          <w:lang w:val="ro-MD" w:eastAsia="ru-RU"/>
        </w:rPr>
        <w:t>,</w:t>
      </w:r>
      <w:r w:rsidR="00E120A2" w:rsidRPr="000D19A7">
        <w:rPr>
          <w:rFonts w:ascii="Times New Roman" w:hAnsi="Times New Roman" w:cs="Times New Roman"/>
          <w:lang w:val="ro-MD" w:eastAsia="ru-RU"/>
        </w:rPr>
        <w:t xml:space="preserve"> câ</w:t>
      </w:r>
      <w:r w:rsidR="00FA0623" w:rsidRPr="000D19A7">
        <w:rPr>
          <w:rFonts w:ascii="Times New Roman" w:hAnsi="Times New Roman" w:cs="Times New Roman"/>
          <w:lang w:val="ro-MD" w:eastAsia="ru-RU"/>
        </w:rPr>
        <w:t xml:space="preserve">t și </w:t>
      </w:r>
      <w:r w:rsidR="00923F9F" w:rsidRPr="000D19A7">
        <w:rPr>
          <w:rFonts w:ascii="Times New Roman" w:hAnsi="Times New Roman" w:cs="Times New Roman"/>
          <w:lang w:val="ro-MD" w:eastAsia="ru-RU"/>
        </w:rPr>
        <w:t xml:space="preserve">la </w:t>
      </w:r>
      <w:r w:rsidR="00FA0623" w:rsidRPr="000D19A7">
        <w:rPr>
          <w:rFonts w:ascii="Times New Roman" w:hAnsi="Times New Roman" w:cs="Times New Roman"/>
          <w:lang w:val="ro-MD" w:eastAsia="ru-RU"/>
        </w:rPr>
        <w:t xml:space="preserve">cele externe, </w:t>
      </w:r>
      <w:r w:rsidR="00923F9F" w:rsidRPr="000D19A7">
        <w:rPr>
          <w:rFonts w:ascii="Times New Roman" w:hAnsi="Times New Roman" w:cs="Times New Roman"/>
          <w:lang w:val="ro-MD" w:eastAsia="ru-RU"/>
        </w:rPr>
        <w:t xml:space="preserve">fiind </w:t>
      </w:r>
      <w:r w:rsidR="00FA0623" w:rsidRPr="000D19A7">
        <w:rPr>
          <w:rFonts w:ascii="Times New Roman" w:hAnsi="Times New Roman" w:cs="Times New Roman"/>
          <w:lang w:val="ro-MD" w:eastAsia="ru-RU"/>
        </w:rPr>
        <w:t>influențat</w:t>
      </w:r>
      <w:r w:rsidR="00923F9F" w:rsidRPr="000D19A7">
        <w:rPr>
          <w:rFonts w:ascii="Times New Roman" w:hAnsi="Times New Roman" w:cs="Times New Roman"/>
          <w:lang w:val="ro-MD" w:eastAsia="ru-RU"/>
        </w:rPr>
        <w:t>ă de situația pe piețele externă</w:t>
      </w:r>
      <w:r w:rsidR="00FA0623" w:rsidRPr="000D19A7">
        <w:rPr>
          <w:rFonts w:ascii="Times New Roman" w:hAnsi="Times New Roman" w:cs="Times New Roman"/>
          <w:lang w:val="ro-MD" w:eastAsia="ru-RU"/>
        </w:rPr>
        <w:t xml:space="preserve"> și intern</w:t>
      </w:r>
      <w:r w:rsidR="00923F9F" w:rsidRPr="000D19A7">
        <w:rPr>
          <w:rFonts w:ascii="Times New Roman" w:hAnsi="Times New Roman" w:cs="Times New Roman"/>
          <w:lang w:val="ro-MD" w:eastAsia="ru-RU"/>
        </w:rPr>
        <w:t>ă</w:t>
      </w:r>
      <w:r w:rsidR="00FA0623" w:rsidRPr="000D19A7">
        <w:rPr>
          <w:rFonts w:ascii="Times New Roman" w:hAnsi="Times New Roman" w:cs="Times New Roman"/>
          <w:lang w:val="ro-MD" w:eastAsia="ru-RU"/>
        </w:rPr>
        <w:t>.</w:t>
      </w:r>
      <w:r w:rsidR="00C37AC7" w:rsidRPr="000D19A7">
        <w:rPr>
          <w:rFonts w:ascii="Times New Roman" w:hAnsi="Times New Roman" w:cs="Times New Roman"/>
          <w:lang w:val="ro-MD" w:eastAsia="ru-RU"/>
        </w:rPr>
        <w:t xml:space="preserve"> </w:t>
      </w:r>
      <w:r w:rsidR="00B706BF" w:rsidRPr="000D19A7">
        <w:rPr>
          <w:rFonts w:ascii="Times New Roman" w:hAnsi="Times New Roman" w:cs="Times New Roman"/>
          <w:lang w:val="ro-MD" w:eastAsia="ru-RU"/>
        </w:rPr>
        <w:t>Totodată</w:t>
      </w:r>
      <w:r w:rsidR="00923F9F" w:rsidRPr="000D19A7">
        <w:rPr>
          <w:rFonts w:ascii="Times New Roman" w:hAnsi="Times New Roman" w:cs="Times New Roman"/>
          <w:lang w:val="ro-MD" w:eastAsia="ru-RU"/>
        </w:rPr>
        <w:t>,</w:t>
      </w:r>
      <w:r w:rsidR="00B706BF" w:rsidRPr="000D19A7">
        <w:rPr>
          <w:rFonts w:ascii="Times New Roman" w:hAnsi="Times New Roman" w:cs="Times New Roman"/>
          <w:lang w:val="ro-MD" w:eastAsia="ru-RU"/>
        </w:rPr>
        <w:t xml:space="preserve"> </w:t>
      </w:r>
      <w:r w:rsidR="00923F9F" w:rsidRPr="000D19A7">
        <w:rPr>
          <w:rFonts w:ascii="Times New Roman" w:hAnsi="Times New Roman" w:cs="Times New Roman"/>
          <w:lang w:val="ro-MD" w:eastAsia="ru-RU"/>
        </w:rPr>
        <w:t xml:space="preserve">reieșind </w:t>
      </w:r>
      <w:r w:rsidR="00B706BF" w:rsidRPr="000D19A7">
        <w:rPr>
          <w:rFonts w:ascii="Times New Roman" w:hAnsi="Times New Roman" w:cs="Times New Roman"/>
          <w:lang w:val="ro-MD" w:eastAsia="ru-RU"/>
        </w:rPr>
        <w:t>din datele analizate</w:t>
      </w:r>
      <w:r w:rsidR="005D0F8E" w:rsidRPr="000D19A7">
        <w:rPr>
          <w:rFonts w:ascii="Times New Roman" w:hAnsi="Times New Roman" w:cs="Times New Roman"/>
          <w:lang w:val="ro-MD" w:eastAsia="ru-RU"/>
        </w:rPr>
        <w:t>,</w:t>
      </w:r>
      <w:r w:rsidR="00B706BF" w:rsidRPr="000D19A7">
        <w:rPr>
          <w:rFonts w:ascii="Times New Roman" w:hAnsi="Times New Roman" w:cs="Times New Roman"/>
          <w:lang w:val="ro-MD" w:eastAsia="ru-RU"/>
        </w:rPr>
        <w:t xml:space="preserve"> </w:t>
      </w:r>
      <w:r w:rsidR="00DA2F25" w:rsidRPr="000D19A7">
        <w:rPr>
          <w:rFonts w:ascii="Times New Roman" w:hAnsi="Times New Roman" w:cs="Times New Roman"/>
          <w:lang w:val="ro-MD" w:eastAsia="ru-RU"/>
        </w:rPr>
        <w:t xml:space="preserve">auditul </w:t>
      </w:r>
      <w:r w:rsidR="005D0F8E" w:rsidRPr="000D19A7">
        <w:rPr>
          <w:rFonts w:ascii="Times New Roman" w:hAnsi="Times New Roman" w:cs="Times New Roman"/>
          <w:lang w:val="ro-MD" w:eastAsia="ru-RU"/>
        </w:rPr>
        <w:t>denotă</w:t>
      </w:r>
      <w:r w:rsidR="00B706BF" w:rsidRPr="000D19A7">
        <w:rPr>
          <w:rFonts w:ascii="Times New Roman" w:hAnsi="Times New Roman" w:cs="Times New Roman"/>
          <w:lang w:val="ro-MD" w:eastAsia="ru-RU"/>
        </w:rPr>
        <w:t xml:space="preserve"> că</w:t>
      </w:r>
      <w:r w:rsidR="00DA2F25" w:rsidRPr="000D19A7">
        <w:rPr>
          <w:rFonts w:ascii="Times New Roman" w:hAnsi="Times New Roman" w:cs="Times New Roman"/>
          <w:lang w:val="ro-MD" w:eastAsia="ru-RU"/>
        </w:rPr>
        <w:t xml:space="preserve"> resursele financiare extern</w:t>
      </w:r>
      <w:r w:rsidR="005D0F8E" w:rsidRPr="000D19A7">
        <w:rPr>
          <w:rFonts w:ascii="Times New Roman" w:hAnsi="Times New Roman" w:cs="Times New Roman"/>
          <w:lang w:val="ro-MD" w:eastAsia="ru-RU"/>
        </w:rPr>
        <w:t>e sunt de 2 ori mai ieftine decâ</w:t>
      </w:r>
      <w:r w:rsidR="00DA2F25" w:rsidRPr="000D19A7">
        <w:rPr>
          <w:rFonts w:ascii="Times New Roman" w:hAnsi="Times New Roman" w:cs="Times New Roman"/>
          <w:lang w:val="ro-MD" w:eastAsia="ru-RU"/>
        </w:rPr>
        <w:t xml:space="preserve">t cele interne, povara de deservire a datoriei interne fiind una </w:t>
      </w:r>
      <w:r w:rsidR="00205B18" w:rsidRPr="000D19A7">
        <w:rPr>
          <w:rFonts w:ascii="Times New Roman" w:hAnsi="Times New Roman" w:cs="Times New Roman"/>
          <w:lang w:val="ro-MD" w:eastAsia="ru-RU"/>
        </w:rPr>
        <w:t>mare asupra bugetului de stat.</w:t>
      </w:r>
      <w:r w:rsidR="004A4957" w:rsidRPr="000D19A7">
        <w:rPr>
          <w:rFonts w:ascii="Times New Roman" w:hAnsi="Times New Roman" w:cs="Times New Roman"/>
          <w:lang w:val="ro-MD" w:eastAsia="ru-RU"/>
        </w:rPr>
        <w:t xml:space="preserve"> </w:t>
      </w:r>
      <w:r w:rsidR="005740CB" w:rsidRPr="000D19A7">
        <w:rPr>
          <w:rFonts w:ascii="Times New Roman" w:hAnsi="Times New Roman" w:cs="Times New Roman"/>
          <w:i/>
          <w:lang w:val="ro-MD" w:eastAsia="ru-RU"/>
        </w:rPr>
        <w:t xml:space="preserve">Ratele dobânzii pentru VMS, aplicate de MF, în dinamică, pe parcursul perioadei 2019-2023 se prezintă în </w:t>
      </w:r>
      <w:r w:rsidR="004A4957" w:rsidRPr="000D19A7">
        <w:rPr>
          <w:rFonts w:ascii="Times New Roman" w:hAnsi="Times New Roman" w:cs="Times New Roman"/>
          <w:i/>
          <w:lang w:val="ro-MD" w:eastAsia="ru-RU"/>
        </w:rPr>
        <w:t>Tabelul nr.3.</w:t>
      </w:r>
    </w:p>
    <w:p w14:paraId="1224345D" w14:textId="51E48CF1" w:rsidR="005740CB" w:rsidRPr="000D19A7" w:rsidRDefault="004A4957" w:rsidP="005740CB">
      <w:pPr>
        <w:spacing w:after="0" w:line="276" w:lineRule="auto"/>
        <w:jc w:val="right"/>
        <w:rPr>
          <w:rFonts w:ascii="Times New Roman" w:hAnsi="Times New Roman" w:cs="Times New Roman"/>
          <w:b/>
          <w:i/>
          <w:lang w:val="ro-MD" w:eastAsia="ru-RU"/>
        </w:rPr>
      </w:pPr>
      <w:r w:rsidRPr="000D19A7">
        <w:rPr>
          <w:rFonts w:ascii="Times New Roman" w:hAnsi="Times New Roman" w:cs="Times New Roman"/>
          <w:b/>
          <w:i/>
          <w:lang w:val="ro-MD" w:eastAsia="ru-RU"/>
        </w:rPr>
        <w:t>Tabelul nr.3</w:t>
      </w:r>
    </w:p>
    <w:p w14:paraId="11F9858A" w14:textId="77777777" w:rsidR="005740CB" w:rsidRPr="000D19A7" w:rsidRDefault="005740CB" w:rsidP="005740CB">
      <w:pPr>
        <w:spacing w:after="0" w:line="276" w:lineRule="auto"/>
        <w:jc w:val="center"/>
        <w:rPr>
          <w:rFonts w:ascii="Times New Roman" w:hAnsi="Times New Roman" w:cs="Times New Roman"/>
          <w:b/>
          <w:lang w:val="ro-MD" w:eastAsia="ru-RU"/>
        </w:rPr>
      </w:pPr>
      <w:r w:rsidRPr="000D19A7">
        <w:rPr>
          <w:rFonts w:ascii="Times New Roman" w:hAnsi="Times New Roman" w:cs="Times New Roman"/>
          <w:b/>
          <w:lang w:val="ro-MD" w:eastAsia="ru-RU"/>
        </w:rPr>
        <w:t>Dinamica ratelor de dobândă aplicate de Ministerul Finanțelor pentru VMS</w:t>
      </w:r>
    </w:p>
    <w:tbl>
      <w:tblPr>
        <w:tblStyle w:val="TableGrid14"/>
        <w:tblpPr w:leftFromText="180" w:rightFromText="180" w:vertAnchor="text" w:horzAnchor="margin" w:tblpY="186"/>
        <w:tblW w:w="9351" w:type="dxa"/>
        <w:tblLook w:val="04A0" w:firstRow="1" w:lastRow="0" w:firstColumn="1" w:lastColumn="0" w:noHBand="0" w:noVBand="1"/>
      </w:tblPr>
      <w:tblGrid>
        <w:gridCol w:w="3681"/>
        <w:gridCol w:w="1134"/>
        <w:gridCol w:w="1134"/>
        <w:gridCol w:w="1134"/>
        <w:gridCol w:w="1134"/>
        <w:gridCol w:w="1134"/>
      </w:tblGrid>
      <w:tr w:rsidR="005740CB" w:rsidRPr="000D19A7" w14:paraId="63D303A2" w14:textId="77777777" w:rsidTr="00462D61">
        <w:tc>
          <w:tcPr>
            <w:tcW w:w="3681" w:type="dxa"/>
          </w:tcPr>
          <w:p w14:paraId="2C84C9FD"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Denumirea indicatorului</w:t>
            </w:r>
          </w:p>
        </w:tc>
        <w:tc>
          <w:tcPr>
            <w:tcW w:w="1134" w:type="dxa"/>
          </w:tcPr>
          <w:p w14:paraId="7D45B3F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2019</w:t>
            </w:r>
          </w:p>
        </w:tc>
        <w:tc>
          <w:tcPr>
            <w:tcW w:w="1134" w:type="dxa"/>
          </w:tcPr>
          <w:p w14:paraId="7617033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2020</w:t>
            </w:r>
          </w:p>
        </w:tc>
        <w:tc>
          <w:tcPr>
            <w:tcW w:w="1134" w:type="dxa"/>
          </w:tcPr>
          <w:p w14:paraId="6BE457FC"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2021</w:t>
            </w:r>
          </w:p>
        </w:tc>
        <w:tc>
          <w:tcPr>
            <w:tcW w:w="1134" w:type="dxa"/>
          </w:tcPr>
          <w:p w14:paraId="32103F21"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2022</w:t>
            </w:r>
          </w:p>
        </w:tc>
        <w:tc>
          <w:tcPr>
            <w:tcW w:w="1134" w:type="dxa"/>
          </w:tcPr>
          <w:p w14:paraId="3452B413"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2023</w:t>
            </w:r>
          </w:p>
        </w:tc>
      </w:tr>
      <w:tr w:rsidR="008C3242" w:rsidRPr="000D19A7" w14:paraId="36AB4D79" w14:textId="77777777" w:rsidTr="00B76817">
        <w:tc>
          <w:tcPr>
            <w:tcW w:w="9351" w:type="dxa"/>
            <w:gridSpan w:val="6"/>
          </w:tcPr>
          <w:p w14:paraId="0CF5397E" w14:textId="00341822" w:rsidR="008C3242" w:rsidRPr="000D19A7" w:rsidRDefault="008C3242" w:rsidP="008C3242">
            <w:pPr>
              <w:pStyle w:val="a7"/>
              <w:numPr>
                <w:ilvl w:val="0"/>
                <w:numId w:val="43"/>
              </w:numPr>
              <w:tabs>
                <w:tab w:val="left" w:pos="288"/>
                <w:tab w:val="left" w:pos="851"/>
              </w:tabs>
              <w:autoSpaceDE w:val="0"/>
              <w:autoSpaceDN w:val="0"/>
              <w:adjustRightInd w:val="0"/>
              <w:spacing w:line="276" w:lineRule="auto"/>
              <w:ind w:left="34" w:firstLine="0"/>
              <w:rPr>
                <w:rFonts w:ascii="Times New Roman" w:hAnsi="Times New Roman" w:cs="Times New Roman"/>
                <w:b/>
                <w:color w:val="000000"/>
                <w:sz w:val="20"/>
                <w:szCs w:val="20"/>
                <w:lang w:val="ro-MD"/>
              </w:rPr>
            </w:pPr>
            <w:r w:rsidRPr="000D19A7">
              <w:rPr>
                <w:rFonts w:ascii="Times New Roman" w:hAnsi="Times New Roman" w:cs="Times New Roman"/>
                <w:b/>
                <w:color w:val="000000"/>
                <w:sz w:val="20"/>
                <w:szCs w:val="20"/>
                <w:lang w:val="ro-MD"/>
              </w:rPr>
              <w:t>Datoria de stat internă</w:t>
            </w:r>
          </w:p>
        </w:tc>
      </w:tr>
      <w:tr w:rsidR="005740CB" w:rsidRPr="000D19A7" w14:paraId="0A15E422" w14:textId="77777777" w:rsidTr="005A49FF">
        <w:trPr>
          <w:trHeight w:val="422"/>
        </w:trPr>
        <w:tc>
          <w:tcPr>
            <w:tcW w:w="3681" w:type="dxa"/>
          </w:tcPr>
          <w:p w14:paraId="64C7E55C" w14:textId="77777777" w:rsidR="005740CB" w:rsidRPr="000D19A7" w:rsidRDefault="005740CB" w:rsidP="005740CB">
            <w:pPr>
              <w:numPr>
                <w:ilvl w:val="0"/>
                <w:numId w:val="41"/>
              </w:numPr>
              <w:tabs>
                <w:tab w:val="left" w:pos="264"/>
                <w:tab w:val="left" w:pos="420"/>
                <w:tab w:val="left" w:pos="851"/>
              </w:tabs>
              <w:autoSpaceDE w:val="0"/>
              <w:autoSpaceDN w:val="0"/>
              <w:adjustRightInd w:val="0"/>
              <w:spacing w:after="160" w:line="276" w:lineRule="auto"/>
              <w:ind w:left="34" w:firstLine="0"/>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Rata nominală medie ponderată a dobânzii la VMS comercializate, %</w:t>
            </w:r>
          </w:p>
        </w:tc>
        <w:tc>
          <w:tcPr>
            <w:tcW w:w="1134" w:type="dxa"/>
            <w:vAlign w:val="center"/>
          </w:tcPr>
          <w:p w14:paraId="63B6E26C"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6,22</w:t>
            </w:r>
          </w:p>
        </w:tc>
        <w:tc>
          <w:tcPr>
            <w:tcW w:w="1134" w:type="dxa"/>
            <w:vAlign w:val="center"/>
          </w:tcPr>
          <w:p w14:paraId="7A192791"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5,19</w:t>
            </w:r>
          </w:p>
        </w:tc>
        <w:tc>
          <w:tcPr>
            <w:tcW w:w="1134" w:type="dxa"/>
            <w:vAlign w:val="center"/>
          </w:tcPr>
          <w:p w14:paraId="320FD9D1"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5,64</w:t>
            </w:r>
          </w:p>
        </w:tc>
        <w:tc>
          <w:tcPr>
            <w:tcW w:w="1134" w:type="dxa"/>
            <w:vAlign w:val="center"/>
          </w:tcPr>
          <w:p w14:paraId="2523EF62"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17,76</w:t>
            </w:r>
          </w:p>
        </w:tc>
        <w:tc>
          <w:tcPr>
            <w:tcW w:w="1134" w:type="dxa"/>
            <w:vAlign w:val="center"/>
          </w:tcPr>
          <w:p w14:paraId="6EA34EE0"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8,62</w:t>
            </w:r>
          </w:p>
        </w:tc>
      </w:tr>
      <w:tr w:rsidR="005740CB" w:rsidRPr="000D19A7" w14:paraId="6C76863C" w14:textId="77777777" w:rsidTr="00462D61">
        <w:tc>
          <w:tcPr>
            <w:tcW w:w="3681" w:type="dxa"/>
          </w:tcPr>
          <w:p w14:paraId="04DDB077" w14:textId="77777777" w:rsidR="005740CB" w:rsidRPr="000D19A7" w:rsidRDefault="005740CB" w:rsidP="005740CB">
            <w:pPr>
              <w:numPr>
                <w:ilvl w:val="0"/>
                <w:numId w:val="41"/>
              </w:numPr>
              <w:tabs>
                <w:tab w:val="left" w:pos="240"/>
                <w:tab w:val="left" w:pos="851"/>
              </w:tabs>
              <w:autoSpaceDE w:val="0"/>
              <w:autoSpaceDN w:val="0"/>
              <w:adjustRightInd w:val="0"/>
              <w:spacing w:after="160" w:line="276" w:lineRule="auto"/>
              <w:ind w:left="0" w:firstLine="0"/>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Rata medie ponderată a dobânzii pentru VMS convertite răscumpărate, %</w:t>
            </w:r>
          </w:p>
        </w:tc>
        <w:tc>
          <w:tcPr>
            <w:tcW w:w="1134" w:type="dxa"/>
            <w:vAlign w:val="center"/>
          </w:tcPr>
          <w:p w14:paraId="47C77CFA"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4,56</w:t>
            </w:r>
          </w:p>
        </w:tc>
        <w:tc>
          <w:tcPr>
            <w:tcW w:w="1134" w:type="dxa"/>
            <w:vAlign w:val="center"/>
          </w:tcPr>
          <w:p w14:paraId="4B12620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6,59</w:t>
            </w:r>
          </w:p>
        </w:tc>
        <w:tc>
          <w:tcPr>
            <w:tcW w:w="1134" w:type="dxa"/>
            <w:vAlign w:val="center"/>
          </w:tcPr>
          <w:p w14:paraId="1B4887C2"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4,21</w:t>
            </w:r>
          </w:p>
        </w:tc>
        <w:tc>
          <w:tcPr>
            <w:tcW w:w="1134" w:type="dxa"/>
            <w:vAlign w:val="center"/>
          </w:tcPr>
          <w:p w14:paraId="488CDAB1"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6,44</w:t>
            </w:r>
          </w:p>
        </w:tc>
        <w:tc>
          <w:tcPr>
            <w:tcW w:w="1134" w:type="dxa"/>
            <w:vAlign w:val="center"/>
          </w:tcPr>
          <w:p w14:paraId="5EAEA180"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15,69</w:t>
            </w:r>
          </w:p>
        </w:tc>
      </w:tr>
      <w:tr w:rsidR="005740CB" w:rsidRPr="000D19A7" w14:paraId="02D79783" w14:textId="77777777" w:rsidTr="00462D61">
        <w:tc>
          <w:tcPr>
            <w:tcW w:w="3681" w:type="dxa"/>
          </w:tcPr>
          <w:p w14:paraId="1A08AABA" w14:textId="77777777" w:rsidR="005740CB" w:rsidRPr="000D19A7" w:rsidRDefault="005740CB" w:rsidP="005740CB">
            <w:pPr>
              <w:numPr>
                <w:ilvl w:val="0"/>
                <w:numId w:val="41"/>
              </w:numPr>
              <w:tabs>
                <w:tab w:val="left" w:pos="276"/>
                <w:tab w:val="left" w:pos="851"/>
              </w:tabs>
              <w:autoSpaceDE w:val="0"/>
              <w:autoSpaceDN w:val="0"/>
              <w:adjustRightInd w:val="0"/>
              <w:spacing w:after="160" w:line="276" w:lineRule="auto"/>
              <w:ind w:left="0" w:firstLine="0"/>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Rata medie ponderată a dobânzii pentru VMS convertite reemise, %</w:t>
            </w:r>
          </w:p>
        </w:tc>
        <w:tc>
          <w:tcPr>
            <w:tcW w:w="1134" w:type="dxa"/>
            <w:vAlign w:val="center"/>
          </w:tcPr>
          <w:p w14:paraId="598A7005"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6,25</w:t>
            </w:r>
          </w:p>
        </w:tc>
        <w:tc>
          <w:tcPr>
            <w:tcW w:w="1134" w:type="dxa"/>
            <w:vAlign w:val="center"/>
          </w:tcPr>
          <w:p w14:paraId="2EF8507A"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5,9</w:t>
            </w:r>
          </w:p>
        </w:tc>
        <w:tc>
          <w:tcPr>
            <w:tcW w:w="1134" w:type="dxa"/>
            <w:vAlign w:val="center"/>
          </w:tcPr>
          <w:p w14:paraId="073417F0"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4,13</w:t>
            </w:r>
          </w:p>
        </w:tc>
        <w:tc>
          <w:tcPr>
            <w:tcW w:w="1134" w:type="dxa"/>
            <w:vAlign w:val="center"/>
          </w:tcPr>
          <w:p w14:paraId="74870DD4"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15,05</w:t>
            </w:r>
          </w:p>
        </w:tc>
        <w:tc>
          <w:tcPr>
            <w:tcW w:w="1134" w:type="dxa"/>
            <w:vAlign w:val="center"/>
          </w:tcPr>
          <w:p w14:paraId="7C2A6E54"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11,13</w:t>
            </w:r>
          </w:p>
        </w:tc>
      </w:tr>
      <w:tr w:rsidR="005740CB" w:rsidRPr="000D19A7" w14:paraId="14D3CBDE" w14:textId="77777777" w:rsidTr="00462D61">
        <w:tc>
          <w:tcPr>
            <w:tcW w:w="3681" w:type="dxa"/>
          </w:tcPr>
          <w:p w14:paraId="23DC2DF8" w14:textId="77777777" w:rsidR="005740CB" w:rsidRPr="000D19A7" w:rsidRDefault="005740CB" w:rsidP="005740CB">
            <w:pPr>
              <w:numPr>
                <w:ilvl w:val="0"/>
                <w:numId w:val="41"/>
              </w:numPr>
              <w:tabs>
                <w:tab w:val="left" w:pos="276"/>
                <w:tab w:val="left" w:pos="851"/>
              </w:tabs>
              <w:autoSpaceDE w:val="0"/>
              <w:autoSpaceDN w:val="0"/>
              <w:adjustRightInd w:val="0"/>
              <w:spacing w:after="160" w:line="276" w:lineRule="auto"/>
              <w:ind w:left="0" w:firstLine="0"/>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Rata medie a dobânzii pentru VMS emise pentru executarea obligațiilor de plată, derivate din garanțiile de stat, %</w:t>
            </w:r>
          </w:p>
        </w:tc>
        <w:tc>
          <w:tcPr>
            <w:tcW w:w="1134" w:type="dxa"/>
            <w:vAlign w:val="center"/>
          </w:tcPr>
          <w:p w14:paraId="50DC5178"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w:t>
            </w:r>
          </w:p>
        </w:tc>
        <w:tc>
          <w:tcPr>
            <w:tcW w:w="1134" w:type="dxa"/>
            <w:vAlign w:val="center"/>
          </w:tcPr>
          <w:p w14:paraId="2F2E594A"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w:t>
            </w:r>
          </w:p>
        </w:tc>
        <w:tc>
          <w:tcPr>
            <w:tcW w:w="1134" w:type="dxa"/>
            <w:vAlign w:val="center"/>
          </w:tcPr>
          <w:p w14:paraId="2024268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w:t>
            </w:r>
          </w:p>
        </w:tc>
        <w:tc>
          <w:tcPr>
            <w:tcW w:w="1134" w:type="dxa"/>
            <w:vAlign w:val="center"/>
          </w:tcPr>
          <w:p w14:paraId="25E7D1A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5,0</w:t>
            </w:r>
          </w:p>
        </w:tc>
        <w:tc>
          <w:tcPr>
            <w:tcW w:w="1134" w:type="dxa"/>
            <w:vAlign w:val="center"/>
          </w:tcPr>
          <w:p w14:paraId="4963CD9D"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5,0</w:t>
            </w:r>
          </w:p>
        </w:tc>
      </w:tr>
      <w:tr w:rsidR="005740CB" w:rsidRPr="000D19A7" w14:paraId="5CAC9641" w14:textId="77777777" w:rsidTr="00462D61">
        <w:tc>
          <w:tcPr>
            <w:tcW w:w="3681" w:type="dxa"/>
          </w:tcPr>
          <w:p w14:paraId="1C40B03C" w14:textId="77777777" w:rsidR="005740CB" w:rsidRPr="000D19A7" w:rsidRDefault="005740CB" w:rsidP="005740CB">
            <w:pPr>
              <w:numPr>
                <w:ilvl w:val="0"/>
                <w:numId w:val="41"/>
              </w:numPr>
              <w:tabs>
                <w:tab w:val="left" w:pos="276"/>
                <w:tab w:val="left" w:pos="851"/>
              </w:tabs>
              <w:autoSpaceDE w:val="0"/>
              <w:autoSpaceDN w:val="0"/>
              <w:adjustRightInd w:val="0"/>
              <w:spacing w:after="160" w:line="276" w:lineRule="auto"/>
              <w:ind w:left="0" w:firstLine="0"/>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 xml:space="preserve">Ratele maximale ale dobânzii pentru VMS, propuse de investitori </w:t>
            </w:r>
          </w:p>
        </w:tc>
        <w:tc>
          <w:tcPr>
            <w:tcW w:w="1134" w:type="dxa"/>
            <w:vAlign w:val="center"/>
          </w:tcPr>
          <w:p w14:paraId="78B5A431"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6,6%-8,0%</w:t>
            </w:r>
          </w:p>
        </w:tc>
        <w:tc>
          <w:tcPr>
            <w:tcW w:w="1134" w:type="dxa"/>
            <w:vAlign w:val="center"/>
          </w:tcPr>
          <w:p w14:paraId="6B68E70E"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5,08%-6,88%</w:t>
            </w:r>
          </w:p>
        </w:tc>
        <w:tc>
          <w:tcPr>
            <w:tcW w:w="1134" w:type="dxa"/>
            <w:vAlign w:val="center"/>
          </w:tcPr>
          <w:p w14:paraId="3274FCA6"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 xml:space="preserve">6,9%-10,8% </w:t>
            </w:r>
          </w:p>
        </w:tc>
        <w:tc>
          <w:tcPr>
            <w:tcW w:w="1134" w:type="dxa"/>
            <w:vAlign w:val="center"/>
          </w:tcPr>
          <w:p w14:paraId="4D0D29D2"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17,1%-29,1%</w:t>
            </w:r>
          </w:p>
        </w:tc>
        <w:tc>
          <w:tcPr>
            <w:tcW w:w="1134" w:type="dxa"/>
            <w:vAlign w:val="center"/>
          </w:tcPr>
          <w:p w14:paraId="0D0A3C00"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 xml:space="preserve">7,0%-20,0% </w:t>
            </w:r>
          </w:p>
        </w:tc>
      </w:tr>
      <w:tr w:rsidR="008C3242" w:rsidRPr="000D19A7" w14:paraId="190AA11D" w14:textId="77777777" w:rsidTr="00B76817">
        <w:tc>
          <w:tcPr>
            <w:tcW w:w="9351" w:type="dxa"/>
            <w:gridSpan w:val="6"/>
          </w:tcPr>
          <w:p w14:paraId="7B44CA1C" w14:textId="68E4339B" w:rsidR="008C3242" w:rsidRPr="000D19A7" w:rsidRDefault="008C3242" w:rsidP="008C3242">
            <w:pPr>
              <w:pStyle w:val="a7"/>
              <w:numPr>
                <w:ilvl w:val="0"/>
                <w:numId w:val="43"/>
              </w:numPr>
              <w:tabs>
                <w:tab w:val="left" w:pos="318"/>
                <w:tab w:val="left" w:pos="348"/>
              </w:tabs>
              <w:autoSpaceDE w:val="0"/>
              <w:autoSpaceDN w:val="0"/>
              <w:adjustRightInd w:val="0"/>
              <w:spacing w:line="276" w:lineRule="auto"/>
              <w:ind w:left="0" w:firstLine="0"/>
              <w:rPr>
                <w:rFonts w:ascii="Times New Roman" w:hAnsi="Times New Roman" w:cs="Times New Roman"/>
                <w:b/>
                <w:color w:val="000000"/>
                <w:sz w:val="17"/>
                <w:szCs w:val="17"/>
                <w:lang w:val="ro-MD"/>
              </w:rPr>
            </w:pPr>
            <w:r w:rsidRPr="000D19A7">
              <w:rPr>
                <w:rFonts w:ascii="Times New Roman" w:hAnsi="Times New Roman" w:cs="Times New Roman"/>
                <w:b/>
                <w:color w:val="000000"/>
                <w:sz w:val="20"/>
                <w:szCs w:val="20"/>
                <w:lang w:val="ro-MD"/>
              </w:rPr>
              <w:t>Datoria de stat externă</w:t>
            </w:r>
          </w:p>
        </w:tc>
      </w:tr>
      <w:tr w:rsidR="005740CB" w:rsidRPr="000D19A7" w14:paraId="10D31A52" w14:textId="77777777" w:rsidTr="00462D61">
        <w:tc>
          <w:tcPr>
            <w:tcW w:w="3681" w:type="dxa"/>
          </w:tcPr>
          <w:p w14:paraId="47D3A2A3" w14:textId="77777777" w:rsidR="005740CB" w:rsidRPr="000D19A7" w:rsidRDefault="005740CB" w:rsidP="005740CB">
            <w:pPr>
              <w:tabs>
                <w:tab w:val="left" w:pos="276"/>
                <w:tab w:val="left" w:pos="851"/>
              </w:tabs>
              <w:autoSpaceDE w:val="0"/>
              <w:autoSpaceDN w:val="0"/>
              <w:adjustRightInd w:val="0"/>
              <w:spacing w:after="160" w:line="276" w:lineRule="auto"/>
              <w:contextualSpacing/>
              <w:jc w:val="both"/>
              <w:rPr>
                <w:rFonts w:ascii="Times New Roman" w:hAnsi="Times New Roman" w:cs="Times New Roman"/>
                <w:color w:val="000000"/>
                <w:sz w:val="20"/>
                <w:szCs w:val="20"/>
                <w:lang w:val="ro-MD"/>
              </w:rPr>
            </w:pPr>
            <w:r w:rsidRPr="000D19A7">
              <w:rPr>
                <w:rFonts w:ascii="Times New Roman" w:hAnsi="Times New Roman" w:cs="Times New Roman"/>
                <w:color w:val="000000"/>
                <w:sz w:val="20"/>
                <w:szCs w:val="20"/>
                <w:lang w:val="ro-MD"/>
              </w:rPr>
              <w:t>Rata dobânzii EURIBOR 6m</w:t>
            </w:r>
          </w:p>
        </w:tc>
        <w:tc>
          <w:tcPr>
            <w:tcW w:w="1134" w:type="dxa"/>
            <w:vAlign w:val="center"/>
          </w:tcPr>
          <w:p w14:paraId="1D131D89"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-0,238%</w:t>
            </w:r>
          </w:p>
        </w:tc>
        <w:tc>
          <w:tcPr>
            <w:tcW w:w="1134" w:type="dxa"/>
            <w:vAlign w:val="center"/>
          </w:tcPr>
          <w:p w14:paraId="0160CDD7"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-0,323%</w:t>
            </w:r>
          </w:p>
        </w:tc>
        <w:tc>
          <w:tcPr>
            <w:tcW w:w="1134" w:type="dxa"/>
            <w:vAlign w:val="center"/>
          </w:tcPr>
          <w:p w14:paraId="79C56600"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-0,532%</w:t>
            </w:r>
          </w:p>
        </w:tc>
        <w:tc>
          <w:tcPr>
            <w:tcW w:w="1134" w:type="dxa"/>
            <w:vAlign w:val="center"/>
          </w:tcPr>
          <w:p w14:paraId="24E71759"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-0,539%</w:t>
            </w:r>
          </w:p>
        </w:tc>
        <w:tc>
          <w:tcPr>
            <w:tcW w:w="1134" w:type="dxa"/>
            <w:vAlign w:val="center"/>
          </w:tcPr>
          <w:p w14:paraId="50776E66" w14:textId="77777777" w:rsidR="005740CB" w:rsidRPr="000D19A7" w:rsidRDefault="005740CB" w:rsidP="005740CB">
            <w:pPr>
              <w:tabs>
                <w:tab w:val="left" w:pos="851"/>
              </w:tabs>
              <w:autoSpaceDE w:val="0"/>
              <w:autoSpaceDN w:val="0"/>
              <w:adjustRightInd w:val="0"/>
              <w:spacing w:after="160" w:line="276" w:lineRule="auto"/>
              <w:jc w:val="center"/>
              <w:rPr>
                <w:rFonts w:ascii="Times New Roman" w:hAnsi="Times New Roman" w:cs="Times New Roman"/>
                <w:color w:val="000000"/>
                <w:sz w:val="17"/>
                <w:szCs w:val="17"/>
                <w:lang w:val="ro-MD"/>
              </w:rPr>
            </w:pPr>
            <w:r w:rsidRPr="000D19A7">
              <w:rPr>
                <w:rFonts w:ascii="Times New Roman" w:hAnsi="Times New Roman" w:cs="Times New Roman"/>
                <w:color w:val="000000"/>
                <w:sz w:val="17"/>
                <w:szCs w:val="17"/>
                <w:lang w:val="ro-MD"/>
              </w:rPr>
              <w:t>2,732%</w:t>
            </w:r>
          </w:p>
        </w:tc>
      </w:tr>
    </w:tbl>
    <w:p w14:paraId="7DBC20D9" w14:textId="0B4B063A" w:rsidR="002A6F14" w:rsidRPr="000D19A7" w:rsidRDefault="005740CB" w:rsidP="002A6F14">
      <w:pPr>
        <w:spacing w:line="276" w:lineRule="auto"/>
        <w:ind w:firstLine="567"/>
        <w:jc w:val="both"/>
        <w:rPr>
          <w:rFonts w:ascii="Times New Roman" w:hAnsi="Times New Roman" w:cs="Times New Roman"/>
          <w:b/>
          <w:i/>
          <w:sz w:val="20"/>
          <w:szCs w:val="20"/>
          <w:lang w:val="ro-MD" w:eastAsia="ru-RU"/>
        </w:rPr>
      </w:pPr>
      <w:r w:rsidRPr="000D19A7">
        <w:rPr>
          <w:rFonts w:ascii="Times New Roman" w:hAnsi="Times New Roman" w:cs="Times New Roman"/>
          <w:b/>
          <w:i/>
          <w:sz w:val="20"/>
          <w:szCs w:val="20"/>
          <w:lang w:val="ro-MD" w:eastAsia="ru-RU"/>
        </w:rPr>
        <w:t xml:space="preserve">Sursa: </w:t>
      </w:r>
      <w:r w:rsidRPr="000D19A7">
        <w:rPr>
          <w:rFonts w:ascii="Times New Roman" w:hAnsi="Times New Roman" w:cs="Times New Roman"/>
          <w:i/>
          <w:sz w:val="20"/>
          <w:szCs w:val="20"/>
          <w:lang w:val="ro-MD" w:eastAsia="ru-RU"/>
        </w:rPr>
        <w:t>Date generalizate de audit în baza informațiilor prezentate de Ministerul Finanțelor</w:t>
      </w:r>
      <w:r w:rsidR="005D0F8E" w:rsidRPr="000D19A7">
        <w:rPr>
          <w:rFonts w:ascii="Times New Roman" w:hAnsi="Times New Roman" w:cs="Times New Roman"/>
          <w:b/>
          <w:i/>
          <w:sz w:val="20"/>
          <w:szCs w:val="20"/>
          <w:lang w:val="ro-MD" w:eastAsia="ru-RU"/>
        </w:rPr>
        <w:t>.</w:t>
      </w:r>
    </w:p>
    <w:p w14:paraId="4A905793" w14:textId="47EC7362" w:rsidR="00C16886" w:rsidRPr="000D19A7" w:rsidRDefault="00C16886" w:rsidP="00E22D9E">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Ponderea cheltuielilor aferente serviciului datoriei de stat (plata dobânzilor și comisioanelor) în totalul cheltuielilor bugetului de stat consolidat</w:t>
      </w:r>
      <w:r w:rsidRPr="000D19A7">
        <w:rPr>
          <w:rStyle w:val="a6"/>
          <w:rFonts w:ascii="Times New Roman" w:eastAsia="Calibri" w:hAnsi="Times New Roman" w:cs="Times New Roman"/>
          <w:szCs w:val="24"/>
          <w:lang w:val="ro-MD"/>
        </w:rPr>
        <w:footnoteReference w:id="5"/>
      </w:r>
      <w:r w:rsidR="00424143" w:rsidRPr="000D19A7">
        <w:rPr>
          <w:rFonts w:ascii="Times New Roman" w:eastAsia="Calibri" w:hAnsi="Times New Roman" w:cs="Times New Roman"/>
          <w:szCs w:val="24"/>
          <w:lang w:val="ro-MD"/>
        </w:rPr>
        <w:t xml:space="preserve"> constituie 6,6 %, fiind în creștere față de situația </w:t>
      </w:r>
      <w:r w:rsidR="005D0F8E" w:rsidRPr="000D19A7">
        <w:rPr>
          <w:rFonts w:ascii="Times New Roman" w:eastAsia="Calibri" w:hAnsi="Times New Roman" w:cs="Times New Roman"/>
          <w:szCs w:val="24"/>
          <w:lang w:val="ro-MD"/>
        </w:rPr>
        <w:t xml:space="preserve">din </w:t>
      </w:r>
      <w:r w:rsidR="00424143" w:rsidRPr="000D19A7">
        <w:rPr>
          <w:rFonts w:ascii="Times New Roman" w:eastAsia="Calibri" w:hAnsi="Times New Roman" w:cs="Times New Roman"/>
          <w:szCs w:val="24"/>
          <w:lang w:val="ro-MD"/>
        </w:rPr>
        <w:t>anul</w:t>
      </w:r>
      <w:r w:rsidR="005D0F8E" w:rsidRPr="000D19A7">
        <w:rPr>
          <w:rFonts w:ascii="Times New Roman" w:eastAsia="Calibri" w:hAnsi="Times New Roman" w:cs="Times New Roman"/>
          <w:szCs w:val="24"/>
          <w:lang w:val="ro-MD"/>
        </w:rPr>
        <w:t xml:space="preserve"> </w:t>
      </w:r>
      <w:r w:rsidR="00424143" w:rsidRPr="000D19A7">
        <w:rPr>
          <w:rFonts w:ascii="Times New Roman" w:eastAsia="Calibri" w:hAnsi="Times New Roman" w:cs="Times New Roman"/>
          <w:szCs w:val="24"/>
          <w:lang w:val="ro-MD"/>
        </w:rPr>
        <w:t xml:space="preserve">precedent cu </w:t>
      </w:r>
      <w:r w:rsidR="00DF41DD" w:rsidRPr="000D19A7">
        <w:rPr>
          <w:rFonts w:ascii="Times New Roman" w:eastAsia="Calibri" w:hAnsi="Times New Roman" w:cs="Times New Roman"/>
          <w:szCs w:val="24"/>
          <w:lang w:val="ro-MD"/>
        </w:rPr>
        <w:t>2,7 p.p.</w:t>
      </w:r>
    </w:p>
    <w:p w14:paraId="2105F86E" w14:textId="4139A5EC" w:rsidR="003364BE" w:rsidRPr="000D19A7" w:rsidRDefault="005D0F8E" w:rsidP="00E22D9E">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 xml:space="preserve">Se </w:t>
      </w:r>
      <w:r w:rsidR="003364BE" w:rsidRPr="000D19A7">
        <w:rPr>
          <w:rFonts w:ascii="Times New Roman" w:eastAsia="Calibri" w:hAnsi="Times New Roman" w:cs="Times New Roman"/>
          <w:szCs w:val="24"/>
          <w:lang w:val="ro-MD"/>
        </w:rPr>
        <w:t>remarc</w:t>
      </w:r>
      <w:r w:rsidRPr="000D19A7">
        <w:rPr>
          <w:rFonts w:ascii="Times New Roman" w:eastAsia="Calibri" w:hAnsi="Times New Roman" w:cs="Times New Roman"/>
          <w:szCs w:val="24"/>
          <w:lang w:val="ro-MD"/>
        </w:rPr>
        <w:t>ă și creșterea ponderii chel</w:t>
      </w:r>
      <w:r w:rsidR="003364BE" w:rsidRPr="000D19A7">
        <w:rPr>
          <w:rFonts w:ascii="Times New Roman" w:eastAsia="Calibri" w:hAnsi="Times New Roman" w:cs="Times New Roman"/>
          <w:szCs w:val="24"/>
          <w:lang w:val="ro-MD"/>
        </w:rPr>
        <w:t>tuielilor aferente serviciului datoriei de stat în veniturile totale ale b</w:t>
      </w:r>
      <w:r w:rsidRPr="000D19A7">
        <w:rPr>
          <w:rFonts w:ascii="Times New Roman" w:eastAsia="Calibri" w:hAnsi="Times New Roman" w:cs="Times New Roman"/>
          <w:szCs w:val="24"/>
          <w:lang w:val="ro-MD"/>
        </w:rPr>
        <w:t>ugetului de stat în anul 2023 pâ</w:t>
      </w:r>
      <w:r w:rsidR="003364BE" w:rsidRPr="000D19A7">
        <w:rPr>
          <w:rFonts w:ascii="Times New Roman" w:eastAsia="Calibri" w:hAnsi="Times New Roman" w:cs="Times New Roman"/>
          <w:szCs w:val="24"/>
          <w:lang w:val="ro-MD"/>
        </w:rPr>
        <w:t>nă la 8,21%</w:t>
      </w:r>
      <w:r w:rsidRPr="000D19A7">
        <w:rPr>
          <w:rFonts w:ascii="Times New Roman" w:eastAsia="Calibri" w:hAnsi="Times New Roman" w:cs="Times New Roman"/>
          <w:szCs w:val="24"/>
          <w:lang w:val="ro-MD"/>
        </w:rPr>
        <w:t>,</w:t>
      </w:r>
      <w:r w:rsidR="003364BE" w:rsidRPr="000D19A7">
        <w:rPr>
          <w:rFonts w:ascii="Times New Roman" w:eastAsia="Calibri" w:hAnsi="Times New Roman" w:cs="Times New Roman"/>
          <w:szCs w:val="24"/>
          <w:lang w:val="ro-MD"/>
        </w:rPr>
        <w:t xml:space="preserve"> față de 4,1% în anul 2019, cu toate că în anul 2021 a avut loc o </w:t>
      </w:r>
      <w:r w:rsidRPr="000D19A7">
        <w:rPr>
          <w:rFonts w:ascii="Times New Roman" w:eastAsia="Calibri" w:hAnsi="Times New Roman" w:cs="Times New Roman"/>
          <w:szCs w:val="24"/>
          <w:lang w:val="ro-MD"/>
        </w:rPr>
        <w:t xml:space="preserve">scădere a acesteia </w:t>
      </w:r>
      <w:r w:rsidR="003364BE" w:rsidRPr="000D19A7">
        <w:rPr>
          <w:rFonts w:ascii="Times New Roman" w:eastAsia="Calibri" w:hAnsi="Times New Roman" w:cs="Times New Roman"/>
          <w:szCs w:val="24"/>
          <w:lang w:val="ro-MD"/>
        </w:rPr>
        <w:t>p</w:t>
      </w:r>
      <w:r w:rsidRPr="000D19A7">
        <w:rPr>
          <w:rFonts w:ascii="Times New Roman" w:eastAsia="Calibri" w:hAnsi="Times New Roman" w:cs="Times New Roman"/>
          <w:szCs w:val="24"/>
          <w:lang w:val="ro-MD"/>
        </w:rPr>
        <w:t>â</w:t>
      </w:r>
      <w:r w:rsidR="003364BE" w:rsidRPr="000D19A7">
        <w:rPr>
          <w:rFonts w:ascii="Times New Roman" w:eastAsia="Calibri" w:hAnsi="Times New Roman" w:cs="Times New Roman"/>
          <w:szCs w:val="24"/>
          <w:lang w:val="ro-MD"/>
        </w:rPr>
        <w:t>nă la 3,84%.</w:t>
      </w:r>
    </w:p>
    <w:p w14:paraId="02BDB98C" w14:textId="441905DC" w:rsidR="003364BE" w:rsidRPr="000D19A7" w:rsidRDefault="003364BE" w:rsidP="00E22D9E">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La fel a crescut și ponderea cheltuielilor aferente serviciului datoriei de stat în cheltuielile totale ale bugetului de stat, de la 3,8% în anul 2019 până la 6,57% în anul 2023.</w:t>
      </w:r>
    </w:p>
    <w:p w14:paraId="26B32F79" w14:textId="43A6789B" w:rsidR="00CE5227" w:rsidRPr="00CF7287" w:rsidRDefault="003364BE" w:rsidP="00E22D9E">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 xml:space="preserve">Totodată, </w:t>
      </w:r>
      <w:r w:rsidR="005D0F8E" w:rsidRPr="000D19A7">
        <w:rPr>
          <w:rFonts w:ascii="Times New Roman" w:eastAsia="Calibri" w:hAnsi="Times New Roman" w:cs="Times New Roman"/>
          <w:szCs w:val="24"/>
          <w:lang w:val="ro-MD"/>
        </w:rPr>
        <w:t xml:space="preserve">remarcăm </w:t>
      </w:r>
      <w:r w:rsidRPr="000D19A7">
        <w:rPr>
          <w:rFonts w:ascii="Times New Roman" w:eastAsia="Calibri" w:hAnsi="Times New Roman" w:cs="Times New Roman"/>
          <w:szCs w:val="24"/>
          <w:lang w:val="ro-MD"/>
        </w:rPr>
        <w:t>și creșterea datoriei de stat externe pe cap de locuitor</w:t>
      </w:r>
      <w:r w:rsidRPr="000D19A7">
        <w:rPr>
          <w:rStyle w:val="a6"/>
          <w:rFonts w:ascii="Times New Roman" w:eastAsia="Calibri" w:hAnsi="Times New Roman" w:cs="Times New Roman"/>
          <w:szCs w:val="24"/>
          <w:lang w:val="ro-MD"/>
        </w:rPr>
        <w:footnoteReference w:id="6"/>
      </w:r>
      <w:r w:rsidRPr="000D19A7">
        <w:rPr>
          <w:rFonts w:ascii="Times New Roman" w:eastAsia="Calibri" w:hAnsi="Times New Roman" w:cs="Times New Roman"/>
          <w:szCs w:val="24"/>
          <w:lang w:val="ro-MD"/>
        </w:rPr>
        <w:t xml:space="preserve">, de la 11 066,45 lei în anul 2019, până la 25 632,27 lei în </w:t>
      </w:r>
      <w:r w:rsidR="00D01CBF" w:rsidRPr="000D19A7">
        <w:rPr>
          <w:rFonts w:ascii="Times New Roman" w:eastAsia="Calibri" w:hAnsi="Times New Roman" w:cs="Times New Roman"/>
          <w:szCs w:val="24"/>
          <w:lang w:val="ro-MD"/>
        </w:rPr>
        <w:t>anul 2023 (de 2 ori).</w:t>
      </w:r>
      <w:r w:rsidR="00CF7287">
        <w:rPr>
          <w:rFonts w:ascii="Times New Roman" w:eastAsia="Calibri" w:hAnsi="Times New Roman" w:cs="Times New Roman"/>
          <w:szCs w:val="24"/>
          <w:lang w:val="ro-MD"/>
        </w:rPr>
        <w:t xml:space="preserve"> </w:t>
      </w:r>
      <w:r w:rsidR="00CE5227" w:rsidRPr="000D19A7">
        <w:rPr>
          <w:rFonts w:ascii="Times New Roman" w:eastAsia="Calibri" w:hAnsi="Times New Roman" w:cs="Times New Roman"/>
          <w:i/>
          <w:szCs w:val="24"/>
          <w:lang w:val="ro-MD"/>
        </w:rPr>
        <w:t xml:space="preserve">Sinteza principalilor indicatori de sustenabilitate a datoriei de </w:t>
      </w:r>
      <w:r w:rsidR="000D19A7">
        <w:rPr>
          <w:rFonts w:ascii="Times New Roman" w:eastAsia="Calibri" w:hAnsi="Times New Roman" w:cs="Times New Roman"/>
          <w:i/>
          <w:szCs w:val="24"/>
          <w:lang w:val="ro-MD"/>
        </w:rPr>
        <w:t>stat se prezintă în Tabelul nr.4</w:t>
      </w:r>
      <w:r w:rsidR="00C46F37" w:rsidRPr="000D19A7">
        <w:rPr>
          <w:rFonts w:ascii="Times New Roman" w:eastAsia="Calibri" w:hAnsi="Times New Roman" w:cs="Times New Roman"/>
          <w:i/>
          <w:szCs w:val="24"/>
          <w:lang w:val="ro-MD"/>
        </w:rPr>
        <w:t>.</w:t>
      </w:r>
    </w:p>
    <w:p w14:paraId="3490250C" w14:textId="08E9A3A6" w:rsidR="00B76817" w:rsidRPr="000D19A7" w:rsidRDefault="000D19A7" w:rsidP="00B76817">
      <w:pPr>
        <w:spacing w:line="276" w:lineRule="auto"/>
        <w:jc w:val="right"/>
        <w:rPr>
          <w:rFonts w:ascii="Times New Roman" w:eastAsia="Calibri" w:hAnsi="Times New Roman" w:cs="Times New Roman"/>
          <w:b/>
          <w:i/>
          <w:szCs w:val="24"/>
          <w:lang w:val="ro-MD"/>
        </w:rPr>
      </w:pPr>
      <w:r>
        <w:rPr>
          <w:rFonts w:ascii="Times New Roman" w:eastAsia="Calibri" w:hAnsi="Times New Roman" w:cs="Times New Roman"/>
          <w:b/>
          <w:i/>
          <w:szCs w:val="24"/>
          <w:lang w:val="ro-MD"/>
        </w:rPr>
        <w:t>Tabelul nr.4</w:t>
      </w:r>
    </w:p>
    <w:tbl>
      <w:tblPr>
        <w:tblW w:w="10018" w:type="dxa"/>
        <w:tblInd w:w="-431" w:type="dxa"/>
        <w:tblLook w:val="04A0" w:firstRow="1" w:lastRow="0" w:firstColumn="1" w:lastColumn="0" w:noHBand="0" w:noVBand="1"/>
      </w:tblPr>
      <w:tblGrid>
        <w:gridCol w:w="3681"/>
        <w:gridCol w:w="1281"/>
        <w:gridCol w:w="1318"/>
        <w:gridCol w:w="1234"/>
        <w:gridCol w:w="1232"/>
        <w:gridCol w:w="1272"/>
      </w:tblGrid>
      <w:tr w:rsidR="00C46F37" w:rsidRPr="000D19A7" w14:paraId="0DA9C4DB" w14:textId="77777777" w:rsidTr="00C46F37">
        <w:trPr>
          <w:trHeight w:val="276"/>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ACA2"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Indicatori</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F6689CE"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2019</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4BC1A490"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5ED3048C"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2021</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60625FB3"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2022</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8FE44FF"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2023</w:t>
            </w:r>
          </w:p>
        </w:tc>
      </w:tr>
      <w:tr w:rsidR="00C46F37" w:rsidRPr="000D19A7" w14:paraId="1AD031E7"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4F1AD58"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Ponderea datoriei de stat în PIB, %</w:t>
            </w:r>
          </w:p>
        </w:tc>
        <w:tc>
          <w:tcPr>
            <w:tcW w:w="1281" w:type="dxa"/>
            <w:tcBorders>
              <w:top w:val="nil"/>
              <w:left w:val="nil"/>
              <w:bottom w:val="single" w:sz="4" w:space="0" w:color="auto"/>
              <w:right w:val="single" w:sz="4" w:space="0" w:color="auto"/>
            </w:tcBorders>
            <w:shd w:val="clear" w:color="auto" w:fill="auto"/>
            <w:noWrap/>
            <w:vAlign w:val="bottom"/>
            <w:hideMark/>
          </w:tcPr>
          <w:p w14:paraId="0693F41F"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25,00</w:t>
            </w:r>
          </w:p>
        </w:tc>
        <w:tc>
          <w:tcPr>
            <w:tcW w:w="1318" w:type="dxa"/>
            <w:tcBorders>
              <w:top w:val="nil"/>
              <w:left w:val="nil"/>
              <w:bottom w:val="single" w:sz="4" w:space="0" w:color="auto"/>
              <w:right w:val="single" w:sz="4" w:space="0" w:color="auto"/>
            </w:tcBorders>
            <w:shd w:val="clear" w:color="auto" w:fill="auto"/>
            <w:noWrap/>
            <w:vAlign w:val="bottom"/>
            <w:hideMark/>
          </w:tcPr>
          <w:p w14:paraId="7508F2FE" w14:textId="097027F8" w:rsidR="00C46F37" w:rsidRPr="000D19A7" w:rsidRDefault="002415AD" w:rsidP="002415AD">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33</w:t>
            </w:r>
            <w:r w:rsidR="00C46F37" w:rsidRPr="000D19A7">
              <w:rPr>
                <w:rFonts w:ascii="Times New Roman" w:eastAsia="Times New Roman" w:hAnsi="Times New Roman" w:cs="Times New Roman"/>
                <w:b/>
                <w:bCs/>
                <w:color w:val="000000"/>
                <w:sz w:val="20"/>
                <w:szCs w:val="20"/>
              </w:rPr>
              <w:t>,9</w:t>
            </w:r>
            <w:r w:rsidRPr="000D19A7">
              <w:rPr>
                <w:rFonts w:ascii="Times New Roman" w:eastAsia="Times New Roman" w:hAnsi="Times New Roman" w:cs="Times New Roman"/>
                <w:b/>
                <w:bCs/>
                <w:color w:val="000000"/>
                <w:sz w:val="20"/>
                <w:szCs w:val="20"/>
              </w:rPr>
              <w:t>6</w:t>
            </w:r>
          </w:p>
        </w:tc>
        <w:tc>
          <w:tcPr>
            <w:tcW w:w="1234" w:type="dxa"/>
            <w:tcBorders>
              <w:top w:val="nil"/>
              <w:left w:val="nil"/>
              <w:bottom w:val="single" w:sz="4" w:space="0" w:color="auto"/>
              <w:right w:val="single" w:sz="4" w:space="0" w:color="auto"/>
            </w:tcBorders>
            <w:shd w:val="clear" w:color="auto" w:fill="auto"/>
            <w:noWrap/>
            <w:vAlign w:val="bottom"/>
            <w:hideMark/>
          </w:tcPr>
          <w:p w14:paraId="735F0124"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32,12</w:t>
            </w:r>
          </w:p>
        </w:tc>
        <w:tc>
          <w:tcPr>
            <w:tcW w:w="1232" w:type="dxa"/>
            <w:tcBorders>
              <w:top w:val="nil"/>
              <w:left w:val="nil"/>
              <w:bottom w:val="single" w:sz="4" w:space="0" w:color="auto"/>
              <w:right w:val="single" w:sz="4" w:space="0" w:color="auto"/>
            </w:tcBorders>
            <w:shd w:val="clear" w:color="auto" w:fill="auto"/>
            <w:noWrap/>
            <w:vAlign w:val="bottom"/>
            <w:hideMark/>
          </w:tcPr>
          <w:p w14:paraId="1EBBC07C" w14:textId="71B9C8DF" w:rsidR="00C46F37" w:rsidRPr="000D19A7" w:rsidRDefault="002415AD"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34,49</w:t>
            </w:r>
          </w:p>
        </w:tc>
        <w:tc>
          <w:tcPr>
            <w:tcW w:w="1272" w:type="dxa"/>
            <w:tcBorders>
              <w:top w:val="nil"/>
              <w:left w:val="nil"/>
              <w:bottom w:val="single" w:sz="4" w:space="0" w:color="auto"/>
              <w:right w:val="single" w:sz="4" w:space="0" w:color="auto"/>
            </w:tcBorders>
            <w:shd w:val="clear" w:color="auto" w:fill="auto"/>
            <w:noWrap/>
            <w:vAlign w:val="bottom"/>
            <w:hideMark/>
          </w:tcPr>
          <w:p w14:paraId="23D41902" w14:textId="3617F75D" w:rsidR="00C46F37" w:rsidRPr="000D19A7" w:rsidRDefault="002415AD"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34.62</w:t>
            </w:r>
          </w:p>
        </w:tc>
      </w:tr>
      <w:tr w:rsidR="00C46F37" w:rsidRPr="000D19A7" w14:paraId="7E00AC37"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0172C08"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datoriei de stat externe în PIB, %</w:t>
            </w:r>
          </w:p>
        </w:tc>
        <w:tc>
          <w:tcPr>
            <w:tcW w:w="1281" w:type="dxa"/>
            <w:tcBorders>
              <w:top w:val="nil"/>
              <w:left w:val="nil"/>
              <w:bottom w:val="single" w:sz="4" w:space="0" w:color="auto"/>
              <w:right w:val="single" w:sz="4" w:space="0" w:color="auto"/>
            </w:tcBorders>
            <w:shd w:val="clear" w:color="auto" w:fill="auto"/>
            <w:noWrap/>
            <w:vAlign w:val="bottom"/>
            <w:hideMark/>
          </w:tcPr>
          <w:p w14:paraId="540102D3"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14,00</w:t>
            </w:r>
          </w:p>
        </w:tc>
        <w:tc>
          <w:tcPr>
            <w:tcW w:w="1318" w:type="dxa"/>
            <w:tcBorders>
              <w:top w:val="nil"/>
              <w:left w:val="nil"/>
              <w:bottom w:val="single" w:sz="4" w:space="0" w:color="auto"/>
              <w:right w:val="single" w:sz="4" w:space="0" w:color="auto"/>
            </w:tcBorders>
            <w:shd w:val="clear" w:color="auto" w:fill="auto"/>
            <w:noWrap/>
            <w:vAlign w:val="bottom"/>
            <w:hideMark/>
          </w:tcPr>
          <w:p w14:paraId="45D64346" w14:textId="2BA41D27" w:rsidR="00C46F37" w:rsidRPr="000D19A7" w:rsidRDefault="0097674F" w:rsidP="0097674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19</w:t>
            </w:r>
            <w:r w:rsidR="00C46F37" w:rsidRPr="000D19A7">
              <w:rPr>
                <w:rFonts w:ascii="Times New Roman" w:eastAsia="Times New Roman" w:hAnsi="Times New Roman" w:cs="Times New Roman"/>
                <w:color w:val="000000"/>
                <w:sz w:val="20"/>
                <w:szCs w:val="20"/>
              </w:rPr>
              <w:t>,</w:t>
            </w:r>
            <w:r w:rsidRPr="000D19A7">
              <w:rPr>
                <w:rFonts w:ascii="Times New Roman" w:eastAsia="Times New Roman" w:hAnsi="Times New Roman" w:cs="Times New Roman"/>
                <w:color w:val="000000"/>
                <w:sz w:val="20"/>
                <w:szCs w:val="20"/>
              </w:rPr>
              <w:t>32</w:t>
            </w:r>
          </w:p>
        </w:tc>
        <w:tc>
          <w:tcPr>
            <w:tcW w:w="1234" w:type="dxa"/>
            <w:tcBorders>
              <w:top w:val="nil"/>
              <w:left w:val="nil"/>
              <w:bottom w:val="single" w:sz="4" w:space="0" w:color="auto"/>
              <w:right w:val="single" w:sz="4" w:space="0" w:color="auto"/>
            </w:tcBorders>
            <w:shd w:val="clear" w:color="auto" w:fill="auto"/>
            <w:noWrap/>
            <w:vAlign w:val="bottom"/>
            <w:hideMark/>
          </w:tcPr>
          <w:p w14:paraId="47DFC07A"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18,37</w:t>
            </w:r>
          </w:p>
        </w:tc>
        <w:tc>
          <w:tcPr>
            <w:tcW w:w="1232" w:type="dxa"/>
            <w:tcBorders>
              <w:top w:val="nil"/>
              <w:left w:val="nil"/>
              <w:bottom w:val="single" w:sz="4" w:space="0" w:color="auto"/>
              <w:right w:val="single" w:sz="4" w:space="0" w:color="auto"/>
            </w:tcBorders>
            <w:shd w:val="clear" w:color="auto" w:fill="auto"/>
            <w:noWrap/>
            <w:vAlign w:val="bottom"/>
            <w:hideMark/>
          </w:tcPr>
          <w:p w14:paraId="6DE7DF4F" w14:textId="697C3665" w:rsidR="00C46F37" w:rsidRPr="000D19A7" w:rsidRDefault="00C46F37" w:rsidP="0097674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w:t>
            </w:r>
            <w:r w:rsidR="0097674F" w:rsidRPr="000D19A7">
              <w:rPr>
                <w:rFonts w:ascii="Times New Roman" w:eastAsia="Times New Roman" w:hAnsi="Times New Roman" w:cs="Times New Roman"/>
                <w:color w:val="000000"/>
                <w:sz w:val="20"/>
                <w:szCs w:val="20"/>
              </w:rPr>
              <w:t>1.92</w:t>
            </w:r>
          </w:p>
        </w:tc>
        <w:tc>
          <w:tcPr>
            <w:tcW w:w="1272" w:type="dxa"/>
            <w:tcBorders>
              <w:top w:val="nil"/>
              <w:left w:val="nil"/>
              <w:bottom w:val="single" w:sz="4" w:space="0" w:color="auto"/>
              <w:right w:val="single" w:sz="4" w:space="0" w:color="auto"/>
            </w:tcBorders>
            <w:shd w:val="clear" w:color="auto" w:fill="auto"/>
            <w:noWrap/>
            <w:vAlign w:val="bottom"/>
            <w:hideMark/>
          </w:tcPr>
          <w:p w14:paraId="736ED57A" w14:textId="1CF01E29" w:rsidR="00C46F37" w:rsidRPr="000D19A7" w:rsidRDefault="00C46F37" w:rsidP="0097674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w:t>
            </w:r>
            <w:r w:rsidR="0097674F" w:rsidRPr="000D19A7">
              <w:rPr>
                <w:rFonts w:ascii="Times New Roman" w:eastAsia="Times New Roman" w:hAnsi="Times New Roman" w:cs="Times New Roman"/>
                <w:color w:val="000000"/>
                <w:sz w:val="20"/>
                <w:szCs w:val="20"/>
              </w:rPr>
              <w:t>1</w:t>
            </w:r>
            <w:r w:rsidRPr="000D19A7">
              <w:rPr>
                <w:rFonts w:ascii="Times New Roman" w:eastAsia="Times New Roman" w:hAnsi="Times New Roman" w:cs="Times New Roman"/>
                <w:color w:val="000000"/>
                <w:sz w:val="20"/>
                <w:szCs w:val="20"/>
              </w:rPr>
              <w:t>,</w:t>
            </w:r>
            <w:r w:rsidR="0097674F" w:rsidRPr="000D19A7">
              <w:rPr>
                <w:rFonts w:ascii="Times New Roman" w:eastAsia="Times New Roman" w:hAnsi="Times New Roman" w:cs="Times New Roman"/>
                <w:color w:val="000000"/>
                <w:sz w:val="20"/>
                <w:szCs w:val="20"/>
              </w:rPr>
              <w:t>42</w:t>
            </w:r>
          </w:p>
        </w:tc>
      </w:tr>
      <w:tr w:rsidR="00C46F37" w:rsidRPr="000D19A7" w14:paraId="759E9B0F"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DBC6C4"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datoriei de stat interne în PIB, %</w:t>
            </w:r>
          </w:p>
        </w:tc>
        <w:tc>
          <w:tcPr>
            <w:tcW w:w="1281" w:type="dxa"/>
            <w:tcBorders>
              <w:top w:val="nil"/>
              <w:left w:val="nil"/>
              <w:bottom w:val="single" w:sz="4" w:space="0" w:color="auto"/>
              <w:right w:val="single" w:sz="4" w:space="0" w:color="auto"/>
            </w:tcBorders>
            <w:shd w:val="clear" w:color="auto" w:fill="auto"/>
            <w:noWrap/>
            <w:vAlign w:val="bottom"/>
            <w:hideMark/>
          </w:tcPr>
          <w:p w14:paraId="5C655918"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11,00</w:t>
            </w:r>
          </w:p>
        </w:tc>
        <w:tc>
          <w:tcPr>
            <w:tcW w:w="1318" w:type="dxa"/>
            <w:tcBorders>
              <w:top w:val="nil"/>
              <w:left w:val="nil"/>
              <w:bottom w:val="single" w:sz="4" w:space="0" w:color="auto"/>
              <w:right w:val="single" w:sz="4" w:space="0" w:color="auto"/>
            </w:tcBorders>
            <w:shd w:val="clear" w:color="auto" w:fill="auto"/>
            <w:noWrap/>
            <w:vAlign w:val="bottom"/>
            <w:hideMark/>
          </w:tcPr>
          <w:p w14:paraId="3717CC5B" w14:textId="3E6A6B4B" w:rsidR="00C46F37" w:rsidRPr="000D19A7" w:rsidRDefault="0097674F"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14,64</w:t>
            </w:r>
          </w:p>
        </w:tc>
        <w:tc>
          <w:tcPr>
            <w:tcW w:w="1234" w:type="dxa"/>
            <w:tcBorders>
              <w:top w:val="nil"/>
              <w:left w:val="nil"/>
              <w:bottom w:val="single" w:sz="4" w:space="0" w:color="auto"/>
              <w:right w:val="single" w:sz="4" w:space="0" w:color="auto"/>
            </w:tcBorders>
            <w:shd w:val="clear" w:color="auto" w:fill="auto"/>
            <w:noWrap/>
            <w:vAlign w:val="bottom"/>
            <w:hideMark/>
          </w:tcPr>
          <w:p w14:paraId="27078259"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13,75</w:t>
            </w:r>
          </w:p>
        </w:tc>
        <w:tc>
          <w:tcPr>
            <w:tcW w:w="1232" w:type="dxa"/>
            <w:tcBorders>
              <w:top w:val="nil"/>
              <w:left w:val="nil"/>
              <w:bottom w:val="single" w:sz="4" w:space="0" w:color="auto"/>
              <w:right w:val="single" w:sz="4" w:space="0" w:color="auto"/>
            </w:tcBorders>
            <w:shd w:val="clear" w:color="auto" w:fill="auto"/>
            <w:noWrap/>
            <w:vAlign w:val="bottom"/>
            <w:hideMark/>
          </w:tcPr>
          <w:p w14:paraId="66204827" w14:textId="670D3C40" w:rsidR="00C46F37" w:rsidRPr="000D19A7" w:rsidRDefault="0097674F"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12,57</w:t>
            </w:r>
          </w:p>
        </w:tc>
        <w:tc>
          <w:tcPr>
            <w:tcW w:w="1272" w:type="dxa"/>
            <w:tcBorders>
              <w:top w:val="nil"/>
              <w:left w:val="nil"/>
              <w:bottom w:val="single" w:sz="4" w:space="0" w:color="auto"/>
              <w:right w:val="single" w:sz="4" w:space="0" w:color="auto"/>
            </w:tcBorders>
            <w:shd w:val="clear" w:color="auto" w:fill="auto"/>
            <w:noWrap/>
            <w:vAlign w:val="bottom"/>
            <w:hideMark/>
          </w:tcPr>
          <w:p w14:paraId="7F7CE65E" w14:textId="02E8CAC5" w:rsidR="00C46F37" w:rsidRPr="000D19A7" w:rsidRDefault="0097674F" w:rsidP="0097674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w:t>
            </w:r>
            <w:r w:rsidR="00C46F37" w:rsidRPr="000D19A7">
              <w:rPr>
                <w:rFonts w:ascii="Times New Roman" w:eastAsia="Times New Roman" w:hAnsi="Times New Roman" w:cs="Times New Roman"/>
                <w:color w:val="000000"/>
                <w:sz w:val="20"/>
                <w:szCs w:val="20"/>
              </w:rPr>
              <w:t>,</w:t>
            </w:r>
            <w:r w:rsidRPr="000D19A7">
              <w:rPr>
                <w:rFonts w:ascii="Times New Roman" w:eastAsia="Times New Roman" w:hAnsi="Times New Roman" w:cs="Times New Roman"/>
                <w:color w:val="000000"/>
                <w:sz w:val="20"/>
                <w:szCs w:val="20"/>
              </w:rPr>
              <w:t>20</w:t>
            </w:r>
          </w:p>
        </w:tc>
      </w:tr>
      <w:tr w:rsidR="00C46F37" w:rsidRPr="000D19A7" w14:paraId="738EAF62"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AF727A"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Ponderea datoriei de stat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45C79F0B"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131,10</w:t>
            </w:r>
          </w:p>
        </w:tc>
        <w:tc>
          <w:tcPr>
            <w:tcW w:w="1318" w:type="dxa"/>
            <w:tcBorders>
              <w:top w:val="nil"/>
              <w:left w:val="nil"/>
              <w:bottom w:val="single" w:sz="4" w:space="0" w:color="auto"/>
              <w:right w:val="single" w:sz="4" w:space="0" w:color="auto"/>
            </w:tcBorders>
            <w:shd w:val="clear" w:color="auto" w:fill="auto"/>
            <w:noWrap/>
            <w:vAlign w:val="bottom"/>
            <w:hideMark/>
          </w:tcPr>
          <w:p w14:paraId="162D31FB"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176,10</w:t>
            </w:r>
          </w:p>
        </w:tc>
        <w:tc>
          <w:tcPr>
            <w:tcW w:w="1234" w:type="dxa"/>
            <w:tcBorders>
              <w:top w:val="nil"/>
              <w:left w:val="nil"/>
              <w:bottom w:val="single" w:sz="4" w:space="0" w:color="auto"/>
              <w:right w:val="single" w:sz="4" w:space="0" w:color="auto"/>
            </w:tcBorders>
            <w:shd w:val="clear" w:color="auto" w:fill="auto"/>
            <w:noWrap/>
            <w:vAlign w:val="bottom"/>
            <w:hideMark/>
          </w:tcPr>
          <w:p w14:paraId="5EE31A83"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157,45</w:t>
            </w:r>
          </w:p>
        </w:tc>
        <w:tc>
          <w:tcPr>
            <w:tcW w:w="1232" w:type="dxa"/>
            <w:tcBorders>
              <w:top w:val="nil"/>
              <w:left w:val="nil"/>
              <w:bottom w:val="single" w:sz="4" w:space="0" w:color="auto"/>
              <w:right w:val="single" w:sz="4" w:space="0" w:color="auto"/>
            </w:tcBorders>
            <w:shd w:val="clear" w:color="auto" w:fill="auto"/>
            <w:noWrap/>
            <w:vAlign w:val="bottom"/>
            <w:hideMark/>
          </w:tcPr>
          <w:p w14:paraId="497CF37F"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159,77</w:t>
            </w:r>
          </w:p>
        </w:tc>
        <w:tc>
          <w:tcPr>
            <w:tcW w:w="1272" w:type="dxa"/>
            <w:tcBorders>
              <w:top w:val="nil"/>
              <w:left w:val="nil"/>
              <w:bottom w:val="single" w:sz="4" w:space="0" w:color="auto"/>
              <w:right w:val="single" w:sz="4" w:space="0" w:color="auto"/>
            </w:tcBorders>
            <w:shd w:val="clear" w:color="auto" w:fill="auto"/>
            <w:noWrap/>
            <w:vAlign w:val="bottom"/>
            <w:hideMark/>
          </w:tcPr>
          <w:p w14:paraId="59963C28" w14:textId="66462673" w:rsidR="00C46F37" w:rsidRPr="000D19A7" w:rsidRDefault="007949A4"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160,99</w:t>
            </w:r>
          </w:p>
        </w:tc>
      </w:tr>
      <w:tr w:rsidR="00C46F37" w:rsidRPr="000D19A7" w14:paraId="224388CE"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EB2F2C"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datoriei de stat externe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307D8C78"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73,40</w:t>
            </w:r>
          </w:p>
        </w:tc>
        <w:tc>
          <w:tcPr>
            <w:tcW w:w="1318" w:type="dxa"/>
            <w:tcBorders>
              <w:top w:val="nil"/>
              <w:left w:val="nil"/>
              <w:bottom w:val="single" w:sz="4" w:space="0" w:color="auto"/>
              <w:right w:val="single" w:sz="4" w:space="0" w:color="auto"/>
            </w:tcBorders>
            <w:shd w:val="clear" w:color="auto" w:fill="auto"/>
            <w:noWrap/>
            <w:vAlign w:val="bottom"/>
            <w:hideMark/>
          </w:tcPr>
          <w:p w14:paraId="5B829722"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100,20</w:t>
            </w:r>
          </w:p>
        </w:tc>
        <w:tc>
          <w:tcPr>
            <w:tcW w:w="1234" w:type="dxa"/>
            <w:tcBorders>
              <w:top w:val="nil"/>
              <w:left w:val="nil"/>
              <w:bottom w:val="single" w:sz="4" w:space="0" w:color="auto"/>
              <w:right w:val="single" w:sz="4" w:space="0" w:color="auto"/>
            </w:tcBorders>
            <w:shd w:val="clear" w:color="auto" w:fill="auto"/>
            <w:noWrap/>
            <w:vAlign w:val="bottom"/>
            <w:hideMark/>
          </w:tcPr>
          <w:p w14:paraId="3BECCE64"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90,05</w:t>
            </w:r>
          </w:p>
        </w:tc>
        <w:tc>
          <w:tcPr>
            <w:tcW w:w="1232" w:type="dxa"/>
            <w:tcBorders>
              <w:top w:val="nil"/>
              <w:left w:val="nil"/>
              <w:bottom w:val="single" w:sz="4" w:space="0" w:color="auto"/>
              <w:right w:val="single" w:sz="4" w:space="0" w:color="auto"/>
            </w:tcBorders>
            <w:shd w:val="clear" w:color="auto" w:fill="auto"/>
            <w:noWrap/>
            <w:vAlign w:val="bottom"/>
            <w:hideMark/>
          </w:tcPr>
          <w:p w14:paraId="06B6A068"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101,55</w:t>
            </w:r>
          </w:p>
        </w:tc>
        <w:tc>
          <w:tcPr>
            <w:tcW w:w="1272" w:type="dxa"/>
            <w:tcBorders>
              <w:top w:val="nil"/>
              <w:left w:val="nil"/>
              <w:bottom w:val="single" w:sz="4" w:space="0" w:color="auto"/>
              <w:right w:val="single" w:sz="4" w:space="0" w:color="auto"/>
            </w:tcBorders>
            <w:shd w:val="clear" w:color="auto" w:fill="auto"/>
            <w:noWrap/>
            <w:vAlign w:val="bottom"/>
            <w:hideMark/>
          </w:tcPr>
          <w:p w14:paraId="27347399"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99,59</w:t>
            </w:r>
          </w:p>
        </w:tc>
      </w:tr>
      <w:tr w:rsidR="00C46F37" w:rsidRPr="000D19A7" w14:paraId="06D966E8"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3E4009C"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datoriei de stat interne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2CF815DF"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57,90</w:t>
            </w:r>
          </w:p>
        </w:tc>
        <w:tc>
          <w:tcPr>
            <w:tcW w:w="1318" w:type="dxa"/>
            <w:tcBorders>
              <w:top w:val="nil"/>
              <w:left w:val="nil"/>
              <w:bottom w:val="single" w:sz="4" w:space="0" w:color="auto"/>
              <w:right w:val="single" w:sz="4" w:space="0" w:color="auto"/>
            </w:tcBorders>
            <w:shd w:val="clear" w:color="auto" w:fill="auto"/>
            <w:noWrap/>
            <w:vAlign w:val="bottom"/>
            <w:hideMark/>
          </w:tcPr>
          <w:p w14:paraId="446BE481"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75,90</w:t>
            </w:r>
          </w:p>
        </w:tc>
        <w:tc>
          <w:tcPr>
            <w:tcW w:w="1234" w:type="dxa"/>
            <w:tcBorders>
              <w:top w:val="nil"/>
              <w:left w:val="nil"/>
              <w:bottom w:val="single" w:sz="4" w:space="0" w:color="auto"/>
              <w:right w:val="single" w:sz="4" w:space="0" w:color="auto"/>
            </w:tcBorders>
            <w:shd w:val="clear" w:color="auto" w:fill="auto"/>
            <w:noWrap/>
            <w:vAlign w:val="bottom"/>
            <w:hideMark/>
          </w:tcPr>
          <w:p w14:paraId="7A29F031"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67,39</w:t>
            </w:r>
          </w:p>
        </w:tc>
        <w:tc>
          <w:tcPr>
            <w:tcW w:w="1232" w:type="dxa"/>
            <w:tcBorders>
              <w:top w:val="nil"/>
              <w:left w:val="nil"/>
              <w:bottom w:val="single" w:sz="4" w:space="0" w:color="auto"/>
              <w:right w:val="single" w:sz="4" w:space="0" w:color="auto"/>
            </w:tcBorders>
            <w:shd w:val="clear" w:color="auto" w:fill="auto"/>
            <w:noWrap/>
            <w:vAlign w:val="bottom"/>
            <w:hideMark/>
          </w:tcPr>
          <w:p w14:paraId="35F08502"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58,22</w:t>
            </w:r>
          </w:p>
        </w:tc>
        <w:tc>
          <w:tcPr>
            <w:tcW w:w="1272" w:type="dxa"/>
            <w:tcBorders>
              <w:top w:val="nil"/>
              <w:left w:val="nil"/>
              <w:bottom w:val="single" w:sz="4" w:space="0" w:color="auto"/>
              <w:right w:val="single" w:sz="4" w:space="0" w:color="auto"/>
            </w:tcBorders>
            <w:shd w:val="clear" w:color="auto" w:fill="auto"/>
            <w:noWrap/>
            <w:vAlign w:val="bottom"/>
            <w:hideMark/>
          </w:tcPr>
          <w:p w14:paraId="672B6548"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61,40</w:t>
            </w:r>
          </w:p>
        </w:tc>
      </w:tr>
      <w:tr w:rsidR="00C46F37" w:rsidRPr="000D19A7" w14:paraId="23924475"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D4D8D66"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Ponderea serviciului datoriei de stat în PIB, %</w:t>
            </w:r>
          </w:p>
        </w:tc>
        <w:tc>
          <w:tcPr>
            <w:tcW w:w="1281" w:type="dxa"/>
            <w:tcBorders>
              <w:top w:val="nil"/>
              <w:left w:val="nil"/>
              <w:bottom w:val="single" w:sz="4" w:space="0" w:color="auto"/>
              <w:right w:val="single" w:sz="4" w:space="0" w:color="auto"/>
            </w:tcBorders>
            <w:shd w:val="clear" w:color="auto" w:fill="auto"/>
            <w:noWrap/>
            <w:vAlign w:val="bottom"/>
            <w:hideMark/>
          </w:tcPr>
          <w:p w14:paraId="033667F6"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0,80</w:t>
            </w:r>
          </w:p>
        </w:tc>
        <w:tc>
          <w:tcPr>
            <w:tcW w:w="1318" w:type="dxa"/>
            <w:tcBorders>
              <w:top w:val="nil"/>
              <w:left w:val="nil"/>
              <w:bottom w:val="single" w:sz="4" w:space="0" w:color="auto"/>
              <w:right w:val="single" w:sz="4" w:space="0" w:color="auto"/>
            </w:tcBorders>
            <w:shd w:val="clear" w:color="auto" w:fill="auto"/>
            <w:noWrap/>
            <w:vAlign w:val="bottom"/>
            <w:hideMark/>
          </w:tcPr>
          <w:p w14:paraId="593EFD0A"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0,84</w:t>
            </w:r>
          </w:p>
        </w:tc>
        <w:tc>
          <w:tcPr>
            <w:tcW w:w="1234" w:type="dxa"/>
            <w:tcBorders>
              <w:top w:val="nil"/>
              <w:left w:val="nil"/>
              <w:bottom w:val="single" w:sz="4" w:space="0" w:color="auto"/>
              <w:right w:val="single" w:sz="4" w:space="0" w:color="auto"/>
            </w:tcBorders>
            <w:shd w:val="clear" w:color="auto" w:fill="auto"/>
            <w:noWrap/>
            <w:vAlign w:val="bottom"/>
            <w:hideMark/>
          </w:tcPr>
          <w:p w14:paraId="607E5D12"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0,78</w:t>
            </w:r>
          </w:p>
        </w:tc>
        <w:tc>
          <w:tcPr>
            <w:tcW w:w="1232" w:type="dxa"/>
            <w:tcBorders>
              <w:top w:val="nil"/>
              <w:left w:val="nil"/>
              <w:bottom w:val="single" w:sz="4" w:space="0" w:color="auto"/>
              <w:right w:val="single" w:sz="4" w:space="0" w:color="auto"/>
            </w:tcBorders>
            <w:shd w:val="clear" w:color="auto" w:fill="auto"/>
            <w:noWrap/>
            <w:vAlign w:val="bottom"/>
            <w:hideMark/>
          </w:tcPr>
          <w:p w14:paraId="6AC576B8" w14:textId="0997DC82" w:rsidR="00C46F37" w:rsidRPr="000D19A7" w:rsidRDefault="0097674F"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0,96</w:t>
            </w:r>
          </w:p>
        </w:tc>
        <w:tc>
          <w:tcPr>
            <w:tcW w:w="1272" w:type="dxa"/>
            <w:tcBorders>
              <w:top w:val="nil"/>
              <w:left w:val="nil"/>
              <w:bottom w:val="single" w:sz="4" w:space="0" w:color="auto"/>
              <w:right w:val="single" w:sz="4" w:space="0" w:color="auto"/>
            </w:tcBorders>
            <w:shd w:val="clear" w:color="auto" w:fill="auto"/>
            <w:noWrap/>
            <w:vAlign w:val="bottom"/>
            <w:hideMark/>
          </w:tcPr>
          <w:p w14:paraId="3468625C" w14:textId="51DB581A" w:rsidR="00C46F37" w:rsidRPr="000D19A7" w:rsidRDefault="002415AD"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1,76</w:t>
            </w:r>
          </w:p>
        </w:tc>
      </w:tr>
      <w:tr w:rsidR="00C46F37" w:rsidRPr="000D19A7" w14:paraId="6837B998"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D58F899"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externe în PIB, %</w:t>
            </w:r>
          </w:p>
        </w:tc>
        <w:tc>
          <w:tcPr>
            <w:tcW w:w="1281" w:type="dxa"/>
            <w:tcBorders>
              <w:top w:val="nil"/>
              <w:left w:val="nil"/>
              <w:bottom w:val="single" w:sz="4" w:space="0" w:color="auto"/>
              <w:right w:val="single" w:sz="4" w:space="0" w:color="auto"/>
            </w:tcBorders>
            <w:shd w:val="clear" w:color="auto" w:fill="auto"/>
            <w:noWrap/>
            <w:vAlign w:val="bottom"/>
            <w:hideMark/>
          </w:tcPr>
          <w:p w14:paraId="1945D2FC"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0,20</w:t>
            </w:r>
          </w:p>
        </w:tc>
        <w:tc>
          <w:tcPr>
            <w:tcW w:w="1318" w:type="dxa"/>
            <w:tcBorders>
              <w:top w:val="nil"/>
              <w:left w:val="nil"/>
              <w:bottom w:val="single" w:sz="4" w:space="0" w:color="auto"/>
              <w:right w:val="single" w:sz="4" w:space="0" w:color="auto"/>
            </w:tcBorders>
            <w:shd w:val="clear" w:color="auto" w:fill="auto"/>
            <w:noWrap/>
            <w:vAlign w:val="bottom"/>
            <w:hideMark/>
          </w:tcPr>
          <w:p w14:paraId="26BBD960"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0,18</w:t>
            </w:r>
          </w:p>
        </w:tc>
        <w:tc>
          <w:tcPr>
            <w:tcW w:w="1234" w:type="dxa"/>
            <w:tcBorders>
              <w:top w:val="nil"/>
              <w:left w:val="nil"/>
              <w:bottom w:val="single" w:sz="4" w:space="0" w:color="auto"/>
              <w:right w:val="single" w:sz="4" w:space="0" w:color="auto"/>
            </w:tcBorders>
            <w:shd w:val="clear" w:color="auto" w:fill="auto"/>
            <w:noWrap/>
            <w:vAlign w:val="bottom"/>
            <w:hideMark/>
          </w:tcPr>
          <w:p w14:paraId="0F8F0AD3"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0,16</w:t>
            </w:r>
          </w:p>
        </w:tc>
        <w:tc>
          <w:tcPr>
            <w:tcW w:w="1232" w:type="dxa"/>
            <w:tcBorders>
              <w:top w:val="nil"/>
              <w:left w:val="nil"/>
              <w:bottom w:val="single" w:sz="4" w:space="0" w:color="auto"/>
              <w:right w:val="single" w:sz="4" w:space="0" w:color="auto"/>
            </w:tcBorders>
            <w:shd w:val="clear" w:color="auto" w:fill="auto"/>
            <w:noWrap/>
            <w:vAlign w:val="bottom"/>
            <w:hideMark/>
          </w:tcPr>
          <w:p w14:paraId="7D9EF70C" w14:textId="64179D7D" w:rsidR="00C46F37" w:rsidRPr="000D19A7" w:rsidRDefault="0097674F"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0,20</w:t>
            </w:r>
          </w:p>
        </w:tc>
        <w:tc>
          <w:tcPr>
            <w:tcW w:w="1272" w:type="dxa"/>
            <w:tcBorders>
              <w:top w:val="nil"/>
              <w:left w:val="nil"/>
              <w:bottom w:val="single" w:sz="4" w:space="0" w:color="auto"/>
              <w:right w:val="single" w:sz="4" w:space="0" w:color="auto"/>
            </w:tcBorders>
            <w:shd w:val="clear" w:color="auto" w:fill="auto"/>
            <w:noWrap/>
            <w:vAlign w:val="bottom"/>
            <w:hideMark/>
          </w:tcPr>
          <w:p w14:paraId="5678829E" w14:textId="2EE941D1" w:rsidR="00C46F37" w:rsidRPr="000D19A7" w:rsidRDefault="0097674F"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0,47</w:t>
            </w:r>
          </w:p>
        </w:tc>
      </w:tr>
      <w:tr w:rsidR="00C46F37" w:rsidRPr="000D19A7" w14:paraId="1665F442"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D7E006"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interne în PIB, %</w:t>
            </w:r>
          </w:p>
        </w:tc>
        <w:tc>
          <w:tcPr>
            <w:tcW w:w="1281" w:type="dxa"/>
            <w:tcBorders>
              <w:top w:val="nil"/>
              <w:left w:val="nil"/>
              <w:bottom w:val="single" w:sz="4" w:space="0" w:color="auto"/>
              <w:right w:val="single" w:sz="4" w:space="0" w:color="auto"/>
            </w:tcBorders>
            <w:shd w:val="clear" w:color="auto" w:fill="auto"/>
            <w:noWrap/>
            <w:vAlign w:val="bottom"/>
            <w:hideMark/>
          </w:tcPr>
          <w:p w14:paraId="40BA1DEC"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0,60</w:t>
            </w:r>
          </w:p>
        </w:tc>
        <w:tc>
          <w:tcPr>
            <w:tcW w:w="1318" w:type="dxa"/>
            <w:tcBorders>
              <w:top w:val="nil"/>
              <w:left w:val="nil"/>
              <w:bottom w:val="single" w:sz="4" w:space="0" w:color="auto"/>
              <w:right w:val="single" w:sz="4" w:space="0" w:color="auto"/>
            </w:tcBorders>
            <w:shd w:val="clear" w:color="auto" w:fill="auto"/>
            <w:noWrap/>
            <w:vAlign w:val="bottom"/>
            <w:hideMark/>
          </w:tcPr>
          <w:p w14:paraId="3F1AB51C"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0,66</w:t>
            </w:r>
          </w:p>
        </w:tc>
        <w:tc>
          <w:tcPr>
            <w:tcW w:w="1234" w:type="dxa"/>
            <w:tcBorders>
              <w:top w:val="nil"/>
              <w:left w:val="nil"/>
              <w:bottom w:val="single" w:sz="4" w:space="0" w:color="auto"/>
              <w:right w:val="single" w:sz="4" w:space="0" w:color="auto"/>
            </w:tcBorders>
            <w:shd w:val="clear" w:color="auto" w:fill="auto"/>
            <w:noWrap/>
            <w:vAlign w:val="bottom"/>
            <w:hideMark/>
          </w:tcPr>
          <w:p w14:paraId="7EA2CCDC"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0,63</w:t>
            </w:r>
          </w:p>
        </w:tc>
        <w:tc>
          <w:tcPr>
            <w:tcW w:w="1232" w:type="dxa"/>
            <w:tcBorders>
              <w:top w:val="nil"/>
              <w:left w:val="nil"/>
              <w:bottom w:val="single" w:sz="4" w:space="0" w:color="auto"/>
              <w:right w:val="single" w:sz="4" w:space="0" w:color="auto"/>
            </w:tcBorders>
            <w:shd w:val="clear" w:color="auto" w:fill="auto"/>
            <w:noWrap/>
            <w:vAlign w:val="bottom"/>
            <w:hideMark/>
          </w:tcPr>
          <w:p w14:paraId="4699FE05"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0,76</w:t>
            </w:r>
          </w:p>
        </w:tc>
        <w:tc>
          <w:tcPr>
            <w:tcW w:w="1272" w:type="dxa"/>
            <w:tcBorders>
              <w:top w:val="nil"/>
              <w:left w:val="nil"/>
              <w:bottom w:val="single" w:sz="4" w:space="0" w:color="auto"/>
              <w:right w:val="single" w:sz="4" w:space="0" w:color="auto"/>
            </w:tcBorders>
            <w:shd w:val="clear" w:color="auto" w:fill="auto"/>
            <w:noWrap/>
            <w:vAlign w:val="bottom"/>
            <w:hideMark/>
          </w:tcPr>
          <w:p w14:paraId="1CB2E773" w14:textId="02BB1D0D" w:rsidR="00C46F37" w:rsidRPr="000D19A7" w:rsidRDefault="0097674F"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1,29</w:t>
            </w:r>
          </w:p>
        </w:tc>
      </w:tr>
      <w:tr w:rsidR="00C46F37" w:rsidRPr="000D19A7" w14:paraId="6664880D"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583468"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Ponderea serviciului datoriei de stat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32DF6EF8"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40B0FD3B"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4,40</w:t>
            </w:r>
          </w:p>
        </w:tc>
        <w:tc>
          <w:tcPr>
            <w:tcW w:w="1234" w:type="dxa"/>
            <w:tcBorders>
              <w:top w:val="nil"/>
              <w:left w:val="nil"/>
              <w:bottom w:val="single" w:sz="4" w:space="0" w:color="auto"/>
              <w:right w:val="single" w:sz="4" w:space="0" w:color="auto"/>
            </w:tcBorders>
            <w:shd w:val="clear" w:color="auto" w:fill="auto"/>
            <w:noWrap/>
            <w:vAlign w:val="bottom"/>
            <w:hideMark/>
          </w:tcPr>
          <w:p w14:paraId="60EF91CE"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3,84</w:t>
            </w:r>
          </w:p>
        </w:tc>
        <w:tc>
          <w:tcPr>
            <w:tcW w:w="1232" w:type="dxa"/>
            <w:tcBorders>
              <w:top w:val="nil"/>
              <w:left w:val="nil"/>
              <w:bottom w:val="single" w:sz="4" w:space="0" w:color="auto"/>
              <w:right w:val="single" w:sz="4" w:space="0" w:color="auto"/>
            </w:tcBorders>
            <w:shd w:val="clear" w:color="auto" w:fill="auto"/>
            <w:noWrap/>
            <w:vAlign w:val="bottom"/>
            <w:hideMark/>
          </w:tcPr>
          <w:p w14:paraId="61B96FB7"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4,46</w:t>
            </w:r>
          </w:p>
        </w:tc>
        <w:tc>
          <w:tcPr>
            <w:tcW w:w="1272" w:type="dxa"/>
            <w:tcBorders>
              <w:top w:val="nil"/>
              <w:left w:val="nil"/>
              <w:bottom w:val="single" w:sz="4" w:space="0" w:color="auto"/>
              <w:right w:val="single" w:sz="4" w:space="0" w:color="auto"/>
            </w:tcBorders>
            <w:shd w:val="clear" w:color="auto" w:fill="auto"/>
            <w:noWrap/>
            <w:vAlign w:val="bottom"/>
            <w:hideMark/>
          </w:tcPr>
          <w:p w14:paraId="21FF9E31"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8,21</w:t>
            </w:r>
          </w:p>
        </w:tc>
      </w:tr>
      <w:tr w:rsidR="00C46F37" w:rsidRPr="000D19A7" w14:paraId="5289039D"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C45B27"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externe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3CE9A762"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w:t>
            </w:r>
          </w:p>
        </w:tc>
        <w:tc>
          <w:tcPr>
            <w:tcW w:w="1318" w:type="dxa"/>
            <w:tcBorders>
              <w:top w:val="nil"/>
              <w:left w:val="nil"/>
              <w:bottom w:val="single" w:sz="4" w:space="0" w:color="auto"/>
              <w:right w:val="single" w:sz="4" w:space="0" w:color="auto"/>
            </w:tcBorders>
            <w:shd w:val="clear" w:color="auto" w:fill="auto"/>
            <w:noWrap/>
            <w:vAlign w:val="bottom"/>
            <w:hideMark/>
          </w:tcPr>
          <w:p w14:paraId="6AC727A0"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0,90</w:t>
            </w:r>
          </w:p>
        </w:tc>
        <w:tc>
          <w:tcPr>
            <w:tcW w:w="1234" w:type="dxa"/>
            <w:tcBorders>
              <w:top w:val="nil"/>
              <w:left w:val="nil"/>
              <w:bottom w:val="single" w:sz="4" w:space="0" w:color="auto"/>
              <w:right w:val="single" w:sz="4" w:space="0" w:color="auto"/>
            </w:tcBorders>
            <w:shd w:val="clear" w:color="auto" w:fill="auto"/>
            <w:noWrap/>
            <w:vAlign w:val="bottom"/>
            <w:hideMark/>
          </w:tcPr>
          <w:p w14:paraId="75481AD6"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0,77</w:t>
            </w:r>
          </w:p>
        </w:tc>
        <w:tc>
          <w:tcPr>
            <w:tcW w:w="1232" w:type="dxa"/>
            <w:tcBorders>
              <w:top w:val="nil"/>
              <w:left w:val="nil"/>
              <w:bottom w:val="single" w:sz="4" w:space="0" w:color="auto"/>
              <w:right w:val="single" w:sz="4" w:space="0" w:color="auto"/>
            </w:tcBorders>
            <w:shd w:val="clear" w:color="auto" w:fill="auto"/>
            <w:noWrap/>
            <w:vAlign w:val="bottom"/>
            <w:hideMark/>
          </w:tcPr>
          <w:p w14:paraId="6A3A6B5E"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0,95</w:t>
            </w:r>
          </w:p>
        </w:tc>
        <w:tc>
          <w:tcPr>
            <w:tcW w:w="1272" w:type="dxa"/>
            <w:tcBorders>
              <w:top w:val="nil"/>
              <w:left w:val="nil"/>
              <w:bottom w:val="single" w:sz="4" w:space="0" w:color="auto"/>
              <w:right w:val="single" w:sz="4" w:space="0" w:color="auto"/>
            </w:tcBorders>
            <w:shd w:val="clear" w:color="auto" w:fill="auto"/>
            <w:noWrap/>
            <w:vAlign w:val="bottom"/>
            <w:hideMark/>
          </w:tcPr>
          <w:p w14:paraId="5E35D714"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2,22</w:t>
            </w:r>
          </w:p>
        </w:tc>
      </w:tr>
      <w:tr w:rsidR="00C46F37" w:rsidRPr="000D19A7" w14:paraId="74AD5BB3"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5C86B5"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interne în veniturile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11A8C472"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3,00</w:t>
            </w:r>
          </w:p>
        </w:tc>
        <w:tc>
          <w:tcPr>
            <w:tcW w:w="1318" w:type="dxa"/>
            <w:tcBorders>
              <w:top w:val="nil"/>
              <w:left w:val="nil"/>
              <w:bottom w:val="single" w:sz="4" w:space="0" w:color="auto"/>
              <w:right w:val="single" w:sz="4" w:space="0" w:color="auto"/>
            </w:tcBorders>
            <w:shd w:val="clear" w:color="auto" w:fill="auto"/>
            <w:noWrap/>
            <w:vAlign w:val="bottom"/>
            <w:hideMark/>
          </w:tcPr>
          <w:p w14:paraId="1284F21A"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3,50</w:t>
            </w:r>
          </w:p>
        </w:tc>
        <w:tc>
          <w:tcPr>
            <w:tcW w:w="1234" w:type="dxa"/>
            <w:tcBorders>
              <w:top w:val="nil"/>
              <w:left w:val="nil"/>
              <w:bottom w:val="single" w:sz="4" w:space="0" w:color="auto"/>
              <w:right w:val="single" w:sz="4" w:space="0" w:color="auto"/>
            </w:tcBorders>
            <w:shd w:val="clear" w:color="auto" w:fill="auto"/>
            <w:noWrap/>
            <w:vAlign w:val="bottom"/>
            <w:hideMark/>
          </w:tcPr>
          <w:p w14:paraId="11489B20"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3,08</w:t>
            </w:r>
          </w:p>
        </w:tc>
        <w:tc>
          <w:tcPr>
            <w:tcW w:w="1232" w:type="dxa"/>
            <w:tcBorders>
              <w:top w:val="nil"/>
              <w:left w:val="nil"/>
              <w:bottom w:val="single" w:sz="4" w:space="0" w:color="auto"/>
              <w:right w:val="single" w:sz="4" w:space="0" w:color="auto"/>
            </w:tcBorders>
            <w:shd w:val="clear" w:color="auto" w:fill="auto"/>
            <w:noWrap/>
            <w:vAlign w:val="bottom"/>
            <w:hideMark/>
          </w:tcPr>
          <w:p w14:paraId="2973DFA3"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3,52</w:t>
            </w:r>
          </w:p>
        </w:tc>
        <w:tc>
          <w:tcPr>
            <w:tcW w:w="1272" w:type="dxa"/>
            <w:tcBorders>
              <w:top w:val="nil"/>
              <w:left w:val="nil"/>
              <w:bottom w:val="single" w:sz="4" w:space="0" w:color="auto"/>
              <w:right w:val="single" w:sz="4" w:space="0" w:color="auto"/>
            </w:tcBorders>
            <w:shd w:val="clear" w:color="auto" w:fill="auto"/>
            <w:noWrap/>
            <w:vAlign w:val="bottom"/>
            <w:hideMark/>
          </w:tcPr>
          <w:p w14:paraId="5D572EDA"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5,99</w:t>
            </w:r>
          </w:p>
        </w:tc>
      </w:tr>
      <w:tr w:rsidR="00C46F37" w:rsidRPr="000D19A7" w14:paraId="3E5CD46E"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A3E18E"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Ponderea serviciului datoriei de stat în cheltuielile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5F10E46B"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3,80</w:t>
            </w:r>
          </w:p>
        </w:tc>
        <w:tc>
          <w:tcPr>
            <w:tcW w:w="1318" w:type="dxa"/>
            <w:tcBorders>
              <w:top w:val="nil"/>
              <w:left w:val="nil"/>
              <w:bottom w:val="single" w:sz="4" w:space="0" w:color="auto"/>
              <w:right w:val="single" w:sz="4" w:space="0" w:color="auto"/>
            </w:tcBorders>
            <w:shd w:val="clear" w:color="auto" w:fill="auto"/>
            <w:noWrap/>
            <w:vAlign w:val="bottom"/>
            <w:hideMark/>
          </w:tcPr>
          <w:p w14:paraId="2617C2ED"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3,39</w:t>
            </w:r>
          </w:p>
        </w:tc>
        <w:tc>
          <w:tcPr>
            <w:tcW w:w="1234" w:type="dxa"/>
            <w:tcBorders>
              <w:top w:val="nil"/>
              <w:left w:val="nil"/>
              <w:bottom w:val="single" w:sz="4" w:space="0" w:color="auto"/>
              <w:right w:val="single" w:sz="4" w:space="0" w:color="auto"/>
            </w:tcBorders>
            <w:shd w:val="clear" w:color="auto" w:fill="auto"/>
            <w:noWrap/>
            <w:vAlign w:val="bottom"/>
            <w:hideMark/>
          </w:tcPr>
          <w:p w14:paraId="789DC0B5"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3,51</w:t>
            </w:r>
          </w:p>
        </w:tc>
        <w:tc>
          <w:tcPr>
            <w:tcW w:w="1232" w:type="dxa"/>
            <w:tcBorders>
              <w:top w:val="nil"/>
              <w:left w:val="nil"/>
              <w:bottom w:val="single" w:sz="4" w:space="0" w:color="auto"/>
              <w:right w:val="single" w:sz="4" w:space="0" w:color="auto"/>
            </w:tcBorders>
            <w:shd w:val="clear" w:color="auto" w:fill="auto"/>
            <w:noWrap/>
            <w:vAlign w:val="bottom"/>
            <w:hideMark/>
          </w:tcPr>
          <w:p w14:paraId="56F6CBF3"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3,86</w:t>
            </w:r>
          </w:p>
        </w:tc>
        <w:tc>
          <w:tcPr>
            <w:tcW w:w="1272" w:type="dxa"/>
            <w:tcBorders>
              <w:top w:val="nil"/>
              <w:left w:val="nil"/>
              <w:bottom w:val="single" w:sz="4" w:space="0" w:color="auto"/>
              <w:right w:val="single" w:sz="4" w:space="0" w:color="auto"/>
            </w:tcBorders>
            <w:shd w:val="clear" w:color="auto" w:fill="auto"/>
            <w:noWrap/>
            <w:vAlign w:val="bottom"/>
            <w:hideMark/>
          </w:tcPr>
          <w:p w14:paraId="54FB0E34"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6,57</w:t>
            </w:r>
          </w:p>
        </w:tc>
      </w:tr>
      <w:tr w:rsidR="00C46F37" w:rsidRPr="000D19A7" w14:paraId="7AFDF450"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A4E5D40"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externe în cheltuielile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7B5C1931"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w:t>
            </w:r>
          </w:p>
        </w:tc>
        <w:tc>
          <w:tcPr>
            <w:tcW w:w="1318" w:type="dxa"/>
            <w:tcBorders>
              <w:top w:val="nil"/>
              <w:left w:val="nil"/>
              <w:bottom w:val="single" w:sz="4" w:space="0" w:color="auto"/>
              <w:right w:val="single" w:sz="4" w:space="0" w:color="auto"/>
            </w:tcBorders>
            <w:shd w:val="clear" w:color="auto" w:fill="auto"/>
            <w:noWrap/>
            <w:vAlign w:val="bottom"/>
            <w:hideMark/>
          </w:tcPr>
          <w:p w14:paraId="173F6ECE"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0,73</w:t>
            </w:r>
          </w:p>
        </w:tc>
        <w:tc>
          <w:tcPr>
            <w:tcW w:w="1234" w:type="dxa"/>
            <w:tcBorders>
              <w:top w:val="nil"/>
              <w:left w:val="nil"/>
              <w:bottom w:val="single" w:sz="4" w:space="0" w:color="auto"/>
              <w:right w:val="single" w:sz="4" w:space="0" w:color="auto"/>
            </w:tcBorders>
            <w:shd w:val="clear" w:color="auto" w:fill="auto"/>
            <w:noWrap/>
            <w:vAlign w:val="bottom"/>
            <w:hideMark/>
          </w:tcPr>
          <w:p w14:paraId="778A8E01"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0,70</w:t>
            </w:r>
          </w:p>
        </w:tc>
        <w:tc>
          <w:tcPr>
            <w:tcW w:w="1232" w:type="dxa"/>
            <w:tcBorders>
              <w:top w:val="nil"/>
              <w:left w:val="nil"/>
              <w:bottom w:val="single" w:sz="4" w:space="0" w:color="auto"/>
              <w:right w:val="single" w:sz="4" w:space="0" w:color="auto"/>
            </w:tcBorders>
            <w:shd w:val="clear" w:color="auto" w:fill="auto"/>
            <w:noWrap/>
            <w:vAlign w:val="bottom"/>
            <w:hideMark/>
          </w:tcPr>
          <w:p w14:paraId="1976ACE9"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0,82</w:t>
            </w:r>
          </w:p>
        </w:tc>
        <w:tc>
          <w:tcPr>
            <w:tcW w:w="1272" w:type="dxa"/>
            <w:tcBorders>
              <w:top w:val="nil"/>
              <w:left w:val="nil"/>
              <w:bottom w:val="single" w:sz="4" w:space="0" w:color="auto"/>
              <w:right w:val="single" w:sz="4" w:space="0" w:color="auto"/>
            </w:tcBorders>
            <w:shd w:val="clear" w:color="auto" w:fill="auto"/>
            <w:noWrap/>
            <w:vAlign w:val="bottom"/>
            <w:hideMark/>
          </w:tcPr>
          <w:p w14:paraId="78D41386"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1,78</w:t>
            </w:r>
          </w:p>
        </w:tc>
      </w:tr>
      <w:tr w:rsidR="00C46F37" w:rsidRPr="000D19A7" w14:paraId="790ECA13"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B928BFB" w14:textId="77777777" w:rsidR="00C46F37" w:rsidRPr="000D19A7" w:rsidRDefault="00C46F37" w:rsidP="00C46F3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Ponderea serviciului datoriei de stat interne în cheltuielile bugetului de stat, %</w:t>
            </w:r>
          </w:p>
        </w:tc>
        <w:tc>
          <w:tcPr>
            <w:tcW w:w="1281" w:type="dxa"/>
            <w:tcBorders>
              <w:top w:val="nil"/>
              <w:left w:val="nil"/>
              <w:bottom w:val="single" w:sz="4" w:space="0" w:color="auto"/>
              <w:right w:val="single" w:sz="4" w:space="0" w:color="auto"/>
            </w:tcBorders>
            <w:shd w:val="clear" w:color="auto" w:fill="auto"/>
            <w:noWrap/>
            <w:vAlign w:val="bottom"/>
            <w:hideMark/>
          </w:tcPr>
          <w:p w14:paraId="4011242E"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2,80</w:t>
            </w:r>
          </w:p>
        </w:tc>
        <w:tc>
          <w:tcPr>
            <w:tcW w:w="1318" w:type="dxa"/>
            <w:tcBorders>
              <w:top w:val="nil"/>
              <w:left w:val="nil"/>
              <w:bottom w:val="single" w:sz="4" w:space="0" w:color="auto"/>
              <w:right w:val="single" w:sz="4" w:space="0" w:color="auto"/>
            </w:tcBorders>
            <w:shd w:val="clear" w:color="auto" w:fill="auto"/>
            <w:noWrap/>
            <w:vAlign w:val="bottom"/>
            <w:hideMark/>
          </w:tcPr>
          <w:p w14:paraId="6CA5C642"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0,73</w:t>
            </w:r>
          </w:p>
        </w:tc>
        <w:tc>
          <w:tcPr>
            <w:tcW w:w="1234" w:type="dxa"/>
            <w:tcBorders>
              <w:top w:val="nil"/>
              <w:left w:val="nil"/>
              <w:bottom w:val="single" w:sz="4" w:space="0" w:color="auto"/>
              <w:right w:val="single" w:sz="4" w:space="0" w:color="auto"/>
            </w:tcBorders>
            <w:shd w:val="clear" w:color="auto" w:fill="auto"/>
            <w:noWrap/>
            <w:vAlign w:val="bottom"/>
            <w:hideMark/>
          </w:tcPr>
          <w:p w14:paraId="2EB3D21B"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0,70</w:t>
            </w:r>
          </w:p>
        </w:tc>
        <w:tc>
          <w:tcPr>
            <w:tcW w:w="1232" w:type="dxa"/>
            <w:tcBorders>
              <w:top w:val="nil"/>
              <w:left w:val="nil"/>
              <w:bottom w:val="single" w:sz="4" w:space="0" w:color="auto"/>
              <w:right w:val="single" w:sz="4" w:space="0" w:color="auto"/>
            </w:tcBorders>
            <w:shd w:val="clear" w:color="auto" w:fill="auto"/>
            <w:noWrap/>
            <w:vAlign w:val="bottom"/>
            <w:hideMark/>
          </w:tcPr>
          <w:p w14:paraId="439020A9"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0,82</w:t>
            </w:r>
          </w:p>
        </w:tc>
        <w:tc>
          <w:tcPr>
            <w:tcW w:w="1272" w:type="dxa"/>
            <w:tcBorders>
              <w:top w:val="nil"/>
              <w:left w:val="nil"/>
              <w:bottom w:val="single" w:sz="4" w:space="0" w:color="auto"/>
              <w:right w:val="single" w:sz="4" w:space="0" w:color="auto"/>
            </w:tcBorders>
            <w:shd w:val="clear" w:color="auto" w:fill="auto"/>
            <w:noWrap/>
            <w:vAlign w:val="bottom"/>
            <w:hideMark/>
          </w:tcPr>
          <w:p w14:paraId="0B41DED8" w14:textId="77777777" w:rsidR="00C46F37" w:rsidRPr="000D19A7" w:rsidRDefault="00C46F37" w:rsidP="00C46F3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4,79</w:t>
            </w:r>
          </w:p>
        </w:tc>
      </w:tr>
      <w:tr w:rsidR="00C46F37" w:rsidRPr="000D19A7" w14:paraId="09530A0F"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hideMark/>
          </w:tcPr>
          <w:p w14:paraId="476B314A" w14:textId="2C1683A4"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Datoria de stat externă pe cap de locuitor, lei</w:t>
            </w:r>
          </w:p>
        </w:tc>
        <w:tc>
          <w:tcPr>
            <w:tcW w:w="1281" w:type="dxa"/>
            <w:tcBorders>
              <w:top w:val="nil"/>
              <w:left w:val="nil"/>
              <w:bottom w:val="single" w:sz="4" w:space="0" w:color="auto"/>
              <w:right w:val="single" w:sz="4" w:space="0" w:color="auto"/>
            </w:tcBorders>
            <w:shd w:val="clear" w:color="auto" w:fill="auto"/>
            <w:hideMark/>
          </w:tcPr>
          <w:p w14:paraId="764EBD6B" w14:textId="720DD38C"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11 066,45</w:t>
            </w:r>
          </w:p>
        </w:tc>
        <w:tc>
          <w:tcPr>
            <w:tcW w:w="1318" w:type="dxa"/>
            <w:tcBorders>
              <w:top w:val="nil"/>
              <w:left w:val="nil"/>
              <w:bottom w:val="single" w:sz="4" w:space="0" w:color="auto"/>
              <w:right w:val="single" w:sz="4" w:space="0" w:color="auto"/>
            </w:tcBorders>
            <w:shd w:val="clear" w:color="auto" w:fill="auto"/>
            <w:noWrap/>
            <w:hideMark/>
          </w:tcPr>
          <w:p w14:paraId="45C5B465" w14:textId="35C47E65"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14 615,6</w:t>
            </w:r>
          </w:p>
        </w:tc>
        <w:tc>
          <w:tcPr>
            <w:tcW w:w="1234" w:type="dxa"/>
            <w:tcBorders>
              <w:top w:val="nil"/>
              <w:left w:val="nil"/>
              <w:bottom w:val="single" w:sz="4" w:space="0" w:color="auto"/>
              <w:right w:val="single" w:sz="4" w:space="0" w:color="auto"/>
            </w:tcBorders>
            <w:shd w:val="clear" w:color="auto" w:fill="auto"/>
            <w:noWrap/>
            <w:hideMark/>
          </w:tcPr>
          <w:p w14:paraId="4CA670B7" w14:textId="486A30A9"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16 909,24</w:t>
            </w:r>
          </w:p>
        </w:tc>
        <w:tc>
          <w:tcPr>
            <w:tcW w:w="1232" w:type="dxa"/>
            <w:tcBorders>
              <w:top w:val="nil"/>
              <w:left w:val="nil"/>
              <w:bottom w:val="single" w:sz="4" w:space="0" w:color="auto"/>
              <w:right w:val="single" w:sz="4" w:space="0" w:color="auto"/>
            </w:tcBorders>
            <w:shd w:val="clear" w:color="auto" w:fill="auto"/>
            <w:noWrap/>
            <w:hideMark/>
          </w:tcPr>
          <w:p w14:paraId="283EF725" w14:textId="3CF81B9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23 502,93</w:t>
            </w:r>
          </w:p>
        </w:tc>
        <w:tc>
          <w:tcPr>
            <w:tcW w:w="1272" w:type="dxa"/>
            <w:tcBorders>
              <w:top w:val="nil"/>
              <w:left w:val="nil"/>
              <w:bottom w:val="single" w:sz="4" w:space="0" w:color="auto"/>
              <w:right w:val="single" w:sz="4" w:space="0" w:color="auto"/>
            </w:tcBorders>
            <w:shd w:val="clear" w:color="auto" w:fill="auto"/>
            <w:noWrap/>
            <w:hideMark/>
          </w:tcPr>
          <w:p w14:paraId="129C180B"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25 632,27/</w:t>
            </w:r>
          </w:p>
        </w:tc>
      </w:tr>
      <w:tr w:rsidR="00C46F37" w:rsidRPr="000D19A7" w14:paraId="569513F1"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1B58D6E"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PIB pe cap de locuitor, lei</w:t>
            </w:r>
          </w:p>
        </w:tc>
        <w:tc>
          <w:tcPr>
            <w:tcW w:w="1281" w:type="dxa"/>
            <w:tcBorders>
              <w:top w:val="nil"/>
              <w:left w:val="nil"/>
              <w:bottom w:val="single" w:sz="4" w:space="0" w:color="auto"/>
              <w:right w:val="single" w:sz="4" w:space="0" w:color="auto"/>
            </w:tcBorders>
            <w:shd w:val="clear" w:color="auto" w:fill="auto"/>
            <w:noWrap/>
            <w:vAlign w:val="bottom"/>
            <w:hideMark/>
          </w:tcPr>
          <w:p w14:paraId="3CFFA6B4"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59 316,5</w:t>
            </w:r>
          </w:p>
        </w:tc>
        <w:tc>
          <w:tcPr>
            <w:tcW w:w="1318" w:type="dxa"/>
            <w:tcBorders>
              <w:top w:val="nil"/>
              <w:left w:val="nil"/>
              <w:bottom w:val="single" w:sz="4" w:space="0" w:color="auto"/>
              <w:right w:val="single" w:sz="4" w:space="0" w:color="auto"/>
            </w:tcBorders>
            <w:shd w:val="clear" w:color="auto" w:fill="auto"/>
            <w:noWrap/>
            <w:vAlign w:val="bottom"/>
            <w:hideMark/>
          </w:tcPr>
          <w:p w14:paraId="36AB16E4"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75.656,82</w:t>
            </w:r>
          </w:p>
        </w:tc>
        <w:tc>
          <w:tcPr>
            <w:tcW w:w="1234" w:type="dxa"/>
            <w:tcBorders>
              <w:top w:val="nil"/>
              <w:left w:val="nil"/>
              <w:bottom w:val="single" w:sz="4" w:space="0" w:color="auto"/>
              <w:right w:val="single" w:sz="4" w:space="0" w:color="auto"/>
            </w:tcBorders>
            <w:shd w:val="clear" w:color="auto" w:fill="auto"/>
            <w:noWrap/>
            <w:vAlign w:val="bottom"/>
            <w:hideMark/>
          </w:tcPr>
          <w:p w14:paraId="5C99F7F3"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92.045,10</w:t>
            </w:r>
          </w:p>
        </w:tc>
        <w:tc>
          <w:tcPr>
            <w:tcW w:w="1232" w:type="dxa"/>
            <w:tcBorders>
              <w:top w:val="nil"/>
              <w:left w:val="nil"/>
              <w:bottom w:val="single" w:sz="4" w:space="0" w:color="auto"/>
              <w:right w:val="single" w:sz="4" w:space="0" w:color="auto"/>
            </w:tcBorders>
            <w:shd w:val="clear" w:color="auto" w:fill="auto"/>
            <w:noWrap/>
            <w:vAlign w:val="bottom"/>
            <w:hideMark/>
          </w:tcPr>
          <w:p w14:paraId="19CA1E4A" w14:textId="77777777"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106.467,15</w:t>
            </w:r>
          </w:p>
        </w:tc>
        <w:tc>
          <w:tcPr>
            <w:tcW w:w="1272" w:type="dxa"/>
            <w:tcBorders>
              <w:top w:val="nil"/>
              <w:left w:val="nil"/>
              <w:bottom w:val="single" w:sz="4" w:space="0" w:color="auto"/>
              <w:right w:val="single" w:sz="4" w:space="0" w:color="auto"/>
            </w:tcBorders>
            <w:shd w:val="clear" w:color="auto" w:fill="auto"/>
            <w:noWrap/>
            <w:vAlign w:val="bottom"/>
            <w:hideMark/>
          </w:tcPr>
          <w:p w14:paraId="79F8BDC4" w14:textId="05BB36EF" w:rsidR="00C46F37" w:rsidRPr="000D19A7" w:rsidRDefault="00C46F37" w:rsidP="00C46F3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r w:rsidR="002C3FCC" w:rsidRPr="000D19A7">
              <w:rPr>
                <w:rFonts w:ascii="Times New Roman" w:eastAsia="Times New Roman" w:hAnsi="Times New Roman" w:cs="Times New Roman"/>
                <w:b/>
                <w:bCs/>
                <w:color w:val="000000"/>
                <w:sz w:val="20"/>
                <w:szCs w:val="20"/>
              </w:rPr>
              <w:t>124 325.44</w:t>
            </w:r>
          </w:p>
        </w:tc>
      </w:tr>
      <w:tr w:rsidR="00C46F37" w:rsidRPr="000D19A7" w14:paraId="73910C73"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02AFB9D"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7C03818F" w14:textId="77777777" w:rsidR="00C46F37" w:rsidRPr="000D19A7" w:rsidRDefault="00C46F37" w:rsidP="00C46F37">
            <w:pPr>
              <w:spacing w:after="0" w:line="240" w:lineRule="auto"/>
              <w:jc w:val="center"/>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2D8E4EC0" w14:textId="77777777" w:rsidR="00C46F37" w:rsidRPr="000D19A7" w:rsidRDefault="00C46F37" w:rsidP="00C46F37">
            <w:pPr>
              <w:spacing w:after="0" w:line="240" w:lineRule="auto"/>
              <w:jc w:val="center"/>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476FE2B5" w14:textId="77777777" w:rsidR="00C46F37" w:rsidRPr="000D19A7" w:rsidRDefault="00C46F37" w:rsidP="00C46F37">
            <w:pPr>
              <w:spacing w:after="0" w:line="240" w:lineRule="auto"/>
              <w:jc w:val="center"/>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2A59141E" w14:textId="77777777" w:rsidR="00C46F37" w:rsidRPr="000D19A7" w:rsidRDefault="00C46F37" w:rsidP="00C46F37">
            <w:pPr>
              <w:spacing w:after="0" w:line="240" w:lineRule="auto"/>
              <w:jc w:val="center"/>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6659EFC" w14:textId="77777777" w:rsidR="00C46F37" w:rsidRPr="000D19A7" w:rsidRDefault="00C46F37" w:rsidP="00C46F37">
            <w:pPr>
              <w:spacing w:after="0" w:line="240" w:lineRule="auto"/>
              <w:jc w:val="center"/>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r>
      <w:tr w:rsidR="00C46F37" w:rsidRPr="000D19A7" w14:paraId="64300021"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E978EFE"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Numărul populației cu reședință obișnuită, mii</w:t>
            </w:r>
          </w:p>
        </w:tc>
        <w:tc>
          <w:tcPr>
            <w:tcW w:w="1281" w:type="dxa"/>
            <w:tcBorders>
              <w:top w:val="nil"/>
              <w:left w:val="nil"/>
              <w:bottom w:val="single" w:sz="4" w:space="0" w:color="auto"/>
              <w:right w:val="single" w:sz="4" w:space="0" w:color="auto"/>
            </w:tcBorders>
            <w:shd w:val="clear" w:color="auto" w:fill="auto"/>
            <w:noWrap/>
            <w:vAlign w:val="bottom"/>
            <w:hideMark/>
          </w:tcPr>
          <w:p w14:paraId="37555973"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2.648,76</w:t>
            </w:r>
          </w:p>
        </w:tc>
        <w:tc>
          <w:tcPr>
            <w:tcW w:w="1318" w:type="dxa"/>
            <w:tcBorders>
              <w:top w:val="nil"/>
              <w:left w:val="nil"/>
              <w:bottom w:val="single" w:sz="4" w:space="0" w:color="auto"/>
              <w:right w:val="single" w:sz="4" w:space="0" w:color="auto"/>
            </w:tcBorders>
            <w:shd w:val="clear" w:color="auto" w:fill="auto"/>
            <w:noWrap/>
            <w:vAlign w:val="bottom"/>
            <w:hideMark/>
          </w:tcPr>
          <w:p w14:paraId="60556CF0"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2.643,68</w:t>
            </w:r>
          </w:p>
        </w:tc>
        <w:tc>
          <w:tcPr>
            <w:tcW w:w="1234" w:type="dxa"/>
            <w:tcBorders>
              <w:top w:val="nil"/>
              <w:left w:val="nil"/>
              <w:bottom w:val="single" w:sz="4" w:space="0" w:color="auto"/>
              <w:right w:val="single" w:sz="4" w:space="0" w:color="auto"/>
            </w:tcBorders>
            <w:shd w:val="clear" w:color="auto" w:fill="auto"/>
            <w:noWrap/>
            <w:vAlign w:val="bottom"/>
            <w:hideMark/>
          </w:tcPr>
          <w:p w14:paraId="48411D10"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2.626,60</w:t>
            </w:r>
          </w:p>
        </w:tc>
        <w:tc>
          <w:tcPr>
            <w:tcW w:w="1232" w:type="dxa"/>
            <w:tcBorders>
              <w:top w:val="nil"/>
              <w:left w:val="nil"/>
              <w:bottom w:val="single" w:sz="4" w:space="0" w:color="auto"/>
              <w:right w:val="single" w:sz="4" w:space="0" w:color="auto"/>
            </w:tcBorders>
            <w:shd w:val="clear" w:color="auto" w:fill="auto"/>
            <w:noWrap/>
            <w:vAlign w:val="bottom"/>
            <w:hideMark/>
          </w:tcPr>
          <w:p w14:paraId="0504BB8B"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2.565,03</w:t>
            </w:r>
          </w:p>
        </w:tc>
        <w:tc>
          <w:tcPr>
            <w:tcW w:w="1272" w:type="dxa"/>
            <w:tcBorders>
              <w:top w:val="nil"/>
              <w:left w:val="nil"/>
              <w:bottom w:val="single" w:sz="4" w:space="0" w:color="auto"/>
              <w:right w:val="single" w:sz="4" w:space="0" w:color="auto"/>
            </w:tcBorders>
            <w:shd w:val="clear" w:color="auto" w:fill="auto"/>
            <w:noWrap/>
            <w:vAlign w:val="bottom"/>
            <w:hideMark/>
          </w:tcPr>
          <w:p w14:paraId="219B76F9"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2.512,76</w:t>
            </w:r>
          </w:p>
        </w:tc>
      </w:tr>
      <w:tr w:rsidR="00C46F37" w:rsidRPr="000D19A7" w14:paraId="40C3AF06"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81CB61"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xml:space="preserve">Datoria de stat, </w:t>
            </w:r>
            <w:r w:rsidRPr="000D19A7">
              <w:rPr>
                <w:rFonts w:ascii="Times New Roman" w:eastAsia="Times New Roman" w:hAnsi="Times New Roman" w:cs="Times New Roman"/>
                <w:b/>
                <w:color w:val="000000"/>
                <w:sz w:val="20"/>
                <w:szCs w:val="20"/>
              </w:rPr>
              <w:t>mil, lei,</w:t>
            </w:r>
            <w:r w:rsidRPr="000D19A7">
              <w:rPr>
                <w:rFonts w:ascii="Times New Roman" w:eastAsia="Times New Roman" w:hAnsi="Times New Roman" w:cs="Times New Roman"/>
                <w:color w:val="000000"/>
                <w:sz w:val="20"/>
                <w:szCs w:val="20"/>
              </w:rPr>
              <w:t xml:space="preserve"> </w:t>
            </w:r>
            <w:r w:rsidRPr="000D19A7">
              <w:rPr>
                <w:rFonts w:ascii="Times New Roman" w:eastAsia="Times New Roman" w:hAnsi="Times New Roman" w:cs="Times New Roman"/>
                <w:bCs/>
                <w:color w:val="000000"/>
                <w:sz w:val="20"/>
                <w:szCs w:val="20"/>
              </w:rPr>
              <w:t>din care:</w:t>
            </w:r>
          </w:p>
        </w:tc>
        <w:tc>
          <w:tcPr>
            <w:tcW w:w="1281" w:type="dxa"/>
            <w:tcBorders>
              <w:top w:val="nil"/>
              <w:left w:val="nil"/>
              <w:bottom w:val="single" w:sz="4" w:space="0" w:color="auto"/>
              <w:right w:val="single" w:sz="4" w:space="0" w:color="auto"/>
            </w:tcBorders>
            <w:shd w:val="clear" w:color="auto" w:fill="auto"/>
            <w:noWrap/>
            <w:vAlign w:val="bottom"/>
            <w:hideMark/>
          </w:tcPr>
          <w:p w14:paraId="2E641677"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52.494,30</w:t>
            </w:r>
          </w:p>
        </w:tc>
        <w:tc>
          <w:tcPr>
            <w:tcW w:w="1318" w:type="dxa"/>
            <w:tcBorders>
              <w:top w:val="nil"/>
              <w:left w:val="nil"/>
              <w:bottom w:val="single" w:sz="4" w:space="0" w:color="auto"/>
              <w:right w:val="single" w:sz="4" w:space="0" w:color="auto"/>
            </w:tcBorders>
            <w:shd w:val="clear" w:color="auto" w:fill="auto"/>
            <w:noWrap/>
            <w:vAlign w:val="bottom"/>
            <w:hideMark/>
          </w:tcPr>
          <w:p w14:paraId="50BE9EFB"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67.820,70</w:t>
            </w:r>
          </w:p>
        </w:tc>
        <w:tc>
          <w:tcPr>
            <w:tcW w:w="1234" w:type="dxa"/>
            <w:tcBorders>
              <w:top w:val="nil"/>
              <w:left w:val="nil"/>
              <w:bottom w:val="single" w:sz="4" w:space="0" w:color="auto"/>
              <w:right w:val="single" w:sz="4" w:space="0" w:color="auto"/>
            </w:tcBorders>
            <w:shd w:val="clear" w:color="auto" w:fill="auto"/>
            <w:noWrap/>
            <w:vAlign w:val="bottom"/>
            <w:hideMark/>
          </w:tcPr>
          <w:p w14:paraId="3BE5F586"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77.752,70</w:t>
            </w:r>
          </w:p>
        </w:tc>
        <w:tc>
          <w:tcPr>
            <w:tcW w:w="1232" w:type="dxa"/>
            <w:tcBorders>
              <w:top w:val="nil"/>
              <w:left w:val="nil"/>
              <w:bottom w:val="single" w:sz="4" w:space="0" w:color="auto"/>
              <w:right w:val="single" w:sz="4" w:space="0" w:color="auto"/>
            </w:tcBorders>
            <w:shd w:val="clear" w:color="auto" w:fill="auto"/>
            <w:noWrap/>
            <w:vAlign w:val="bottom"/>
            <w:hideMark/>
          </w:tcPr>
          <w:p w14:paraId="0008F691" w14:textId="4DA78FAB" w:rsidR="00C46F37" w:rsidRPr="000D19A7" w:rsidRDefault="0097674F" w:rsidP="0097674F">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94.660</w:t>
            </w:r>
            <w:r w:rsidR="00C46F37" w:rsidRPr="000D19A7">
              <w:rPr>
                <w:rFonts w:ascii="Times New Roman" w:eastAsia="Times New Roman" w:hAnsi="Times New Roman" w:cs="Times New Roman"/>
                <w:b/>
                <w:bCs/>
                <w:color w:val="000000"/>
                <w:sz w:val="20"/>
                <w:szCs w:val="20"/>
              </w:rPr>
              <w:t>,</w:t>
            </w:r>
            <w:r w:rsidRPr="000D19A7">
              <w:rPr>
                <w:rFonts w:ascii="Times New Roman" w:eastAsia="Times New Roman" w:hAnsi="Times New Roman" w:cs="Times New Roman"/>
                <w:b/>
                <w:bCs/>
                <w:color w:val="000000"/>
                <w:sz w:val="20"/>
                <w:szCs w:val="20"/>
              </w:rPr>
              <w:t>00</w:t>
            </w:r>
          </w:p>
        </w:tc>
        <w:tc>
          <w:tcPr>
            <w:tcW w:w="1272" w:type="dxa"/>
            <w:tcBorders>
              <w:top w:val="nil"/>
              <w:left w:val="nil"/>
              <w:bottom w:val="single" w:sz="4" w:space="0" w:color="auto"/>
              <w:right w:val="single" w:sz="4" w:space="0" w:color="auto"/>
            </w:tcBorders>
            <w:shd w:val="clear" w:color="auto" w:fill="auto"/>
            <w:noWrap/>
            <w:vAlign w:val="bottom"/>
            <w:hideMark/>
          </w:tcPr>
          <w:p w14:paraId="72E7C6D4"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104.003,10</w:t>
            </w:r>
          </w:p>
        </w:tc>
      </w:tr>
      <w:tr w:rsidR="00C46F37" w:rsidRPr="000D19A7" w14:paraId="0F408582" w14:textId="77777777" w:rsidTr="00C46F37">
        <w:trPr>
          <w:trHeight w:val="240"/>
        </w:trPr>
        <w:tc>
          <w:tcPr>
            <w:tcW w:w="3681" w:type="dxa"/>
            <w:tcBorders>
              <w:top w:val="nil"/>
              <w:left w:val="single" w:sz="4" w:space="0" w:color="auto"/>
              <w:bottom w:val="nil"/>
              <w:right w:val="single" w:sz="4" w:space="0" w:color="auto"/>
            </w:tcBorders>
            <w:shd w:val="clear" w:color="auto" w:fill="auto"/>
            <w:noWrap/>
            <w:hideMark/>
          </w:tcPr>
          <w:p w14:paraId="2E1E51F9" w14:textId="77777777" w:rsidR="00C46F37" w:rsidRPr="000D19A7" w:rsidRDefault="00C46F37" w:rsidP="00C46F37">
            <w:pPr>
              <w:spacing w:after="0" w:line="240" w:lineRule="auto"/>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datoria de stat externă, mil. lei</w:t>
            </w:r>
          </w:p>
        </w:tc>
        <w:tc>
          <w:tcPr>
            <w:tcW w:w="1281" w:type="dxa"/>
            <w:tcBorders>
              <w:top w:val="nil"/>
              <w:left w:val="nil"/>
              <w:bottom w:val="single" w:sz="4" w:space="0" w:color="auto"/>
              <w:right w:val="single" w:sz="4" w:space="0" w:color="auto"/>
            </w:tcBorders>
            <w:shd w:val="clear" w:color="auto" w:fill="auto"/>
            <w:noWrap/>
            <w:vAlign w:val="bottom"/>
            <w:hideMark/>
          </w:tcPr>
          <w:p w14:paraId="5C3B7A4C"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29.326,10</w:t>
            </w:r>
          </w:p>
        </w:tc>
        <w:tc>
          <w:tcPr>
            <w:tcW w:w="1318" w:type="dxa"/>
            <w:tcBorders>
              <w:top w:val="nil"/>
              <w:left w:val="nil"/>
              <w:bottom w:val="single" w:sz="4" w:space="0" w:color="auto"/>
              <w:right w:val="single" w:sz="4" w:space="0" w:color="auto"/>
            </w:tcBorders>
            <w:shd w:val="clear" w:color="auto" w:fill="auto"/>
            <w:noWrap/>
            <w:vAlign w:val="bottom"/>
            <w:hideMark/>
          </w:tcPr>
          <w:p w14:paraId="70CFA254"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38.585,10</w:t>
            </w:r>
          </w:p>
        </w:tc>
        <w:tc>
          <w:tcPr>
            <w:tcW w:w="1234" w:type="dxa"/>
            <w:tcBorders>
              <w:top w:val="nil"/>
              <w:left w:val="nil"/>
              <w:bottom w:val="single" w:sz="4" w:space="0" w:color="auto"/>
              <w:right w:val="single" w:sz="4" w:space="0" w:color="auto"/>
            </w:tcBorders>
            <w:shd w:val="clear" w:color="auto" w:fill="auto"/>
            <w:noWrap/>
            <w:vAlign w:val="bottom"/>
            <w:hideMark/>
          </w:tcPr>
          <w:p w14:paraId="68935FDB"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44.471,30</w:t>
            </w:r>
          </w:p>
        </w:tc>
        <w:tc>
          <w:tcPr>
            <w:tcW w:w="1232" w:type="dxa"/>
            <w:tcBorders>
              <w:top w:val="nil"/>
              <w:left w:val="nil"/>
              <w:bottom w:val="single" w:sz="4" w:space="0" w:color="auto"/>
              <w:right w:val="single" w:sz="4" w:space="0" w:color="auto"/>
            </w:tcBorders>
            <w:shd w:val="clear" w:color="auto" w:fill="auto"/>
            <w:noWrap/>
            <w:vAlign w:val="bottom"/>
            <w:hideMark/>
          </w:tcPr>
          <w:p w14:paraId="78D151C3" w14:textId="4DAF3481" w:rsidR="00C46F37" w:rsidRPr="000D19A7" w:rsidRDefault="0097674F"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60.167,7</w:t>
            </w:r>
            <w:r w:rsidR="00C46F37" w:rsidRPr="000D19A7">
              <w:rPr>
                <w:rFonts w:ascii="Times New Roman" w:eastAsia="Times New Roman" w:hAnsi="Times New Roman" w:cs="Times New Roman"/>
                <w:b/>
                <w:bCs/>
                <w:i/>
                <w:iCs/>
                <w:color w:val="000000"/>
                <w:sz w:val="18"/>
                <w:szCs w:val="18"/>
              </w:rPr>
              <w:t>0</w:t>
            </w:r>
          </w:p>
        </w:tc>
        <w:tc>
          <w:tcPr>
            <w:tcW w:w="1272" w:type="dxa"/>
            <w:tcBorders>
              <w:top w:val="nil"/>
              <w:left w:val="nil"/>
              <w:bottom w:val="single" w:sz="4" w:space="0" w:color="auto"/>
              <w:right w:val="single" w:sz="4" w:space="0" w:color="auto"/>
            </w:tcBorders>
            <w:shd w:val="clear" w:color="auto" w:fill="auto"/>
            <w:noWrap/>
            <w:vAlign w:val="bottom"/>
            <w:hideMark/>
          </w:tcPr>
          <w:p w14:paraId="113A93B0"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64.337,00</w:t>
            </w:r>
          </w:p>
        </w:tc>
      </w:tr>
      <w:tr w:rsidR="00C46F37" w:rsidRPr="000D19A7" w14:paraId="1410E6B9" w14:textId="77777777" w:rsidTr="00C46F37">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730A" w14:textId="77777777" w:rsidR="00C46F37" w:rsidRPr="000D19A7" w:rsidRDefault="00C46F37" w:rsidP="00C46F37">
            <w:pPr>
              <w:spacing w:after="0" w:line="240" w:lineRule="auto"/>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mil. dol. SUA</w:t>
            </w:r>
          </w:p>
        </w:tc>
        <w:tc>
          <w:tcPr>
            <w:tcW w:w="1281" w:type="dxa"/>
            <w:tcBorders>
              <w:top w:val="nil"/>
              <w:left w:val="nil"/>
              <w:bottom w:val="single" w:sz="4" w:space="0" w:color="auto"/>
              <w:right w:val="single" w:sz="4" w:space="0" w:color="auto"/>
            </w:tcBorders>
            <w:shd w:val="clear" w:color="auto" w:fill="auto"/>
            <w:noWrap/>
            <w:vAlign w:val="bottom"/>
            <w:hideMark/>
          </w:tcPr>
          <w:p w14:paraId="11A023EC"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1.704,10</w:t>
            </w:r>
          </w:p>
        </w:tc>
        <w:tc>
          <w:tcPr>
            <w:tcW w:w="1318" w:type="dxa"/>
            <w:tcBorders>
              <w:top w:val="nil"/>
              <w:left w:val="nil"/>
              <w:bottom w:val="single" w:sz="4" w:space="0" w:color="auto"/>
              <w:right w:val="single" w:sz="4" w:space="0" w:color="auto"/>
            </w:tcBorders>
            <w:shd w:val="clear" w:color="auto" w:fill="auto"/>
            <w:noWrap/>
            <w:vAlign w:val="bottom"/>
            <w:hideMark/>
          </w:tcPr>
          <w:p w14:paraId="478ECDAE"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2.241,40</w:t>
            </w:r>
          </w:p>
        </w:tc>
        <w:tc>
          <w:tcPr>
            <w:tcW w:w="1234" w:type="dxa"/>
            <w:tcBorders>
              <w:top w:val="nil"/>
              <w:left w:val="nil"/>
              <w:bottom w:val="single" w:sz="4" w:space="0" w:color="auto"/>
              <w:right w:val="single" w:sz="4" w:space="0" w:color="auto"/>
            </w:tcBorders>
            <w:shd w:val="clear" w:color="auto" w:fill="auto"/>
            <w:noWrap/>
            <w:vAlign w:val="bottom"/>
            <w:hideMark/>
          </w:tcPr>
          <w:p w14:paraId="4C7567D9"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2.506,10</w:t>
            </w:r>
          </w:p>
        </w:tc>
        <w:tc>
          <w:tcPr>
            <w:tcW w:w="1232" w:type="dxa"/>
            <w:tcBorders>
              <w:top w:val="nil"/>
              <w:left w:val="nil"/>
              <w:bottom w:val="single" w:sz="4" w:space="0" w:color="auto"/>
              <w:right w:val="single" w:sz="4" w:space="0" w:color="auto"/>
            </w:tcBorders>
            <w:shd w:val="clear" w:color="auto" w:fill="auto"/>
            <w:noWrap/>
            <w:vAlign w:val="bottom"/>
            <w:hideMark/>
          </w:tcPr>
          <w:p w14:paraId="4F1DCF4A"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3.140,62</w:t>
            </w:r>
          </w:p>
        </w:tc>
        <w:tc>
          <w:tcPr>
            <w:tcW w:w="1272" w:type="dxa"/>
            <w:tcBorders>
              <w:top w:val="nil"/>
              <w:left w:val="nil"/>
              <w:bottom w:val="single" w:sz="4" w:space="0" w:color="auto"/>
              <w:right w:val="single" w:sz="4" w:space="0" w:color="auto"/>
            </w:tcBorders>
            <w:shd w:val="clear" w:color="auto" w:fill="auto"/>
            <w:noWrap/>
            <w:vAlign w:val="bottom"/>
            <w:hideMark/>
          </w:tcPr>
          <w:p w14:paraId="45A63375"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3.696,20</w:t>
            </w:r>
          </w:p>
        </w:tc>
      </w:tr>
      <w:tr w:rsidR="00C46F37" w:rsidRPr="000D19A7" w14:paraId="3833B530" w14:textId="77777777" w:rsidTr="00C46F37">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7700B2A" w14:textId="758E28E5" w:rsidR="00C46F37" w:rsidRPr="000D19A7" w:rsidRDefault="00C46F37" w:rsidP="00C46F37">
            <w:pPr>
              <w:spacing w:after="0" w:line="240" w:lineRule="auto"/>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datoria de stat internă</w:t>
            </w:r>
            <w:r w:rsidR="005D0F8E" w:rsidRPr="000D19A7">
              <w:rPr>
                <w:rFonts w:ascii="Times New Roman" w:eastAsia="Times New Roman" w:hAnsi="Times New Roman" w:cs="Times New Roman"/>
                <w:b/>
                <w:bCs/>
                <w:i/>
                <w:iCs/>
                <w:color w:val="000000"/>
                <w:sz w:val="18"/>
                <w:szCs w:val="18"/>
              </w:rPr>
              <w:t>, mil. lei</w:t>
            </w:r>
          </w:p>
        </w:tc>
        <w:tc>
          <w:tcPr>
            <w:tcW w:w="1281" w:type="dxa"/>
            <w:tcBorders>
              <w:top w:val="nil"/>
              <w:left w:val="nil"/>
              <w:bottom w:val="single" w:sz="4" w:space="0" w:color="auto"/>
              <w:right w:val="single" w:sz="4" w:space="0" w:color="auto"/>
            </w:tcBorders>
            <w:shd w:val="clear" w:color="auto" w:fill="auto"/>
            <w:noWrap/>
            <w:vAlign w:val="bottom"/>
            <w:hideMark/>
          </w:tcPr>
          <w:p w14:paraId="506940CB"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23.168,20</w:t>
            </w:r>
          </w:p>
        </w:tc>
        <w:tc>
          <w:tcPr>
            <w:tcW w:w="1318" w:type="dxa"/>
            <w:tcBorders>
              <w:top w:val="nil"/>
              <w:left w:val="nil"/>
              <w:bottom w:val="single" w:sz="4" w:space="0" w:color="auto"/>
              <w:right w:val="single" w:sz="4" w:space="0" w:color="auto"/>
            </w:tcBorders>
            <w:shd w:val="clear" w:color="auto" w:fill="auto"/>
            <w:noWrap/>
            <w:vAlign w:val="bottom"/>
            <w:hideMark/>
          </w:tcPr>
          <w:p w14:paraId="70E79338"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29.235,60</w:t>
            </w:r>
          </w:p>
        </w:tc>
        <w:tc>
          <w:tcPr>
            <w:tcW w:w="1234" w:type="dxa"/>
            <w:tcBorders>
              <w:top w:val="nil"/>
              <w:left w:val="nil"/>
              <w:bottom w:val="single" w:sz="4" w:space="0" w:color="auto"/>
              <w:right w:val="single" w:sz="4" w:space="0" w:color="auto"/>
            </w:tcBorders>
            <w:shd w:val="clear" w:color="auto" w:fill="auto"/>
            <w:noWrap/>
            <w:vAlign w:val="bottom"/>
            <w:hideMark/>
          </w:tcPr>
          <w:p w14:paraId="7F07C5A0"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33.281,40</w:t>
            </w:r>
          </w:p>
        </w:tc>
        <w:tc>
          <w:tcPr>
            <w:tcW w:w="1232" w:type="dxa"/>
            <w:tcBorders>
              <w:top w:val="nil"/>
              <w:left w:val="nil"/>
              <w:bottom w:val="single" w:sz="4" w:space="0" w:color="auto"/>
              <w:right w:val="single" w:sz="4" w:space="0" w:color="auto"/>
            </w:tcBorders>
            <w:shd w:val="clear" w:color="auto" w:fill="auto"/>
            <w:noWrap/>
            <w:vAlign w:val="bottom"/>
            <w:hideMark/>
          </w:tcPr>
          <w:p w14:paraId="683575BF"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34.492,40</w:t>
            </w:r>
          </w:p>
        </w:tc>
        <w:tc>
          <w:tcPr>
            <w:tcW w:w="1272" w:type="dxa"/>
            <w:tcBorders>
              <w:top w:val="nil"/>
              <w:left w:val="nil"/>
              <w:bottom w:val="single" w:sz="4" w:space="0" w:color="auto"/>
              <w:right w:val="single" w:sz="4" w:space="0" w:color="auto"/>
            </w:tcBorders>
            <w:shd w:val="clear" w:color="auto" w:fill="auto"/>
            <w:noWrap/>
            <w:vAlign w:val="bottom"/>
            <w:hideMark/>
          </w:tcPr>
          <w:p w14:paraId="65F30C82"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39.666,10</w:t>
            </w:r>
          </w:p>
        </w:tc>
      </w:tr>
      <w:tr w:rsidR="00C46F37" w:rsidRPr="000D19A7" w14:paraId="4BB2F971"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2BAC3BC"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41F3E035"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43ED3416"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7DF3F9DE"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13C5BD9A"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24076B7A" w14:textId="77777777" w:rsidR="00C46F37" w:rsidRPr="000D19A7" w:rsidRDefault="00C46F37" w:rsidP="00C46F37">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w:t>
            </w:r>
          </w:p>
        </w:tc>
      </w:tr>
      <w:tr w:rsidR="00C46F37" w:rsidRPr="000D19A7" w14:paraId="3F2C59D7"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C1840E3" w14:textId="0C7EFF14"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Serviciul datoriei de stat, mil. lei</w:t>
            </w:r>
            <w:r w:rsidR="005D0F8E" w:rsidRPr="000D19A7">
              <w:rPr>
                <w:rFonts w:ascii="Times New Roman" w:eastAsia="Times New Roman" w:hAnsi="Times New Roman" w:cs="Times New Roman"/>
                <w:b/>
                <w:bCs/>
                <w:color w:val="000000"/>
                <w:sz w:val="20"/>
                <w:szCs w:val="20"/>
              </w:rPr>
              <w:t xml:space="preserve">, </w:t>
            </w:r>
            <w:r w:rsidR="005D0F8E" w:rsidRPr="000D19A7">
              <w:rPr>
                <w:rFonts w:ascii="Times New Roman" w:eastAsia="Times New Roman" w:hAnsi="Times New Roman" w:cs="Times New Roman"/>
                <w:bCs/>
                <w:color w:val="000000"/>
                <w:sz w:val="20"/>
                <w:szCs w:val="20"/>
              </w:rPr>
              <w:t>din care:</w:t>
            </w:r>
          </w:p>
        </w:tc>
        <w:tc>
          <w:tcPr>
            <w:tcW w:w="1281" w:type="dxa"/>
            <w:tcBorders>
              <w:top w:val="nil"/>
              <w:left w:val="nil"/>
              <w:bottom w:val="single" w:sz="4" w:space="0" w:color="auto"/>
              <w:right w:val="single" w:sz="4" w:space="0" w:color="auto"/>
            </w:tcBorders>
            <w:shd w:val="clear" w:color="auto" w:fill="auto"/>
            <w:noWrap/>
            <w:vAlign w:val="bottom"/>
            <w:hideMark/>
          </w:tcPr>
          <w:p w14:paraId="397E2054"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1.619,60</w:t>
            </w:r>
          </w:p>
        </w:tc>
        <w:tc>
          <w:tcPr>
            <w:tcW w:w="1318" w:type="dxa"/>
            <w:tcBorders>
              <w:top w:val="nil"/>
              <w:left w:val="nil"/>
              <w:bottom w:val="single" w:sz="4" w:space="0" w:color="auto"/>
              <w:right w:val="single" w:sz="4" w:space="0" w:color="auto"/>
            </w:tcBorders>
            <w:shd w:val="clear" w:color="auto" w:fill="auto"/>
            <w:noWrap/>
            <w:vAlign w:val="bottom"/>
            <w:hideMark/>
          </w:tcPr>
          <w:p w14:paraId="36AB0484"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1.684,20</w:t>
            </w:r>
          </w:p>
        </w:tc>
        <w:tc>
          <w:tcPr>
            <w:tcW w:w="1234" w:type="dxa"/>
            <w:tcBorders>
              <w:top w:val="nil"/>
              <w:left w:val="nil"/>
              <w:bottom w:val="single" w:sz="4" w:space="0" w:color="auto"/>
              <w:right w:val="single" w:sz="4" w:space="0" w:color="auto"/>
            </w:tcBorders>
            <w:shd w:val="clear" w:color="auto" w:fill="auto"/>
            <w:noWrap/>
            <w:vAlign w:val="bottom"/>
            <w:hideMark/>
          </w:tcPr>
          <w:p w14:paraId="59D9192A"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1.897,30</w:t>
            </w:r>
          </w:p>
        </w:tc>
        <w:tc>
          <w:tcPr>
            <w:tcW w:w="1232" w:type="dxa"/>
            <w:tcBorders>
              <w:top w:val="nil"/>
              <w:left w:val="nil"/>
              <w:bottom w:val="single" w:sz="4" w:space="0" w:color="auto"/>
              <w:right w:val="single" w:sz="4" w:space="0" w:color="auto"/>
            </w:tcBorders>
            <w:shd w:val="clear" w:color="auto" w:fill="auto"/>
            <w:noWrap/>
            <w:vAlign w:val="bottom"/>
            <w:hideMark/>
          </w:tcPr>
          <w:p w14:paraId="78A73898"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2.645,40</w:t>
            </w:r>
          </w:p>
        </w:tc>
        <w:tc>
          <w:tcPr>
            <w:tcW w:w="1272" w:type="dxa"/>
            <w:tcBorders>
              <w:top w:val="nil"/>
              <w:left w:val="nil"/>
              <w:bottom w:val="single" w:sz="4" w:space="0" w:color="auto"/>
              <w:right w:val="single" w:sz="4" w:space="0" w:color="auto"/>
            </w:tcBorders>
            <w:shd w:val="clear" w:color="auto" w:fill="auto"/>
            <w:noWrap/>
            <w:vAlign w:val="bottom"/>
            <w:hideMark/>
          </w:tcPr>
          <w:p w14:paraId="42332557"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5.301,50</w:t>
            </w:r>
          </w:p>
        </w:tc>
      </w:tr>
      <w:tr w:rsidR="00C46F37" w:rsidRPr="000D19A7" w14:paraId="4E0AEB38" w14:textId="77777777" w:rsidTr="00C46F37">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7F61C7" w14:textId="77777777" w:rsidR="00C46F37" w:rsidRPr="000D19A7" w:rsidRDefault="00C46F37" w:rsidP="00C46F37">
            <w:pPr>
              <w:spacing w:after="0" w:line="240" w:lineRule="auto"/>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serviciul datoriei de stat externe, mil. lei</w:t>
            </w:r>
          </w:p>
        </w:tc>
        <w:tc>
          <w:tcPr>
            <w:tcW w:w="1281" w:type="dxa"/>
            <w:tcBorders>
              <w:top w:val="nil"/>
              <w:left w:val="nil"/>
              <w:bottom w:val="single" w:sz="4" w:space="0" w:color="auto"/>
              <w:right w:val="single" w:sz="4" w:space="0" w:color="auto"/>
            </w:tcBorders>
            <w:shd w:val="clear" w:color="auto" w:fill="auto"/>
            <w:noWrap/>
            <w:vAlign w:val="bottom"/>
            <w:hideMark/>
          </w:tcPr>
          <w:p w14:paraId="68D6CC82" w14:textId="25A3CDE3" w:rsidR="00C46F37" w:rsidRPr="000D19A7" w:rsidRDefault="002415AD"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412,12</w:t>
            </w:r>
          </w:p>
        </w:tc>
        <w:tc>
          <w:tcPr>
            <w:tcW w:w="1318" w:type="dxa"/>
            <w:tcBorders>
              <w:top w:val="nil"/>
              <w:left w:val="nil"/>
              <w:bottom w:val="single" w:sz="4" w:space="0" w:color="auto"/>
              <w:right w:val="single" w:sz="4" w:space="0" w:color="auto"/>
            </w:tcBorders>
            <w:shd w:val="clear" w:color="auto" w:fill="auto"/>
            <w:noWrap/>
            <w:vAlign w:val="bottom"/>
            <w:hideMark/>
          </w:tcPr>
          <w:p w14:paraId="1370806E" w14:textId="4BB10242" w:rsidR="00C46F37" w:rsidRPr="000D19A7" w:rsidRDefault="00C46F37" w:rsidP="002415AD">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361,</w:t>
            </w:r>
            <w:r w:rsidR="002415AD" w:rsidRPr="000D19A7">
              <w:rPr>
                <w:rFonts w:ascii="Times New Roman" w:eastAsia="Times New Roman" w:hAnsi="Times New Roman" w:cs="Times New Roman"/>
                <w:b/>
                <w:bCs/>
                <w:i/>
                <w:iCs/>
                <w:color w:val="000000"/>
                <w:sz w:val="18"/>
                <w:szCs w:val="18"/>
              </w:rPr>
              <w:t>48</w:t>
            </w:r>
          </w:p>
        </w:tc>
        <w:tc>
          <w:tcPr>
            <w:tcW w:w="1234" w:type="dxa"/>
            <w:tcBorders>
              <w:top w:val="nil"/>
              <w:left w:val="nil"/>
              <w:bottom w:val="single" w:sz="4" w:space="0" w:color="auto"/>
              <w:right w:val="single" w:sz="4" w:space="0" w:color="auto"/>
            </w:tcBorders>
            <w:shd w:val="clear" w:color="auto" w:fill="auto"/>
            <w:noWrap/>
            <w:vAlign w:val="bottom"/>
            <w:hideMark/>
          </w:tcPr>
          <w:p w14:paraId="5DFBB056" w14:textId="09A2B7DF" w:rsidR="00C46F37" w:rsidRPr="000D19A7" w:rsidRDefault="00C46F37" w:rsidP="002415AD">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37</w:t>
            </w:r>
            <w:r w:rsidR="002415AD" w:rsidRPr="000D19A7">
              <w:rPr>
                <w:rFonts w:ascii="Times New Roman" w:eastAsia="Times New Roman" w:hAnsi="Times New Roman" w:cs="Times New Roman"/>
                <w:b/>
                <w:bCs/>
                <w:i/>
                <w:iCs/>
                <w:color w:val="000000"/>
                <w:sz w:val="18"/>
                <w:szCs w:val="18"/>
              </w:rPr>
              <w:t>7</w:t>
            </w:r>
            <w:r w:rsidRPr="000D19A7">
              <w:rPr>
                <w:rFonts w:ascii="Times New Roman" w:eastAsia="Times New Roman" w:hAnsi="Times New Roman" w:cs="Times New Roman"/>
                <w:b/>
                <w:bCs/>
                <w:i/>
                <w:iCs/>
                <w:color w:val="000000"/>
                <w:sz w:val="18"/>
                <w:szCs w:val="18"/>
              </w:rPr>
              <w:t>,</w:t>
            </w:r>
            <w:r w:rsidR="002415AD" w:rsidRPr="000D19A7">
              <w:rPr>
                <w:rFonts w:ascii="Times New Roman" w:eastAsia="Times New Roman" w:hAnsi="Times New Roman" w:cs="Times New Roman"/>
                <w:b/>
                <w:bCs/>
                <w:i/>
                <w:iCs/>
                <w:color w:val="000000"/>
                <w:sz w:val="18"/>
                <w:szCs w:val="18"/>
              </w:rPr>
              <w:t>96</w:t>
            </w:r>
          </w:p>
        </w:tc>
        <w:tc>
          <w:tcPr>
            <w:tcW w:w="1232" w:type="dxa"/>
            <w:tcBorders>
              <w:top w:val="nil"/>
              <w:left w:val="nil"/>
              <w:bottom w:val="single" w:sz="4" w:space="0" w:color="auto"/>
              <w:right w:val="single" w:sz="4" w:space="0" w:color="auto"/>
            </w:tcBorders>
            <w:shd w:val="clear" w:color="auto" w:fill="auto"/>
            <w:noWrap/>
            <w:vAlign w:val="bottom"/>
            <w:hideMark/>
          </w:tcPr>
          <w:p w14:paraId="1BA8ABCF" w14:textId="2E39ACC4" w:rsidR="00C46F37" w:rsidRPr="000D19A7" w:rsidRDefault="00C46F37" w:rsidP="002415AD">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560,</w:t>
            </w:r>
            <w:r w:rsidR="002415AD" w:rsidRPr="000D19A7">
              <w:rPr>
                <w:rFonts w:ascii="Times New Roman" w:eastAsia="Times New Roman" w:hAnsi="Times New Roman" w:cs="Times New Roman"/>
                <w:b/>
                <w:bCs/>
                <w:i/>
                <w:iCs/>
                <w:color w:val="000000"/>
                <w:sz w:val="18"/>
                <w:szCs w:val="18"/>
              </w:rPr>
              <w:t>59</w:t>
            </w:r>
          </w:p>
        </w:tc>
        <w:tc>
          <w:tcPr>
            <w:tcW w:w="1272" w:type="dxa"/>
            <w:tcBorders>
              <w:top w:val="nil"/>
              <w:left w:val="nil"/>
              <w:bottom w:val="single" w:sz="4" w:space="0" w:color="auto"/>
              <w:right w:val="single" w:sz="4" w:space="0" w:color="auto"/>
            </w:tcBorders>
            <w:shd w:val="clear" w:color="auto" w:fill="auto"/>
            <w:noWrap/>
            <w:vAlign w:val="bottom"/>
            <w:hideMark/>
          </w:tcPr>
          <w:p w14:paraId="30D3F280" w14:textId="464FAD6F"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1</w:t>
            </w:r>
            <w:r w:rsidR="002415AD" w:rsidRPr="000D19A7">
              <w:rPr>
                <w:rFonts w:ascii="Times New Roman" w:eastAsia="Times New Roman" w:hAnsi="Times New Roman" w:cs="Times New Roman"/>
                <w:b/>
                <w:bCs/>
                <w:i/>
                <w:iCs/>
                <w:color w:val="000000"/>
                <w:sz w:val="18"/>
                <w:szCs w:val="18"/>
              </w:rPr>
              <w:t>.434,04</w:t>
            </w:r>
          </w:p>
        </w:tc>
      </w:tr>
      <w:tr w:rsidR="00C46F37" w:rsidRPr="000D19A7" w14:paraId="64C03425" w14:textId="77777777" w:rsidTr="00C46F37">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3EEB191" w14:textId="77777777" w:rsidR="00C46F37" w:rsidRPr="000D19A7" w:rsidRDefault="00C46F37" w:rsidP="00C46F37">
            <w:pPr>
              <w:spacing w:after="0" w:line="240" w:lineRule="auto"/>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mil. dol. SUA</w:t>
            </w:r>
          </w:p>
        </w:tc>
        <w:tc>
          <w:tcPr>
            <w:tcW w:w="1281" w:type="dxa"/>
            <w:tcBorders>
              <w:top w:val="nil"/>
              <w:left w:val="nil"/>
              <w:bottom w:val="single" w:sz="4" w:space="0" w:color="auto"/>
              <w:right w:val="single" w:sz="4" w:space="0" w:color="auto"/>
            </w:tcBorders>
            <w:shd w:val="clear" w:color="auto" w:fill="auto"/>
            <w:noWrap/>
            <w:vAlign w:val="bottom"/>
            <w:hideMark/>
          </w:tcPr>
          <w:p w14:paraId="471EC292" w14:textId="41EA2ED7" w:rsidR="00C46F37" w:rsidRPr="000D19A7" w:rsidRDefault="00C46F37" w:rsidP="002415AD">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23,</w:t>
            </w:r>
            <w:r w:rsidR="002415AD" w:rsidRPr="000D19A7">
              <w:rPr>
                <w:rFonts w:ascii="Times New Roman" w:eastAsia="Times New Roman" w:hAnsi="Times New Roman" w:cs="Times New Roman"/>
                <w:i/>
                <w:iCs/>
                <w:color w:val="000000"/>
                <w:sz w:val="18"/>
                <w:szCs w:val="18"/>
              </w:rPr>
              <w:t>45</w:t>
            </w:r>
          </w:p>
        </w:tc>
        <w:tc>
          <w:tcPr>
            <w:tcW w:w="1318" w:type="dxa"/>
            <w:tcBorders>
              <w:top w:val="nil"/>
              <w:left w:val="nil"/>
              <w:bottom w:val="single" w:sz="4" w:space="0" w:color="auto"/>
              <w:right w:val="single" w:sz="4" w:space="0" w:color="auto"/>
            </w:tcBorders>
            <w:shd w:val="clear" w:color="auto" w:fill="auto"/>
            <w:noWrap/>
            <w:vAlign w:val="bottom"/>
            <w:hideMark/>
          </w:tcPr>
          <w:p w14:paraId="021B2C0A" w14:textId="3E167422"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w:t>
            </w:r>
            <w:r w:rsidR="002415AD" w:rsidRPr="000D19A7">
              <w:rPr>
                <w:rFonts w:ascii="Times New Roman" w:eastAsia="Times New Roman" w:hAnsi="Times New Roman" w:cs="Times New Roman"/>
                <w:i/>
                <w:iCs/>
                <w:color w:val="000000"/>
                <w:sz w:val="18"/>
                <w:szCs w:val="18"/>
              </w:rPr>
              <w:t>0,81</w:t>
            </w:r>
          </w:p>
        </w:tc>
        <w:tc>
          <w:tcPr>
            <w:tcW w:w="1234" w:type="dxa"/>
            <w:tcBorders>
              <w:top w:val="nil"/>
              <w:left w:val="nil"/>
              <w:bottom w:val="single" w:sz="4" w:space="0" w:color="auto"/>
              <w:right w:val="single" w:sz="4" w:space="0" w:color="auto"/>
            </w:tcBorders>
            <w:shd w:val="clear" w:color="auto" w:fill="auto"/>
            <w:noWrap/>
            <w:vAlign w:val="bottom"/>
            <w:hideMark/>
          </w:tcPr>
          <w:p w14:paraId="67753CAB" w14:textId="77777777" w:rsidR="00C46F37" w:rsidRPr="000D19A7" w:rsidRDefault="00C46F37" w:rsidP="00C46F37">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21,40</w:t>
            </w:r>
          </w:p>
        </w:tc>
        <w:tc>
          <w:tcPr>
            <w:tcW w:w="1232" w:type="dxa"/>
            <w:tcBorders>
              <w:top w:val="nil"/>
              <w:left w:val="nil"/>
              <w:bottom w:val="single" w:sz="4" w:space="0" w:color="auto"/>
              <w:right w:val="single" w:sz="4" w:space="0" w:color="auto"/>
            </w:tcBorders>
            <w:shd w:val="clear" w:color="auto" w:fill="auto"/>
            <w:noWrap/>
            <w:vAlign w:val="bottom"/>
            <w:hideMark/>
          </w:tcPr>
          <w:p w14:paraId="17A55F71" w14:textId="4B4ED73B" w:rsidR="00C46F37" w:rsidRPr="000D19A7" w:rsidRDefault="00C46F37" w:rsidP="002415AD">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29,</w:t>
            </w:r>
            <w:r w:rsidR="002415AD" w:rsidRPr="000D19A7">
              <w:rPr>
                <w:rFonts w:ascii="Times New Roman" w:eastAsia="Times New Roman" w:hAnsi="Times New Roman" w:cs="Times New Roman"/>
                <w:i/>
                <w:iCs/>
                <w:color w:val="000000"/>
                <w:sz w:val="18"/>
                <w:szCs w:val="18"/>
              </w:rPr>
              <w:t>48</w:t>
            </w:r>
          </w:p>
        </w:tc>
        <w:tc>
          <w:tcPr>
            <w:tcW w:w="1272" w:type="dxa"/>
            <w:tcBorders>
              <w:top w:val="nil"/>
              <w:left w:val="nil"/>
              <w:bottom w:val="single" w:sz="4" w:space="0" w:color="auto"/>
              <w:right w:val="single" w:sz="4" w:space="0" w:color="auto"/>
            </w:tcBorders>
            <w:shd w:val="clear" w:color="auto" w:fill="auto"/>
            <w:noWrap/>
            <w:vAlign w:val="bottom"/>
            <w:hideMark/>
          </w:tcPr>
          <w:p w14:paraId="3E4B2B12" w14:textId="02AD75F0" w:rsidR="00C46F37" w:rsidRPr="000D19A7" w:rsidRDefault="00C46F37" w:rsidP="002415AD">
            <w:pPr>
              <w:spacing w:after="0" w:line="240" w:lineRule="auto"/>
              <w:jc w:val="right"/>
              <w:rPr>
                <w:rFonts w:ascii="Times New Roman" w:eastAsia="Times New Roman" w:hAnsi="Times New Roman" w:cs="Times New Roman"/>
                <w:i/>
                <w:iCs/>
                <w:color w:val="000000"/>
                <w:sz w:val="18"/>
                <w:szCs w:val="18"/>
              </w:rPr>
            </w:pPr>
            <w:r w:rsidRPr="000D19A7">
              <w:rPr>
                <w:rFonts w:ascii="Times New Roman" w:eastAsia="Times New Roman" w:hAnsi="Times New Roman" w:cs="Times New Roman"/>
                <w:i/>
                <w:iCs/>
                <w:color w:val="000000"/>
                <w:sz w:val="18"/>
                <w:szCs w:val="18"/>
              </w:rPr>
              <w:t>79,</w:t>
            </w:r>
            <w:r w:rsidR="002415AD" w:rsidRPr="000D19A7">
              <w:rPr>
                <w:rFonts w:ascii="Times New Roman" w:eastAsia="Times New Roman" w:hAnsi="Times New Roman" w:cs="Times New Roman"/>
                <w:i/>
                <w:iCs/>
                <w:color w:val="000000"/>
                <w:sz w:val="18"/>
                <w:szCs w:val="18"/>
              </w:rPr>
              <w:t>36</w:t>
            </w:r>
          </w:p>
        </w:tc>
      </w:tr>
      <w:tr w:rsidR="00C46F37" w:rsidRPr="000D19A7" w14:paraId="760D03A4" w14:textId="77777777" w:rsidTr="00C46F37">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9D4AC8" w14:textId="2A6A6D8C" w:rsidR="00C46F37" w:rsidRPr="000D19A7" w:rsidRDefault="00C46F37" w:rsidP="00C46F37">
            <w:pPr>
              <w:spacing w:after="0" w:line="240" w:lineRule="auto"/>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serviciul datoriei de</w:t>
            </w:r>
            <w:r w:rsidR="005D0F8E" w:rsidRPr="000D19A7">
              <w:rPr>
                <w:rFonts w:ascii="Times New Roman" w:eastAsia="Times New Roman" w:hAnsi="Times New Roman" w:cs="Times New Roman"/>
                <w:b/>
                <w:bCs/>
                <w:i/>
                <w:iCs/>
                <w:color w:val="000000"/>
                <w:sz w:val="18"/>
                <w:szCs w:val="18"/>
              </w:rPr>
              <w:t xml:space="preserve"> stat </w:t>
            </w:r>
            <w:r w:rsidRPr="000D19A7">
              <w:rPr>
                <w:rFonts w:ascii="Times New Roman" w:eastAsia="Times New Roman" w:hAnsi="Times New Roman" w:cs="Times New Roman"/>
                <w:b/>
                <w:bCs/>
                <w:i/>
                <w:iCs/>
                <w:color w:val="000000"/>
                <w:sz w:val="18"/>
                <w:szCs w:val="18"/>
              </w:rPr>
              <w:t xml:space="preserve"> interne, mil. lei</w:t>
            </w:r>
          </w:p>
        </w:tc>
        <w:tc>
          <w:tcPr>
            <w:tcW w:w="1281" w:type="dxa"/>
            <w:tcBorders>
              <w:top w:val="nil"/>
              <w:left w:val="nil"/>
              <w:bottom w:val="single" w:sz="4" w:space="0" w:color="auto"/>
              <w:right w:val="single" w:sz="4" w:space="0" w:color="auto"/>
            </w:tcBorders>
            <w:shd w:val="clear" w:color="auto" w:fill="auto"/>
            <w:noWrap/>
            <w:vAlign w:val="bottom"/>
            <w:hideMark/>
          </w:tcPr>
          <w:p w14:paraId="794A9E3D"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1.207,50</w:t>
            </w:r>
          </w:p>
        </w:tc>
        <w:tc>
          <w:tcPr>
            <w:tcW w:w="1318" w:type="dxa"/>
            <w:tcBorders>
              <w:top w:val="nil"/>
              <w:left w:val="nil"/>
              <w:bottom w:val="single" w:sz="4" w:space="0" w:color="auto"/>
              <w:right w:val="single" w:sz="4" w:space="0" w:color="auto"/>
            </w:tcBorders>
            <w:shd w:val="clear" w:color="auto" w:fill="auto"/>
            <w:noWrap/>
            <w:vAlign w:val="bottom"/>
            <w:hideMark/>
          </w:tcPr>
          <w:p w14:paraId="3EA58438"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1.322,70</w:t>
            </w:r>
          </w:p>
        </w:tc>
        <w:tc>
          <w:tcPr>
            <w:tcW w:w="1234" w:type="dxa"/>
            <w:tcBorders>
              <w:top w:val="nil"/>
              <w:left w:val="nil"/>
              <w:bottom w:val="single" w:sz="4" w:space="0" w:color="auto"/>
              <w:right w:val="single" w:sz="4" w:space="0" w:color="auto"/>
            </w:tcBorders>
            <w:shd w:val="clear" w:color="auto" w:fill="auto"/>
            <w:noWrap/>
            <w:vAlign w:val="bottom"/>
            <w:hideMark/>
          </w:tcPr>
          <w:p w14:paraId="6ECE2E22"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1.519,30</w:t>
            </w:r>
          </w:p>
        </w:tc>
        <w:tc>
          <w:tcPr>
            <w:tcW w:w="1232" w:type="dxa"/>
            <w:tcBorders>
              <w:top w:val="nil"/>
              <w:left w:val="nil"/>
              <w:bottom w:val="single" w:sz="4" w:space="0" w:color="auto"/>
              <w:right w:val="single" w:sz="4" w:space="0" w:color="auto"/>
            </w:tcBorders>
            <w:shd w:val="clear" w:color="auto" w:fill="auto"/>
            <w:noWrap/>
            <w:vAlign w:val="bottom"/>
            <w:hideMark/>
          </w:tcPr>
          <w:p w14:paraId="76CCCDBA"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2.084,80</w:t>
            </w:r>
          </w:p>
        </w:tc>
        <w:tc>
          <w:tcPr>
            <w:tcW w:w="1272" w:type="dxa"/>
            <w:tcBorders>
              <w:top w:val="nil"/>
              <w:left w:val="nil"/>
              <w:bottom w:val="single" w:sz="4" w:space="0" w:color="auto"/>
              <w:right w:val="single" w:sz="4" w:space="0" w:color="auto"/>
            </w:tcBorders>
            <w:shd w:val="clear" w:color="auto" w:fill="auto"/>
            <w:noWrap/>
            <w:vAlign w:val="bottom"/>
            <w:hideMark/>
          </w:tcPr>
          <w:p w14:paraId="29FD50AF" w14:textId="77777777" w:rsidR="00C46F37" w:rsidRPr="000D19A7" w:rsidRDefault="00C46F37" w:rsidP="00C46F37">
            <w:pPr>
              <w:spacing w:after="0" w:line="240" w:lineRule="auto"/>
              <w:jc w:val="right"/>
              <w:rPr>
                <w:rFonts w:ascii="Times New Roman" w:eastAsia="Times New Roman" w:hAnsi="Times New Roman" w:cs="Times New Roman"/>
                <w:b/>
                <w:bCs/>
                <w:i/>
                <w:iCs/>
                <w:color w:val="000000"/>
                <w:sz w:val="18"/>
                <w:szCs w:val="18"/>
              </w:rPr>
            </w:pPr>
            <w:r w:rsidRPr="000D19A7">
              <w:rPr>
                <w:rFonts w:ascii="Times New Roman" w:eastAsia="Times New Roman" w:hAnsi="Times New Roman" w:cs="Times New Roman"/>
                <w:b/>
                <w:bCs/>
                <w:i/>
                <w:iCs/>
                <w:color w:val="000000"/>
                <w:sz w:val="18"/>
                <w:szCs w:val="18"/>
              </w:rPr>
              <w:t>3.867,50</w:t>
            </w:r>
          </w:p>
        </w:tc>
      </w:tr>
      <w:tr w:rsidR="00C46F37" w:rsidRPr="000D19A7" w14:paraId="0B68C0E4"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C51A203"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12C13B9D"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1A18A684"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3EB8DD6F"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5513D01A"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74235B0C" w14:textId="77777777" w:rsidR="00C46F37" w:rsidRPr="000D19A7" w:rsidRDefault="00C46F37" w:rsidP="00C46F37">
            <w:pPr>
              <w:spacing w:after="0" w:line="240" w:lineRule="auto"/>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 </w:t>
            </w:r>
          </w:p>
        </w:tc>
      </w:tr>
      <w:tr w:rsidR="00C46F37" w:rsidRPr="000D19A7" w14:paraId="19E037F4"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CBCA319"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xml:space="preserve">PIB, </w:t>
            </w:r>
            <w:r w:rsidRPr="000D19A7">
              <w:rPr>
                <w:rFonts w:ascii="Times New Roman" w:eastAsia="Times New Roman" w:hAnsi="Times New Roman" w:cs="Times New Roman"/>
                <w:i/>
                <w:iCs/>
                <w:color w:val="000000"/>
                <w:sz w:val="20"/>
                <w:szCs w:val="20"/>
              </w:rPr>
              <w:t>mil. lei</w:t>
            </w:r>
          </w:p>
        </w:tc>
        <w:tc>
          <w:tcPr>
            <w:tcW w:w="1281" w:type="dxa"/>
            <w:tcBorders>
              <w:top w:val="nil"/>
              <w:left w:val="nil"/>
              <w:bottom w:val="single" w:sz="4" w:space="0" w:color="auto"/>
              <w:right w:val="single" w:sz="4" w:space="0" w:color="auto"/>
            </w:tcBorders>
            <w:shd w:val="clear" w:color="auto" w:fill="auto"/>
            <w:noWrap/>
            <w:vAlign w:val="bottom"/>
            <w:hideMark/>
          </w:tcPr>
          <w:p w14:paraId="7BC9DFBA"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210.378,10</w:t>
            </w:r>
          </w:p>
        </w:tc>
        <w:tc>
          <w:tcPr>
            <w:tcW w:w="1318" w:type="dxa"/>
            <w:tcBorders>
              <w:top w:val="nil"/>
              <w:left w:val="nil"/>
              <w:bottom w:val="single" w:sz="4" w:space="0" w:color="auto"/>
              <w:right w:val="single" w:sz="4" w:space="0" w:color="auto"/>
            </w:tcBorders>
            <w:shd w:val="clear" w:color="auto" w:fill="auto"/>
            <w:noWrap/>
            <w:vAlign w:val="bottom"/>
            <w:hideMark/>
          </w:tcPr>
          <w:p w14:paraId="0A98E71F"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199.734,00</w:t>
            </w:r>
          </w:p>
        </w:tc>
        <w:tc>
          <w:tcPr>
            <w:tcW w:w="1234" w:type="dxa"/>
            <w:tcBorders>
              <w:top w:val="nil"/>
              <w:left w:val="nil"/>
              <w:bottom w:val="single" w:sz="4" w:space="0" w:color="auto"/>
              <w:right w:val="single" w:sz="4" w:space="0" w:color="auto"/>
            </w:tcBorders>
            <w:shd w:val="clear" w:color="auto" w:fill="auto"/>
            <w:noWrap/>
            <w:vAlign w:val="bottom"/>
            <w:hideMark/>
          </w:tcPr>
          <w:p w14:paraId="26E7502D"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242.078,60</w:t>
            </w:r>
          </w:p>
        </w:tc>
        <w:tc>
          <w:tcPr>
            <w:tcW w:w="1232" w:type="dxa"/>
            <w:tcBorders>
              <w:top w:val="nil"/>
              <w:left w:val="nil"/>
              <w:bottom w:val="single" w:sz="4" w:space="0" w:color="auto"/>
              <w:right w:val="single" w:sz="4" w:space="0" w:color="auto"/>
            </w:tcBorders>
            <w:shd w:val="clear" w:color="auto" w:fill="auto"/>
            <w:noWrap/>
            <w:vAlign w:val="bottom"/>
            <w:hideMark/>
          </w:tcPr>
          <w:p w14:paraId="12FBA5DE"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272.555,90</w:t>
            </w:r>
          </w:p>
        </w:tc>
        <w:tc>
          <w:tcPr>
            <w:tcW w:w="1272" w:type="dxa"/>
            <w:tcBorders>
              <w:top w:val="nil"/>
              <w:left w:val="nil"/>
              <w:bottom w:val="single" w:sz="4" w:space="0" w:color="auto"/>
              <w:right w:val="single" w:sz="4" w:space="0" w:color="auto"/>
            </w:tcBorders>
            <w:shd w:val="clear" w:color="auto" w:fill="auto"/>
            <w:noWrap/>
            <w:vAlign w:val="bottom"/>
            <w:hideMark/>
          </w:tcPr>
          <w:p w14:paraId="5B16EF1E"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312.400,00</w:t>
            </w:r>
          </w:p>
        </w:tc>
      </w:tr>
      <w:tr w:rsidR="00C46F37" w:rsidRPr="000D19A7" w14:paraId="0FD96706"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61AFBC"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Veniturile bugetului de stat,</w:t>
            </w:r>
            <w:r w:rsidRPr="000D19A7">
              <w:rPr>
                <w:rFonts w:ascii="Times New Roman" w:eastAsia="Times New Roman" w:hAnsi="Times New Roman" w:cs="Times New Roman"/>
                <w:b/>
                <w:bCs/>
                <w:i/>
                <w:iCs/>
                <w:color w:val="000000"/>
                <w:sz w:val="20"/>
                <w:szCs w:val="20"/>
              </w:rPr>
              <w:t xml:space="preserve"> mil. lei</w:t>
            </w:r>
          </w:p>
        </w:tc>
        <w:tc>
          <w:tcPr>
            <w:tcW w:w="1281" w:type="dxa"/>
            <w:tcBorders>
              <w:top w:val="nil"/>
              <w:left w:val="nil"/>
              <w:bottom w:val="single" w:sz="4" w:space="0" w:color="auto"/>
              <w:right w:val="single" w:sz="4" w:space="0" w:color="auto"/>
            </w:tcBorders>
            <w:shd w:val="clear" w:color="auto" w:fill="auto"/>
            <w:noWrap/>
            <w:vAlign w:val="bottom"/>
            <w:hideMark/>
          </w:tcPr>
          <w:p w14:paraId="109FC832"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39.968,00</w:t>
            </w:r>
          </w:p>
        </w:tc>
        <w:tc>
          <w:tcPr>
            <w:tcW w:w="1318" w:type="dxa"/>
            <w:tcBorders>
              <w:top w:val="nil"/>
              <w:left w:val="nil"/>
              <w:bottom w:val="single" w:sz="4" w:space="0" w:color="auto"/>
              <w:right w:val="single" w:sz="4" w:space="0" w:color="auto"/>
            </w:tcBorders>
            <w:shd w:val="clear" w:color="auto" w:fill="auto"/>
            <w:noWrap/>
            <w:vAlign w:val="bottom"/>
            <w:hideMark/>
          </w:tcPr>
          <w:p w14:paraId="5CCFD43E"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38.505,70</w:t>
            </w:r>
          </w:p>
        </w:tc>
        <w:tc>
          <w:tcPr>
            <w:tcW w:w="1234" w:type="dxa"/>
            <w:tcBorders>
              <w:top w:val="nil"/>
              <w:left w:val="nil"/>
              <w:bottom w:val="single" w:sz="4" w:space="0" w:color="auto"/>
              <w:right w:val="single" w:sz="4" w:space="0" w:color="auto"/>
            </w:tcBorders>
            <w:shd w:val="clear" w:color="auto" w:fill="auto"/>
            <w:noWrap/>
            <w:vAlign w:val="bottom"/>
            <w:hideMark/>
          </w:tcPr>
          <w:p w14:paraId="2C0E4390"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49.383,80</w:t>
            </w:r>
          </w:p>
        </w:tc>
        <w:tc>
          <w:tcPr>
            <w:tcW w:w="1232" w:type="dxa"/>
            <w:tcBorders>
              <w:top w:val="nil"/>
              <w:left w:val="nil"/>
              <w:bottom w:val="single" w:sz="4" w:space="0" w:color="auto"/>
              <w:right w:val="single" w:sz="4" w:space="0" w:color="auto"/>
            </w:tcBorders>
            <w:shd w:val="clear" w:color="auto" w:fill="auto"/>
            <w:noWrap/>
            <w:vAlign w:val="bottom"/>
            <w:hideMark/>
          </w:tcPr>
          <w:p w14:paraId="3A42BA83"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59.248,00</w:t>
            </w:r>
          </w:p>
        </w:tc>
        <w:tc>
          <w:tcPr>
            <w:tcW w:w="1272" w:type="dxa"/>
            <w:tcBorders>
              <w:top w:val="nil"/>
              <w:left w:val="nil"/>
              <w:bottom w:val="single" w:sz="4" w:space="0" w:color="auto"/>
              <w:right w:val="single" w:sz="4" w:space="0" w:color="auto"/>
            </w:tcBorders>
            <w:shd w:val="clear" w:color="auto" w:fill="auto"/>
            <w:noWrap/>
            <w:vAlign w:val="bottom"/>
            <w:hideMark/>
          </w:tcPr>
          <w:p w14:paraId="2CFA0D35"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64.603,60</w:t>
            </w:r>
          </w:p>
        </w:tc>
      </w:tr>
      <w:tr w:rsidR="00C46F37" w:rsidRPr="000D19A7" w14:paraId="66C95549" w14:textId="77777777" w:rsidTr="00C46F37">
        <w:trPr>
          <w:trHeight w:val="27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2521092" w14:textId="77777777" w:rsidR="00C46F37" w:rsidRPr="000D19A7" w:rsidRDefault="00C46F37" w:rsidP="00C46F3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xml:space="preserve">Cheltuielile bugetului de stat, </w:t>
            </w:r>
            <w:r w:rsidRPr="000D19A7">
              <w:rPr>
                <w:rFonts w:ascii="Times New Roman" w:eastAsia="Times New Roman" w:hAnsi="Times New Roman" w:cs="Times New Roman"/>
                <w:b/>
                <w:bCs/>
                <w:i/>
                <w:iCs/>
                <w:color w:val="000000"/>
                <w:sz w:val="20"/>
                <w:szCs w:val="20"/>
              </w:rPr>
              <w:t>mil. lei</w:t>
            </w:r>
          </w:p>
        </w:tc>
        <w:tc>
          <w:tcPr>
            <w:tcW w:w="1281" w:type="dxa"/>
            <w:tcBorders>
              <w:top w:val="nil"/>
              <w:left w:val="nil"/>
              <w:bottom w:val="single" w:sz="4" w:space="0" w:color="auto"/>
              <w:right w:val="single" w:sz="4" w:space="0" w:color="auto"/>
            </w:tcBorders>
            <w:shd w:val="clear" w:color="auto" w:fill="auto"/>
            <w:noWrap/>
            <w:vAlign w:val="bottom"/>
            <w:hideMark/>
          </w:tcPr>
          <w:p w14:paraId="41527E24"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43.070,20</w:t>
            </w:r>
          </w:p>
        </w:tc>
        <w:tc>
          <w:tcPr>
            <w:tcW w:w="1318" w:type="dxa"/>
            <w:tcBorders>
              <w:top w:val="nil"/>
              <w:left w:val="nil"/>
              <w:bottom w:val="single" w:sz="4" w:space="0" w:color="auto"/>
              <w:right w:val="single" w:sz="4" w:space="0" w:color="auto"/>
            </w:tcBorders>
            <w:shd w:val="clear" w:color="auto" w:fill="auto"/>
            <w:noWrap/>
            <w:vAlign w:val="bottom"/>
            <w:hideMark/>
          </w:tcPr>
          <w:p w14:paraId="14BE0166"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49.640,50</w:t>
            </w:r>
          </w:p>
        </w:tc>
        <w:tc>
          <w:tcPr>
            <w:tcW w:w="1234" w:type="dxa"/>
            <w:tcBorders>
              <w:top w:val="nil"/>
              <w:left w:val="nil"/>
              <w:bottom w:val="single" w:sz="4" w:space="0" w:color="auto"/>
              <w:right w:val="single" w:sz="4" w:space="0" w:color="auto"/>
            </w:tcBorders>
            <w:shd w:val="clear" w:color="auto" w:fill="auto"/>
            <w:noWrap/>
            <w:vAlign w:val="bottom"/>
            <w:hideMark/>
          </w:tcPr>
          <w:p w14:paraId="5848631F"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54.116,90</w:t>
            </w:r>
          </w:p>
        </w:tc>
        <w:tc>
          <w:tcPr>
            <w:tcW w:w="1232" w:type="dxa"/>
            <w:tcBorders>
              <w:top w:val="nil"/>
              <w:left w:val="nil"/>
              <w:bottom w:val="single" w:sz="4" w:space="0" w:color="auto"/>
              <w:right w:val="single" w:sz="4" w:space="0" w:color="auto"/>
            </w:tcBorders>
            <w:shd w:val="clear" w:color="auto" w:fill="auto"/>
            <w:noWrap/>
            <w:vAlign w:val="bottom"/>
            <w:hideMark/>
          </w:tcPr>
          <w:p w14:paraId="6C0F7786"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68.573,50</w:t>
            </w:r>
          </w:p>
        </w:tc>
        <w:tc>
          <w:tcPr>
            <w:tcW w:w="1272" w:type="dxa"/>
            <w:tcBorders>
              <w:top w:val="nil"/>
              <w:left w:val="nil"/>
              <w:bottom w:val="single" w:sz="4" w:space="0" w:color="auto"/>
              <w:right w:val="single" w:sz="4" w:space="0" w:color="auto"/>
            </w:tcBorders>
            <w:shd w:val="clear" w:color="auto" w:fill="auto"/>
            <w:noWrap/>
            <w:vAlign w:val="bottom"/>
            <w:hideMark/>
          </w:tcPr>
          <w:p w14:paraId="286932A9" w14:textId="77777777" w:rsidR="00C46F37" w:rsidRPr="000D19A7" w:rsidRDefault="00C46F37" w:rsidP="00C46F37">
            <w:pPr>
              <w:spacing w:after="0" w:line="240" w:lineRule="auto"/>
              <w:jc w:val="right"/>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80.727,10</w:t>
            </w:r>
          </w:p>
        </w:tc>
      </w:tr>
    </w:tbl>
    <w:p w14:paraId="651769DB" w14:textId="21FCBFC7" w:rsidR="00C46F37" w:rsidRPr="00CF7287" w:rsidRDefault="00CF7287" w:rsidP="00E22D9E">
      <w:pPr>
        <w:spacing w:line="276" w:lineRule="auto"/>
        <w:jc w:val="both"/>
        <w:rPr>
          <w:rFonts w:ascii="Times New Roman" w:eastAsia="Calibri" w:hAnsi="Times New Roman" w:cs="Times New Roman"/>
          <w:i/>
          <w:sz w:val="18"/>
          <w:szCs w:val="18"/>
          <w:lang w:val="ro-MD"/>
        </w:rPr>
      </w:pPr>
      <w:r w:rsidRPr="00CF7287">
        <w:rPr>
          <w:rFonts w:ascii="Times New Roman" w:eastAsia="Calibri" w:hAnsi="Times New Roman" w:cs="Times New Roman"/>
          <w:b/>
          <w:i/>
          <w:sz w:val="18"/>
          <w:szCs w:val="18"/>
          <w:lang w:val="ro-MD"/>
        </w:rPr>
        <w:t>Sursa:</w:t>
      </w:r>
      <w:r w:rsidRPr="00CF7287">
        <w:rPr>
          <w:rFonts w:ascii="Times New Roman" w:eastAsia="Calibri" w:hAnsi="Times New Roman" w:cs="Times New Roman"/>
          <w:i/>
          <w:sz w:val="18"/>
          <w:szCs w:val="18"/>
          <w:lang w:val="ro-MD"/>
        </w:rPr>
        <w:t xml:space="preserve"> Informație generalizată de echipa de audit  în baza datelor prezentate de MF.</w:t>
      </w:r>
    </w:p>
    <w:p w14:paraId="0EEEB535" w14:textId="4E025554" w:rsidR="00E22D9E" w:rsidRPr="000D19A7" w:rsidRDefault="00E22D9E" w:rsidP="00E22D9E">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 xml:space="preserve">Potrivit datelor raportate de MF, pe parcursul anului 2023, au avut loc intrări (debursări) din împrumuturile externe în sumă totală de 17 264,0 mil. lei (echivalentul a 948,3 mil. dolari SUA), sau cu 786,0 mil. lei (echivalentul a 84,4 mil. dol. SUA) mai mult în comparație cu anul precedent. </w:t>
      </w:r>
    </w:p>
    <w:p w14:paraId="76AA7BFB" w14:textId="27E8C616" w:rsidR="00E22D9E" w:rsidRPr="000D19A7" w:rsidRDefault="00E22D9E" w:rsidP="00E22D9E">
      <w:pPr>
        <w:spacing w:after="0"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 xml:space="preserve">Din volumul total al împrumuturilor externe intrate în anul 2023, circa </w:t>
      </w:r>
      <w:r w:rsidR="00C92CD8" w:rsidRPr="000D19A7">
        <w:rPr>
          <w:rFonts w:ascii="Times New Roman" w:eastAsia="Calibri" w:hAnsi="Times New Roman" w:cs="Times New Roman"/>
          <w:szCs w:val="24"/>
          <w:lang w:val="ro-MD"/>
        </w:rPr>
        <w:t xml:space="preserve">7 285,4 mil. lei (echivalentul a 395,4 mil. dol. SUA, </w:t>
      </w:r>
      <w:r w:rsidR="000D4513" w:rsidRPr="000D19A7">
        <w:rPr>
          <w:rFonts w:ascii="Times New Roman" w:eastAsia="Calibri" w:hAnsi="Times New Roman" w:cs="Times New Roman"/>
          <w:szCs w:val="24"/>
          <w:lang w:val="ro-MD"/>
        </w:rPr>
        <w:t xml:space="preserve">sau </w:t>
      </w:r>
      <w:r w:rsidR="00C92CD8" w:rsidRPr="000D19A7">
        <w:rPr>
          <w:rFonts w:ascii="Times New Roman" w:eastAsia="Calibri" w:hAnsi="Times New Roman" w:cs="Times New Roman"/>
          <w:szCs w:val="24"/>
          <w:lang w:val="ro-MD"/>
        </w:rPr>
        <w:t>41,7%</w:t>
      </w:r>
      <w:r w:rsidRPr="000D19A7">
        <w:rPr>
          <w:rFonts w:ascii="Times New Roman" w:eastAsia="Calibri" w:hAnsi="Times New Roman" w:cs="Times New Roman"/>
          <w:szCs w:val="24"/>
          <w:lang w:val="ro-MD"/>
        </w:rPr>
        <w:t xml:space="preserve">) au fost destinați pentru realizarea proiectelor finanțate din surse externe, iar </w:t>
      </w:r>
      <w:r w:rsidR="00C92CD8" w:rsidRPr="000D19A7">
        <w:rPr>
          <w:rFonts w:ascii="Times New Roman" w:eastAsia="Calibri" w:hAnsi="Times New Roman" w:cs="Times New Roman"/>
          <w:szCs w:val="24"/>
          <w:lang w:val="ro-MD"/>
        </w:rPr>
        <w:t xml:space="preserve">9 978,6 mil. lei (echivalentul a 552,9 mil. dolari SUA, </w:t>
      </w:r>
      <w:r w:rsidR="000D4513" w:rsidRPr="000D19A7">
        <w:rPr>
          <w:rFonts w:ascii="Times New Roman" w:eastAsia="Calibri" w:hAnsi="Times New Roman" w:cs="Times New Roman"/>
          <w:szCs w:val="24"/>
          <w:lang w:val="ro-MD"/>
        </w:rPr>
        <w:t>sau 58,3%)</w:t>
      </w:r>
      <w:r w:rsidRPr="000D19A7">
        <w:rPr>
          <w:rFonts w:ascii="Times New Roman" w:eastAsia="Calibri" w:hAnsi="Times New Roman" w:cs="Times New Roman"/>
          <w:szCs w:val="24"/>
          <w:lang w:val="ro-MD"/>
        </w:rPr>
        <w:t xml:space="preserve"> – pentru susținerea bugetului de stat. </w:t>
      </w:r>
      <w:r w:rsidRPr="000D19A7">
        <w:rPr>
          <w:rFonts w:ascii="Times New Roman" w:eastAsia="Calibri" w:hAnsi="Times New Roman" w:cs="Times New Roman"/>
          <w:i/>
          <w:szCs w:val="24"/>
          <w:lang w:val="ro-MD"/>
        </w:rPr>
        <w:t>Structura pe destinații a debursărilor privind împrumuturile de stat ext</w:t>
      </w:r>
      <w:r w:rsidR="000D19A7">
        <w:rPr>
          <w:rFonts w:ascii="Times New Roman" w:eastAsia="Calibri" w:hAnsi="Times New Roman" w:cs="Times New Roman"/>
          <w:i/>
          <w:szCs w:val="24"/>
          <w:lang w:val="ro-MD"/>
        </w:rPr>
        <w:t>erne se prezintă în Tabelul nr.5</w:t>
      </w:r>
      <w:r w:rsidRPr="000D19A7">
        <w:rPr>
          <w:rFonts w:ascii="Times New Roman" w:eastAsia="Calibri" w:hAnsi="Times New Roman" w:cs="Times New Roman"/>
          <w:i/>
          <w:szCs w:val="24"/>
          <w:lang w:val="ro-MD"/>
        </w:rPr>
        <w:t xml:space="preserve">. </w:t>
      </w:r>
    </w:p>
    <w:p w14:paraId="05634233" w14:textId="2C823A72" w:rsidR="00E22D9E" w:rsidRPr="000D19A7" w:rsidRDefault="000D19A7" w:rsidP="00C92CD8">
      <w:pPr>
        <w:spacing w:after="0" w:line="276" w:lineRule="auto"/>
        <w:jc w:val="right"/>
        <w:rPr>
          <w:rFonts w:ascii="Times New Roman" w:eastAsia="Calibri" w:hAnsi="Times New Roman" w:cs="Times New Roman"/>
          <w:b/>
          <w:i/>
          <w:szCs w:val="24"/>
          <w:lang w:val="ro-MD"/>
        </w:rPr>
      </w:pPr>
      <w:r>
        <w:rPr>
          <w:rFonts w:ascii="Times New Roman" w:eastAsia="Calibri" w:hAnsi="Times New Roman" w:cs="Times New Roman"/>
          <w:b/>
          <w:i/>
          <w:szCs w:val="24"/>
          <w:lang w:val="ro-MD"/>
        </w:rPr>
        <w:t>Tabelul nr.5</w:t>
      </w:r>
    </w:p>
    <w:p w14:paraId="4BEF554D" w14:textId="77777777" w:rsidR="00E22D9E" w:rsidRPr="000D19A7" w:rsidRDefault="00E22D9E" w:rsidP="00C92CD8">
      <w:pPr>
        <w:spacing w:after="0" w:line="276" w:lineRule="auto"/>
        <w:jc w:val="center"/>
        <w:rPr>
          <w:rFonts w:ascii="Times New Roman" w:eastAsia="Calibri" w:hAnsi="Times New Roman" w:cs="Times New Roman"/>
          <w:b/>
          <w:szCs w:val="24"/>
          <w:lang w:val="ro-MD"/>
        </w:rPr>
      </w:pPr>
      <w:r w:rsidRPr="000D19A7">
        <w:rPr>
          <w:rFonts w:ascii="Times New Roman" w:eastAsia="Calibri" w:hAnsi="Times New Roman" w:cs="Times New Roman"/>
          <w:b/>
          <w:szCs w:val="24"/>
          <w:lang w:val="ro-MD"/>
        </w:rPr>
        <w:t>Structura pe destinații a debursărilor privind împrumuturile de stat externe</w:t>
      </w:r>
    </w:p>
    <w:tbl>
      <w:tblPr>
        <w:tblW w:w="9349" w:type="dxa"/>
        <w:tblInd w:w="-5" w:type="dxa"/>
        <w:tblLook w:val="04A0" w:firstRow="1" w:lastRow="0" w:firstColumn="1" w:lastColumn="0" w:noHBand="0" w:noVBand="1"/>
      </w:tblPr>
      <w:tblGrid>
        <w:gridCol w:w="4537"/>
        <w:gridCol w:w="868"/>
        <w:gridCol w:w="944"/>
        <w:gridCol w:w="944"/>
        <w:gridCol w:w="1040"/>
        <w:gridCol w:w="1016"/>
      </w:tblGrid>
      <w:tr w:rsidR="00E22D9E" w:rsidRPr="000D19A7" w14:paraId="6D5858FE" w14:textId="7F32B5F0" w:rsidTr="00E22D9E">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3C58"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2"/>
                <w:lang w:val="ro-MD"/>
              </w:rPr>
            </w:pPr>
            <w:r w:rsidRPr="000D19A7">
              <w:rPr>
                <w:rFonts w:ascii="Times New Roman" w:eastAsia="Times New Roman" w:hAnsi="Times New Roman" w:cs="Times New Roman"/>
                <w:b/>
                <w:bCs/>
                <w:color w:val="000000"/>
                <w:sz w:val="22"/>
                <w:lang w:val="ro-MD"/>
              </w:rPr>
              <w:t>Valoarea nominală (mil. dol. SUA)</w:t>
            </w:r>
          </w:p>
        </w:tc>
        <w:tc>
          <w:tcPr>
            <w:tcW w:w="868" w:type="dxa"/>
            <w:tcBorders>
              <w:top w:val="single" w:sz="4" w:space="0" w:color="auto"/>
              <w:left w:val="nil"/>
              <w:bottom w:val="single" w:sz="4" w:space="0" w:color="auto"/>
              <w:right w:val="single" w:sz="4" w:space="0" w:color="auto"/>
            </w:tcBorders>
            <w:shd w:val="clear" w:color="auto" w:fill="auto"/>
            <w:vAlign w:val="center"/>
          </w:tcPr>
          <w:p w14:paraId="7DDB668A"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2019</w:t>
            </w:r>
          </w:p>
        </w:tc>
        <w:tc>
          <w:tcPr>
            <w:tcW w:w="944" w:type="dxa"/>
            <w:tcBorders>
              <w:top w:val="single" w:sz="4" w:space="0" w:color="auto"/>
              <w:left w:val="nil"/>
              <w:bottom w:val="single" w:sz="4" w:space="0" w:color="auto"/>
              <w:right w:val="single" w:sz="4" w:space="0" w:color="auto"/>
            </w:tcBorders>
            <w:shd w:val="clear" w:color="auto" w:fill="auto"/>
            <w:vAlign w:val="center"/>
          </w:tcPr>
          <w:p w14:paraId="64F9ACC0"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2020</w:t>
            </w:r>
          </w:p>
        </w:tc>
        <w:tc>
          <w:tcPr>
            <w:tcW w:w="944" w:type="dxa"/>
            <w:tcBorders>
              <w:top w:val="single" w:sz="4" w:space="0" w:color="auto"/>
              <w:left w:val="nil"/>
              <w:bottom w:val="single" w:sz="4" w:space="0" w:color="auto"/>
              <w:right w:val="single" w:sz="4" w:space="0" w:color="auto"/>
            </w:tcBorders>
            <w:shd w:val="clear" w:color="auto" w:fill="auto"/>
            <w:vAlign w:val="center"/>
          </w:tcPr>
          <w:p w14:paraId="59651BE3"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2021</w:t>
            </w:r>
          </w:p>
        </w:tc>
        <w:tc>
          <w:tcPr>
            <w:tcW w:w="1040" w:type="dxa"/>
            <w:tcBorders>
              <w:top w:val="single" w:sz="4" w:space="0" w:color="auto"/>
              <w:left w:val="nil"/>
              <w:bottom w:val="single" w:sz="4" w:space="0" w:color="auto"/>
              <w:right w:val="single" w:sz="4" w:space="0" w:color="auto"/>
            </w:tcBorders>
            <w:shd w:val="clear" w:color="auto" w:fill="auto"/>
            <w:vAlign w:val="center"/>
          </w:tcPr>
          <w:p w14:paraId="16EBC103"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2022</w:t>
            </w:r>
          </w:p>
        </w:tc>
        <w:tc>
          <w:tcPr>
            <w:tcW w:w="1016" w:type="dxa"/>
            <w:tcBorders>
              <w:top w:val="single" w:sz="4" w:space="0" w:color="auto"/>
              <w:left w:val="nil"/>
              <w:bottom w:val="single" w:sz="4" w:space="0" w:color="auto"/>
              <w:right w:val="single" w:sz="4" w:space="0" w:color="auto"/>
            </w:tcBorders>
          </w:tcPr>
          <w:p w14:paraId="577AA19C" w14:textId="19DF89CD"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2023</w:t>
            </w:r>
          </w:p>
        </w:tc>
      </w:tr>
      <w:tr w:rsidR="00E22D9E" w:rsidRPr="000D19A7" w14:paraId="72AB7EAD" w14:textId="1696CD65"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15AFE5C" w14:textId="77777777" w:rsidR="00E22D9E" w:rsidRPr="000D19A7" w:rsidRDefault="00E22D9E" w:rsidP="006B7DAC">
            <w:pPr>
              <w:spacing w:after="0" w:line="276" w:lineRule="auto"/>
              <w:jc w:val="both"/>
              <w:rPr>
                <w:rFonts w:ascii="Times New Roman" w:eastAsia="Times New Roman" w:hAnsi="Times New Roman" w:cs="Times New Roman"/>
                <w:color w:val="000000"/>
                <w:sz w:val="22"/>
                <w:lang w:val="ro-MD"/>
              </w:rPr>
            </w:pPr>
            <w:r w:rsidRPr="000D19A7">
              <w:rPr>
                <w:rFonts w:ascii="Times New Roman" w:eastAsia="Times New Roman" w:hAnsi="Times New Roman" w:cs="Times New Roman"/>
                <w:color w:val="000000"/>
                <w:sz w:val="22"/>
                <w:lang w:val="ro-MD"/>
              </w:rPr>
              <w:t>Susținerea bugetului</w:t>
            </w:r>
          </w:p>
        </w:tc>
        <w:tc>
          <w:tcPr>
            <w:tcW w:w="868" w:type="dxa"/>
            <w:tcBorders>
              <w:top w:val="nil"/>
              <w:left w:val="nil"/>
              <w:bottom w:val="single" w:sz="4" w:space="0" w:color="auto"/>
              <w:right w:val="single" w:sz="4" w:space="0" w:color="auto"/>
            </w:tcBorders>
            <w:shd w:val="clear" w:color="auto" w:fill="auto"/>
            <w:vAlign w:val="center"/>
          </w:tcPr>
          <w:p w14:paraId="19746F80"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51,1</w:t>
            </w:r>
          </w:p>
        </w:tc>
        <w:tc>
          <w:tcPr>
            <w:tcW w:w="944" w:type="dxa"/>
            <w:tcBorders>
              <w:top w:val="nil"/>
              <w:left w:val="nil"/>
              <w:bottom w:val="single" w:sz="4" w:space="0" w:color="auto"/>
              <w:right w:val="single" w:sz="4" w:space="0" w:color="auto"/>
            </w:tcBorders>
            <w:shd w:val="clear" w:color="auto" w:fill="auto"/>
            <w:vAlign w:val="center"/>
          </w:tcPr>
          <w:p w14:paraId="22E64A7B"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345,9</w:t>
            </w:r>
          </w:p>
        </w:tc>
        <w:tc>
          <w:tcPr>
            <w:tcW w:w="944" w:type="dxa"/>
            <w:tcBorders>
              <w:top w:val="nil"/>
              <w:left w:val="nil"/>
              <w:bottom w:val="single" w:sz="4" w:space="0" w:color="auto"/>
              <w:right w:val="single" w:sz="4" w:space="0" w:color="auto"/>
            </w:tcBorders>
            <w:shd w:val="clear" w:color="auto" w:fill="auto"/>
            <w:vAlign w:val="center"/>
          </w:tcPr>
          <w:p w14:paraId="77C4275F"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334,4</w:t>
            </w:r>
          </w:p>
        </w:tc>
        <w:tc>
          <w:tcPr>
            <w:tcW w:w="1040" w:type="dxa"/>
            <w:tcBorders>
              <w:top w:val="nil"/>
              <w:left w:val="nil"/>
              <w:bottom w:val="single" w:sz="4" w:space="0" w:color="auto"/>
              <w:right w:val="single" w:sz="4" w:space="0" w:color="auto"/>
            </w:tcBorders>
            <w:shd w:val="clear" w:color="auto" w:fill="auto"/>
            <w:vAlign w:val="center"/>
          </w:tcPr>
          <w:p w14:paraId="3B276DC9"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546,6</w:t>
            </w:r>
          </w:p>
        </w:tc>
        <w:tc>
          <w:tcPr>
            <w:tcW w:w="1016" w:type="dxa"/>
            <w:tcBorders>
              <w:top w:val="nil"/>
              <w:left w:val="nil"/>
              <w:bottom w:val="single" w:sz="4" w:space="0" w:color="auto"/>
              <w:right w:val="single" w:sz="4" w:space="0" w:color="auto"/>
            </w:tcBorders>
          </w:tcPr>
          <w:p w14:paraId="32524880" w14:textId="4A75A7AF"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552,9</w:t>
            </w:r>
          </w:p>
        </w:tc>
      </w:tr>
      <w:tr w:rsidR="00E22D9E" w:rsidRPr="000D19A7" w14:paraId="5F25A1F3" w14:textId="19B421CE"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82797B4" w14:textId="77777777" w:rsidR="00E22D9E" w:rsidRPr="000D19A7" w:rsidRDefault="00E22D9E" w:rsidP="006B7DAC">
            <w:pPr>
              <w:spacing w:after="0" w:line="276" w:lineRule="auto"/>
              <w:jc w:val="both"/>
              <w:rPr>
                <w:rFonts w:ascii="Times New Roman" w:eastAsia="Times New Roman" w:hAnsi="Times New Roman" w:cs="Times New Roman"/>
                <w:color w:val="000000"/>
                <w:sz w:val="22"/>
                <w:lang w:val="ro-MD"/>
              </w:rPr>
            </w:pPr>
            <w:r w:rsidRPr="000D19A7">
              <w:rPr>
                <w:rFonts w:ascii="Times New Roman" w:eastAsia="Times New Roman" w:hAnsi="Times New Roman" w:cs="Times New Roman"/>
                <w:color w:val="000000"/>
                <w:sz w:val="22"/>
                <w:lang w:val="ro-MD"/>
              </w:rPr>
              <w:t>Proiecte finanțate din surse externe</w:t>
            </w:r>
          </w:p>
        </w:tc>
        <w:tc>
          <w:tcPr>
            <w:tcW w:w="868" w:type="dxa"/>
            <w:tcBorders>
              <w:top w:val="nil"/>
              <w:left w:val="nil"/>
              <w:bottom w:val="single" w:sz="4" w:space="0" w:color="auto"/>
              <w:right w:val="single" w:sz="4" w:space="0" w:color="auto"/>
            </w:tcBorders>
            <w:shd w:val="clear" w:color="auto" w:fill="auto"/>
            <w:vAlign w:val="center"/>
          </w:tcPr>
          <w:p w14:paraId="598480BB"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98,0</w:t>
            </w:r>
          </w:p>
        </w:tc>
        <w:tc>
          <w:tcPr>
            <w:tcW w:w="944" w:type="dxa"/>
            <w:tcBorders>
              <w:top w:val="nil"/>
              <w:left w:val="nil"/>
              <w:bottom w:val="single" w:sz="4" w:space="0" w:color="auto"/>
              <w:right w:val="single" w:sz="4" w:space="0" w:color="auto"/>
            </w:tcBorders>
            <w:shd w:val="clear" w:color="auto" w:fill="auto"/>
            <w:vAlign w:val="center"/>
          </w:tcPr>
          <w:p w14:paraId="4B4B5CA0"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205,7</w:t>
            </w:r>
          </w:p>
        </w:tc>
        <w:tc>
          <w:tcPr>
            <w:tcW w:w="944" w:type="dxa"/>
            <w:tcBorders>
              <w:top w:val="nil"/>
              <w:left w:val="nil"/>
              <w:bottom w:val="single" w:sz="4" w:space="0" w:color="auto"/>
              <w:right w:val="single" w:sz="4" w:space="0" w:color="auto"/>
            </w:tcBorders>
            <w:shd w:val="clear" w:color="auto" w:fill="auto"/>
            <w:vAlign w:val="center"/>
          </w:tcPr>
          <w:p w14:paraId="252D4609"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187,6</w:t>
            </w:r>
          </w:p>
        </w:tc>
        <w:tc>
          <w:tcPr>
            <w:tcW w:w="1040" w:type="dxa"/>
            <w:tcBorders>
              <w:top w:val="nil"/>
              <w:left w:val="nil"/>
              <w:bottom w:val="single" w:sz="4" w:space="0" w:color="auto"/>
              <w:right w:val="single" w:sz="4" w:space="0" w:color="auto"/>
            </w:tcBorders>
            <w:shd w:val="clear" w:color="auto" w:fill="auto"/>
            <w:vAlign w:val="center"/>
          </w:tcPr>
          <w:p w14:paraId="54E48DED" w14:textId="77777777"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317,3</w:t>
            </w:r>
          </w:p>
        </w:tc>
        <w:tc>
          <w:tcPr>
            <w:tcW w:w="1016" w:type="dxa"/>
            <w:tcBorders>
              <w:top w:val="nil"/>
              <w:left w:val="nil"/>
              <w:bottom w:val="single" w:sz="4" w:space="0" w:color="auto"/>
              <w:right w:val="single" w:sz="4" w:space="0" w:color="auto"/>
            </w:tcBorders>
          </w:tcPr>
          <w:p w14:paraId="2E81A45E" w14:textId="072262DE" w:rsidR="00E22D9E" w:rsidRPr="000D19A7" w:rsidRDefault="00E22D9E" w:rsidP="006B7DAC">
            <w:pPr>
              <w:spacing w:after="0" w:line="276" w:lineRule="auto"/>
              <w:jc w:val="both"/>
              <w:rPr>
                <w:rFonts w:ascii="Times New Roman" w:eastAsia="Times New Roman" w:hAnsi="Times New Roman" w:cs="Times New Roman"/>
                <w:color w:val="000000"/>
                <w:sz w:val="20"/>
                <w:szCs w:val="20"/>
                <w:lang w:val="ro-MD"/>
              </w:rPr>
            </w:pPr>
            <w:r w:rsidRPr="000D19A7">
              <w:rPr>
                <w:rFonts w:ascii="Times New Roman" w:eastAsia="Times New Roman" w:hAnsi="Times New Roman" w:cs="Times New Roman"/>
                <w:color w:val="000000"/>
                <w:sz w:val="20"/>
                <w:szCs w:val="20"/>
                <w:lang w:val="ro-MD"/>
              </w:rPr>
              <w:t>395,4</w:t>
            </w:r>
          </w:p>
        </w:tc>
      </w:tr>
      <w:tr w:rsidR="00E22D9E" w:rsidRPr="000D19A7" w14:paraId="4399EACA" w14:textId="3E8B7D65"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1C2D3D9"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2"/>
                <w:lang w:val="ro-MD"/>
              </w:rPr>
            </w:pPr>
            <w:r w:rsidRPr="000D19A7">
              <w:rPr>
                <w:rFonts w:ascii="Times New Roman" w:eastAsia="Times New Roman" w:hAnsi="Times New Roman" w:cs="Times New Roman"/>
                <w:b/>
                <w:bCs/>
                <w:color w:val="000000"/>
                <w:sz w:val="22"/>
                <w:lang w:val="ro-MD"/>
              </w:rPr>
              <w:t>Total</w:t>
            </w:r>
          </w:p>
        </w:tc>
        <w:tc>
          <w:tcPr>
            <w:tcW w:w="868" w:type="dxa"/>
            <w:tcBorders>
              <w:top w:val="nil"/>
              <w:left w:val="nil"/>
              <w:bottom w:val="single" w:sz="4" w:space="0" w:color="auto"/>
              <w:right w:val="single" w:sz="4" w:space="0" w:color="auto"/>
            </w:tcBorders>
            <w:shd w:val="clear" w:color="auto" w:fill="auto"/>
            <w:vAlign w:val="center"/>
          </w:tcPr>
          <w:p w14:paraId="1C76BC19"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149,1</w:t>
            </w:r>
          </w:p>
        </w:tc>
        <w:tc>
          <w:tcPr>
            <w:tcW w:w="944" w:type="dxa"/>
            <w:tcBorders>
              <w:top w:val="nil"/>
              <w:left w:val="nil"/>
              <w:bottom w:val="single" w:sz="4" w:space="0" w:color="auto"/>
              <w:right w:val="single" w:sz="4" w:space="0" w:color="auto"/>
            </w:tcBorders>
            <w:shd w:val="clear" w:color="auto" w:fill="auto"/>
            <w:vAlign w:val="center"/>
          </w:tcPr>
          <w:p w14:paraId="121AC3E1"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551,6</w:t>
            </w:r>
          </w:p>
        </w:tc>
        <w:tc>
          <w:tcPr>
            <w:tcW w:w="944" w:type="dxa"/>
            <w:tcBorders>
              <w:top w:val="nil"/>
              <w:left w:val="nil"/>
              <w:bottom w:val="single" w:sz="4" w:space="0" w:color="auto"/>
              <w:right w:val="single" w:sz="4" w:space="0" w:color="auto"/>
            </w:tcBorders>
            <w:shd w:val="clear" w:color="auto" w:fill="auto"/>
            <w:vAlign w:val="center"/>
          </w:tcPr>
          <w:p w14:paraId="27D95C71"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522,0</w:t>
            </w:r>
          </w:p>
        </w:tc>
        <w:tc>
          <w:tcPr>
            <w:tcW w:w="1040" w:type="dxa"/>
            <w:tcBorders>
              <w:top w:val="nil"/>
              <w:left w:val="nil"/>
              <w:bottom w:val="single" w:sz="4" w:space="0" w:color="auto"/>
              <w:right w:val="single" w:sz="4" w:space="0" w:color="auto"/>
            </w:tcBorders>
            <w:shd w:val="clear" w:color="auto" w:fill="auto"/>
            <w:vAlign w:val="center"/>
          </w:tcPr>
          <w:p w14:paraId="58BC1C63"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863,9</w:t>
            </w:r>
          </w:p>
        </w:tc>
        <w:tc>
          <w:tcPr>
            <w:tcW w:w="1016" w:type="dxa"/>
            <w:tcBorders>
              <w:top w:val="nil"/>
              <w:left w:val="nil"/>
              <w:bottom w:val="single" w:sz="4" w:space="0" w:color="auto"/>
              <w:right w:val="single" w:sz="4" w:space="0" w:color="auto"/>
            </w:tcBorders>
          </w:tcPr>
          <w:p w14:paraId="08565DF7" w14:textId="5D19C44B"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948,3</w:t>
            </w:r>
          </w:p>
        </w:tc>
      </w:tr>
      <w:tr w:rsidR="00E22D9E" w:rsidRPr="000D19A7" w14:paraId="5895E059" w14:textId="745F9123"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tcPr>
          <w:p w14:paraId="45189D6B" w14:textId="3799D8F4" w:rsidR="00E22D9E" w:rsidRPr="000D19A7" w:rsidRDefault="00E22D9E" w:rsidP="006B7DAC">
            <w:pPr>
              <w:spacing w:after="0" w:line="276" w:lineRule="auto"/>
              <w:jc w:val="both"/>
              <w:rPr>
                <w:rFonts w:ascii="Times New Roman" w:eastAsia="Times New Roman" w:hAnsi="Times New Roman" w:cs="Times New Roman"/>
                <w:b/>
                <w:bCs/>
                <w:color w:val="000000"/>
                <w:sz w:val="22"/>
                <w:lang w:val="ro-MD"/>
              </w:rPr>
            </w:pPr>
            <w:r w:rsidRPr="000D19A7">
              <w:rPr>
                <w:rFonts w:ascii="Times New Roman" w:eastAsia="Times New Roman" w:hAnsi="Times New Roman" w:cs="Times New Roman"/>
                <w:b/>
                <w:bCs/>
                <w:color w:val="000000"/>
                <w:sz w:val="22"/>
                <w:lang w:val="ro-MD"/>
              </w:rPr>
              <w:t>Ponderea în TOTAL, %</w:t>
            </w:r>
          </w:p>
        </w:tc>
        <w:tc>
          <w:tcPr>
            <w:tcW w:w="868" w:type="dxa"/>
            <w:tcBorders>
              <w:top w:val="nil"/>
              <w:left w:val="nil"/>
              <w:bottom w:val="single" w:sz="4" w:space="0" w:color="auto"/>
              <w:right w:val="single" w:sz="4" w:space="0" w:color="auto"/>
            </w:tcBorders>
            <w:shd w:val="clear" w:color="auto" w:fill="auto"/>
            <w:vAlign w:val="center"/>
          </w:tcPr>
          <w:p w14:paraId="5C5BF440"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p>
        </w:tc>
        <w:tc>
          <w:tcPr>
            <w:tcW w:w="944" w:type="dxa"/>
            <w:tcBorders>
              <w:top w:val="nil"/>
              <w:left w:val="nil"/>
              <w:bottom w:val="single" w:sz="4" w:space="0" w:color="auto"/>
              <w:right w:val="single" w:sz="4" w:space="0" w:color="auto"/>
            </w:tcBorders>
            <w:shd w:val="clear" w:color="auto" w:fill="auto"/>
            <w:vAlign w:val="center"/>
          </w:tcPr>
          <w:p w14:paraId="4EB6280C"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p>
        </w:tc>
        <w:tc>
          <w:tcPr>
            <w:tcW w:w="944" w:type="dxa"/>
            <w:tcBorders>
              <w:top w:val="nil"/>
              <w:left w:val="nil"/>
              <w:bottom w:val="single" w:sz="4" w:space="0" w:color="auto"/>
              <w:right w:val="single" w:sz="4" w:space="0" w:color="auto"/>
            </w:tcBorders>
            <w:shd w:val="clear" w:color="auto" w:fill="auto"/>
            <w:vAlign w:val="center"/>
          </w:tcPr>
          <w:p w14:paraId="3D2B244F"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p>
        </w:tc>
        <w:tc>
          <w:tcPr>
            <w:tcW w:w="1040" w:type="dxa"/>
            <w:tcBorders>
              <w:top w:val="nil"/>
              <w:left w:val="nil"/>
              <w:bottom w:val="single" w:sz="4" w:space="0" w:color="auto"/>
              <w:right w:val="single" w:sz="4" w:space="0" w:color="auto"/>
            </w:tcBorders>
            <w:shd w:val="clear" w:color="auto" w:fill="auto"/>
            <w:vAlign w:val="center"/>
          </w:tcPr>
          <w:p w14:paraId="3B1CBD45"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p>
        </w:tc>
        <w:tc>
          <w:tcPr>
            <w:tcW w:w="1016" w:type="dxa"/>
            <w:tcBorders>
              <w:top w:val="nil"/>
              <w:left w:val="nil"/>
              <w:bottom w:val="single" w:sz="4" w:space="0" w:color="auto"/>
              <w:right w:val="single" w:sz="4" w:space="0" w:color="auto"/>
            </w:tcBorders>
          </w:tcPr>
          <w:p w14:paraId="114FE5B4"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p>
        </w:tc>
      </w:tr>
      <w:tr w:rsidR="00E22D9E" w:rsidRPr="000D19A7" w14:paraId="0B74F3A0" w14:textId="412BD2C7"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2501F2E" w14:textId="77777777" w:rsidR="00E22D9E" w:rsidRPr="000D19A7" w:rsidRDefault="00E22D9E" w:rsidP="006B7DAC">
            <w:pPr>
              <w:spacing w:after="0" w:line="276" w:lineRule="auto"/>
              <w:jc w:val="both"/>
              <w:rPr>
                <w:rFonts w:ascii="Times New Roman" w:eastAsia="Times New Roman" w:hAnsi="Times New Roman" w:cs="Times New Roman"/>
                <w:color w:val="000000"/>
                <w:sz w:val="22"/>
                <w:lang w:val="ro-MD"/>
              </w:rPr>
            </w:pPr>
            <w:r w:rsidRPr="000D19A7">
              <w:rPr>
                <w:rFonts w:ascii="Times New Roman" w:eastAsia="Times New Roman" w:hAnsi="Times New Roman" w:cs="Times New Roman"/>
                <w:color w:val="000000"/>
                <w:sz w:val="22"/>
                <w:lang w:val="ro-MD"/>
              </w:rPr>
              <w:t>Susținerea bugetului</w:t>
            </w:r>
          </w:p>
        </w:tc>
        <w:tc>
          <w:tcPr>
            <w:tcW w:w="868" w:type="dxa"/>
            <w:tcBorders>
              <w:top w:val="nil"/>
              <w:left w:val="nil"/>
              <w:bottom w:val="single" w:sz="4" w:space="0" w:color="auto"/>
              <w:right w:val="single" w:sz="4" w:space="0" w:color="auto"/>
            </w:tcBorders>
            <w:shd w:val="clear" w:color="auto" w:fill="auto"/>
            <w:vAlign w:val="center"/>
          </w:tcPr>
          <w:p w14:paraId="3792784D"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34,3</w:t>
            </w:r>
          </w:p>
        </w:tc>
        <w:tc>
          <w:tcPr>
            <w:tcW w:w="944" w:type="dxa"/>
            <w:tcBorders>
              <w:top w:val="nil"/>
              <w:left w:val="nil"/>
              <w:bottom w:val="single" w:sz="4" w:space="0" w:color="auto"/>
              <w:right w:val="single" w:sz="4" w:space="0" w:color="auto"/>
            </w:tcBorders>
            <w:shd w:val="clear" w:color="auto" w:fill="auto"/>
            <w:vAlign w:val="center"/>
          </w:tcPr>
          <w:p w14:paraId="091DFAB1"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62,7</w:t>
            </w:r>
          </w:p>
        </w:tc>
        <w:tc>
          <w:tcPr>
            <w:tcW w:w="944" w:type="dxa"/>
            <w:tcBorders>
              <w:top w:val="nil"/>
              <w:left w:val="nil"/>
              <w:bottom w:val="single" w:sz="4" w:space="0" w:color="auto"/>
              <w:right w:val="single" w:sz="4" w:space="0" w:color="auto"/>
            </w:tcBorders>
            <w:shd w:val="clear" w:color="auto" w:fill="auto"/>
            <w:vAlign w:val="center"/>
          </w:tcPr>
          <w:p w14:paraId="5E270E2C"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64,1</w:t>
            </w:r>
          </w:p>
        </w:tc>
        <w:tc>
          <w:tcPr>
            <w:tcW w:w="1040" w:type="dxa"/>
            <w:tcBorders>
              <w:top w:val="nil"/>
              <w:left w:val="nil"/>
              <w:bottom w:val="single" w:sz="4" w:space="0" w:color="auto"/>
              <w:right w:val="single" w:sz="4" w:space="0" w:color="auto"/>
            </w:tcBorders>
            <w:shd w:val="clear" w:color="auto" w:fill="auto"/>
            <w:vAlign w:val="center"/>
          </w:tcPr>
          <w:p w14:paraId="1B579ED4"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63,3</w:t>
            </w:r>
          </w:p>
        </w:tc>
        <w:tc>
          <w:tcPr>
            <w:tcW w:w="1016" w:type="dxa"/>
            <w:tcBorders>
              <w:top w:val="nil"/>
              <w:left w:val="nil"/>
              <w:bottom w:val="single" w:sz="4" w:space="0" w:color="auto"/>
              <w:right w:val="single" w:sz="4" w:space="0" w:color="auto"/>
            </w:tcBorders>
          </w:tcPr>
          <w:p w14:paraId="4941F276" w14:textId="3199BEDC"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58,3</w:t>
            </w:r>
          </w:p>
        </w:tc>
      </w:tr>
      <w:tr w:rsidR="00E22D9E" w:rsidRPr="000D19A7" w14:paraId="7773CC0E" w14:textId="01FF6E5D"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0B2F4FA" w14:textId="77777777" w:rsidR="00E22D9E" w:rsidRPr="000D19A7" w:rsidRDefault="00E22D9E" w:rsidP="006B7DAC">
            <w:pPr>
              <w:spacing w:after="0" w:line="276" w:lineRule="auto"/>
              <w:jc w:val="both"/>
              <w:rPr>
                <w:rFonts w:ascii="Times New Roman" w:eastAsia="Times New Roman" w:hAnsi="Times New Roman" w:cs="Times New Roman"/>
                <w:color w:val="000000"/>
                <w:sz w:val="22"/>
                <w:lang w:val="ro-MD"/>
              </w:rPr>
            </w:pPr>
            <w:r w:rsidRPr="000D19A7">
              <w:rPr>
                <w:rFonts w:ascii="Times New Roman" w:eastAsia="Times New Roman" w:hAnsi="Times New Roman" w:cs="Times New Roman"/>
                <w:color w:val="000000"/>
                <w:sz w:val="22"/>
                <w:lang w:val="ro-MD"/>
              </w:rPr>
              <w:t>Proiecte finanțate din surse externe</w:t>
            </w:r>
          </w:p>
        </w:tc>
        <w:tc>
          <w:tcPr>
            <w:tcW w:w="868" w:type="dxa"/>
            <w:tcBorders>
              <w:top w:val="nil"/>
              <w:left w:val="nil"/>
              <w:bottom w:val="single" w:sz="4" w:space="0" w:color="auto"/>
              <w:right w:val="single" w:sz="4" w:space="0" w:color="auto"/>
            </w:tcBorders>
            <w:shd w:val="clear" w:color="auto" w:fill="auto"/>
            <w:vAlign w:val="center"/>
          </w:tcPr>
          <w:p w14:paraId="49325D3E"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65,7</w:t>
            </w:r>
          </w:p>
        </w:tc>
        <w:tc>
          <w:tcPr>
            <w:tcW w:w="944" w:type="dxa"/>
            <w:tcBorders>
              <w:top w:val="nil"/>
              <w:left w:val="nil"/>
              <w:bottom w:val="single" w:sz="4" w:space="0" w:color="auto"/>
              <w:right w:val="single" w:sz="4" w:space="0" w:color="auto"/>
            </w:tcBorders>
            <w:shd w:val="clear" w:color="auto" w:fill="auto"/>
            <w:vAlign w:val="center"/>
          </w:tcPr>
          <w:p w14:paraId="2C2FE3A0"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37,3</w:t>
            </w:r>
          </w:p>
        </w:tc>
        <w:tc>
          <w:tcPr>
            <w:tcW w:w="944" w:type="dxa"/>
            <w:tcBorders>
              <w:top w:val="nil"/>
              <w:left w:val="nil"/>
              <w:bottom w:val="single" w:sz="4" w:space="0" w:color="auto"/>
              <w:right w:val="single" w:sz="4" w:space="0" w:color="auto"/>
            </w:tcBorders>
            <w:shd w:val="clear" w:color="auto" w:fill="auto"/>
            <w:vAlign w:val="center"/>
          </w:tcPr>
          <w:p w14:paraId="443C2B45"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35,9</w:t>
            </w:r>
          </w:p>
        </w:tc>
        <w:tc>
          <w:tcPr>
            <w:tcW w:w="1040" w:type="dxa"/>
            <w:tcBorders>
              <w:top w:val="nil"/>
              <w:left w:val="nil"/>
              <w:bottom w:val="single" w:sz="4" w:space="0" w:color="auto"/>
              <w:right w:val="single" w:sz="4" w:space="0" w:color="auto"/>
            </w:tcBorders>
            <w:shd w:val="clear" w:color="auto" w:fill="auto"/>
            <w:vAlign w:val="center"/>
          </w:tcPr>
          <w:p w14:paraId="5354CE1B" w14:textId="77777777"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36,7</w:t>
            </w:r>
          </w:p>
        </w:tc>
        <w:tc>
          <w:tcPr>
            <w:tcW w:w="1016" w:type="dxa"/>
            <w:tcBorders>
              <w:top w:val="nil"/>
              <w:left w:val="nil"/>
              <w:bottom w:val="single" w:sz="4" w:space="0" w:color="auto"/>
              <w:right w:val="single" w:sz="4" w:space="0" w:color="auto"/>
            </w:tcBorders>
          </w:tcPr>
          <w:p w14:paraId="3F39A2ED" w14:textId="4D759181" w:rsidR="00E22D9E" w:rsidRPr="000D19A7" w:rsidRDefault="00E22D9E" w:rsidP="006B7DAC">
            <w:pPr>
              <w:spacing w:after="0" w:line="276" w:lineRule="auto"/>
              <w:jc w:val="both"/>
              <w:rPr>
                <w:rFonts w:ascii="Times New Roman" w:eastAsia="Times New Roman" w:hAnsi="Times New Roman" w:cs="Times New Roman"/>
                <w:i/>
                <w:iCs/>
                <w:color w:val="000000"/>
                <w:sz w:val="20"/>
                <w:szCs w:val="20"/>
                <w:lang w:val="ro-MD"/>
              </w:rPr>
            </w:pPr>
            <w:r w:rsidRPr="000D19A7">
              <w:rPr>
                <w:rFonts w:ascii="Times New Roman" w:eastAsia="Times New Roman" w:hAnsi="Times New Roman" w:cs="Times New Roman"/>
                <w:i/>
                <w:iCs/>
                <w:color w:val="000000"/>
                <w:sz w:val="20"/>
                <w:szCs w:val="20"/>
                <w:lang w:val="ro-MD"/>
              </w:rPr>
              <w:t>41,7</w:t>
            </w:r>
          </w:p>
        </w:tc>
      </w:tr>
      <w:tr w:rsidR="00E22D9E" w:rsidRPr="000D19A7" w14:paraId="4525FD17" w14:textId="212C4055" w:rsidTr="00E22D9E">
        <w:trPr>
          <w:trHeight w:val="288"/>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06824A8"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2"/>
                <w:lang w:val="ro-MD"/>
              </w:rPr>
            </w:pPr>
            <w:r w:rsidRPr="000D19A7">
              <w:rPr>
                <w:rFonts w:ascii="Times New Roman" w:eastAsia="Times New Roman" w:hAnsi="Times New Roman" w:cs="Times New Roman"/>
                <w:b/>
                <w:bCs/>
                <w:color w:val="000000"/>
                <w:sz w:val="22"/>
                <w:lang w:val="ro-MD"/>
              </w:rPr>
              <w:t>Total</w:t>
            </w:r>
          </w:p>
        </w:tc>
        <w:tc>
          <w:tcPr>
            <w:tcW w:w="868" w:type="dxa"/>
            <w:tcBorders>
              <w:top w:val="nil"/>
              <w:left w:val="nil"/>
              <w:bottom w:val="single" w:sz="4" w:space="0" w:color="auto"/>
              <w:right w:val="single" w:sz="4" w:space="0" w:color="auto"/>
            </w:tcBorders>
            <w:shd w:val="clear" w:color="auto" w:fill="auto"/>
            <w:vAlign w:val="center"/>
          </w:tcPr>
          <w:p w14:paraId="5A27121E"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100</w:t>
            </w:r>
          </w:p>
        </w:tc>
        <w:tc>
          <w:tcPr>
            <w:tcW w:w="944" w:type="dxa"/>
            <w:tcBorders>
              <w:top w:val="nil"/>
              <w:left w:val="nil"/>
              <w:bottom w:val="single" w:sz="4" w:space="0" w:color="auto"/>
              <w:right w:val="single" w:sz="4" w:space="0" w:color="auto"/>
            </w:tcBorders>
            <w:shd w:val="clear" w:color="auto" w:fill="auto"/>
            <w:vAlign w:val="center"/>
          </w:tcPr>
          <w:p w14:paraId="27EEF2EC"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100</w:t>
            </w:r>
          </w:p>
        </w:tc>
        <w:tc>
          <w:tcPr>
            <w:tcW w:w="944" w:type="dxa"/>
            <w:tcBorders>
              <w:top w:val="nil"/>
              <w:left w:val="nil"/>
              <w:bottom w:val="single" w:sz="4" w:space="0" w:color="auto"/>
              <w:right w:val="single" w:sz="4" w:space="0" w:color="auto"/>
            </w:tcBorders>
            <w:shd w:val="clear" w:color="auto" w:fill="auto"/>
            <w:vAlign w:val="center"/>
          </w:tcPr>
          <w:p w14:paraId="14EA2267"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100</w:t>
            </w:r>
          </w:p>
        </w:tc>
        <w:tc>
          <w:tcPr>
            <w:tcW w:w="1040" w:type="dxa"/>
            <w:tcBorders>
              <w:top w:val="nil"/>
              <w:left w:val="nil"/>
              <w:bottom w:val="single" w:sz="4" w:space="0" w:color="auto"/>
              <w:right w:val="single" w:sz="4" w:space="0" w:color="auto"/>
            </w:tcBorders>
            <w:shd w:val="clear" w:color="auto" w:fill="auto"/>
            <w:vAlign w:val="center"/>
          </w:tcPr>
          <w:p w14:paraId="753674A6" w14:textId="77777777"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100</w:t>
            </w:r>
          </w:p>
        </w:tc>
        <w:tc>
          <w:tcPr>
            <w:tcW w:w="1016" w:type="dxa"/>
            <w:tcBorders>
              <w:top w:val="nil"/>
              <w:left w:val="nil"/>
              <w:bottom w:val="single" w:sz="4" w:space="0" w:color="auto"/>
              <w:right w:val="single" w:sz="4" w:space="0" w:color="auto"/>
            </w:tcBorders>
          </w:tcPr>
          <w:p w14:paraId="39ACCC61" w14:textId="52BEA8C2" w:rsidR="00E22D9E" w:rsidRPr="000D19A7" w:rsidRDefault="00E22D9E" w:rsidP="006B7DAC">
            <w:pPr>
              <w:spacing w:after="0" w:line="276" w:lineRule="auto"/>
              <w:jc w:val="both"/>
              <w:rPr>
                <w:rFonts w:ascii="Times New Roman" w:eastAsia="Times New Roman" w:hAnsi="Times New Roman" w:cs="Times New Roman"/>
                <w:b/>
                <w:bCs/>
                <w:color w:val="000000"/>
                <w:sz w:val="20"/>
                <w:szCs w:val="20"/>
                <w:lang w:val="ro-MD"/>
              </w:rPr>
            </w:pPr>
            <w:r w:rsidRPr="000D19A7">
              <w:rPr>
                <w:rFonts w:ascii="Times New Roman" w:eastAsia="Times New Roman" w:hAnsi="Times New Roman" w:cs="Times New Roman"/>
                <w:b/>
                <w:bCs/>
                <w:color w:val="000000"/>
                <w:sz w:val="20"/>
                <w:szCs w:val="20"/>
                <w:lang w:val="ro-MD"/>
              </w:rPr>
              <w:t>100</w:t>
            </w:r>
          </w:p>
        </w:tc>
      </w:tr>
    </w:tbl>
    <w:p w14:paraId="5D6B2DB3" w14:textId="77777777" w:rsidR="00E22D9E" w:rsidRPr="000D19A7" w:rsidRDefault="00E22D9E" w:rsidP="00CF7287">
      <w:pPr>
        <w:spacing w:line="276" w:lineRule="auto"/>
        <w:ind w:firstLine="567"/>
        <w:jc w:val="both"/>
        <w:rPr>
          <w:rFonts w:ascii="Times New Roman" w:eastAsia="Calibri" w:hAnsi="Times New Roman" w:cs="Times New Roman"/>
          <w:i/>
          <w:sz w:val="20"/>
          <w:szCs w:val="20"/>
          <w:lang w:val="ro-MD"/>
        </w:rPr>
      </w:pPr>
      <w:r w:rsidRPr="000D19A7">
        <w:rPr>
          <w:rFonts w:ascii="Times New Roman" w:eastAsia="Calibri" w:hAnsi="Times New Roman" w:cs="Times New Roman"/>
          <w:b/>
          <w:i/>
          <w:sz w:val="20"/>
          <w:szCs w:val="20"/>
          <w:lang w:val="ro-MD"/>
        </w:rPr>
        <w:t>Sursa:</w:t>
      </w:r>
      <w:r w:rsidRPr="000D19A7">
        <w:rPr>
          <w:rFonts w:ascii="Times New Roman" w:eastAsia="Calibri" w:hAnsi="Times New Roman" w:cs="Times New Roman"/>
          <w:sz w:val="20"/>
          <w:szCs w:val="20"/>
          <w:lang w:val="ro-MD"/>
        </w:rPr>
        <w:t xml:space="preserve"> </w:t>
      </w:r>
      <w:r w:rsidRPr="000D19A7">
        <w:rPr>
          <w:rFonts w:ascii="Times New Roman" w:eastAsia="Calibri" w:hAnsi="Times New Roman" w:cs="Times New Roman"/>
          <w:i/>
          <w:sz w:val="20"/>
          <w:szCs w:val="20"/>
          <w:lang w:val="ro-MD"/>
        </w:rPr>
        <w:t>Informație generalizată de echipa de audit  în baza datelor prezentate de MF.</w:t>
      </w:r>
    </w:p>
    <w:p w14:paraId="193046FC" w14:textId="2FD33725" w:rsidR="00E22D9E" w:rsidRPr="000D19A7" w:rsidRDefault="00C92CD8" w:rsidP="00946026">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Deși, în dinamică,</w:t>
      </w:r>
      <w:r w:rsidR="00E22D9E" w:rsidRPr="000D19A7">
        <w:rPr>
          <w:rFonts w:ascii="Times New Roman" w:eastAsia="Calibri" w:hAnsi="Times New Roman" w:cs="Times New Roman"/>
          <w:szCs w:val="24"/>
          <w:lang w:val="ro-MD"/>
        </w:rPr>
        <w:t xml:space="preserve"> </w:t>
      </w:r>
      <w:r w:rsidR="000D4513" w:rsidRPr="000D19A7">
        <w:rPr>
          <w:rFonts w:ascii="Times New Roman" w:eastAsia="Calibri" w:hAnsi="Times New Roman" w:cs="Times New Roman"/>
          <w:szCs w:val="24"/>
          <w:lang w:val="ro-MD"/>
        </w:rPr>
        <w:t xml:space="preserve">politica de îndatorare a țării </w:t>
      </w:r>
      <w:r w:rsidR="00EA74AB" w:rsidRPr="000D19A7">
        <w:rPr>
          <w:rFonts w:ascii="Times New Roman" w:eastAsia="Calibri" w:hAnsi="Times New Roman" w:cs="Times New Roman"/>
          <w:szCs w:val="24"/>
          <w:lang w:val="ro-MD"/>
        </w:rPr>
        <w:t xml:space="preserve">a fost îndreptată spre </w:t>
      </w:r>
      <w:r w:rsidR="009E501E" w:rsidRPr="000D19A7">
        <w:rPr>
          <w:rFonts w:ascii="Times New Roman" w:eastAsia="Calibri" w:hAnsi="Times New Roman" w:cs="Times New Roman"/>
          <w:szCs w:val="24"/>
          <w:lang w:val="ro-MD"/>
        </w:rPr>
        <w:t xml:space="preserve">finanțarea </w:t>
      </w:r>
      <w:r w:rsidR="000D4513" w:rsidRPr="000D19A7">
        <w:rPr>
          <w:rFonts w:ascii="Times New Roman" w:eastAsia="Calibri" w:hAnsi="Times New Roman" w:cs="Times New Roman"/>
          <w:szCs w:val="24"/>
          <w:lang w:val="ro-MD"/>
        </w:rPr>
        <w:t>cheltuielilor</w:t>
      </w:r>
      <w:r w:rsidRPr="000D19A7">
        <w:rPr>
          <w:rFonts w:ascii="Times New Roman" w:eastAsia="Calibri" w:hAnsi="Times New Roman" w:cs="Times New Roman"/>
          <w:szCs w:val="24"/>
          <w:lang w:val="ro-MD"/>
        </w:rPr>
        <w:t xml:space="preserve"> curente, totuși</w:t>
      </w:r>
      <w:r w:rsidR="00E22D9E" w:rsidRPr="000D19A7">
        <w:rPr>
          <w:rFonts w:ascii="Times New Roman" w:eastAsia="Calibri" w:hAnsi="Times New Roman" w:cs="Times New Roman"/>
          <w:szCs w:val="24"/>
          <w:lang w:val="ro-MD"/>
        </w:rPr>
        <w:t xml:space="preserve">, </w:t>
      </w:r>
      <w:r w:rsidRPr="000D19A7">
        <w:rPr>
          <w:rFonts w:ascii="Times New Roman" w:eastAsia="Calibri" w:hAnsi="Times New Roman" w:cs="Times New Roman"/>
          <w:szCs w:val="24"/>
          <w:lang w:val="ro-MD"/>
        </w:rPr>
        <w:t xml:space="preserve">se observă o </w:t>
      </w:r>
      <w:r w:rsidR="000A7DC7" w:rsidRPr="000D19A7">
        <w:rPr>
          <w:rFonts w:ascii="Times New Roman" w:eastAsia="Calibri" w:hAnsi="Times New Roman" w:cs="Times New Roman"/>
          <w:szCs w:val="24"/>
          <w:lang w:val="ro-MD"/>
        </w:rPr>
        <w:t>tendință</w:t>
      </w:r>
      <w:r w:rsidR="008377CD" w:rsidRPr="000D19A7">
        <w:rPr>
          <w:rFonts w:ascii="Times New Roman" w:eastAsia="Calibri" w:hAnsi="Times New Roman" w:cs="Times New Roman"/>
          <w:szCs w:val="24"/>
          <w:lang w:val="ro-MD"/>
        </w:rPr>
        <w:t xml:space="preserve"> de majorare a </w:t>
      </w:r>
      <w:r w:rsidR="007E2AA0" w:rsidRPr="000D19A7">
        <w:rPr>
          <w:rFonts w:ascii="Times New Roman" w:eastAsia="Calibri" w:hAnsi="Times New Roman" w:cs="Times New Roman"/>
          <w:szCs w:val="24"/>
          <w:lang w:val="ro-MD"/>
        </w:rPr>
        <w:t>alocațiilor bugetare</w:t>
      </w:r>
      <w:r w:rsidR="000A7DC7" w:rsidRPr="000D19A7">
        <w:rPr>
          <w:rFonts w:ascii="Times New Roman" w:eastAsia="Calibri" w:hAnsi="Times New Roman" w:cs="Times New Roman"/>
          <w:szCs w:val="24"/>
          <w:lang w:val="ro-MD"/>
        </w:rPr>
        <w:t xml:space="preserve"> </w:t>
      </w:r>
      <w:r w:rsidR="007E2AA0" w:rsidRPr="000D19A7">
        <w:rPr>
          <w:rFonts w:ascii="Times New Roman" w:eastAsia="Calibri" w:hAnsi="Times New Roman" w:cs="Times New Roman"/>
          <w:szCs w:val="24"/>
          <w:lang w:val="ro-MD"/>
        </w:rPr>
        <w:t>pentru</w:t>
      </w:r>
      <w:r w:rsidRPr="000D19A7">
        <w:rPr>
          <w:rFonts w:ascii="Times New Roman" w:eastAsia="Calibri" w:hAnsi="Times New Roman" w:cs="Times New Roman"/>
          <w:szCs w:val="24"/>
          <w:lang w:val="ro-MD"/>
        </w:rPr>
        <w:t xml:space="preserve"> finanțarea proiectelor investiționale</w:t>
      </w:r>
      <w:r w:rsidR="00F84700" w:rsidRPr="000D19A7">
        <w:rPr>
          <w:rFonts w:ascii="Times New Roman" w:eastAsia="Calibri" w:hAnsi="Times New Roman" w:cs="Times New Roman"/>
          <w:szCs w:val="24"/>
          <w:lang w:val="ro-MD"/>
        </w:rPr>
        <w:t>.</w:t>
      </w:r>
    </w:p>
    <w:p w14:paraId="524CE305" w14:textId="65A4FF54" w:rsidR="00A6134F" w:rsidRPr="000D19A7" w:rsidRDefault="00A6134F" w:rsidP="00946026">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În contextul celor expuse mai sus, menționăm că pe parcursul anului 2023 au fost negociate și s</w:t>
      </w:r>
      <w:r w:rsidR="00997243" w:rsidRPr="000D19A7">
        <w:rPr>
          <w:rFonts w:ascii="Times New Roman" w:eastAsia="Calibri" w:hAnsi="Times New Roman" w:cs="Times New Roman"/>
          <w:szCs w:val="24"/>
          <w:lang w:val="ro-MD"/>
        </w:rPr>
        <w:t xml:space="preserve">emnate 12 acorduri de finanțare. Totodată, la situația din 31.12.2023, încă 4 </w:t>
      </w:r>
      <w:r w:rsidR="000D4513" w:rsidRPr="000D19A7">
        <w:rPr>
          <w:rFonts w:ascii="Times New Roman" w:eastAsia="Calibri" w:hAnsi="Times New Roman" w:cs="Times New Roman"/>
          <w:szCs w:val="24"/>
          <w:lang w:val="ro-MD"/>
        </w:rPr>
        <w:t>a</w:t>
      </w:r>
      <w:r w:rsidR="00997243" w:rsidRPr="000D19A7">
        <w:rPr>
          <w:rFonts w:ascii="Times New Roman" w:eastAsia="Calibri" w:hAnsi="Times New Roman" w:cs="Times New Roman"/>
          <w:szCs w:val="24"/>
          <w:lang w:val="ro-MD"/>
        </w:rPr>
        <w:t xml:space="preserve">corduri de finanțare erau în proces de negociere. </w:t>
      </w:r>
      <w:r w:rsidR="00997243" w:rsidRPr="000D19A7">
        <w:rPr>
          <w:rFonts w:ascii="Times New Roman" w:eastAsia="Calibri" w:hAnsi="Times New Roman" w:cs="Times New Roman"/>
          <w:i/>
          <w:szCs w:val="24"/>
          <w:lang w:val="ro-MD"/>
        </w:rPr>
        <w:t xml:space="preserve">Informația detaliată referitor la acordurile de împrumut încheiate pe parcursul anului 2023 și </w:t>
      </w:r>
      <w:r w:rsidR="000D4513" w:rsidRPr="000D19A7">
        <w:rPr>
          <w:rFonts w:ascii="Times New Roman" w:eastAsia="Calibri" w:hAnsi="Times New Roman" w:cs="Times New Roman"/>
          <w:i/>
          <w:szCs w:val="24"/>
          <w:lang w:val="ro-MD"/>
        </w:rPr>
        <w:t xml:space="preserve">la </w:t>
      </w:r>
      <w:r w:rsidR="00997243" w:rsidRPr="000D19A7">
        <w:rPr>
          <w:rFonts w:ascii="Times New Roman" w:eastAsia="Calibri" w:hAnsi="Times New Roman" w:cs="Times New Roman"/>
          <w:i/>
          <w:szCs w:val="24"/>
          <w:lang w:val="ro-MD"/>
        </w:rPr>
        <w:t xml:space="preserve">cele care la situația din 31.12.2023 se aflau în proces de negociere se prezintă în </w:t>
      </w:r>
      <w:r w:rsidR="00997243" w:rsidRPr="000D19A7">
        <w:rPr>
          <w:rFonts w:ascii="Times New Roman" w:eastAsia="Calibri" w:hAnsi="Times New Roman" w:cs="Times New Roman"/>
          <w:b/>
          <w:i/>
          <w:szCs w:val="24"/>
          <w:lang w:val="ro-MD"/>
        </w:rPr>
        <w:t>Anexa nr.</w:t>
      </w:r>
      <w:r w:rsidR="0090542E" w:rsidRPr="000D19A7">
        <w:rPr>
          <w:rFonts w:ascii="Times New Roman" w:eastAsia="Calibri" w:hAnsi="Times New Roman" w:cs="Times New Roman"/>
          <w:b/>
          <w:i/>
          <w:szCs w:val="24"/>
          <w:lang w:val="ro-MD"/>
        </w:rPr>
        <w:t>2</w:t>
      </w:r>
      <w:r w:rsidR="00997243" w:rsidRPr="000D19A7">
        <w:rPr>
          <w:rFonts w:ascii="Times New Roman" w:eastAsia="Calibri" w:hAnsi="Times New Roman" w:cs="Times New Roman"/>
          <w:i/>
          <w:szCs w:val="24"/>
          <w:lang w:val="ro-MD"/>
        </w:rPr>
        <w:t xml:space="preserve"> la prezentul </w:t>
      </w:r>
      <w:r w:rsidR="000D4513" w:rsidRPr="000D19A7">
        <w:rPr>
          <w:rFonts w:ascii="Times New Roman" w:eastAsia="Calibri" w:hAnsi="Times New Roman" w:cs="Times New Roman"/>
          <w:i/>
          <w:szCs w:val="24"/>
          <w:lang w:val="ro-MD"/>
        </w:rPr>
        <w:t>R</w:t>
      </w:r>
      <w:r w:rsidR="00997243" w:rsidRPr="000D19A7">
        <w:rPr>
          <w:rFonts w:ascii="Times New Roman" w:eastAsia="Calibri" w:hAnsi="Times New Roman" w:cs="Times New Roman"/>
          <w:i/>
          <w:szCs w:val="24"/>
          <w:lang w:val="ro-MD"/>
        </w:rPr>
        <w:t>aport de audit.</w:t>
      </w:r>
    </w:p>
    <w:p w14:paraId="28BFBAE7" w14:textId="5E16A30D" w:rsidR="00DF6ED8" w:rsidRPr="000D19A7" w:rsidRDefault="00DF6ED8"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Din cel</w:t>
      </w:r>
      <w:r w:rsidR="003364BE" w:rsidRPr="000D19A7">
        <w:rPr>
          <w:rFonts w:ascii="Times New Roman" w:hAnsi="Times New Roman" w:cs="Times New Roman"/>
          <w:szCs w:val="24"/>
          <w:lang w:val="ro-MD" w:eastAsia="ru-RU"/>
        </w:rPr>
        <w:t>e</w:t>
      </w:r>
      <w:r w:rsidRPr="000D19A7">
        <w:rPr>
          <w:rFonts w:ascii="Times New Roman" w:hAnsi="Times New Roman" w:cs="Times New Roman"/>
          <w:szCs w:val="24"/>
          <w:lang w:val="ro-MD" w:eastAsia="ru-RU"/>
        </w:rPr>
        <w:t xml:space="preserve"> </w:t>
      </w:r>
      <w:r w:rsidR="003364BE" w:rsidRPr="000D19A7">
        <w:rPr>
          <w:rFonts w:ascii="Times New Roman" w:hAnsi="Times New Roman" w:cs="Times New Roman"/>
          <w:szCs w:val="24"/>
          <w:lang w:val="ro-MD" w:eastAsia="ru-RU"/>
        </w:rPr>
        <w:t>relatate</w:t>
      </w:r>
      <w:r w:rsidRPr="000D19A7">
        <w:rPr>
          <w:rFonts w:ascii="Times New Roman" w:hAnsi="Times New Roman" w:cs="Times New Roman"/>
          <w:szCs w:val="24"/>
          <w:lang w:val="ro-MD" w:eastAsia="ru-RU"/>
        </w:rPr>
        <w:t xml:space="preserve">, rezultă concluzia generală – angajarea bugetelor viitoare </w:t>
      </w:r>
      <w:r w:rsidR="000D4513" w:rsidRPr="000D19A7">
        <w:rPr>
          <w:rFonts w:ascii="Times New Roman" w:hAnsi="Times New Roman" w:cs="Times New Roman"/>
          <w:szCs w:val="24"/>
          <w:lang w:val="ro-MD" w:eastAsia="ru-RU"/>
        </w:rPr>
        <w:t>pentru</w:t>
      </w:r>
      <w:r w:rsidRPr="000D19A7">
        <w:rPr>
          <w:rFonts w:ascii="Times New Roman" w:hAnsi="Times New Roman" w:cs="Times New Roman"/>
          <w:szCs w:val="24"/>
          <w:lang w:val="ro-MD" w:eastAsia="ru-RU"/>
        </w:rPr>
        <w:t xml:space="preserve"> rambursarea</w:t>
      </w:r>
      <w:r w:rsidR="004272B4" w:rsidRPr="000D19A7">
        <w:rPr>
          <w:rFonts w:ascii="Times New Roman" w:hAnsi="Times New Roman" w:cs="Times New Roman"/>
          <w:szCs w:val="24"/>
          <w:lang w:val="ro-MD" w:eastAsia="ru-RU"/>
        </w:rPr>
        <w:t xml:space="preserve"> sumelor principale aferente împrumuturilor contractate (interne și externe), inclusiv achitarea</w:t>
      </w:r>
      <w:r w:rsidRPr="000D19A7">
        <w:rPr>
          <w:rFonts w:ascii="Times New Roman" w:hAnsi="Times New Roman" w:cs="Times New Roman"/>
          <w:szCs w:val="24"/>
          <w:lang w:val="ro-MD" w:eastAsia="ru-RU"/>
        </w:rPr>
        <w:t xml:space="preserve"> dobânzilor și comisioanelor aferente, urmează să aibă </w:t>
      </w:r>
      <w:r w:rsidR="00950869" w:rsidRPr="000D19A7">
        <w:rPr>
          <w:rFonts w:ascii="Times New Roman" w:hAnsi="Times New Roman" w:cs="Times New Roman"/>
          <w:szCs w:val="24"/>
          <w:lang w:val="ro-MD" w:eastAsia="ru-RU"/>
        </w:rPr>
        <w:t xml:space="preserve">în </w:t>
      </w:r>
      <w:r w:rsidRPr="000D19A7">
        <w:rPr>
          <w:rFonts w:ascii="Times New Roman" w:hAnsi="Times New Roman" w:cs="Times New Roman"/>
          <w:szCs w:val="24"/>
          <w:lang w:val="ro-MD" w:eastAsia="ru-RU"/>
        </w:rPr>
        <w:t>viitor consecințe negative asupra structurii cheltuielilor bugetare, diminuându-se alocările bugetare atât pentru sfera economică cât și pentru cea socială.</w:t>
      </w:r>
    </w:p>
    <w:p w14:paraId="1DEBCAB7" w14:textId="29DA884A" w:rsidR="00C01DC0" w:rsidRPr="000D19A7" w:rsidRDefault="00C01DC0" w:rsidP="00C01DC0">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Referitor la recreditarea de stat, reamintim că aceasta se realizează prin intermediul Ministerului Finanțelor, Oficiului de Gestionare a Programelor de Asistență Externă (OGP AE) și </w:t>
      </w:r>
      <w:r w:rsidR="00950869" w:rsidRPr="000D19A7">
        <w:rPr>
          <w:rFonts w:ascii="Times New Roman" w:hAnsi="Times New Roman" w:cs="Times New Roman"/>
          <w:szCs w:val="24"/>
          <w:lang w:val="ro-MD" w:eastAsia="ru-RU"/>
        </w:rPr>
        <w:t xml:space="preserve">al </w:t>
      </w:r>
      <w:r w:rsidRPr="000D19A7">
        <w:rPr>
          <w:rFonts w:ascii="Times New Roman" w:hAnsi="Times New Roman" w:cs="Times New Roman"/>
          <w:szCs w:val="24"/>
          <w:lang w:val="ro-MD" w:eastAsia="ru-RU"/>
        </w:rPr>
        <w:t xml:space="preserve">Unității Consolidate pentru Implementarea Programelor Fondului Internațional pentru Dezvoltarea Agricolă (UCIP-IFAD), din contul liniilor de recreditare și mijloacelor circulante acumulate. </w:t>
      </w:r>
    </w:p>
    <w:p w14:paraId="70E368C2" w14:textId="1E7B8BC1" w:rsidR="00E13171" w:rsidRPr="000D19A7" w:rsidRDefault="00C01DC0"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lang w:val="ro-MD" w:eastAsia="ru-RU"/>
        </w:rPr>
        <w:t>Astfel, p</w:t>
      </w:r>
      <w:r w:rsidR="00904515" w:rsidRPr="000D19A7">
        <w:rPr>
          <w:rFonts w:ascii="Times New Roman" w:hAnsi="Times New Roman" w:cs="Times New Roman"/>
          <w:lang w:val="ro-MD" w:eastAsia="ru-RU"/>
        </w:rPr>
        <w:t>entru realizarea proiectelor finanțate din surse externe</w:t>
      </w:r>
      <w:r w:rsidR="00B5574D" w:rsidRPr="000D19A7">
        <w:rPr>
          <w:rFonts w:ascii="Times New Roman" w:hAnsi="Times New Roman" w:cs="Times New Roman"/>
          <w:lang w:val="ro-MD" w:eastAsia="ru-RU"/>
        </w:rPr>
        <w:t>, în anul 2023</w:t>
      </w:r>
      <w:r w:rsidR="00A31EE3" w:rsidRPr="000D19A7">
        <w:rPr>
          <w:rFonts w:ascii="Times New Roman" w:hAnsi="Times New Roman" w:cs="Times New Roman"/>
          <w:lang w:val="ro-MD" w:eastAsia="ru-RU"/>
        </w:rPr>
        <w:t>, per total,</w:t>
      </w:r>
      <w:r w:rsidR="00904515" w:rsidRPr="000D19A7">
        <w:rPr>
          <w:rFonts w:ascii="Times New Roman" w:hAnsi="Times New Roman" w:cs="Times New Roman"/>
          <w:lang w:val="ro-MD" w:eastAsia="ru-RU"/>
        </w:rPr>
        <w:t xml:space="preserve"> </w:t>
      </w:r>
      <w:r w:rsidR="00904515" w:rsidRPr="000D19A7">
        <w:rPr>
          <w:rFonts w:ascii="Times New Roman" w:hAnsi="Times New Roman" w:cs="Times New Roman"/>
          <w:b/>
          <w:i/>
          <w:lang w:val="ro-MD" w:eastAsia="ru-RU"/>
        </w:rPr>
        <w:t>au fost recreditate împrumuturi</w:t>
      </w:r>
      <w:r w:rsidR="00904515" w:rsidRPr="000D19A7">
        <w:rPr>
          <w:rFonts w:ascii="Times New Roman" w:hAnsi="Times New Roman" w:cs="Times New Roman"/>
          <w:lang w:val="ro-MD" w:eastAsia="ru-RU"/>
        </w:rPr>
        <w:t xml:space="preserve"> în sumă totală de </w:t>
      </w:r>
      <w:r w:rsidR="00434271" w:rsidRPr="000D19A7">
        <w:rPr>
          <w:rFonts w:ascii="Times New Roman" w:hAnsi="Times New Roman" w:cs="Times New Roman"/>
          <w:lang w:val="ro-MD" w:eastAsia="ru-RU"/>
        </w:rPr>
        <w:t>1 638,2</w:t>
      </w:r>
      <w:r w:rsidR="00904515" w:rsidRPr="000D19A7">
        <w:rPr>
          <w:rFonts w:ascii="Times New Roman" w:hAnsi="Times New Roman" w:cs="Times New Roman"/>
          <w:lang w:val="ro-MD" w:eastAsia="ru-RU"/>
        </w:rPr>
        <w:t xml:space="preserve"> mil. lei, </w:t>
      </w:r>
      <w:r w:rsidR="00434271" w:rsidRPr="000D19A7">
        <w:rPr>
          <w:rFonts w:ascii="Times New Roman" w:hAnsi="Times New Roman" w:cs="Times New Roman"/>
          <w:lang w:val="ro-MD" w:eastAsia="ru-RU"/>
        </w:rPr>
        <w:t>2,6</w:t>
      </w:r>
      <w:r w:rsidR="00904515" w:rsidRPr="000D19A7">
        <w:rPr>
          <w:rFonts w:ascii="Times New Roman" w:hAnsi="Times New Roman" w:cs="Times New Roman"/>
          <w:lang w:val="ro-MD" w:eastAsia="ru-RU"/>
        </w:rPr>
        <w:t xml:space="preserve"> mil. dolari SUA și </w:t>
      </w:r>
      <w:r w:rsidR="00434271" w:rsidRPr="000D19A7">
        <w:rPr>
          <w:rFonts w:ascii="Times New Roman" w:hAnsi="Times New Roman" w:cs="Times New Roman"/>
          <w:lang w:val="ro-MD" w:eastAsia="ru-RU"/>
        </w:rPr>
        <w:t>274,6</w:t>
      </w:r>
      <w:r w:rsidR="00904515" w:rsidRPr="000D19A7">
        <w:rPr>
          <w:rFonts w:ascii="Times New Roman" w:hAnsi="Times New Roman" w:cs="Times New Roman"/>
          <w:lang w:val="ro-MD" w:eastAsia="ru-RU"/>
        </w:rPr>
        <w:t xml:space="preserve"> mil. euro (echivalent</w:t>
      </w:r>
      <w:r w:rsidR="00C510E9" w:rsidRPr="000D19A7">
        <w:rPr>
          <w:rFonts w:ascii="Times New Roman" w:hAnsi="Times New Roman" w:cs="Times New Roman"/>
          <w:lang w:val="ro-MD" w:eastAsia="ru-RU"/>
        </w:rPr>
        <w:t xml:space="preserve">ul </w:t>
      </w:r>
      <w:r w:rsidR="00904515" w:rsidRPr="000D19A7">
        <w:rPr>
          <w:rFonts w:ascii="Times New Roman" w:hAnsi="Times New Roman" w:cs="Times New Roman"/>
          <w:lang w:val="ro-MD" w:eastAsia="ru-RU"/>
        </w:rPr>
        <w:t xml:space="preserve">a cca </w:t>
      </w:r>
      <w:r w:rsidR="00434271" w:rsidRPr="000D19A7">
        <w:rPr>
          <w:rFonts w:ascii="Times New Roman" w:hAnsi="Times New Roman" w:cs="Times New Roman"/>
          <w:lang w:val="ro-MD" w:eastAsia="ru-RU"/>
        </w:rPr>
        <w:t>7 141,8</w:t>
      </w:r>
      <w:r w:rsidR="00904515" w:rsidRPr="000D19A7">
        <w:rPr>
          <w:rFonts w:ascii="Times New Roman" w:hAnsi="Times New Roman" w:cs="Times New Roman"/>
          <w:lang w:val="ro-MD" w:eastAsia="ru-RU"/>
        </w:rPr>
        <w:t xml:space="preserve"> mil. lei)</w:t>
      </w:r>
      <w:r w:rsidR="00434271" w:rsidRPr="000D19A7">
        <w:rPr>
          <w:rFonts w:ascii="Times New Roman" w:hAnsi="Times New Roman" w:cs="Times New Roman"/>
          <w:lang w:val="ro-MD" w:eastAsia="ru-RU"/>
        </w:rPr>
        <w:t>, inclusiv din mijloacele circulante acumulate – 1 466,8 mil. lei, 2,6 mil. dolari SUA și 11,0 mil. euro (echivalentul a cca 1 722,4 mil. lei)</w:t>
      </w:r>
      <w:r w:rsidR="00950869" w:rsidRPr="000D19A7">
        <w:rPr>
          <w:rFonts w:ascii="Times New Roman" w:hAnsi="Times New Roman" w:cs="Times New Roman"/>
          <w:lang w:val="ro-MD" w:eastAsia="ru-RU"/>
        </w:rPr>
        <w:t>,</w:t>
      </w:r>
      <w:r w:rsidR="00434271" w:rsidRPr="000D19A7">
        <w:rPr>
          <w:rFonts w:ascii="Times New Roman" w:hAnsi="Times New Roman" w:cs="Times New Roman"/>
          <w:lang w:val="ro-MD" w:eastAsia="ru-RU"/>
        </w:rPr>
        <w:t xml:space="preserve"> ce reprezintă 24,1% din suma totală recreditată. </w:t>
      </w:r>
      <w:r w:rsidR="00A31EE3" w:rsidRPr="000D19A7">
        <w:rPr>
          <w:rFonts w:ascii="Times New Roman" w:hAnsi="Times New Roman" w:cs="Times New Roman"/>
          <w:lang w:val="ro-MD" w:eastAsia="ru-RU"/>
        </w:rPr>
        <w:t>Prin intermediul MF au fost recreditate mijloace financiare în sumă totală de 5 061,7 mil. lei, pentru realizarea a 5 proiecte, prin intermediul OGP AE</w:t>
      </w:r>
      <w:r w:rsidR="00950869" w:rsidRPr="000D19A7">
        <w:rPr>
          <w:rFonts w:ascii="Times New Roman" w:hAnsi="Times New Roman" w:cs="Times New Roman"/>
          <w:lang w:val="ro-MD" w:eastAsia="ru-RU"/>
        </w:rPr>
        <w:t xml:space="preserve"> – respectiv,</w:t>
      </w:r>
      <w:r w:rsidR="00A31EE3" w:rsidRPr="000D19A7">
        <w:rPr>
          <w:rFonts w:ascii="Times New Roman" w:hAnsi="Times New Roman" w:cs="Times New Roman"/>
          <w:lang w:val="ro-MD" w:eastAsia="ru-RU"/>
        </w:rPr>
        <w:t xml:space="preserve"> în sumă totală de 2 020,8 mil. lei</w:t>
      </w:r>
      <w:r w:rsidR="009A477D" w:rsidRPr="000D19A7">
        <w:rPr>
          <w:rFonts w:ascii="Times New Roman" w:hAnsi="Times New Roman" w:cs="Times New Roman"/>
          <w:lang w:val="ro-MD" w:eastAsia="ru-RU"/>
        </w:rPr>
        <w:t>,</w:t>
      </w:r>
      <w:r w:rsidR="00A31EE3" w:rsidRPr="000D19A7">
        <w:rPr>
          <w:rFonts w:ascii="Times New Roman" w:hAnsi="Times New Roman" w:cs="Times New Roman"/>
          <w:lang w:val="ro-MD" w:eastAsia="ru-RU"/>
        </w:rPr>
        <w:t xml:space="preserve"> pentru realizarea a 15 proiecte</w:t>
      </w:r>
      <w:r w:rsidR="009A477D" w:rsidRPr="000D19A7">
        <w:rPr>
          <w:rFonts w:ascii="Times New Roman" w:hAnsi="Times New Roman" w:cs="Times New Roman"/>
          <w:lang w:val="ro-MD" w:eastAsia="ru-RU"/>
        </w:rPr>
        <w:t>,</w:t>
      </w:r>
      <w:r w:rsidR="00A31EE3" w:rsidRPr="000D19A7">
        <w:rPr>
          <w:rFonts w:ascii="Times New Roman" w:hAnsi="Times New Roman" w:cs="Times New Roman"/>
          <w:lang w:val="ro-MD" w:eastAsia="ru-RU"/>
        </w:rPr>
        <w:t xml:space="preserve"> și prin intermediul UCIP FIDA – circa 59,3 mil. lei</w:t>
      </w:r>
      <w:r w:rsidR="009A477D" w:rsidRPr="000D19A7">
        <w:rPr>
          <w:rFonts w:ascii="Times New Roman" w:hAnsi="Times New Roman" w:cs="Times New Roman"/>
          <w:lang w:val="ro-MD" w:eastAsia="ru-RU"/>
        </w:rPr>
        <w:t>,</w:t>
      </w:r>
      <w:r w:rsidR="00A31EE3" w:rsidRPr="000D19A7">
        <w:rPr>
          <w:rFonts w:ascii="Times New Roman" w:hAnsi="Times New Roman" w:cs="Times New Roman"/>
          <w:lang w:val="ro-MD" w:eastAsia="ru-RU"/>
        </w:rPr>
        <w:t xml:space="preserve"> pentru realizarea a 2 proiecte. </w:t>
      </w:r>
      <w:r w:rsidR="00AB31E4" w:rsidRPr="000D19A7">
        <w:rPr>
          <w:rFonts w:ascii="Times New Roman" w:hAnsi="Times New Roman" w:cs="Times New Roman"/>
          <w:szCs w:val="24"/>
          <w:lang w:val="ro-MD" w:eastAsia="ru-RU"/>
        </w:rPr>
        <w:t>Pe parcursul anului 2023, au fost rambursate mijloa</w:t>
      </w:r>
      <w:r w:rsidR="004A202D" w:rsidRPr="000D19A7">
        <w:rPr>
          <w:rFonts w:ascii="Times New Roman" w:hAnsi="Times New Roman" w:cs="Times New Roman"/>
          <w:szCs w:val="24"/>
          <w:lang w:val="ro-MD" w:eastAsia="ru-RU"/>
        </w:rPr>
        <w:t xml:space="preserve">ce recreditate (suma principală, dobânda </w:t>
      </w:r>
      <w:r w:rsidR="00AB31E4" w:rsidRPr="000D19A7">
        <w:rPr>
          <w:rFonts w:ascii="Times New Roman" w:hAnsi="Times New Roman" w:cs="Times New Roman"/>
          <w:szCs w:val="24"/>
          <w:lang w:val="ro-MD" w:eastAsia="ru-RU"/>
        </w:rPr>
        <w:t>și alte plăț</w:t>
      </w:r>
      <w:r w:rsidR="004A202D" w:rsidRPr="000D19A7">
        <w:rPr>
          <w:rFonts w:ascii="Times New Roman" w:hAnsi="Times New Roman" w:cs="Times New Roman"/>
          <w:szCs w:val="24"/>
          <w:lang w:val="ro-MD" w:eastAsia="ru-RU"/>
        </w:rPr>
        <w:t xml:space="preserve">i aferente) în sumă totală de </w:t>
      </w:r>
      <w:r w:rsidR="00AB31E4" w:rsidRPr="000D19A7">
        <w:rPr>
          <w:rFonts w:ascii="Times New Roman" w:hAnsi="Times New Roman" w:cs="Times New Roman"/>
          <w:szCs w:val="24"/>
          <w:lang w:val="ro-MD" w:eastAsia="ru-RU"/>
        </w:rPr>
        <w:t xml:space="preserve">8 348,4 mil. lei. La situația din 31.12.2023, soldul datoriilor beneficiarilor recreditați constituie 10 291,7 mil. lei, din care 159,2 mil. lei reprezintă datorie cu termenul de achitare expirat. </w:t>
      </w:r>
      <w:r w:rsidR="00AB31E4" w:rsidRPr="000D19A7">
        <w:rPr>
          <w:rFonts w:ascii="Times New Roman" w:hAnsi="Times New Roman" w:cs="Times New Roman"/>
          <w:i/>
          <w:szCs w:val="24"/>
          <w:lang w:val="ro-MD" w:eastAsia="ru-RU"/>
        </w:rPr>
        <w:t xml:space="preserve">Informația aferentă mijloacelor recreditate în anul 2023 se prezintă în </w:t>
      </w:r>
      <w:r w:rsidR="00AB31E4" w:rsidRPr="000D19A7">
        <w:rPr>
          <w:rFonts w:ascii="Times New Roman" w:hAnsi="Times New Roman" w:cs="Times New Roman"/>
          <w:b/>
          <w:i/>
          <w:szCs w:val="24"/>
          <w:lang w:val="ro-MD" w:eastAsia="ru-RU"/>
        </w:rPr>
        <w:t>Anexa nr.</w:t>
      </w:r>
      <w:r w:rsidR="0090542E" w:rsidRPr="000D19A7">
        <w:rPr>
          <w:rFonts w:ascii="Times New Roman" w:hAnsi="Times New Roman" w:cs="Times New Roman"/>
          <w:b/>
          <w:i/>
          <w:szCs w:val="24"/>
          <w:lang w:val="ro-MD" w:eastAsia="ru-RU"/>
        </w:rPr>
        <w:t>3</w:t>
      </w:r>
      <w:r w:rsidR="00B76817" w:rsidRPr="000D19A7">
        <w:rPr>
          <w:rFonts w:ascii="Times New Roman" w:hAnsi="Times New Roman" w:cs="Times New Roman"/>
          <w:i/>
          <w:szCs w:val="24"/>
          <w:lang w:val="ro-MD" w:eastAsia="ru-RU"/>
        </w:rPr>
        <w:t xml:space="preserve"> </w:t>
      </w:r>
      <w:r w:rsidR="00AB31E4" w:rsidRPr="000D19A7">
        <w:rPr>
          <w:rFonts w:ascii="Times New Roman" w:hAnsi="Times New Roman" w:cs="Times New Roman"/>
          <w:i/>
          <w:szCs w:val="24"/>
          <w:lang w:val="ro-MD" w:eastAsia="ru-RU"/>
        </w:rPr>
        <w:t xml:space="preserve">la prezentul </w:t>
      </w:r>
      <w:r w:rsidR="009A477D" w:rsidRPr="000D19A7">
        <w:rPr>
          <w:rFonts w:ascii="Times New Roman" w:hAnsi="Times New Roman" w:cs="Times New Roman"/>
          <w:i/>
          <w:szCs w:val="24"/>
          <w:lang w:val="ro-MD" w:eastAsia="ru-RU"/>
        </w:rPr>
        <w:t>R</w:t>
      </w:r>
      <w:r w:rsidR="00AB31E4" w:rsidRPr="000D19A7">
        <w:rPr>
          <w:rFonts w:ascii="Times New Roman" w:hAnsi="Times New Roman" w:cs="Times New Roman"/>
          <w:i/>
          <w:szCs w:val="24"/>
          <w:lang w:val="ro-MD" w:eastAsia="ru-RU"/>
        </w:rPr>
        <w:t>aport de audit.</w:t>
      </w:r>
    </w:p>
    <w:p w14:paraId="08C4BE30" w14:textId="427432AA" w:rsidR="009C2D6A" w:rsidRPr="000D19A7" w:rsidRDefault="00113E43"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lang w:val="ro-MD" w:eastAsia="ru-RU"/>
        </w:rPr>
        <w:t>La situația din 31</w:t>
      </w:r>
      <w:r w:rsidR="0034106C" w:rsidRPr="000D19A7">
        <w:rPr>
          <w:rFonts w:ascii="Times New Roman" w:hAnsi="Times New Roman" w:cs="Times New Roman"/>
          <w:lang w:val="ro-MD" w:eastAsia="ru-RU"/>
        </w:rPr>
        <w:t>.12.</w:t>
      </w:r>
      <w:r w:rsidR="00991B25" w:rsidRPr="000D19A7">
        <w:rPr>
          <w:rFonts w:ascii="Times New Roman" w:hAnsi="Times New Roman" w:cs="Times New Roman"/>
          <w:lang w:val="ro-MD" w:eastAsia="ru-RU"/>
        </w:rPr>
        <w:t>2023</w:t>
      </w:r>
      <w:r w:rsidRPr="000D19A7">
        <w:rPr>
          <w:rFonts w:ascii="Times New Roman" w:hAnsi="Times New Roman" w:cs="Times New Roman"/>
          <w:lang w:val="ro-MD" w:eastAsia="ru-RU"/>
        </w:rPr>
        <w:t xml:space="preserve">, </w:t>
      </w:r>
      <w:r w:rsidRPr="000D19A7">
        <w:rPr>
          <w:rFonts w:ascii="Times New Roman" w:hAnsi="Times New Roman" w:cs="Times New Roman"/>
          <w:b/>
          <w:i/>
          <w:lang w:val="ro-MD" w:eastAsia="ru-RU"/>
        </w:rPr>
        <w:t>soldul garanțiilor de stat</w:t>
      </w:r>
      <w:r w:rsidRPr="000D19A7">
        <w:rPr>
          <w:rFonts w:ascii="Times New Roman" w:hAnsi="Times New Roman" w:cs="Times New Roman"/>
          <w:lang w:val="ro-MD" w:eastAsia="ru-RU"/>
        </w:rPr>
        <w:t xml:space="preserve"> a constituit</w:t>
      </w:r>
      <w:r w:rsidR="005A5587" w:rsidRPr="000D19A7">
        <w:rPr>
          <w:rFonts w:ascii="Times New Roman" w:hAnsi="Times New Roman" w:cs="Times New Roman"/>
          <w:lang w:val="ro-MD" w:eastAsia="ru-RU"/>
        </w:rPr>
        <w:t xml:space="preserve"> 1 </w:t>
      </w:r>
      <w:r w:rsidR="00991B25" w:rsidRPr="000D19A7">
        <w:rPr>
          <w:rFonts w:ascii="Times New Roman" w:hAnsi="Times New Roman" w:cs="Times New Roman"/>
          <w:lang w:val="ro-MD" w:eastAsia="ru-RU"/>
        </w:rPr>
        <w:t>682</w:t>
      </w:r>
      <w:r w:rsidR="005A5587" w:rsidRPr="000D19A7">
        <w:rPr>
          <w:rFonts w:ascii="Times New Roman" w:hAnsi="Times New Roman" w:cs="Times New Roman"/>
          <w:lang w:val="ro-MD" w:eastAsia="ru-RU"/>
        </w:rPr>
        <w:t>,</w:t>
      </w:r>
      <w:r w:rsidR="00991B25" w:rsidRPr="000D19A7">
        <w:rPr>
          <w:rFonts w:ascii="Times New Roman" w:hAnsi="Times New Roman" w:cs="Times New Roman"/>
          <w:lang w:val="ro-MD" w:eastAsia="ru-RU"/>
        </w:rPr>
        <w:t>5</w:t>
      </w:r>
      <w:r w:rsidR="009A477D" w:rsidRPr="000D19A7">
        <w:rPr>
          <w:rFonts w:ascii="Times New Roman" w:hAnsi="Times New Roman" w:cs="Times New Roman"/>
          <w:lang w:val="ro-MD" w:eastAsia="ru-RU"/>
        </w:rPr>
        <w:t xml:space="preserve"> mil. lei și este </w:t>
      </w:r>
      <w:r w:rsidR="005A5587" w:rsidRPr="000D19A7">
        <w:rPr>
          <w:rFonts w:ascii="Times New Roman" w:hAnsi="Times New Roman" w:cs="Times New Roman"/>
          <w:lang w:val="ro-MD" w:eastAsia="ru-RU"/>
        </w:rPr>
        <w:t>format</w:t>
      </w:r>
      <w:r w:rsidRPr="000D19A7">
        <w:rPr>
          <w:rFonts w:ascii="Times New Roman" w:hAnsi="Times New Roman" w:cs="Times New Roman"/>
          <w:lang w:val="ro-MD" w:eastAsia="ru-RU"/>
        </w:rPr>
        <w:t xml:space="preserve"> în totalitate din garanții de stat interne acordate</w:t>
      </w:r>
      <w:r w:rsidR="00CF1BCA" w:rsidRPr="000D19A7">
        <w:rPr>
          <w:rFonts w:ascii="Times New Roman" w:hAnsi="Times New Roman" w:cs="Times New Roman"/>
          <w:lang w:val="ro-MD" w:eastAsia="ru-RU"/>
        </w:rPr>
        <w:t xml:space="preserve"> în cadrul Programului de stat „</w:t>
      </w:r>
      <w:r w:rsidRPr="000D19A7">
        <w:rPr>
          <w:rFonts w:ascii="Times New Roman" w:hAnsi="Times New Roman" w:cs="Times New Roman"/>
          <w:lang w:val="ro-MD" w:eastAsia="ru-RU"/>
        </w:rPr>
        <w:t>Prima casă”, fiind în descreștere față de</w:t>
      </w:r>
      <w:r w:rsidR="00CF1BCA" w:rsidRPr="000D19A7">
        <w:rPr>
          <w:rFonts w:ascii="Times New Roman" w:hAnsi="Times New Roman" w:cs="Times New Roman"/>
          <w:lang w:val="ro-MD" w:eastAsia="ru-RU"/>
        </w:rPr>
        <w:t xml:space="preserve"> anul precedent cu </w:t>
      </w:r>
      <w:r w:rsidR="00991B25" w:rsidRPr="000D19A7">
        <w:rPr>
          <w:rFonts w:ascii="Times New Roman" w:hAnsi="Times New Roman" w:cs="Times New Roman"/>
          <w:lang w:val="ro-MD" w:eastAsia="ru-RU"/>
        </w:rPr>
        <w:t>151,0</w:t>
      </w:r>
      <w:r w:rsidR="00CF1BCA" w:rsidRPr="000D19A7">
        <w:rPr>
          <w:rFonts w:ascii="Times New Roman" w:hAnsi="Times New Roman" w:cs="Times New Roman"/>
          <w:lang w:val="ro-MD" w:eastAsia="ru-RU"/>
        </w:rPr>
        <w:t xml:space="preserve"> mil. lei.</w:t>
      </w:r>
      <w:r w:rsidR="00991B25" w:rsidRPr="000D19A7">
        <w:rPr>
          <w:rFonts w:ascii="Times New Roman" w:hAnsi="Times New Roman" w:cs="Times New Roman"/>
          <w:szCs w:val="24"/>
          <w:lang w:val="ro-MD" w:eastAsia="ru-RU"/>
        </w:rPr>
        <w:t xml:space="preserve"> Menționăm că în anul 2023 </w:t>
      </w:r>
      <w:r w:rsidR="002E22ED" w:rsidRPr="000D19A7">
        <w:rPr>
          <w:rFonts w:ascii="Times New Roman" w:hAnsi="Times New Roman" w:cs="Times New Roman"/>
          <w:szCs w:val="24"/>
          <w:lang w:val="ro-MD" w:eastAsia="ru-RU"/>
        </w:rPr>
        <w:t xml:space="preserve">au fost activate și executate </w:t>
      </w:r>
      <w:r w:rsidR="003020A6" w:rsidRPr="000D19A7">
        <w:rPr>
          <w:rFonts w:ascii="Times New Roman" w:hAnsi="Times New Roman" w:cs="Times New Roman"/>
          <w:szCs w:val="24"/>
          <w:lang w:val="ro-MD" w:eastAsia="ru-RU"/>
        </w:rPr>
        <w:t xml:space="preserve">deja </w:t>
      </w:r>
      <w:r w:rsidR="002E22ED" w:rsidRPr="000D19A7">
        <w:rPr>
          <w:rFonts w:ascii="Times New Roman" w:hAnsi="Times New Roman" w:cs="Times New Roman"/>
          <w:szCs w:val="24"/>
          <w:lang w:val="ro-MD" w:eastAsia="ru-RU"/>
        </w:rPr>
        <w:t>8 garanții de stat</w:t>
      </w:r>
      <w:r w:rsidR="00C64F0B" w:rsidRPr="000D19A7">
        <w:rPr>
          <w:rStyle w:val="a6"/>
          <w:rFonts w:ascii="Times New Roman" w:hAnsi="Times New Roman" w:cs="Times New Roman"/>
          <w:szCs w:val="24"/>
          <w:lang w:val="ro-MD" w:eastAsia="ru-RU"/>
        </w:rPr>
        <w:footnoteReference w:id="7"/>
      </w:r>
      <w:r w:rsidR="009A477D" w:rsidRPr="000D19A7">
        <w:rPr>
          <w:rFonts w:ascii="Times New Roman" w:hAnsi="Times New Roman" w:cs="Times New Roman"/>
          <w:szCs w:val="24"/>
          <w:lang w:val="ro-MD" w:eastAsia="ru-RU"/>
        </w:rPr>
        <w:t xml:space="preserve">, </w:t>
      </w:r>
      <w:r w:rsidR="002E22ED" w:rsidRPr="000D19A7">
        <w:rPr>
          <w:rFonts w:ascii="Times New Roman" w:hAnsi="Times New Roman" w:cs="Times New Roman"/>
          <w:szCs w:val="24"/>
          <w:lang w:val="ro-MD" w:eastAsia="ru-RU"/>
        </w:rPr>
        <w:t xml:space="preserve">în sumă totală </w:t>
      </w:r>
      <w:r w:rsidR="009A477D" w:rsidRPr="000D19A7">
        <w:rPr>
          <w:rFonts w:ascii="Times New Roman" w:hAnsi="Times New Roman" w:cs="Times New Roman"/>
          <w:szCs w:val="24"/>
          <w:lang w:val="ro-MD" w:eastAsia="ru-RU"/>
        </w:rPr>
        <w:t>de</w:t>
      </w:r>
      <w:r w:rsidR="003020A6" w:rsidRPr="000D19A7">
        <w:rPr>
          <w:rFonts w:ascii="Times New Roman" w:hAnsi="Times New Roman" w:cs="Times New Roman"/>
          <w:szCs w:val="24"/>
          <w:lang w:val="ro-MD" w:eastAsia="ru-RU"/>
        </w:rPr>
        <w:t xml:space="preserve"> </w:t>
      </w:r>
      <w:r w:rsidR="002E22ED" w:rsidRPr="000D19A7">
        <w:rPr>
          <w:rFonts w:ascii="Times New Roman" w:hAnsi="Times New Roman" w:cs="Times New Roman"/>
          <w:szCs w:val="24"/>
          <w:lang w:val="ro-MD" w:eastAsia="ru-RU"/>
        </w:rPr>
        <w:t xml:space="preserve">1,9 mil. lei, </w:t>
      </w:r>
      <w:r w:rsidR="009A477D" w:rsidRPr="000D19A7">
        <w:rPr>
          <w:rFonts w:ascii="Times New Roman" w:hAnsi="Times New Roman" w:cs="Times New Roman"/>
          <w:szCs w:val="24"/>
          <w:lang w:val="ro-MD" w:eastAsia="ru-RU"/>
        </w:rPr>
        <w:t>care s-au</w:t>
      </w:r>
      <w:r w:rsidR="003020A6" w:rsidRPr="000D19A7">
        <w:rPr>
          <w:rFonts w:ascii="Times New Roman" w:hAnsi="Times New Roman" w:cs="Times New Roman"/>
          <w:szCs w:val="24"/>
          <w:lang w:val="ro-MD" w:eastAsia="ru-RU"/>
        </w:rPr>
        <w:t xml:space="preserve"> </w:t>
      </w:r>
      <w:r w:rsidR="002E22ED" w:rsidRPr="000D19A7">
        <w:rPr>
          <w:rFonts w:ascii="Times New Roman" w:hAnsi="Times New Roman" w:cs="Times New Roman"/>
          <w:szCs w:val="24"/>
          <w:lang w:val="ro-MD" w:eastAsia="ru-RU"/>
        </w:rPr>
        <w:t>acordat în cadrul Programului de stat „Prima casă”</w:t>
      </w:r>
      <w:r w:rsidR="003020A6" w:rsidRPr="000D19A7">
        <w:rPr>
          <w:rFonts w:ascii="Times New Roman" w:hAnsi="Times New Roman" w:cs="Times New Roman"/>
          <w:szCs w:val="24"/>
          <w:lang w:val="ro-MD" w:eastAsia="ru-RU"/>
        </w:rPr>
        <w:t xml:space="preserve">. Totodată, în anul 2022, debitorii garantați au </w:t>
      </w:r>
      <w:r w:rsidR="002E22ED" w:rsidRPr="000D19A7">
        <w:rPr>
          <w:rFonts w:ascii="Times New Roman" w:hAnsi="Times New Roman" w:cs="Times New Roman"/>
          <w:szCs w:val="24"/>
          <w:lang w:val="ro-MD" w:eastAsia="ru-RU"/>
        </w:rPr>
        <w:t xml:space="preserve">restituit </w:t>
      </w:r>
      <w:r w:rsidR="003020A6" w:rsidRPr="000D19A7">
        <w:rPr>
          <w:rFonts w:ascii="Times New Roman" w:hAnsi="Times New Roman" w:cs="Times New Roman"/>
          <w:szCs w:val="24"/>
          <w:lang w:val="ro-MD" w:eastAsia="ru-RU"/>
        </w:rPr>
        <w:t>la bugetul de stat mijloace</w:t>
      </w:r>
      <w:r w:rsidR="009A477D" w:rsidRPr="000D19A7">
        <w:rPr>
          <w:rFonts w:ascii="Times New Roman" w:hAnsi="Times New Roman" w:cs="Times New Roman"/>
          <w:szCs w:val="24"/>
          <w:lang w:val="ro-MD" w:eastAsia="ru-RU"/>
        </w:rPr>
        <w:t xml:space="preserve"> financiare</w:t>
      </w:r>
      <w:r w:rsidR="003020A6" w:rsidRPr="000D19A7">
        <w:rPr>
          <w:rFonts w:ascii="Times New Roman" w:hAnsi="Times New Roman" w:cs="Times New Roman"/>
          <w:szCs w:val="24"/>
          <w:lang w:val="ro-MD" w:eastAsia="ru-RU"/>
        </w:rPr>
        <w:t xml:space="preserve"> </w:t>
      </w:r>
      <w:r w:rsidR="00303B83" w:rsidRPr="000D19A7">
        <w:rPr>
          <w:rFonts w:ascii="Times New Roman" w:hAnsi="Times New Roman" w:cs="Times New Roman"/>
          <w:szCs w:val="24"/>
          <w:lang w:val="ro-MD" w:eastAsia="ru-RU"/>
        </w:rPr>
        <w:t xml:space="preserve">în sumă de 0,5 mil. lei, </w:t>
      </w:r>
      <w:r w:rsidR="003020A6" w:rsidRPr="000D19A7">
        <w:rPr>
          <w:rFonts w:ascii="Times New Roman" w:hAnsi="Times New Roman" w:cs="Times New Roman"/>
          <w:szCs w:val="24"/>
          <w:lang w:val="ro-MD" w:eastAsia="ru-RU"/>
        </w:rPr>
        <w:t>dezafectate în anii precedenți în urma onorării garanțiilor de stat în cadrul Programului „Prima casă”</w:t>
      </w:r>
      <w:r w:rsidR="00303B83" w:rsidRPr="000D19A7">
        <w:rPr>
          <w:rFonts w:ascii="Times New Roman" w:hAnsi="Times New Roman" w:cs="Times New Roman"/>
          <w:szCs w:val="24"/>
          <w:lang w:val="ro-MD" w:eastAsia="ru-RU"/>
        </w:rPr>
        <w:t>.</w:t>
      </w:r>
    </w:p>
    <w:p w14:paraId="734E05D7" w14:textId="75C4B030" w:rsidR="007F1A15" w:rsidRPr="000D19A7" w:rsidRDefault="006023D2" w:rsidP="00946026">
      <w:pPr>
        <w:pStyle w:val="1"/>
        <w:numPr>
          <w:ilvl w:val="0"/>
          <w:numId w:val="12"/>
        </w:numPr>
        <w:tabs>
          <w:tab w:val="left" w:pos="426"/>
          <w:tab w:val="left" w:pos="1134"/>
        </w:tabs>
        <w:spacing w:line="276" w:lineRule="auto"/>
        <w:ind w:left="0" w:firstLine="0"/>
        <w:jc w:val="both"/>
        <w:rPr>
          <w:rFonts w:ascii="Times New Roman" w:eastAsia="Times New Roman" w:hAnsi="Times New Roman" w:cs="Times New Roman"/>
          <w:lang w:val="ro-MD" w:eastAsia="ru-RU"/>
        </w:rPr>
      </w:pPr>
      <w:bookmarkStart w:id="9" w:name="_Toc47012268"/>
      <w:bookmarkStart w:id="10" w:name="_Toc168321547"/>
      <w:r w:rsidRPr="000D19A7">
        <w:rPr>
          <w:rFonts w:ascii="Times New Roman" w:eastAsia="Times New Roman" w:hAnsi="Times New Roman" w:cs="Times New Roman"/>
          <w:lang w:val="ro-MD" w:eastAsia="ru-RU"/>
        </w:rPr>
        <w:t>SFERA ȘI A</w:t>
      </w:r>
      <w:r w:rsidR="00651290" w:rsidRPr="000D19A7">
        <w:rPr>
          <w:rFonts w:ascii="Times New Roman" w:eastAsia="Times New Roman" w:hAnsi="Times New Roman" w:cs="Times New Roman"/>
          <w:lang w:val="ro-MD" w:eastAsia="ru-RU"/>
        </w:rPr>
        <w:t>B</w:t>
      </w:r>
      <w:r w:rsidRPr="000D19A7">
        <w:rPr>
          <w:rFonts w:ascii="Times New Roman" w:eastAsia="Times New Roman" w:hAnsi="Times New Roman" w:cs="Times New Roman"/>
          <w:lang w:val="ro-MD" w:eastAsia="ru-RU"/>
        </w:rPr>
        <w:t>ORDAREA DE AUDIT</w:t>
      </w:r>
      <w:bookmarkEnd w:id="9"/>
      <w:bookmarkEnd w:id="10"/>
    </w:p>
    <w:p w14:paraId="13FB613F" w14:textId="1E7D6280" w:rsidR="00DE4659" w:rsidRPr="000D19A7" w:rsidRDefault="00DE4659" w:rsidP="00946026">
      <w:pPr>
        <w:pStyle w:val="2"/>
        <w:numPr>
          <w:ilvl w:val="1"/>
          <w:numId w:val="13"/>
        </w:numPr>
        <w:tabs>
          <w:tab w:val="left" w:pos="426"/>
          <w:tab w:val="left" w:pos="993"/>
        </w:tabs>
        <w:spacing w:line="276" w:lineRule="auto"/>
        <w:ind w:left="0" w:firstLine="0"/>
        <w:jc w:val="both"/>
        <w:rPr>
          <w:rFonts w:ascii="Times New Roman" w:eastAsia="Times New Roman" w:hAnsi="Times New Roman" w:cs="Times New Roman"/>
          <w:i w:val="0"/>
          <w:sz w:val="24"/>
          <w:szCs w:val="24"/>
          <w:lang w:val="ro-MD" w:eastAsia="ru-RU"/>
        </w:rPr>
      </w:pPr>
      <w:bookmarkStart w:id="11" w:name="_Toc168321548"/>
      <w:r w:rsidRPr="000D19A7">
        <w:rPr>
          <w:rFonts w:ascii="Times New Roman" w:eastAsia="Times New Roman" w:hAnsi="Times New Roman" w:cs="Times New Roman"/>
          <w:i w:val="0"/>
          <w:sz w:val="24"/>
          <w:szCs w:val="24"/>
          <w:lang w:val="ro-MD" w:eastAsia="ru-RU"/>
        </w:rPr>
        <w:t>Mandatul legal și scopul auditului</w:t>
      </w:r>
      <w:bookmarkEnd w:id="11"/>
    </w:p>
    <w:p w14:paraId="126FEFF3" w14:textId="6E397E8C" w:rsidR="002E18B6" w:rsidRPr="000D19A7" w:rsidRDefault="00DE4659" w:rsidP="00946026">
      <w:pPr>
        <w:spacing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Misiunea de audit public extern a fost </w:t>
      </w:r>
      <w:r w:rsidR="00E35DC9" w:rsidRPr="000D19A7">
        <w:rPr>
          <w:rFonts w:ascii="Times New Roman" w:hAnsi="Times New Roman" w:cs="Times New Roman"/>
          <w:lang w:val="ro-MD" w:eastAsia="ru-RU"/>
        </w:rPr>
        <w:t>efectuat</w:t>
      </w:r>
      <w:r w:rsidR="006D1DC5" w:rsidRPr="000D19A7">
        <w:rPr>
          <w:rFonts w:ascii="Times New Roman" w:hAnsi="Times New Roman" w:cs="Times New Roman"/>
          <w:lang w:val="ro-MD" w:eastAsia="ru-RU"/>
        </w:rPr>
        <w:t>ă</w:t>
      </w:r>
      <w:r w:rsidRPr="000D19A7">
        <w:rPr>
          <w:rFonts w:ascii="Times New Roman" w:hAnsi="Times New Roman" w:cs="Times New Roman"/>
          <w:lang w:val="ro-MD" w:eastAsia="ru-RU"/>
        </w:rPr>
        <w:t xml:space="preserve"> </w:t>
      </w:r>
      <w:r w:rsidR="002E18B6" w:rsidRPr="000D19A7">
        <w:rPr>
          <w:rFonts w:ascii="Times New Roman" w:hAnsi="Times New Roman" w:cs="Times New Roman"/>
          <w:lang w:val="ro-MD" w:eastAsia="ru-RU"/>
        </w:rPr>
        <w:t xml:space="preserve">în temeiul art.31 și art.32 din Legea privind organizarea și funcționarea Curții de Conturi a Republicii Moldova nr.260 din 07.12.2017 și </w:t>
      </w:r>
      <w:r w:rsidRPr="000D19A7">
        <w:rPr>
          <w:rFonts w:ascii="Times New Roman" w:hAnsi="Times New Roman" w:cs="Times New Roman"/>
          <w:lang w:val="ro-MD" w:eastAsia="ru-RU"/>
        </w:rPr>
        <w:t>în conformitate cu Programul activității de audit a</w:t>
      </w:r>
      <w:r w:rsidR="00E35DC9" w:rsidRPr="000D19A7">
        <w:rPr>
          <w:rFonts w:ascii="Times New Roman" w:hAnsi="Times New Roman" w:cs="Times New Roman"/>
          <w:lang w:val="ro-MD" w:eastAsia="ru-RU"/>
        </w:rPr>
        <w:t xml:space="preserve"> </w:t>
      </w:r>
      <w:r w:rsidRPr="000D19A7">
        <w:rPr>
          <w:rFonts w:ascii="Times New Roman" w:hAnsi="Times New Roman" w:cs="Times New Roman"/>
          <w:lang w:val="ro-MD" w:eastAsia="ru-RU"/>
        </w:rPr>
        <w:t>Curții de Conturi pe anul 202</w:t>
      </w:r>
      <w:r w:rsidR="00E02105" w:rsidRPr="000D19A7">
        <w:rPr>
          <w:rFonts w:ascii="Times New Roman" w:hAnsi="Times New Roman" w:cs="Times New Roman"/>
          <w:lang w:val="ro-MD" w:eastAsia="ru-RU"/>
        </w:rPr>
        <w:t>4</w:t>
      </w:r>
      <w:r w:rsidRPr="000D19A7">
        <w:rPr>
          <w:rStyle w:val="a6"/>
          <w:rFonts w:ascii="Times New Roman" w:eastAsia="Times New Roman" w:hAnsi="Times New Roman" w:cs="Times New Roman"/>
          <w:bCs/>
          <w:color w:val="000000" w:themeColor="text1"/>
          <w:szCs w:val="24"/>
          <w:lang w:val="ro-MD" w:eastAsia="ru-RU"/>
        </w:rPr>
        <w:footnoteReference w:id="8"/>
      </w:r>
      <w:r w:rsidR="002E18B6" w:rsidRPr="000D19A7">
        <w:rPr>
          <w:rFonts w:ascii="Times New Roman" w:hAnsi="Times New Roman" w:cs="Times New Roman"/>
          <w:lang w:val="ro-MD" w:eastAsia="ru-RU"/>
        </w:rPr>
        <w:t>.</w:t>
      </w:r>
    </w:p>
    <w:p w14:paraId="4ABDCE1A" w14:textId="40463139" w:rsidR="00E13171" w:rsidRPr="000D19A7" w:rsidRDefault="002E18B6" w:rsidP="00946026">
      <w:pPr>
        <w:spacing w:line="276" w:lineRule="auto"/>
        <w:jc w:val="both"/>
        <w:rPr>
          <w:rFonts w:ascii="Times New Roman" w:hAnsi="Times New Roman" w:cs="Times New Roman"/>
          <w:lang w:val="ro-MD" w:eastAsia="ru-RU"/>
        </w:rPr>
      </w:pPr>
      <w:r w:rsidRPr="000D19A7">
        <w:rPr>
          <w:rFonts w:ascii="Times New Roman" w:hAnsi="Times New Roman" w:cs="Times New Roman"/>
          <w:b/>
          <w:lang w:val="ro-MD" w:eastAsia="ru-RU"/>
        </w:rPr>
        <w:t>S</w:t>
      </w:r>
      <w:r w:rsidR="00257842" w:rsidRPr="000D19A7">
        <w:rPr>
          <w:rFonts w:ascii="Times New Roman" w:hAnsi="Times New Roman" w:cs="Times New Roman"/>
          <w:b/>
          <w:lang w:val="ro-MD" w:eastAsia="ru-RU"/>
        </w:rPr>
        <w:t>cop</w:t>
      </w:r>
      <w:r w:rsidRPr="000D19A7">
        <w:rPr>
          <w:rFonts w:ascii="Times New Roman" w:hAnsi="Times New Roman" w:cs="Times New Roman"/>
          <w:b/>
          <w:lang w:val="ro-MD" w:eastAsia="ru-RU"/>
        </w:rPr>
        <w:t>ul auditului</w:t>
      </w:r>
      <w:r w:rsidRPr="000D19A7">
        <w:rPr>
          <w:rFonts w:ascii="Times New Roman" w:hAnsi="Times New Roman" w:cs="Times New Roman"/>
          <w:lang w:val="ro-MD" w:eastAsia="ru-RU"/>
        </w:rPr>
        <w:t xml:space="preserve"> a constat în evaluarea </w:t>
      </w:r>
      <w:r w:rsidR="00257842" w:rsidRPr="000D19A7">
        <w:rPr>
          <w:rFonts w:ascii="Times New Roman" w:hAnsi="Times New Roman" w:cs="Times New Roman"/>
          <w:lang w:val="ro-MD" w:eastAsia="ru-RU"/>
        </w:rPr>
        <w:t xml:space="preserve">conformității managementului datoriei de stat, garanțiilor de stat și recreditării de stat, </w:t>
      </w:r>
      <w:r w:rsidR="00DB7B44" w:rsidRPr="000D19A7">
        <w:rPr>
          <w:rFonts w:ascii="Times New Roman" w:hAnsi="Times New Roman" w:cs="Times New Roman"/>
          <w:lang w:val="ro-MD" w:eastAsia="ru-RU"/>
        </w:rPr>
        <w:t xml:space="preserve">în raport cu prevederile cadrului </w:t>
      </w:r>
      <w:r w:rsidRPr="000D19A7">
        <w:rPr>
          <w:rFonts w:ascii="Times New Roman" w:hAnsi="Times New Roman" w:cs="Times New Roman"/>
          <w:lang w:val="ro-MD" w:eastAsia="ru-RU"/>
        </w:rPr>
        <w:t xml:space="preserve">normativ </w:t>
      </w:r>
      <w:r w:rsidR="00EF35F8" w:rsidRPr="000D19A7">
        <w:rPr>
          <w:rFonts w:ascii="Times New Roman" w:hAnsi="Times New Roman" w:cs="Times New Roman"/>
          <w:lang w:val="ro-MD" w:eastAsia="ru-RU"/>
        </w:rPr>
        <w:t>care a fost în vigoare pe parcursul anului de gestiune 2023</w:t>
      </w:r>
      <w:r w:rsidR="006E0A21" w:rsidRPr="000D19A7">
        <w:rPr>
          <w:rFonts w:ascii="Times New Roman" w:hAnsi="Times New Roman" w:cs="Times New Roman"/>
          <w:lang w:val="ro-MD" w:eastAsia="ru-RU"/>
        </w:rPr>
        <w:t>.</w:t>
      </w:r>
      <w:r w:rsidR="00DB7B44" w:rsidRPr="000D19A7">
        <w:rPr>
          <w:rFonts w:ascii="Times New Roman" w:hAnsi="Times New Roman" w:cs="Times New Roman"/>
          <w:lang w:val="ro-MD" w:eastAsia="ru-RU"/>
        </w:rPr>
        <w:t xml:space="preserve"> </w:t>
      </w:r>
    </w:p>
    <w:p w14:paraId="5A3E5226" w14:textId="27FA1DEC" w:rsidR="00C14CC1" w:rsidRPr="000D19A7" w:rsidRDefault="002E18B6" w:rsidP="00946026">
      <w:pPr>
        <w:spacing w:after="0" w:line="276" w:lineRule="auto"/>
        <w:jc w:val="both"/>
        <w:rPr>
          <w:rFonts w:ascii="Times New Roman" w:hAnsi="Times New Roman" w:cs="Times New Roman"/>
          <w:lang w:val="ro-MD" w:eastAsia="ru-RU"/>
        </w:rPr>
      </w:pPr>
      <w:r w:rsidRPr="000D19A7">
        <w:rPr>
          <w:rFonts w:ascii="Times New Roman" w:hAnsi="Times New Roman" w:cs="Times New Roman"/>
          <w:lang w:val="ro-MD" w:eastAsia="ru-RU"/>
        </w:rPr>
        <w:t xml:space="preserve">Astfel, în vederea realizării </w:t>
      </w:r>
      <w:r w:rsidR="00DB7B44" w:rsidRPr="000D19A7">
        <w:rPr>
          <w:rFonts w:ascii="Times New Roman" w:hAnsi="Times New Roman" w:cs="Times New Roman"/>
          <w:lang w:val="ro-MD" w:eastAsia="ru-RU"/>
        </w:rPr>
        <w:t>scopul</w:t>
      </w:r>
      <w:r w:rsidRPr="000D19A7">
        <w:rPr>
          <w:rFonts w:ascii="Times New Roman" w:hAnsi="Times New Roman" w:cs="Times New Roman"/>
          <w:lang w:val="ro-MD" w:eastAsia="ru-RU"/>
        </w:rPr>
        <w:t>ui propus și re</w:t>
      </w:r>
      <w:r w:rsidR="00481074" w:rsidRPr="000D19A7">
        <w:rPr>
          <w:rFonts w:ascii="Times New Roman" w:hAnsi="Times New Roman" w:cs="Times New Roman"/>
          <w:lang w:val="ro-MD" w:eastAsia="ru-RU"/>
        </w:rPr>
        <w:t>i</w:t>
      </w:r>
      <w:r w:rsidRPr="000D19A7">
        <w:rPr>
          <w:rFonts w:ascii="Times New Roman" w:hAnsi="Times New Roman" w:cs="Times New Roman"/>
          <w:lang w:val="ro-MD" w:eastAsia="ru-RU"/>
        </w:rPr>
        <w:t>eșind din riscurile identificate</w:t>
      </w:r>
      <w:r w:rsidR="00DB7B44" w:rsidRPr="000D19A7">
        <w:rPr>
          <w:rFonts w:ascii="Times New Roman" w:hAnsi="Times New Roman" w:cs="Times New Roman"/>
          <w:lang w:val="ro-MD" w:eastAsia="ru-RU"/>
        </w:rPr>
        <w:t xml:space="preserve">, </w:t>
      </w:r>
      <w:r w:rsidR="0006033B" w:rsidRPr="000D19A7">
        <w:rPr>
          <w:rFonts w:ascii="Times New Roman" w:hAnsi="Times New Roman" w:cs="Times New Roman"/>
          <w:szCs w:val="24"/>
          <w:lang w:val="ro-MD"/>
        </w:rPr>
        <w:t xml:space="preserve">au fost </w:t>
      </w:r>
      <w:r w:rsidR="003A4032" w:rsidRPr="000D19A7">
        <w:rPr>
          <w:rFonts w:ascii="Times New Roman" w:hAnsi="Times New Roman" w:cs="Times New Roman"/>
          <w:szCs w:val="24"/>
          <w:lang w:val="ro-MD"/>
        </w:rPr>
        <w:t xml:space="preserve">stabilite </w:t>
      </w:r>
      <w:r w:rsidR="006023D2" w:rsidRPr="000D19A7">
        <w:rPr>
          <w:rFonts w:ascii="Times New Roman" w:hAnsi="Times New Roman" w:cs="Times New Roman"/>
          <w:szCs w:val="24"/>
          <w:lang w:val="ro-MD"/>
        </w:rPr>
        <w:t xml:space="preserve">următoarele </w:t>
      </w:r>
      <w:r w:rsidR="006023D2" w:rsidRPr="000D19A7">
        <w:rPr>
          <w:rFonts w:ascii="Times New Roman" w:hAnsi="Times New Roman" w:cs="Times New Roman"/>
          <w:b/>
          <w:szCs w:val="24"/>
          <w:lang w:val="ro-MD"/>
        </w:rPr>
        <w:t>obiective specifice</w:t>
      </w:r>
      <w:r w:rsidRPr="000D19A7">
        <w:rPr>
          <w:rFonts w:ascii="Times New Roman" w:hAnsi="Times New Roman" w:cs="Times New Roman"/>
          <w:b/>
          <w:szCs w:val="24"/>
          <w:lang w:val="ro-MD"/>
        </w:rPr>
        <w:t xml:space="preserve"> de audit</w:t>
      </w:r>
      <w:r w:rsidR="006023D2" w:rsidRPr="000D19A7">
        <w:rPr>
          <w:rFonts w:ascii="Times New Roman" w:hAnsi="Times New Roman" w:cs="Times New Roman"/>
          <w:szCs w:val="24"/>
          <w:lang w:val="ro-MD"/>
        </w:rPr>
        <w:t>:</w:t>
      </w:r>
    </w:p>
    <w:p w14:paraId="0CB6F2C2" w14:textId="1CBEC803" w:rsidR="00C14CC1" w:rsidRPr="000D19A7" w:rsidRDefault="00BB345A" w:rsidP="00946026">
      <w:pPr>
        <w:spacing w:after="0"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 xml:space="preserve">Obiectivul specific I. </w:t>
      </w:r>
      <w:r w:rsidR="003F1923" w:rsidRPr="000D19A7">
        <w:rPr>
          <w:rFonts w:ascii="Times New Roman" w:hAnsi="Times New Roman" w:cs="Times New Roman"/>
          <w:szCs w:val="24"/>
          <w:lang w:val="ro-MD"/>
        </w:rPr>
        <w:t xml:space="preserve">Ministerul Finanțelor a asigurat conformitatea managementului datoriei de stat în raport </w:t>
      </w:r>
      <w:r w:rsidR="00944C72" w:rsidRPr="000D19A7">
        <w:rPr>
          <w:rFonts w:ascii="Times New Roman" w:hAnsi="Times New Roman" w:cs="Times New Roman"/>
          <w:szCs w:val="24"/>
          <w:lang w:val="ro-MD"/>
        </w:rPr>
        <w:t>cu prevederile cadrul</w:t>
      </w:r>
      <w:r w:rsidR="000F773C" w:rsidRPr="000D19A7">
        <w:rPr>
          <w:rFonts w:ascii="Times New Roman" w:hAnsi="Times New Roman" w:cs="Times New Roman"/>
          <w:szCs w:val="24"/>
          <w:lang w:val="ro-MD"/>
        </w:rPr>
        <w:t>ui</w:t>
      </w:r>
      <w:r w:rsidR="00944C72" w:rsidRPr="000D19A7">
        <w:rPr>
          <w:rFonts w:ascii="Times New Roman" w:hAnsi="Times New Roman" w:cs="Times New Roman"/>
          <w:szCs w:val="24"/>
          <w:lang w:val="ro-MD"/>
        </w:rPr>
        <w:t xml:space="preserve"> normativ</w:t>
      </w:r>
      <w:r w:rsidR="003F1923" w:rsidRPr="000D19A7">
        <w:rPr>
          <w:rFonts w:ascii="Times New Roman" w:hAnsi="Times New Roman" w:cs="Times New Roman"/>
          <w:szCs w:val="24"/>
          <w:lang w:val="ro-MD"/>
        </w:rPr>
        <w:t xml:space="preserve"> </w:t>
      </w:r>
      <w:r w:rsidR="00EF35F8" w:rsidRPr="000D19A7">
        <w:rPr>
          <w:rFonts w:ascii="Times New Roman" w:hAnsi="Times New Roman" w:cs="Times New Roman"/>
          <w:szCs w:val="24"/>
          <w:lang w:val="ro-MD"/>
        </w:rPr>
        <w:t>în vigoare</w:t>
      </w:r>
      <w:r w:rsidR="003F1923" w:rsidRPr="000D19A7">
        <w:rPr>
          <w:rFonts w:ascii="Times New Roman" w:hAnsi="Times New Roman" w:cs="Times New Roman"/>
          <w:lang w:val="ro-MD" w:eastAsia="ru-RU"/>
        </w:rPr>
        <w:t>?</w:t>
      </w:r>
    </w:p>
    <w:p w14:paraId="1F59131A" w14:textId="752AB887" w:rsidR="00C14CC1" w:rsidRPr="000D19A7" w:rsidRDefault="00E1525D" w:rsidP="00946026">
      <w:pPr>
        <w:spacing w:after="0"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Obiectivul specific II</w:t>
      </w:r>
      <w:r w:rsidR="00BB345A" w:rsidRPr="000D19A7">
        <w:rPr>
          <w:rFonts w:ascii="Times New Roman" w:hAnsi="Times New Roman" w:cs="Times New Roman"/>
          <w:b/>
          <w:szCs w:val="24"/>
          <w:lang w:val="ro-MD"/>
        </w:rPr>
        <w:t xml:space="preserve">. </w:t>
      </w:r>
      <w:r w:rsidR="003F1923" w:rsidRPr="000D19A7">
        <w:rPr>
          <w:rFonts w:ascii="Times New Roman" w:hAnsi="Times New Roman" w:cs="Times New Roman"/>
          <w:szCs w:val="24"/>
          <w:lang w:val="ro-MD"/>
        </w:rPr>
        <w:t xml:space="preserve">Ministerul Finanțelor a asigurat </w:t>
      </w:r>
      <w:r w:rsidR="00F2437C" w:rsidRPr="000D19A7">
        <w:rPr>
          <w:rFonts w:ascii="Times New Roman" w:hAnsi="Times New Roman" w:cs="Times New Roman"/>
          <w:szCs w:val="24"/>
          <w:lang w:val="ro-MD"/>
        </w:rPr>
        <w:t>conformit</w:t>
      </w:r>
      <w:r w:rsidR="003F1923" w:rsidRPr="000D19A7">
        <w:rPr>
          <w:rFonts w:ascii="Times New Roman" w:hAnsi="Times New Roman" w:cs="Times New Roman"/>
          <w:szCs w:val="24"/>
          <w:lang w:val="ro-MD"/>
        </w:rPr>
        <w:t xml:space="preserve">atea </w:t>
      </w:r>
      <w:r w:rsidR="00BB345A" w:rsidRPr="000D19A7">
        <w:rPr>
          <w:rFonts w:ascii="Times New Roman" w:hAnsi="Times New Roman" w:cs="Times New Roman"/>
          <w:szCs w:val="24"/>
          <w:lang w:val="ro-MD"/>
        </w:rPr>
        <w:t>a</w:t>
      </w:r>
      <w:r w:rsidR="00F2437C" w:rsidRPr="000D19A7">
        <w:rPr>
          <w:rFonts w:ascii="Times New Roman" w:hAnsi="Times New Roman" w:cs="Times New Roman"/>
          <w:szCs w:val="24"/>
          <w:lang w:val="ro-MD"/>
        </w:rPr>
        <w:t>cordă</w:t>
      </w:r>
      <w:r w:rsidR="00657281" w:rsidRPr="000D19A7">
        <w:rPr>
          <w:rFonts w:ascii="Times New Roman" w:hAnsi="Times New Roman" w:cs="Times New Roman"/>
          <w:szCs w:val="24"/>
          <w:lang w:val="ro-MD"/>
        </w:rPr>
        <w:t>r</w:t>
      </w:r>
      <w:r w:rsidR="00F2437C" w:rsidRPr="000D19A7">
        <w:rPr>
          <w:rFonts w:ascii="Times New Roman" w:hAnsi="Times New Roman" w:cs="Times New Roman"/>
          <w:szCs w:val="24"/>
          <w:lang w:val="ro-MD"/>
        </w:rPr>
        <w:t>ii</w:t>
      </w:r>
      <w:r w:rsidR="007C6F26" w:rsidRPr="000D19A7">
        <w:rPr>
          <w:rFonts w:ascii="Times New Roman" w:hAnsi="Times New Roman" w:cs="Times New Roman"/>
          <w:szCs w:val="24"/>
          <w:lang w:val="ro-MD"/>
        </w:rPr>
        <w:t xml:space="preserve"> garanțiilor de stat</w:t>
      </w:r>
      <w:r w:rsidR="003F1923" w:rsidRPr="000D19A7">
        <w:rPr>
          <w:rFonts w:ascii="Times New Roman" w:hAnsi="Times New Roman" w:cs="Times New Roman"/>
          <w:szCs w:val="24"/>
          <w:lang w:val="ro-MD"/>
        </w:rPr>
        <w:t xml:space="preserve"> în raport cu prevederile cadrului normativ </w:t>
      </w:r>
      <w:r w:rsidR="00EF35F8" w:rsidRPr="000D19A7">
        <w:rPr>
          <w:rFonts w:ascii="Times New Roman" w:hAnsi="Times New Roman" w:cs="Times New Roman"/>
          <w:szCs w:val="24"/>
          <w:lang w:val="ro-MD"/>
        </w:rPr>
        <w:t>în vigoare</w:t>
      </w:r>
      <w:r w:rsidR="003F1923" w:rsidRPr="000D19A7">
        <w:rPr>
          <w:rFonts w:ascii="Times New Roman" w:hAnsi="Times New Roman" w:cs="Times New Roman"/>
          <w:lang w:val="ro-MD" w:eastAsia="ru-RU"/>
        </w:rPr>
        <w:t>?</w:t>
      </w:r>
    </w:p>
    <w:p w14:paraId="6BD034F4" w14:textId="77BEC321" w:rsidR="00B80D19" w:rsidRPr="000D19A7" w:rsidRDefault="00E1525D" w:rsidP="005A49FF">
      <w:pPr>
        <w:spacing w:after="0"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Obiectivul specific III</w:t>
      </w:r>
      <w:r w:rsidR="00BB345A" w:rsidRPr="000D19A7">
        <w:rPr>
          <w:rFonts w:ascii="Times New Roman" w:hAnsi="Times New Roman" w:cs="Times New Roman"/>
          <w:b/>
          <w:szCs w:val="24"/>
          <w:lang w:val="ro-MD"/>
        </w:rPr>
        <w:t xml:space="preserve">. </w:t>
      </w:r>
      <w:r w:rsidR="003F1923" w:rsidRPr="000D19A7">
        <w:rPr>
          <w:rFonts w:ascii="Times New Roman" w:hAnsi="Times New Roman" w:cs="Times New Roman"/>
          <w:szCs w:val="24"/>
          <w:lang w:val="ro-MD"/>
        </w:rPr>
        <w:t xml:space="preserve">Ministerul Finanțelor a asigurat </w:t>
      </w:r>
      <w:r w:rsidR="00F2437C" w:rsidRPr="000D19A7">
        <w:rPr>
          <w:rFonts w:ascii="Times New Roman" w:hAnsi="Times New Roman" w:cs="Times New Roman"/>
          <w:szCs w:val="24"/>
          <w:lang w:val="ro-MD"/>
        </w:rPr>
        <w:t>conformit</w:t>
      </w:r>
      <w:r w:rsidR="003F1923" w:rsidRPr="000D19A7">
        <w:rPr>
          <w:rFonts w:ascii="Times New Roman" w:hAnsi="Times New Roman" w:cs="Times New Roman"/>
          <w:szCs w:val="24"/>
          <w:lang w:val="ro-MD"/>
        </w:rPr>
        <w:t>atea</w:t>
      </w:r>
      <w:r w:rsidR="007C6F26" w:rsidRPr="000D19A7">
        <w:rPr>
          <w:rFonts w:ascii="Times New Roman" w:hAnsi="Times New Roman" w:cs="Times New Roman"/>
          <w:szCs w:val="24"/>
          <w:lang w:val="ro-MD"/>
        </w:rPr>
        <w:t xml:space="preserve"> </w:t>
      </w:r>
      <w:r w:rsidR="00F12D5F" w:rsidRPr="000D19A7">
        <w:rPr>
          <w:rFonts w:ascii="Times New Roman" w:hAnsi="Times New Roman" w:cs="Times New Roman"/>
          <w:szCs w:val="24"/>
          <w:lang w:val="ro-MD"/>
        </w:rPr>
        <w:t>recredit</w:t>
      </w:r>
      <w:r w:rsidR="007C6F26" w:rsidRPr="000D19A7">
        <w:rPr>
          <w:rFonts w:ascii="Times New Roman" w:hAnsi="Times New Roman" w:cs="Times New Roman"/>
          <w:szCs w:val="24"/>
          <w:lang w:val="ro-MD"/>
        </w:rPr>
        <w:t>ării de stat</w:t>
      </w:r>
      <w:r w:rsidR="00A34E6A" w:rsidRPr="000D19A7">
        <w:rPr>
          <w:rFonts w:ascii="Times New Roman" w:hAnsi="Times New Roman" w:cs="Times New Roman"/>
          <w:szCs w:val="24"/>
          <w:lang w:val="ro-MD"/>
        </w:rPr>
        <w:t xml:space="preserve"> </w:t>
      </w:r>
      <w:r w:rsidR="003F1923" w:rsidRPr="000D19A7">
        <w:rPr>
          <w:rFonts w:ascii="Times New Roman" w:hAnsi="Times New Roman" w:cs="Times New Roman"/>
          <w:szCs w:val="24"/>
          <w:lang w:val="ro-MD"/>
        </w:rPr>
        <w:t xml:space="preserve">în raport cu prevederile cadrului normativ </w:t>
      </w:r>
      <w:r w:rsidR="00EF35F8" w:rsidRPr="000D19A7">
        <w:rPr>
          <w:rFonts w:ascii="Times New Roman" w:hAnsi="Times New Roman" w:cs="Times New Roman"/>
          <w:szCs w:val="24"/>
          <w:lang w:val="ro-MD"/>
        </w:rPr>
        <w:t>în vigoare</w:t>
      </w:r>
      <w:r w:rsidR="003F1923" w:rsidRPr="000D19A7">
        <w:rPr>
          <w:rFonts w:ascii="Times New Roman" w:hAnsi="Times New Roman" w:cs="Times New Roman"/>
          <w:lang w:val="ro-MD" w:eastAsia="ru-RU"/>
        </w:rPr>
        <w:t>?</w:t>
      </w:r>
    </w:p>
    <w:p w14:paraId="443C6F11" w14:textId="6D7D76CA" w:rsidR="006E0A21" w:rsidRPr="000D19A7" w:rsidRDefault="006E0A21" w:rsidP="00946026">
      <w:pPr>
        <w:tabs>
          <w:tab w:val="left" w:pos="284"/>
          <w:tab w:val="left" w:pos="567"/>
        </w:tabs>
        <w:spacing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De asemenea, au fost analizate măsurile întreprinse de către factorii de decizie din cadrul entității auditate în vederea implementării cerințelor și recomandărilor de audit înaintate de auditul precedent. Rezultatul analizei privind implementarea recomandărilor anterioare ale C</w:t>
      </w:r>
      <w:r w:rsidR="006A6656" w:rsidRPr="000D19A7">
        <w:rPr>
          <w:rFonts w:ascii="Times New Roman" w:hAnsi="Times New Roman" w:cs="Times New Roman"/>
          <w:szCs w:val="24"/>
          <w:lang w:val="ro-MD"/>
        </w:rPr>
        <w:t xml:space="preserve">urții de Conturi este expus în </w:t>
      </w:r>
      <w:r w:rsidRPr="000D19A7">
        <w:rPr>
          <w:rFonts w:ascii="Times New Roman" w:hAnsi="Times New Roman" w:cs="Times New Roman"/>
          <w:b/>
          <w:i/>
          <w:szCs w:val="24"/>
          <w:lang w:val="ro-MD"/>
        </w:rPr>
        <w:t>Anexa nr.</w:t>
      </w:r>
      <w:r w:rsidR="0090542E" w:rsidRPr="000D19A7">
        <w:rPr>
          <w:rFonts w:ascii="Times New Roman" w:hAnsi="Times New Roman" w:cs="Times New Roman"/>
          <w:b/>
          <w:i/>
          <w:szCs w:val="24"/>
          <w:lang w:val="ro-MD"/>
        </w:rPr>
        <w:t>6</w:t>
      </w:r>
      <w:r w:rsidR="00462D61" w:rsidRPr="000D19A7">
        <w:rPr>
          <w:rFonts w:ascii="Times New Roman" w:hAnsi="Times New Roman" w:cs="Times New Roman"/>
          <w:szCs w:val="24"/>
          <w:lang w:val="ro-MD"/>
        </w:rPr>
        <w:t xml:space="preserve"> </w:t>
      </w:r>
      <w:r w:rsidRPr="000D19A7">
        <w:rPr>
          <w:rFonts w:ascii="Times New Roman" w:hAnsi="Times New Roman" w:cs="Times New Roman"/>
          <w:szCs w:val="24"/>
          <w:lang w:val="ro-MD"/>
        </w:rPr>
        <w:t>la Raportul de audit.</w:t>
      </w:r>
    </w:p>
    <w:p w14:paraId="1D6939D3" w14:textId="67717E76" w:rsidR="002E0EEC" w:rsidRPr="000D19A7" w:rsidRDefault="002E0EEC" w:rsidP="00946026">
      <w:pPr>
        <w:pStyle w:val="2"/>
        <w:numPr>
          <w:ilvl w:val="1"/>
          <w:numId w:val="13"/>
        </w:numPr>
        <w:tabs>
          <w:tab w:val="left" w:pos="426"/>
          <w:tab w:val="left" w:pos="993"/>
        </w:tabs>
        <w:spacing w:line="276" w:lineRule="auto"/>
        <w:ind w:left="0" w:firstLine="0"/>
        <w:jc w:val="both"/>
        <w:rPr>
          <w:rFonts w:ascii="Times New Roman" w:eastAsia="Times New Roman" w:hAnsi="Times New Roman" w:cs="Times New Roman"/>
          <w:i w:val="0"/>
          <w:lang w:val="ro-MD" w:eastAsia="ru-RU"/>
        </w:rPr>
      </w:pPr>
      <w:bookmarkStart w:id="12" w:name="_Toc168321549"/>
      <w:r w:rsidRPr="000D19A7">
        <w:rPr>
          <w:rFonts w:ascii="Times New Roman" w:eastAsia="Times New Roman" w:hAnsi="Times New Roman" w:cs="Times New Roman"/>
          <w:i w:val="0"/>
          <w:lang w:val="ro-MD" w:eastAsia="ru-RU"/>
        </w:rPr>
        <w:t>Abordarea auditului</w:t>
      </w:r>
      <w:bookmarkEnd w:id="12"/>
      <w:r w:rsidRPr="000D19A7">
        <w:rPr>
          <w:rFonts w:ascii="Times New Roman" w:eastAsia="Times New Roman" w:hAnsi="Times New Roman" w:cs="Times New Roman"/>
          <w:i w:val="0"/>
          <w:lang w:val="ro-MD" w:eastAsia="ru-RU"/>
        </w:rPr>
        <w:t xml:space="preserve"> </w:t>
      </w:r>
    </w:p>
    <w:p w14:paraId="7D521A3D" w14:textId="67848AE0" w:rsidR="00C14CC1" w:rsidRPr="000D19A7" w:rsidRDefault="002E0EEC" w:rsidP="00946026">
      <w:pPr>
        <w:spacing w:line="276" w:lineRule="auto"/>
        <w:jc w:val="both"/>
        <w:rPr>
          <w:rFonts w:ascii="Times New Roman" w:eastAsia="Times New Roman" w:hAnsi="Times New Roman" w:cs="Times New Roman"/>
          <w:noProof/>
          <w:szCs w:val="24"/>
          <w:lang w:val="ro-MD"/>
        </w:rPr>
      </w:pPr>
      <w:r w:rsidRPr="000D19A7">
        <w:rPr>
          <w:rFonts w:ascii="Times New Roman" w:eastAsia="Times New Roman" w:hAnsi="Times New Roman" w:cs="Times New Roman"/>
          <w:noProof/>
          <w:szCs w:val="24"/>
          <w:lang w:val="ro-MD"/>
        </w:rPr>
        <w:t xml:space="preserve">Misiunea de audit s-a desfășurat la MF, fiind realizată în conformitate cu </w:t>
      </w:r>
      <w:r w:rsidR="004559F0" w:rsidRPr="000D19A7">
        <w:rPr>
          <w:rFonts w:ascii="Times New Roman" w:eastAsia="Times New Roman" w:hAnsi="Times New Roman" w:cs="Times New Roman"/>
          <w:noProof/>
          <w:szCs w:val="24"/>
          <w:lang w:val="ro-MD"/>
        </w:rPr>
        <w:t xml:space="preserve">Standardele Internaționale </w:t>
      </w:r>
      <w:r w:rsidR="005B7286" w:rsidRPr="000D19A7">
        <w:rPr>
          <w:rFonts w:ascii="Times New Roman" w:eastAsia="Times New Roman" w:hAnsi="Times New Roman" w:cs="Times New Roman"/>
          <w:noProof/>
          <w:szCs w:val="24"/>
          <w:lang w:val="ro-MD"/>
        </w:rPr>
        <w:t xml:space="preserve">ale Instituțiilor Supreme de Audit, </w:t>
      </w:r>
      <w:r w:rsidR="001F7FEF" w:rsidRPr="000D19A7">
        <w:rPr>
          <w:rFonts w:ascii="Times New Roman" w:eastAsia="Times New Roman" w:hAnsi="Times New Roman" w:cs="Times New Roman"/>
          <w:noProof/>
          <w:szCs w:val="24"/>
          <w:lang w:val="ro-MD"/>
        </w:rPr>
        <w:t xml:space="preserve">aplicate de Curtea de Conturi, </w:t>
      </w:r>
      <w:r w:rsidR="004559F0" w:rsidRPr="000D19A7">
        <w:rPr>
          <w:rFonts w:ascii="Times New Roman" w:eastAsia="Times New Roman" w:hAnsi="Times New Roman" w:cs="Times New Roman"/>
          <w:noProof/>
          <w:szCs w:val="24"/>
          <w:lang w:val="ro-MD"/>
        </w:rPr>
        <w:t>în special, ISSAI 100, ISSAI 400</w:t>
      </w:r>
      <w:r w:rsidR="001F7FEF" w:rsidRPr="000D19A7">
        <w:rPr>
          <w:rFonts w:ascii="Times New Roman" w:eastAsia="Times New Roman" w:hAnsi="Times New Roman" w:cs="Times New Roman"/>
          <w:noProof/>
          <w:szCs w:val="24"/>
          <w:lang w:val="ro-MD"/>
        </w:rPr>
        <w:t>,</w:t>
      </w:r>
      <w:r w:rsidR="004559F0" w:rsidRPr="000D19A7">
        <w:rPr>
          <w:rFonts w:ascii="Times New Roman" w:eastAsia="Times New Roman" w:hAnsi="Times New Roman" w:cs="Times New Roman"/>
          <w:noProof/>
          <w:szCs w:val="24"/>
          <w:lang w:val="ro-MD"/>
        </w:rPr>
        <w:t xml:space="preserve"> precum și ISSAI 4000</w:t>
      </w:r>
      <w:r w:rsidR="004559F0" w:rsidRPr="000D19A7">
        <w:rPr>
          <w:rStyle w:val="a6"/>
          <w:rFonts w:ascii="Times New Roman" w:eastAsia="Times New Roman" w:hAnsi="Times New Roman" w:cs="Times New Roman"/>
          <w:noProof/>
          <w:szCs w:val="24"/>
          <w:lang w:val="ro-MD"/>
        </w:rPr>
        <w:footnoteReference w:id="9"/>
      </w:r>
      <w:r w:rsidR="004559F0" w:rsidRPr="000D19A7">
        <w:rPr>
          <w:rFonts w:ascii="Times New Roman" w:eastAsia="Times New Roman" w:hAnsi="Times New Roman" w:cs="Times New Roman"/>
          <w:noProof/>
          <w:szCs w:val="24"/>
          <w:lang w:val="ro-MD"/>
        </w:rPr>
        <w:t>.</w:t>
      </w:r>
    </w:p>
    <w:p w14:paraId="08F4BC7B" w14:textId="1D6A09F6" w:rsidR="006E0A21" w:rsidRPr="000D19A7" w:rsidRDefault="006E0A21" w:rsidP="00946026">
      <w:pPr>
        <w:spacing w:line="276" w:lineRule="auto"/>
        <w:jc w:val="both"/>
        <w:rPr>
          <w:rFonts w:ascii="Times New Roman" w:hAnsi="Times New Roman" w:cs="Times New Roman"/>
          <w:bCs/>
          <w:szCs w:val="24"/>
          <w:lang w:val="ro-MD"/>
        </w:rPr>
      </w:pPr>
      <w:r w:rsidRPr="000D19A7">
        <w:rPr>
          <w:rFonts w:ascii="Times New Roman" w:hAnsi="Times New Roman" w:cs="Times New Roman"/>
          <w:b/>
          <w:bCs/>
          <w:i/>
          <w:szCs w:val="24"/>
          <w:lang w:val="ro-MD"/>
        </w:rPr>
        <w:t>Domeniul de aplicare a auditului</w:t>
      </w:r>
      <w:r w:rsidRPr="000D19A7">
        <w:rPr>
          <w:rFonts w:ascii="Times New Roman" w:hAnsi="Times New Roman" w:cs="Times New Roman"/>
          <w:bCs/>
          <w:szCs w:val="24"/>
          <w:lang w:val="ro-MD"/>
        </w:rPr>
        <w:t xml:space="preserve"> a cuprins evaluarea conformității următoarelor procese: </w:t>
      </w:r>
      <w:r w:rsidR="00997913" w:rsidRPr="000D19A7">
        <w:rPr>
          <w:rFonts w:ascii="Times New Roman" w:hAnsi="Times New Roman" w:cs="Times New Roman"/>
          <w:bCs/>
          <w:szCs w:val="24"/>
          <w:lang w:val="ro-MD"/>
        </w:rPr>
        <w:t xml:space="preserve">               i) </w:t>
      </w:r>
      <w:r w:rsidR="00ED3F9F" w:rsidRPr="000D19A7">
        <w:rPr>
          <w:rFonts w:ascii="Times New Roman" w:hAnsi="Times New Roman" w:cs="Times New Roman"/>
          <w:bCs/>
          <w:szCs w:val="24"/>
          <w:lang w:val="ro-MD"/>
        </w:rPr>
        <w:t xml:space="preserve">procesul aferent </w:t>
      </w:r>
      <w:r w:rsidR="00997913" w:rsidRPr="000D19A7">
        <w:rPr>
          <w:rFonts w:ascii="Times New Roman" w:hAnsi="Times New Roman" w:cs="Times New Roman"/>
          <w:bCs/>
          <w:szCs w:val="24"/>
          <w:lang w:val="ro-MD"/>
        </w:rPr>
        <w:t>managementului</w:t>
      </w:r>
      <w:r w:rsidR="00ED3F9F" w:rsidRPr="000D19A7">
        <w:rPr>
          <w:rFonts w:ascii="Times New Roman" w:hAnsi="Times New Roman" w:cs="Times New Roman"/>
          <w:bCs/>
          <w:szCs w:val="24"/>
          <w:lang w:val="ro-MD"/>
        </w:rPr>
        <w:t xml:space="preserve"> datoriei de stat (interne și externe), inclusiv prin prisma </w:t>
      </w:r>
      <w:r w:rsidR="00997913" w:rsidRPr="000D19A7">
        <w:rPr>
          <w:rFonts w:ascii="Times New Roman" w:hAnsi="Times New Roman" w:cs="Times New Roman"/>
          <w:bCs/>
          <w:szCs w:val="24"/>
          <w:lang w:val="ro-MD"/>
        </w:rPr>
        <w:t>activităților realizate pentru atingerea obiectivelor trasate în Strategia de dezvoltare a managementului finanțelor publice pentru anii 2023-2030</w:t>
      </w:r>
      <w:r w:rsidR="00EE6063" w:rsidRPr="000D19A7">
        <w:rPr>
          <w:rFonts w:ascii="Times New Roman" w:hAnsi="Times New Roman" w:cs="Times New Roman"/>
          <w:bCs/>
          <w:szCs w:val="24"/>
          <w:lang w:val="ro-MD"/>
        </w:rPr>
        <w:t>,</w:t>
      </w:r>
      <w:r w:rsidR="00997913" w:rsidRPr="000D19A7">
        <w:rPr>
          <w:rFonts w:ascii="Times New Roman" w:hAnsi="Times New Roman" w:cs="Times New Roman"/>
          <w:bCs/>
          <w:szCs w:val="24"/>
          <w:lang w:val="ro-MD"/>
        </w:rPr>
        <w:t xml:space="preserve"> precum și </w:t>
      </w:r>
      <w:r w:rsidR="00EE6063" w:rsidRPr="000D19A7">
        <w:rPr>
          <w:rFonts w:ascii="Times New Roman" w:hAnsi="Times New Roman" w:cs="Times New Roman"/>
          <w:bCs/>
          <w:szCs w:val="24"/>
          <w:lang w:val="ro-MD"/>
        </w:rPr>
        <w:t xml:space="preserve">a </w:t>
      </w:r>
      <w:r w:rsidR="00997913" w:rsidRPr="000D19A7">
        <w:rPr>
          <w:rFonts w:ascii="Times New Roman" w:hAnsi="Times New Roman" w:cs="Times New Roman"/>
          <w:bCs/>
          <w:szCs w:val="24"/>
          <w:lang w:val="ro-MD"/>
        </w:rPr>
        <w:t>Programului „Managementul datoriei de stat pe termen mediu (2023-2025)</w:t>
      </w:r>
      <w:r w:rsidR="00882EB8" w:rsidRPr="000D19A7">
        <w:rPr>
          <w:rFonts w:ascii="Times New Roman" w:hAnsi="Times New Roman" w:cs="Times New Roman"/>
          <w:bCs/>
          <w:szCs w:val="24"/>
          <w:lang w:val="ro-MD"/>
        </w:rPr>
        <w:t>”</w:t>
      </w:r>
      <w:r w:rsidR="00997913" w:rsidRPr="000D19A7">
        <w:rPr>
          <w:rFonts w:ascii="Times New Roman" w:hAnsi="Times New Roman" w:cs="Times New Roman"/>
          <w:bCs/>
          <w:szCs w:val="24"/>
          <w:lang w:val="ro-MD"/>
        </w:rPr>
        <w:t xml:space="preserve">; ii) procesul aferent managementului garanțiilor de stat, inclusiv prin prisma măsurilor întreprinse de MF </w:t>
      </w:r>
      <w:r w:rsidR="00EE6063" w:rsidRPr="000D19A7">
        <w:rPr>
          <w:rFonts w:ascii="Times New Roman" w:hAnsi="Times New Roman" w:cs="Times New Roman"/>
          <w:bCs/>
          <w:szCs w:val="24"/>
          <w:lang w:val="ro-MD"/>
        </w:rPr>
        <w:t>pentru</w:t>
      </w:r>
      <w:r w:rsidR="00997913" w:rsidRPr="000D19A7">
        <w:rPr>
          <w:rFonts w:ascii="Times New Roman" w:hAnsi="Times New Roman" w:cs="Times New Roman"/>
          <w:bCs/>
          <w:szCs w:val="24"/>
          <w:lang w:val="ro-MD"/>
        </w:rPr>
        <w:t xml:space="preserve"> </w:t>
      </w:r>
      <w:r w:rsidR="00882EB8" w:rsidRPr="000D19A7">
        <w:rPr>
          <w:rFonts w:ascii="Times New Roman" w:hAnsi="Times New Roman" w:cs="Times New Roman"/>
          <w:bCs/>
          <w:szCs w:val="24"/>
          <w:lang w:val="ro-MD"/>
        </w:rPr>
        <w:t>recuperarea la bugetul de stat a datoriilor acumulate de debitorii garantați;</w:t>
      </w:r>
      <w:r w:rsidR="00997913" w:rsidRPr="000D19A7">
        <w:rPr>
          <w:rFonts w:ascii="Times New Roman" w:hAnsi="Times New Roman" w:cs="Times New Roman"/>
          <w:bCs/>
          <w:szCs w:val="24"/>
          <w:lang w:val="ro-MD"/>
        </w:rPr>
        <w:t xml:space="preserve"> iii) pro</w:t>
      </w:r>
      <w:r w:rsidR="00965E5C" w:rsidRPr="000D19A7">
        <w:rPr>
          <w:rFonts w:ascii="Times New Roman" w:hAnsi="Times New Roman" w:cs="Times New Roman"/>
          <w:bCs/>
          <w:szCs w:val="24"/>
          <w:lang w:val="ro-MD"/>
        </w:rPr>
        <w:t>cesul aferent împrumuturilor recreditate, inclusiv</w:t>
      </w:r>
      <w:r w:rsidR="00882EB8" w:rsidRPr="000D19A7">
        <w:rPr>
          <w:rFonts w:ascii="Times New Roman" w:hAnsi="Times New Roman" w:cs="Times New Roman"/>
          <w:bCs/>
          <w:szCs w:val="24"/>
          <w:lang w:val="ro-MD"/>
        </w:rPr>
        <w:t xml:space="preserve"> prin prisma măsurilor întreprin</w:t>
      </w:r>
      <w:r w:rsidR="00965E5C" w:rsidRPr="000D19A7">
        <w:rPr>
          <w:rFonts w:ascii="Times New Roman" w:hAnsi="Times New Roman" w:cs="Times New Roman"/>
          <w:bCs/>
          <w:szCs w:val="24"/>
          <w:lang w:val="ro-MD"/>
        </w:rPr>
        <w:t xml:space="preserve">se de MF </w:t>
      </w:r>
      <w:r w:rsidR="00EE6063" w:rsidRPr="000D19A7">
        <w:rPr>
          <w:rFonts w:ascii="Times New Roman" w:hAnsi="Times New Roman" w:cs="Times New Roman"/>
          <w:bCs/>
          <w:szCs w:val="24"/>
          <w:lang w:val="ro-MD"/>
        </w:rPr>
        <w:t>pentru</w:t>
      </w:r>
      <w:r w:rsidR="00965E5C" w:rsidRPr="000D19A7">
        <w:rPr>
          <w:rFonts w:ascii="Times New Roman" w:hAnsi="Times New Roman" w:cs="Times New Roman"/>
          <w:bCs/>
          <w:szCs w:val="24"/>
          <w:lang w:val="ro-MD"/>
        </w:rPr>
        <w:t xml:space="preserve"> responsabilizarea </w:t>
      </w:r>
      <w:r w:rsidR="00997913" w:rsidRPr="000D19A7">
        <w:rPr>
          <w:rFonts w:ascii="Times New Roman" w:hAnsi="Times New Roman" w:cs="Times New Roman"/>
          <w:bCs/>
          <w:szCs w:val="24"/>
          <w:lang w:val="ro-MD"/>
        </w:rPr>
        <w:t>beneficiarilor recreditați rambursa</w:t>
      </w:r>
      <w:r w:rsidR="00EE6063" w:rsidRPr="000D19A7">
        <w:rPr>
          <w:rFonts w:ascii="Times New Roman" w:hAnsi="Times New Roman" w:cs="Times New Roman"/>
          <w:bCs/>
          <w:szCs w:val="24"/>
          <w:lang w:val="ro-MD"/>
        </w:rPr>
        <w:t>rea</w:t>
      </w:r>
      <w:r w:rsidR="00997913" w:rsidRPr="000D19A7">
        <w:rPr>
          <w:rFonts w:ascii="Times New Roman" w:hAnsi="Times New Roman" w:cs="Times New Roman"/>
          <w:bCs/>
          <w:szCs w:val="24"/>
          <w:lang w:val="ro-MD"/>
        </w:rPr>
        <w:t xml:space="preserve"> datoriil</w:t>
      </w:r>
      <w:r w:rsidR="00EE6063" w:rsidRPr="000D19A7">
        <w:rPr>
          <w:rFonts w:ascii="Times New Roman" w:hAnsi="Times New Roman" w:cs="Times New Roman"/>
          <w:bCs/>
          <w:szCs w:val="24"/>
          <w:lang w:val="ro-MD"/>
        </w:rPr>
        <w:t>or</w:t>
      </w:r>
      <w:r w:rsidR="00997913" w:rsidRPr="000D19A7">
        <w:rPr>
          <w:rFonts w:ascii="Times New Roman" w:hAnsi="Times New Roman" w:cs="Times New Roman"/>
          <w:bCs/>
          <w:szCs w:val="24"/>
          <w:lang w:val="ro-MD"/>
        </w:rPr>
        <w:t xml:space="preserve"> afer</w:t>
      </w:r>
      <w:r w:rsidR="00882EB8" w:rsidRPr="000D19A7">
        <w:rPr>
          <w:rFonts w:ascii="Times New Roman" w:hAnsi="Times New Roman" w:cs="Times New Roman"/>
          <w:bCs/>
          <w:szCs w:val="24"/>
          <w:lang w:val="ro-MD"/>
        </w:rPr>
        <w:t>ente împrumuturilor recreditate.</w:t>
      </w:r>
      <w:r w:rsidR="00E02105" w:rsidRPr="000D19A7">
        <w:rPr>
          <w:rFonts w:ascii="Times New Roman" w:hAnsi="Times New Roman" w:cs="Times New Roman"/>
          <w:bCs/>
          <w:szCs w:val="24"/>
          <w:lang w:val="ro-MD"/>
        </w:rPr>
        <w:t xml:space="preserve"> De asemenea</w:t>
      </w:r>
      <w:r w:rsidR="00EE6063" w:rsidRPr="000D19A7">
        <w:rPr>
          <w:rFonts w:ascii="Times New Roman" w:hAnsi="Times New Roman" w:cs="Times New Roman"/>
          <w:bCs/>
          <w:szCs w:val="24"/>
          <w:lang w:val="ro-MD"/>
        </w:rPr>
        <w:t>,</w:t>
      </w:r>
      <w:r w:rsidR="00E02105" w:rsidRPr="000D19A7">
        <w:rPr>
          <w:rFonts w:ascii="Times New Roman" w:hAnsi="Times New Roman" w:cs="Times New Roman"/>
          <w:bCs/>
          <w:szCs w:val="24"/>
          <w:lang w:val="ro-MD"/>
        </w:rPr>
        <w:t xml:space="preserve"> s-a analizat procesul de </w:t>
      </w:r>
      <w:r w:rsidR="00ED3F9F" w:rsidRPr="000D19A7">
        <w:rPr>
          <w:rFonts w:ascii="Times New Roman" w:hAnsi="Times New Roman" w:cs="Times New Roman"/>
          <w:bCs/>
          <w:szCs w:val="24"/>
          <w:lang w:val="ro-MD"/>
        </w:rPr>
        <w:t>restituire</w:t>
      </w:r>
      <w:r w:rsidR="00E02105" w:rsidRPr="000D19A7">
        <w:rPr>
          <w:rFonts w:ascii="Times New Roman" w:hAnsi="Times New Roman" w:cs="Times New Roman"/>
          <w:bCs/>
          <w:szCs w:val="24"/>
          <w:lang w:val="ro-MD"/>
        </w:rPr>
        <w:t xml:space="preserve"> către MF </w:t>
      </w:r>
      <w:r w:rsidR="00ED3F9F" w:rsidRPr="000D19A7">
        <w:rPr>
          <w:rFonts w:ascii="Times New Roman" w:hAnsi="Times New Roman" w:cs="Times New Roman"/>
          <w:bCs/>
          <w:szCs w:val="24"/>
          <w:lang w:val="ro-MD"/>
        </w:rPr>
        <w:t>a datori</w:t>
      </w:r>
      <w:r w:rsidR="00E02105" w:rsidRPr="000D19A7">
        <w:rPr>
          <w:rFonts w:ascii="Times New Roman" w:hAnsi="Times New Roman" w:cs="Times New Roman"/>
          <w:bCs/>
          <w:szCs w:val="24"/>
          <w:lang w:val="ro-MD"/>
        </w:rPr>
        <w:t>ilor</w:t>
      </w:r>
      <w:r w:rsidR="00ED3F9F" w:rsidRPr="000D19A7">
        <w:rPr>
          <w:rFonts w:ascii="Times New Roman" w:hAnsi="Times New Roman" w:cs="Times New Roman"/>
          <w:bCs/>
          <w:szCs w:val="24"/>
          <w:lang w:val="ro-MD"/>
        </w:rPr>
        <w:t xml:space="preserve"> de către băncile aflate în proces de lichidare</w:t>
      </w:r>
      <w:r w:rsidRPr="000D19A7">
        <w:rPr>
          <w:rFonts w:ascii="Times New Roman" w:hAnsi="Times New Roman" w:cs="Times New Roman"/>
          <w:bCs/>
          <w:szCs w:val="24"/>
          <w:lang w:val="ro-MD"/>
        </w:rPr>
        <w:t>.</w:t>
      </w:r>
    </w:p>
    <w:p w14:paraId="3E6F39D9" w14:textId="58C29407" w:rsidR="007427B0" w:rsidRDefault="007E41D9" w:rsidP="00633FBC">
      <w:pPr>
        <w:tabs>
          <w:tab w:val="left" w:pos="426"/>
        </w:tabs>
        <w:spacing w:line="276" w:lineRule="auto"/>
        <w:contextualSpacing/>
        <w:jc w:val="both"/>
        <w:rPr>
          <w:rFonts w:ascii="Times New Roman" w:hAnsi="Times New Roman" w:cs="Times New Roman"/>
          <w:i/>
          <w:szCs w:val="24"/>
          <w:lang w:val="ro-MD"/>
        </w:rPr>
      </w:pPr>
      <w:r w:rsidRPr="000D19A7">
        <w:rPr>
          <w:rFonts w:ascii="Times New Roman" w:hAnsi="Times New Roman" w:cs="Times New Roman"/>
          <w:bCs/>
          <w:szCs w:val="24"/>
          <w:lang w:val="ro-MD"/>
        </w:rPr>
        <w:t>Procesele auditate au fost evaluate în raport cu criteriile de audit raportate la prevederile legale aplicabile.  Au  fost  aplicate  proceduri  de  audit  în  vederea  obținerii  probe</w:t>
      </w:r>
      <w:r w:rsidR="00EE6063" w:rsidRPr="000D19A7">
        <w:rPr>
          <w:rFonts w:ascii="Times New Roman" w:hAnsi="Times New Roman" w:cs="Times New Roman"/>
          <w:bCs/>
          <w:szCs w:val="24"/>
          <w:lang w:val="ro-MD"/>
        </w:rPr>
        <w:t>lor</w:t>
      </w:r>
      <w:r w:rsidRPr="000D19A7">
        <w:rPr>
          <w:rFonts w:ascii="Times New Roman" w:hAnsi="Times New Roman" w:cs="Times New Roman"/>
          <w:bCs/>
          <w:szCs w:val="24"/>
          <w:lang w:val="ro-MD"/>
        </w:rPr>
        <w:t xml:space="preserve">  de  audit  suficiente și adecvate</w:t>
      </w:r>
      <w:r w:rsidR="00EE6063" w:rsidRPr="000D19A7">
        <w:rPr>
          <w:rFonts w:ascii="Times New Roman" w:hAnsi="Times New Roman" w:cs="Times New Roman"/>
          <w:bCs/>
          <w:szCs w:val="24"/>
          <w:lang w:val="ro-MD"/>
        </w:rPr>
        <w:t>,</w:t>
      </w:r>
      <w:r w:rsidRPr="000D19A7">
        <w:rPr>
          <w:rFonts w:ascii="Times New Roman" w:hAnsi="Times New Roman" w:cs="Times New Roman"/>
          <w:bCs/>
          <w:szCs w:val="24"/>
          <w:lang w:val="ro-MD"/>
        </w:rPr>
        <w:t xml:space="preserve"> care </w:t>
      </w:r>
      <w:r w:rsidR="00462D61" w:rsidRPr="000D19A7">
        <w:rPr>
          <w:rFonts w:ascii="Times New Roman" w:hAnsi="Times New Roman" w:cs="Times New Roman"/>
          <w:bCs/>
          <w:szCs w:val="24"/>
          <w:lang w:val="ro-MD"/>
        </w:rPr>
        <w:t xml:space="preserve">au </w:t>
      </w:r>
      <w:r w:rsidRPr="000D19A7">
        <w:rPr>
          <w:rFonts w:ascii="Times New Roman" w:hAnsi="Times New Roman" w:cs="Times New Roman"/>
          <w:bCs/>
          <w:szCs w:val="24"/>
          <w:lang w:val="ro-MD"/>
        </w:rPr>
        <w:t>sta</w:t>
      </w:r>
      <w:r w:rsidR="00462D61" w:rsidRPr="000D19A7">
        <w:rPr>
          <w:rFonts w:ascii="Times New Roman" w:hAnsi="Times New Roman" w:cs="Times New Roman"/>
          <w:bCs/>
          <w:szCs w:val="24"/>
          <w:lang w:val="ro-MD"/>
        </w:rPr>
        <w:t>t</w:t>
      </w:r>
      <w:r w:rsidRPr="000D19A7">
        <w:rPr>
          <w:rFonts w:ascii="Times New Roman" w:hAnsi="Times New Roman" w:cs="Times New Roman"/>
          <w:bCs/>
          <w:szCs w:val="24"/>
          <w:lang w:val="ro-MD"/>
        </w:rPr>
        <w:t xml:space="preserve"> la baza formulării concluziei</w:t>
      </w:r>
      <w:r w:rsidR="00462D61" w:rsidRPr="000D19A7">
        <w:rPr>
          <w:rFonts w:ascii="Times New Roman" w:hAnsi="Times New Roman" w:cs="Times New Roman"/>
          <w:bCs/>
          <w:szCs w:val="24"/>
          <w:lang w:val="ro-MD"/>
        </w:rPr>
        <w:t xml:space="preserve"> generale de audit</w:t>
      </w:r>
      <w:r w:rsidRPr="000D19A7">
        <w:rPr>
          <w:rFonts w:ascii="Times New Roman" w:hAnsi="Times New Roman" w:cs="Times New Roman"/>
          <w:bCs/>
          <w:szCs w:val="24"/>
          <w:lang w:val="ro-MD"/>
        </w:rPr>
        <w:t>. La selectarea procedurilor de audit s-a</w:t>
      </w:r>
      <w:r w:rsidR="001C19A2" w:rsidRPr="000D19A7">
        <w:rPr>
          <w:rFonts w:ascii="Times New Roman" w:hAnsi="Times New Roman" w:cs="Times New Roman"/>
          <w:bCs/>
          <w:szCs w:val="24"/>
          <w:lang w:val="ro-MD"/>
        </w:rPr>
        <w:t>u</w:t>
      </w:r>
      <w:r w:rsidRPr="000D19A7">
        <w:rPr>
          <w:rFonts w:ascii="Times New Roman" w:hAnsi="Times New Roman" w:cs="Times New Roman"/>
          <w:bCs/>
          <w:szCs w:val="24"/>
          <w:lang w:val="ro-MD"/>
        </w:rPr>
        <w:t xml:space="preserve"> </w:t>
      </w:r>
      <w:r w:rsidR="001C19A2" w:rsidRPr="000D19A7">
        <w:rPr>
          <w:rFonts w:ascii="Times New Roman" w:hAnsi="Times New Roman" w:cs="Times New Roman"/>
          <w:bCs/>
          <w:szCs w:val="24"/>
          <w:lang w:val="ro-MD"/>
        </w:rPr>
        <w:t>luat în considerare</w:t>
      </w:r>
      <w:r w:rsidRPr="000D19A7">
        <w:rPr>
          <w:rFonts w:ascii="Times New Roman" w:hAnsi="Times New Roman" w:cs="Times New Roman"/>
          <w:bCs/>
          <w:szCs w:val="24"/>
          <w:lang w:val="ro-MD"/>
        </w:rPr>
        <w:t xml:space="preserve"> atât nivelul de asigurare, subiectul auditat, cât și riscurile identificate. Astfel, auditorii au aplicat următoarele proceduri de audit: teste de control și proceduri de fond (proceduri analitice și teste de detaliu).</w:t>
      </w:r>
      <w:r w:rsidR="007427B0" w:rsidRPr="000D19A7">
        <w:rPr>
          <w:rFonts w:ascii="Times New Roman" w:hAnsi="Times New Roman" w:cs="Times New Roman"/>
          <w:bCs/>
          <w:szCs w:val="24"/>
          <w:lang w:val="ro-MD"/>
        </w:rPr>
        <w:t xml:space="preserve"> Procedurile  de  audit  pe  care  le-am  efectuat  sunt  cele  pe  care  le-am  considerat  adecvate în circumstanțele date</w:t>
      </w:r>
      <w:r w:rsidR="00EE6063" w:rsidRPr="000D19A7">
        <w:rPr>
          <w:rFonts w:ascii="Times New Roman" w:hAnsi="Times New Roman" w:cs="Times New Roman"/>
          <w:bCs/>
          <w:szCs w:val="24"/>
          <w:lang w:val="ro-MD"/>
        </w:rPr>
        <w:t>,</w:t>
      </w:r>
      <w:r w:rsidR="007427B0" w:rsidRPr="000D19A7">
        <w:rPr>
          <w:rFonts w:ascii="Times New Roman" w:hAnsi="Times New Roman" w:cs="Times New Roman"/>
          <w:bCs/>
          <w:szCs w:val="24"/>
          <w:lang w:val="ro-MD"/>
        </w:rPr>
        <w:t xml:space="preserve"> pe baza raționamentului profesional. După evaluarea riscurilor și gradul</w:t>
      </w:r>
      <w:r w:rsidR="00EE6063" w:rsidRPr="000D19A7">
        <w:rPr>
          <w:rFonts w:ascii="Times New Roman" w:hAnsi="Times New Roman" w:cs="Times New Roman"/>
          <w:bCs/>
          <w:szCs w:val="24"/>
          <w:lang w:val="ro-MD"/>
        </w:rPr>
        <w:t>ui</w:t>
      </w:r>
      <w:r w:rsidR="007427B0" w:rsidRPr="000D19A7">
        <w:rPr>
          <w:rFonts w:ascii="Times New Roman" w:hAnsi="Times New Roman" w:cs="Times New Roman"/>
          <w:bCs/>
          <w:szCs w:val="24"/>
          <w:lang w:val="ro-MD"/>
        </w:rPr>
        <w:t xml:space="preserve"> de asigurare urmărit, considerăm că probele de audit pe care le-am obținut sunt suficiente și adecvate pentru a constitui baza concluziei noastre.</w:t>
      </w:r>
      <w:r w:rsidR="00E0290F" w:rsidRPr="000D19A7">
        <w:rPr>
          <w:rFonts w:ascii="Times New Roman" w:hAnsi="Times New Roman" w:cs="Times New Roman"/>
          <w:i/>
          <w:szCs w:val="24"/>
          <w:lang w:val="ro-MD"/>
        </w:rPr>
        <w:t xml:space="preserve"> Domeniul de aplicare și metodologia de audit sunt prezentate în </w:t>
      </w:r>
      <w:r w:rsidR="00E0290F" w:rsidRPr="000D19A7">
        <w:rPr>
          <w:rFonts w:ascii="Times New Roman" w:hAnsi="Times New Roman" w:cs="Times New Roman"/>
          <w:b/>
          <w:i/>
          <w:color w:val="000000" w:themeColor="text1"/>
          <w:szCs w:val="24"/>
          <w:lang w:val="ro-MD"/>
        </w:rPr>
        <w:t>Anexa nr.</w:t>
      </w:r>
      <w:r w:rsidR="0090542E" w:rsidRPr="000D19A7">
        <w:rPr>
          <w:rFonts w:ascii="Times New Roman" w:hAnsi="Times New Roman" w:cs="Times New Roman"/>
          <w:b/>
          <w:i/>
          <w:color w:val="000000" w:themeColor="text1"/>
          <w:szCs w:val="24"/>
          <w:lang w:val="ro-MD"/>
        </w:rPr>
        <w:t>4</w:t>
      </w:r>
      <w:r w:rsidR="00C47A38" w:rsidRPr="000D19A7">
        <w:rPr>
          <w:rFonts w:ascii="Times New Roman" w:hAnsi="Times New Roman" w:cs="Times New Roman"/>
          <w:b/>
          <w:i/>
          <w:color w:val="000000" w:themeColor="text1"/>
          <w:szCs w:val="24"/>
          <w:lang w:val="ro-MD"/>
        </w:rPr>
        <w:t xml:space="preserve"> </w:t>
      </w:r>
      <w:r w:rsidR="00E0290F" w:rsidRPr="000D19A7">
        <w:rPr>
          <w:rFonts w:ascii="Times New Roman" w:hAnsi="Times New Roman" w:cs="Times New Roman"/>
          <w:i/>
          <w:szCs w:val="24"/>
          <w:lang w:val="ro-MD"/>
        </w:rPr>
        <w:t>la prezentul Raport de audit.</w:t>
      </w:r>
    </w:p>
    <w:p w14:paraId="3BB5C355" w14:textId="77777777" w:rsidR="00633FBC" w:rsidRPr="00633FBC" w:rsidRDefault="00633FBC" w:rsidP="00633FBC">
      <w:pPr>
        <w:tabs>
          <w:tab w:val="left" w:pos="426"/>
        </w:tabs>
        <w:spacing w:line="276" w:lineRule="auto"/>
        <w:contextualSpacing/>
        <w:jc w:val="both"/>
        <w:rPr>
          <w:rFonts w:ascii="Times New Roman" w:hAnsi="Times New Roman" w:cs="Times New Roman"/>
          <w:i/>
          <w:sz w:val="16"/>
          <w:szCs w:val="16"/>
          <w:lang w:val="ro-MD"/>
        </w:rPr>
      </w:pPr>
    </w:p>
    <w:p w14:paraId="64857E48" w14:textId="11566D42" w:rsidR="00C14CC1" w:rsidRPr="000D19A7" w:rsidRDefault="002E0EEC" w:rsidP="00633FBC">
      <w:pPr>
        <w:spacing w:line="276" w:lineRule="auto"/>
        <w:jc w:val="both"/>
        <w:rPr>
          <w:rFonts w:ascii="Times New Roman" w:eastAsia="Times New Roman" w:hAnsi="Times New Roman" w:cs="Times New Roman"/>
          <w:bCs/>
          <w:iCs/>
          <w:szCs w:val="24"/>
          <w:lang w:val="ro-MD" w:eastAsia="ru-RU"/>
        </w:rPr>
      </w:pPr>
      <w:r w:rsidRPr="000D19A7">
        <w:rPr>
          <w:rFonts w:ascii="Times New Roman" w:eastAsia="Times New Roman" w:hAnsi="Times New Roman" w:cs="Times New Roman"/>
          <w:b/>
          <w:bCs/>
          <w:i/>
          <w:iCs/>
          <w:szCs w:val="24"/>
          <w:lang w:val="ro-MD" w:eastAsia="ru-RU"/>
        </w:rPr>
        <w:t>Responsabilitatea auditorului</w:t>
      </w:r>
      <w:r w:rsidRPr="000D19A7">
        <w:rPr>
          <w:rFonts w:ascii="Times New Roman" w:eastAsia="Times New Roman" w:hAnsi="Times New Roman" w:cs="Times New Roman"/>
          <w:bCs/>
          <w:iCs/>
          <w:szCs w:val="24"/>
          <w:lang w:val="ro-MD" w:eastAsia="ru-RU"/>
        </w:rPr>
        <w:t xml:space="preserve"> </w:t>
      </w:r>
      <w:r w:rsidR="00E0290F" w:rsidRPr="000D19A7">
        <w:rPr>
          <w:rFonts w:ascii="Times New Roman" w:eastAsia="Times New Roman" w:hAnsi="Times New Roman" w:cs="Times New Roman"/>
          <w:b/>
          <w:bCs/>
          <w:i/>
          <w:iCs/>
          <w:szCs w:val="24"/>
          <w:lang w:val="ro-MD" w:eastAsia="ru-RU"/>
        </w:rPr>
        <w:t>într-un audit al conformității</w:t>
      </w:r>
      <w:r w:rsidR="00E0290F" w:rsidRPr="000D19A7">
        <w:rPr>
          <w:rFonts w:ascii="Times New Roman" w:eastAsia="Times New Roman" w:hAnsi="Times New Roman" w:cs="Times New Roman"/>
          <w:bCs/>
          <w:iCs/>
          <w:szCs w:val="24"/>
          <w:lang w:val="ro-MD" w:eastAsia="ru-RU"/>
        </w:rPr>
        <w:t xml:space="preserve"> </w:t>
      </w:r>
      <w:r w:rsidRPr="000D19A7">
        <w:rPr>
          <w:rFonts w:ascii="Times New Roman" w:eastAsia="Times New Roman" w:hAnsi="Times New Roman" w:cs="Times New Roman"/>
          <w:bCs/>
          <w:iCs/>
          <w:szCs w:val="24"/>
          <w:lang w:val="ro-MD" w:eastAsia="ru-RU"/>
        </w:rPr>
        <w:t xml:space="preserve">a constat în </w:t>
      </w:r>
      <w:r w:rsidR="001839DA" w:rsidRPr="000D19A7">
        <w:rPr>
          <w:rFonts w:ascii="Times New Roman" w:eastAsia="Times New Roman" w:hAnsi="Times New Roman" w:cs="Times New Roman"/>
          <w:bCs/>
          <w:iCs/>
          <w:szCs w:val="24"/>
          <w:lang w:val="ro-MD" w:eastAsia="ru-RU"/>
        </w:rPr>
        <w:t>evaluarea conformității managementului datoriei de stat, garanțiilor de stat și r</w:t>
      </w:r>
      <w:r w:rsidR="007427B0" w:rsidRPr="000D19A7">
        <w:rPr>
          <w:rFonts w:ascii="Times New Roman" w:eastAsia="Times New Roman" w:hAnsi="Times New Roman" w:cs="Times New Roman"/>
          <w:bCs/>
          <w:iCs/>
          <w:szCs w:val="24"/>
          <w:lang w:val="ro-MD" w:eastAsia="ru-RU"/>
        </w:rPr>
        <w:t>ecreditării de stat în anul 2023</w:t>
      </w:r>
      <w:r w:rsidR="001839DA" w:rsidRPr="000D19A7">
        <w:rPr>
          <w:rFonts w:ascii="Times New Roman" w:eastAsia="Times New Roman" w:hAnsi="Times New Roman" w:cs="Times New Roman"/>
          <w:bCs/>
          <w:iCs/>
          <w:szCs w:val="24"/>
          <w:lang w:val="ro-MD" w:eastAsia="ru-RU"/>
        </w:rPr>
        <w:t xml:space="preserve">, în raport cu prevederile cadrului normativ aplicabil, prin obținerea probelor de audit suficiente și adecvate pentru susținerea constatărilor de audit și concluziei generale. </w:t>
      </w:r>
      <w:r w:rsidRPr="000D19A7">
        <w:rPr>
          <w:rFonts w:ascii="Times New Roman" w:eastAsia="Times New Roman" w:hAnsi="Times New Roman" w:cs="Times New Roman"/>
          <w:bCs/>
          <w:iCs/>
          <w:szCs w:val="24"/>
          <w:lang w:val="ro-MD" w:eastAsia="ru-RU"/>
        </w:rPr>
        <w:t>Auditor</w:t>
      </w:r>
      <w:r w:rsidR="0029391F" w:rsidRPr="000D19A7">
        <w:rPr>
          <w:rFonts w:ascii="Times New Roman" w:eastAsia="Times New Roman" w:hAnsi="Times New Roman" w:cs="Times New Roman"/>
          <w:bCs/>
          <w:iCs/>
          <w:szCs w:val="24"/>
          <w:lang w:val="ro-MD" w:eastAsia="ru-RU"/>
        </w:rPr>
        <w:t xml:space="preserve">ul </w:t>
      </w:r>
      <w:r w:rsidRPr="000D19A7">
        <w:rPr>
          <w:rFonts w:ascii="Times New Roman" w:eastAsia="Times New Roman" w:hAnsi="Times New Roman" w:cs="Times New Roman"/>
          <w:bCs/>
          <w:iCs/>
          <w:szCs w:val="24"/>
          <w:lang w:val="ro-MD" w:eastAsia="ru-RU"/>
        </w:rPr>
        <w:t xml:space="preserve">nu </w:t>
      </w:r>
      <w:r w:rsidR="0029391F" w:rsidRPr="000D19A7">
        <w:rPr>
          <w:rFonts w:ascii="Times New Roman" w:eastAsia="Times New Roman" w:hAnsi="Times New Roman" w:cs="Times New Roman"/>
          <w:bCs/>
          <w:iCs/>
          <w:szCs w:val="24"/>
          <w:lang w:val="ro-MD" w:eastAsia="ru-RU"/>
        </w:rPr>
        <w:t>este responsabil</w:t>
      </w:r>
      <w:r w:rsidRPr="000D19A7">
        <w:rPr>
          <w:rFonts w:ascii="Times New Roman" w:eastAsia="Times New Roman" w:hAnsi="Times New Roman" w:cs="Times New Roman"/>
          <w:bCs/>
          <w:iCs/>
          <w:szCs w:val="24"/>
          <w:lang w:val="ro-MD" w:eastAsia="ru-RU"/>
        </w:rPr>
        <w:t xml:space="preserve"> de prevenirea faptelor de fraudă și eroare.</w:t>
      </w:r>
    </w:p>
    <w:p w14:paraId="309E50D7" w14:textId="4AB62374" w:rsidR="00736EE2" w:rsidRPr="000D19A7" w:rsidRDefault="002E0EEC" w:rsidP="00946026">
      <w:pPr>
        <w:spacing w:line="276" w:lineRule="auto"/>
        <w:jc w:val="both"/>
        <w:rPr>
          <w:rFonts w:ascii="Times New Roman" w:eastAsia="Times New Roman" w:hAnsi="Times New Roman" w:cs="Times New Roman"/>
          <w:bCs/>
          <w:iCs/>
          <w:szCs w:val="24"/>
          <w:lang w:val="ro-MD" w:eastAsia="ru-RU"/>
        </w:rPr>
      </w:pPr>
      <w:r w:rsidRPr="000D19A7">
        <w:rPr>
          <w:rFonts w:ascii="Times New Roman" w:eastAsia="Times New Roman" w:hAnsi="Times New Roman" w:cs="Times New Roman"/>
          <w:bCs/>
          <w:iCs/>
          <w:szCs w:val="24"/>
          <w:lang w:val="ro-MD" w:eastAsia="ru-RU"/>
        </w:rPr>
        <w:t>Auditor</w:t>
      </w:r>
      <w:r w:rsidR="007427B0" w:rsidRPr="000D19A7">
        <w:rPr>
          <w:rFonts w:ascii="Times New Roman" w:eastAsia="Times New Roman" w:hAnsi="Times New Roman" w:cs="Times New Roman"/>
          <w:bCs/>
          <w:iCs/>
          <w:szCs w:val="24"/>
          <w:lang w:val="ro-MD" w:eastAsia="ru-RU"/>
        </w:rPr>
        <w:t>ii a</w:t>
      </w:r>
      <w:r w:rsidR="001C19A2" w:rsidRPr="000D19A7">
        <w:rPr>
          <w:rFonts w:ascii="Times New Roman" w:eastAsia="Times New Roman" w:hAnsi="Times New Roman" w:cs="Times New Roman"/>
          <w:bCs/>
          <w:iCs/>
          <w:szCs w:val="24"/>
          <w:lang w:val="ro-MD" w:eastAsia="ru-RU"/>
        </w:rPr>
        <w:t>u</w:t>
      </w:r>
      <w:r w:rsidR="007427B0" w:rsidRPr="000D19A7">
        <w:rPr>
          <w:rFonts w:ascii="Times New Roman" w:eastAsia="Times New Roman" w:hAnsi="Times New Roman" w:cs="Times New Roman"/>
          <w:bCs/>
          <w:iCs/>
          <w:szCs w:val="24"/>
          <w:lang w:val="ro-MD" w:eastAsia="ru-RU"/>
        </w:rPr>
        <w:t xml:space="preserve"> fost independenți</w:t>
      </w:r>
      <w:r w:rsidRPr="000D19A7">
        <w:rPr>
          <w:rFonts w:ascii="Times New Roman" w:eastAsia="Times New Roman" w:hAnsi="Times New Roman" w:cs="Times New Roman"/>
          <w:bCs/>
          <w:iCs/>
          <w:szCs w:val="24"/>
          <w:lang w:val="ro-MD" w:eastAsia="ru-RU"/>
        </w:rPr>
        <w:t xml:space="preserve"> față de entit</w:t>
      </w:r>
      <w:r w:rsidR="00EE6063" w:rsidRPr="000D19A7">
        <w:rPr>
          <w:rFonts w:ascii="Times New Roman" w:eastAsia="Times New Roman" w:hAnsi="Times New Roman" w:cs="Times New Roman"/>
          <w:bCs/>
          <w:iCs/>
          <w:szCs w:val="24"/>
          <w:lang w:val="ro-MD" w:eastAsia="ru-RU"/>
        </w:rPr>
        <w:t>atea auditată</w:t>
      </w:r>
      <w:r w:rsidR="007427B0" w:rsidRPr="000D19A7">
        <w:rPr>
          <w:rFonts w:ascii="Times New Roman" w:eastAsia="Times New Roman" w:hAnsi="Times New Roman" w:cs="Times New Roman"/>
          <w:bCs/>
          <w:iCs/>
          <w:szCs w:val="24"/>
          <w:lang w:val="ro-MD" w:eastAsia="ru-RU"/>
        </w:rPr>
        <w:t xml:space="preserve"> și </w:t>
      </w:r>
      <w:r w:rsidRPr="000D19A7">
        <w:rPr>
          <w:rFonts w:ascii="Times New Roman" w:eastAsia="Times New Roman" w:hAnsi="Times New Roman" w:cs="Times New Roman"/>
          <w:bCs/>
          <w:iCs/>
          <w:szCs w:val="24"/>
          <w:lang w:val="ro-MD" w:eastAsia="ru-RU"/>
        </w:rPr>
        <w:t>a</w:t>
      </w:r>
      <w:r w:rsidR="007427B0" w:rsidRPr="000D19A7">
        <w:rPr>
          <w:rFonts w:ascii="Times New Roman" w:eastAsia="Times New Roman" w:hAnsi="Times New Roman" w:cs="Times New Roman"/>
          <w:bCs/>
          <w:iCs/>
          <w:szCs w:val="24"/>
          <w:lang w:val="ro-MD" w:eastAsia="ru-RU"/>
        </w:rPr>
        <w:t>u</w:t>
      </w:r>
      <w:r w:rsidRPr="000D19A7">
        <w:rPr>
          <w:rFonts w:ascii="Times New Roman" w:eastAsia="Times New Roman" w:hAnsi="Times New Roman" w:cs="Times New Roman"/>
          <w:bCs/>
          <w:iCs/>
          <w:szCs w:val="24"/>
          <w:lang w:val="ro-MD" w:eastAsia="ru-RU"/>
        </w:rPr>
        <w:t xml:space="preserve"> îndeplinit responsabilitățile de etică în conformitate cu cerințele Codului etic al Curții de Conturi. </w:t>
      </w:r>
    </w:p>
    <w:p w14:paraId="59AC7EF3" w14:textId="52894B54" w:rsidR="006023D2" w:rsidRPr="000D19A7" w:rsidRDefault="00CA279B" w:rsidP="00946026">
      <w:pPr>
        <w:pStyle w:val="1"/>
        <w:numPr>
          <w:ilvl w:val="0"/>
          <w:numId w:val="12"/>
        </w:numPr>
        <w:tabs>
          <w:tab w:val="left" w:pos="426"/>
        </w:tabs>
        <w:spacing w:line="276" w:lineRule="auto"/>
        <w:ind w:left="0" w:firstLine="0"/>
        <w:jc w:val="both"/>
        <w:rPr>
          <w:rFonts w:ascii="Times New Roman" w:eastAsia="Times New Roman" w:hAnsi="Times New Roman" w:cs="Times New Roman"/>
          <w:lang w:val="ro-MD" w:eastAsia="ru-RU"/>
        </w:rPr>
      </w:pPr>
      <w:bookmarkStart w:id="13" w:name="_Toc47012269"/>
      <w:bookmarkStart w:id="14" w:name="_Toc168321550"/>
      <w:r w:rsidRPr="000D19A7">
        <w:rPr>
          <w:rFonts w:ascii="Times New Roman" w:eastAsia="Times New Roman" w:hAnsi="Times New Roman" w:cs="Times New Roman"/>
          <w:lang w:val="ro-MD" w:eastAsia="ru-RU"/>
        </w:rPr>
        <w:t>CONS</w:t>
      </w:r>
      <w:r w:rsidR="006023D2" w:rsidRPr="000D19A7">
        <w:rPr>
          <w:rFonts w:ascii="Times New Roman" w:eastAsia="Times New Roman" w:hAnsi="Times New Roman" w:cs="Times New Roman"/>
          <w:lang w:val="ro-MD" w:eastAsia="ru-RU"/>
        </w:rPr>
        <w:t>TATĂRI</w:t>
      </w:r>
      <w:bookmarkEnd w:id="13"/>
      <w:bookmarkEnd w:id="14"/>
    </w:p>
    <w:p w14:paraId="4F0A6F64" w14:textId="25378458" w:rsidR="001C19A2" w:rsidRPr="000D19A7" w:rsidRDefault="00867008" w:rsidP="001C19A2">
      <w:pPr>
        <w:pStyle w:val="2"/>
        <w:numPr>
          <w:ilvl w:val="1"/>
          <w:numId w:val="31"/>
        </w:numPr>
        <w:tabs>
          <w:tab w:val="left" w:pos="426"/>
        </w:tabs>
        <w:spacing w:line="276" w:lineRule="auto"/>
        <w:ind w:left="0" w:firstLine="0"/>
        <w:jc w:val="both"/>
        <w:rPr>
          <w:rFonts w:ascii="Times New Roman" w:hAnsi="Times New Roman" w:cs="Times New Roman"/>
          <w:i w:val="0"/>
          <w:sz w:val="24"/>
          <w:szCs w:val="24"/>
          <w:lang w:val="ro-MD"/>
        </w:rPr>
      </w:pPr>
      <w:bookmarkStart w:id="15" w:name="_Toc47012270"/>
      <w:r w:rsidRPr="000D19A7">
        <w:rPr>
          <w:rFonts w:ascii="Times New Roman" w:hAnsi="Times New Roman" w:cs="Times New Roman"/>
          <w:i w:val="0"/>
          <w:sz w:val="24"/>
          <w:szCs w:val="24"/>
          <w:lang w:val="ro-MD"/>
        </w:rPr>
        <w:t xml:space="preserve"> </w:t>
      </w:r>
      <w:bookmarkStart w:id="16" w:name="_Toc168321551"/>
      <w:bookmarkEnd w:id="15"/>
      <w:r w:rsidR="00EB4BAE" w:rsidRPr="000D19A7">
        <w:rPr>
          <w:rFonts w:ascii="Times New Roman" w:hAnsi="Times New Roman" w:cs="Times New Roman"/>
          <w:i w:val="0"/>
          <w:sz w:val="24"/>
          <w:szCs w:val="24"/>
          <w:lang w:val="ro-MD"/>
        </w:rPr>
        <w:t>M</w:t>
      </w:r>
      <w:r w:rsidR="00FC15DF" w:rsidRPr="000D19A7">
        <w:rPr>
          <w:rFonts w:ascii="Times New Roman" w:hAnsi="Times New Roman" w:cs="Times New Roman"/>
          <w:i w:val="0"/>
          <w:sz w:val="24"/>
          <w:szCs w:val="24"/>
          <w:lang w:val="ro-MD"/>
        </w:rPr>
        <w:t xml:space="preserve">inisterul </w:t>
      </w:r>
      <w:r w:rsidR="00EB4BAE" w:rsidRPr="000D19A7">
        <w:rPr>
          <w:rFonts w:ascii="Times New Roman" w:hAnsi="Times New Roman" w:cs="Times New Roman"/>
          <w:i w:val="0"/>
          <w:sz w:val="24"/>
          <w:szCs w:val="24"/>
          <w:lang w:val="ro-MD"/>
        </w:rPr>
        <w:t>F</w:t>
      </w:r>
      <w:r w:rsidR="00FC15DF" w:rsidRPr="000D19A7">
        <w:rPr>
          <w:rFonts w:ascii="Times New Roman" w:hAnsi="Times New Roman" w:cs="Times New Roman"/>
          <w:i w:val="0"/>
          <w:sz w:val="24"/>
          <w:szCs w:val="24"/>
          <w:lang w:val="ro-MD"/>
        </w:rPr>
        <w:t>inanțelor</w:t>
      </w:r>
      <w:r w:rsidR="00EB4BAE" w:rsidRPr="000D19A7">
        <w:rPr>
          <w:rFonts w:ascii="Times New Roman" w:hAnsi="Times New Roman" w:cs="Times New Roman"/>
          <w:i w:val="0"/>
          <w:sz w:val="24"/>
          <w:szCs w:val="24"/>
          <w:lang w:val="ro-MD"/>
        </w:rPr>
        <w:t xml:space="preserve"> a asigurat </w:t>
      </w:r>
      <w:r w:rsidR="00570B52" w:rsidRPr="000D19A7">
        <w:rPr>
          <w:rFonts w:ascii="Times New Roman" w:hAnsi="Times New Roman" w:cs="Times New Roman"/>
          <w:i w:val="0"/>
          <w:sz w:val="24"/>
          <w:szCs w:val="24"/>
          <w:lang w:val="ro-MD"/>
        </w:rPr>
        <w:t>conformit</w:t>
      </w:r>
      <w:r w:rsidR="00EB4BAE" w:rsidRPr="000D19A7">
        <w:rPr>
          <w:rFonts w:ascii="Times New Roman" w:hAnsi="Times New Roman" w:cs="Times New Roman"/>
          <w:i w:val="0"/>
          <w:sz w:val="24"/>
          <w:szCs w:val="24"/>
          <w:lang w:val="ro-MD"/>
        </w:rPr>
        <w:t>atea</w:t>
      </w:r>
      <w:r w:rsidR="00570B52" w:rsidRPr="000D19A7">
        <w:rPr>
          <w:rFonts w:ascii="Times New Roman" w:hAnsi="Times New Roman" w:cs="Times New Roman"/>
          <w:i w:val="0"/>
          <w:sz w:val="24"/>
          <w:szCs w:val="24"/>
          <w:lang w:val="ro-MD"/>
        </w:rPr>
        <w:t xml:space="preserve"> managementului datoriei de stat</w:t>
      </w:r>
      <w:r w:rsidR="00EB4BAE" w:rsidRPr="000D19A7">
        <w:rPr>
          <w:rFonts w:ascii="Times New Roman" w:hAnsi="Times New Roman" w:cs="Times New Roman"/>
          <w:i w:val="0"/>
          <w:sz w:val="24"/>
          <w:szCs w:val="24"/>
          <w:lang w:val="ro-MD"/>
        </w:rPr>
        <w:t xml:space="preserve"> în raport c</w:t>
      </w:r>
      <w:r w:rsidR="00FE6DD1" w:rsidRPr="000D19A7">
        <w:rPr>
          <w:rFonts w:ascii="Times New Roman" w:hAnsi="Times New Roman" w:cs="Times New Roman"/>
          <w:i w:val="0"/>
          <w:sz w:val="24"/>
          <w:szCs w:val="24"/>
          <w:lang w:val="ro-MD"/>
        </w:rPr>
        <w:t xml:space="preserve">u prevederile </w:t>
      </w:r>
      <w:r w:rsidR="006229AA" w:rsidRPr="000D19A7">
        <w:rPr>
          <w:rFonts w:ascii="Times New Roman" w:hAnsi="Times New Roman" w:cs="Times New Roman"/>
          <w:i w:val="0"/>
          <w:sz w:val="24"/>
          <w:szCs w:val="24"/>
          <w:lang w:val="ro-MD"/>
        </w:rPr>
        <w:t>cadrul</w:t>
      </w:r>
      <w:r w:rsidR="00F17FF9" w:rsidRPr="000D19A7">
        <w:rPr>
          <w:rFonts w:ascii="Times New Roman" w:hAnsi="Times New Roman" w:cs="Times New Roman"/>
          <w:i w:val="0"/>
          <w:sz w:val="24"/>
          <w:szCs w:val="24"/>
          <w:lang w:val="ro-MD"/>
        </w:rPr>
        <w:t>ui</w:t>
      </w:r>
      <w:r w:rsidR="006229AA" w:rsidRPr="000D19A7">
        <w:rPr>
          <w:rFonts w:ascii="Times New Roman" w:hAnsi="Times New Roman" w:cs="Times New Roman"/>
          <w:i w:val="0"/>
          <w:sz w:val="24"/>
          <w:szCs w:val="24"/>
          <w:lang w:val="ro-MD"/>
        </w:rPr>
        <w:t xml:space="preserve"> normativ </w:t>
      </w:r>
      <w:r w:rsidR="00EB4BAE" w:rsidRPr="000D19A7">
        <w:rPr>
          <w:rFonts w:ascii="Times New Roman" w:hAnsi="Times New Roman" w:cs="Times New Roman"/>
          <w:i w:val="0"/>
          <w:sz w:val="24"/>
          <w:szCs w:val="24"/>
          <w:lang w:val="ro-MD"/>
        </w:rPr>
        <w:t>aplicabil?</w:t>
      </w:r>
      <w:bookmarkEnd w:id="16"/>
    </w:p>
    <w:p w14:paraId="40D123B1" w14:textId="671FFE55" w:rsidR="00545E5B" w:rsidRPr="000D19A7" w:rsidRDefault="00545E5B" w:rsidP="00545E5B">
      <w:pPr>
        <w:jc w:val="both"/>
        <w:rPr>
          <w:rFonts w:ascii="Times New Roman" w:hAnsi="Times New Roman" w:cs="Times New Roman"/>
          <w:i/>
          <w:lang w:val="ro-MD"/>
        </w:rPr>
      </w:pPr>
      <w:r w:rsidRPr="000D19A7">
        <w:rPr>
          <w:rFonts w:ascii="Times New Roman" w:hAnsi="Times New Roman" w:cs="Times New Roman"/>
          <w:i/>
          <w:lang w:val="ro-MD"/>
        </w:rPr>
        <w:t>Deși MF a asigurat conformitatea managementului datoriei de stat, se atestă unele problematici, care se referă la: tergiversarea procesului de implementare a Programului de vânzare directă a VMS persoanelor fizice în RM, restituirea lentă a datoriilor bancilor aflate în proces de lichidare față de MF, executarea la un nive</w:t>
      </w:r>
      <w:r w:rsidR="008E1D46" w:rsidRPr="000D19A7">
        <w:rPr>
          <w:rFonts w:ascii="Times New Roman" w:hAnsi="Times New Roman" w:cs="Times New Roman"/>
          <w:i/>
          <w:lang w:val="ro-MD"/>
        </w:rPr>
        <w:t>l scăzut a</w:t>
      </w:r>
      <w:r w:rsidRPr="000D19A7">
        <w:rPr>
          <w:rFonts w:ascii="Times New Roman" w:hAnsi="Times New Roman" w:cs="Times New Roman"/>
          <w:i/>
          <w:lang w:val="ro-MD"/>
        </w:rPr>
        <w:t xml:space="preserve"> alocațiilor pentru implementarea proiectelor investiționale.</w:t>
      </w:r>
    </w:p>
    <w:p w14:paraId="319E40D8" w14:textId="6F0292AD" w:rsidR="005F1B6E" w:rsidRPr="000D19A7" w:rsidRDefault="00E0290F" w:rsidP="00D747CD">
      <w:pPr>
        <w:pStyle w:val="a7"/>
        <w:numPr>
          <w:ilvl w:val="2"/>
          <w:numId w:val="31"/>
        </w:numPr>
        <w:spacing w:after="0"/>
        <w:ind w:left="0" w:firstLine="0"/>
        <w:jc w:val="both"/>
        <w:rPr>
          <w:rFonts w:ascii="Times New Roman" w:hAnsi="Times New Roman" w:cs="Times New Roman"/>
          <w:b/>
          <w:i/>
          <w:lang w:val="ro-MD"/>
        </w:rPr>
      </w:pPr>
      <w:r w:rsidRPr="000D19A7">
        <w:rPr>
          <w:rFonts w:ascii="Times New Roman" w:hAnsi="Times New Roman" w:cs="Times New Roman"/>
          <w:b/>
          <w:i/>
          <w:lang w:val="ro-MD"/>
        </w:rPr>
        <w:t>I</w:t>
      </w:r>
      <w:r w:rsidR="00E32413" w:rsidRPr="000D19A7">
        <w:rPr>
          <w:rFonts w:ascii="Times New Roman" w:hAnsi="Times New Roman" w:cs="Times New Roman"/>
          <w:b/>
          <w:i/>
          <w:lang w:val="ro-MD"/>
        </w:rPr>
        <w:t>mplement</w:t>
      </w:r>
      <w:r w:rsidRPr="000D19A7">
        <w:rPr>
          <w:rFonts w:ascii="Times New Roman" w:hAnsi="Times New Roman" w:cs="Times New Roman"/>
          <w:b/>
          <w:i/>
          <w:lang w:val="ro-MD"/>
        </w:rPr>
        <w:t>area</w:t>
      </w:r>
      <w:r w:rsidR="00866DF7" w:rsidRPr="000D19A7">
        <w:rPr>
          <w:rFonts w:ascii="Times New Roman" w:hAnsi="Times New Roman" w:cs="Times New Roman"/>
          <w:b/>
          <w:i/>
          <w:lang w:val="ro-MD"/>
        </w:rPr>
        <w:t xml:space="preserve"> Conceptului </w:t>
      </w:r>
      <w:r w:rsidR="00681B17" w:rsidRPr="000D19A7">
        <w:rPr>
          <w:rFonts w:ascii="Times New Roman" w:hAnsi="Times New Roman" w:cs="Times New Roman"/>
          <w:b/>
          <w:i/>
          <w:lang w:val="ro-MD"/>
        </w:rPr>
        <w:t xml:space="preserve">și platformei aferente </w:t>
      </w:r>
      <w:r w:rsidR="00866DF7" w:rsidRPr="000D19A7">
        <w:rPr>
          <w:rFonts w:ascii="Times New Roman" w:hAnsi="Times New Roman" w:cs="Times New Roman"/>
          <w:b/>
          <w:i/>
          <w:lang w:val="ro-MD"/>
        </w:rPr>
        <w:t xml:space="preserve">Programului de vânzare directă a VMS persoanelor fizice </w:t>
      </w:r>
      <w:r w:rsidR="00681B17" w:rsidRPr="000D19A7">
        <w:rPr>
          <w:rFonts w:ascii="Times New Roman" w:hAnsi="Times New Roman" w:cs="Times New Roman"/>
          <w:b/>
          <w:i/>
          <w:lang w:val="ro-MD"/>
        </w:rPr>
        <w:t xml:space="preserve">în RM </w:t>
      </w:r>
      <w:r w:rsidR="008E1D46" w:rsidRPr="000D19A7">
        <w:rPr>
          <w:rFonts w:ascii="Times New Roman" w:hAnsi="Times New Roman" w:cs="Times New Roman"/>
          <w:b/>
          <w:i/>
          <w:lang w:val="ro-MD"/>
        </w:rPr>
        <w:t xml:space="preserve">este </w:t>
      </w:r>
      <w:r w:rsidR="00E32413" w:rsidRPr="000D19A7">
        <w:rPr>
          <w:rFonts w:ascii="Times New Roman" w:hAnsi="Times New Roman" w:cs="Times New Roman"/>
          <w:b/>
          <w:i/>
          <w:lang w:val="ro-MD"/>
        </w:rPr>
        <w:t>tergiversat de unii factori care nu depind nemijlocit de minister.</w:t>
      </w:r>
    </w:p>
    <w:p w14:paraId="6AE1EA49" w14:textId="75222E9C" w:rsidR="00D747CD" w:rsidRPr="00633FBC" w:rsidRDefault="00C164E7" w:rsidP="00633FBC">
      <w:pPr>
        <w:spacing w:line="276" w:lineRule="auto"/>
        <w:jc w:val="both"/>
        <w:rPr>
          <w:rFonts w:ascii="Times New Roman" w:hAnsi="Times New Roman" w:cs="Times New Roman"/>
          <w:color w:val="000000" w:themeColor="text1"/>
          <w:szCs w:val="24"/>
          <w:lang w:val="ro-MD" w:eastAsia="ru-RU"/>
        </w:rPr>
      </w:pPr>
      <w:r w:rsidRPr="000D19A7">
        <w:rPr>
          <w:rFonts w:ascii="Times New Roman" w:hAnsi="Times New Roman" w:cs="Times New Roman"/>
          <w:szCs w:val="24"/>
          <w:lang w:val="ro-MD" w:eastAsia="ru-RU"/>
        </w:rPr>
        <w:t>Menționăm că u</w:t>
      </w:r>
      <w:r w:rsidR="003A6B68" w:rsidRPr="000D19A7">
        <w:rPr>
          <w:rFonts w:ascii="Times New Roman" w:hAnsi="Times New Roman" w:cs="Times New Roman"/>
          <w:szCs w:val="24"/>
          <w:lang w:val="ro-MD" w:eastAsia="ru-RU"/>
        </w:rPr>
        <w:t>nul din</w:t>
      </w:r>
      <w:r w:rsidR="008E1D46" w:rsidRPr="000D19A7">
        <w:rPr>
          <w:rFonts w:ascii="Times New Roman" w:hAnsi="Times New Roman" w:cs="Times New Roman"/>
          <w:szCs w:val="24"/>
          <w:lang w:val="ro-MD" w:eastAsia="ru-RU"/>
        </w:rPr>
        <w:t>tre</w:t>
      </w:r>
      <w:r w:rsidR="003A6B68" w:rsidRPr="000D19A7">
        <w:rPr>
          <w:rFonts w:ascii="Times New Roman" w:hAnsi="Times New Roman" w:cs="Times New Roman"/>
          <w:szCs w:val="24"/>
          <w:lang w:val="ro-MD" w:eastAsia="ru-RU"/>
        </w:rPr>
        <w:t xml:space="preserve"> obiectivele specifice privind gestionarea datoriei de stat propus în Programul „Managementul datoriei de stat pe termen mediu (202</w:t>
      </w:r>
      <w:r w:rsidR="00E32413" w:rsidRPr="000D19A7">
        <w:rPr>
          <w:rFonts w:ascii="Times New Roman" w:hAnsi="Times New Roman" w:cs="Times New Roman"/>
          <w:szCs w:val="24"/>
          <w:lang w:val="ro-MD" w:eastAsia="ru-RU"/>
        </w:rPr>
        <w:t>3-2025</w:t>
      </w:r>
      <w:r w:rsidR="003A6B68" w:rsidRPr="000D19A7">
        <w:rPr>
          <w:rFonts w:ascii="Times New Roman" w:hAnsi="Times New Roman" w:cs="Times New Roman"/>
          <w:szCs w:val="24"/>
          <w:lang w:val="ro-MD" w:eastAsia="ru-RU"/>
        </w:rPr>
        <w:t>)</w:t>
      </w:r>
      <w:r w:rsidR="00D3209F" w:rsidRPr="000D19A7">
        <w:rPr>
          <w:rFonts w:ascii="Times New Roman" w:hAnsi="Times New Roman" w:cs="Times New Roman"/>
          <w:szCs w:val="24"/>
          <w:lang w:val="ro-MD" w:eastAsia="ru-RU"/>
        </w:rPr>
        <w:t>”</w:t>
      </w:r>
      <w:r w:rsidR="008E1D46" w:rsidRPr="000D19A7">
        <w:rPr>
          <w:rFonts w:ascii="Times New Roman" w:hAnsi="Times New Roman" w:cs="Times New Roman"/>
          <w:szCs w:val="24"/>
          <w:lang w:val="ro-MD" w:eastAsia="ru-RU"/>
        </w:rPr>
        <w:t>,</w:t>
      </w:r>
      <w:r w:rsidR="003A6B68" w:rsidRPr="000D19A7">
        <w:rPr>
          <w:rFonts w:ascii="Times New Roman" w:hAnsi="Times New Roman" w:cs="Times New Roman"/>
          <w:szCs w:val="24"/>
          <w:lang w:val="ro-MD" w:eastAsia="ru-RU"/>
        </w:rPr>
        <w:t xml:space="preserve"> este „diversificarea canalelor de vânzare a VMS odată cu implementarea platformei de tranzacționare în mod direct a VMS către persoanele fizice”, activitate</w:t>
      </w:r>
      <w:r w:rsidR="00D3209F" w:rsidRPr="000D19A7">
        <w:rPr>
          <w:rFonts w:ascii="Times New Roman" w:hAnsi="Times New Roman" w:cs="Times New Roman"/>
          <w:szCs w:val="24"/>
          <w:lang w:val="ro-MD" w:eastAsia="ru-RU"/>
        </w:rPr>
        <w:t xml:space="preserve"> care era</w:t>
      </w:r>
      <w:r w:rsidR="003A6B68" w:rsidRPr="000D19A7">
        <w:rPr>
          <w:rFonts w:ascii="Times New Roman" w:hAnsi="Times New Roman" w:cs="Times New Roman"/>
          <w:szCs w:val="24"/>
          <w:lang w:val="ro-MD" w:eastAsia="ru-RU"/>
        </w:rPr>
        <w:t xml:space="preserve"> preconizată </w:t>
      </w:r>
      <w:r w:rsidRPr="000D19A7">
        <w:rPr>
          <w:rFonts w:ascii="Times New Roman" w:hAnsi="Times New Roman" w:cs="Times New Roman"/>
          <w:szCs w:val="24"/>
          <w:lang w:val="ro-MD" w:eastAsia="ru-RU"/>
        </w:rPr>
        <w:t xml:space="preserve">încă </w:t>
      </w:r>
      <w:r w:rsidR="003A6B68" w:rsidRPr="000D19A7">
        <w:rPr>
          <w:rFonts w:ascii="Times New Roman" w:hAnsi="Times New Roman" w:cs="Times New Roman"/>
          <w:szCs w:val="24"/>
          <w:lang w:val="ro-MD" w:eastAsia="ru-RU"/>
        </w:rPr>
        <w:t>pentru finele anului 2022</w:t>
      </w:r>
      <w:r w:rsidR="000E02DA" w:rsidRPr="000D19A7">
        <w:rPr>
          <w:rFonts w:ascii="Times New Roman" w:hAnsi="Times New Roman" w:cs="Times New Roman"/>
          <w:color w:val="000000" w:themeColor="text1"/>
          <w:szCs w:val="24"/>
          <w:lang w:val="ro-MD" w:eastAsia="ru-RU"/>
        </w:rPr>
        <w:t>.</w:t>
      </w:r>
      <w:r w:rsidR="003A6B68" w:rsidRPr="000D19A7">
        <w:rPr>
          <w:rFonts w:ascii="Times New Roman" w:hAnsi="Times New Roman" w:cs="Times New Roman"/>
          <w:color w:val="000000" w:themeColor="text1"/>
          <w:szCs w:val="24"/>
          <w:lang w:val="ro-MD" w:eastAsia="ru-RU"/>
        </w:rPr>
        <w:t xml:space="preserve"> </w:t>
      </w:r>
      <w:r w:rsidR="00763817" w:rsidRPr="000D19A7">
        <w:rPr>
          <w:rFonts w:ascii="Times New Roman" w:hAnsi="Times New Roman" w:cs="Times New Roman"/>
          <w:color w:val="000000" w:themeColor="text1"/>
          <w:szCs w:val="24"/>
          <w:lang w:val="ro-MD" w:eastAsia="ru-RU"/>
        </w:rPr>
        <w:t xml:space="preserve">Astfel, în vederea realizării obiectivului propus, a fost elaborat și aprobat </w:t>
      </w:r>
      <w:r w:rsidR="008E1D46" w:rsidRPr="000D19A7">
        <w:rPr>
          <w:rFonts w:ascii="Times New Roman" w:hAnsi="Times New Roman" w:cs="Times New Roman"/>
          <w:color w:val="000000" w:themeColor="text1"/>
          <w:szCs w:val="24"/>
          <w:lang w:val="ro-MD" w:eastAsia="ru-RU"/>
        </w:rPr>
        <w:t>Conceptul Sistemului i</w:t>
      </w:r>
      <w:r w:rsidR="00834191" w:rsidRPr="000D19A7">
        <w:rPr>
          <w:rFonts w:ascii="Times New Roman" w:hAnsi="Times New Roman" w:cs="Times New Roman"/>
          <w:color w:val="000000" w:themeColor="text1"/>
          <w:szCs w:val="24"/>
          <w:lang w:val="ro-MD" w:eastAsia="ru-RU"/>
        </w:rPr>
        <w:t xml:space="preserve">nformațional </w:t>
      </w:r>
      <w:r w:rsidR="00763817" w:rsidRPr="000D19A7">
        <w:rPr>
          <w:rFonts w:ascii="Times New Roman" w:hAnsi="Times New Roman" w:cs="Times New Roman"/>
          <w:color w:val="000000" w:themeColor="text1"/>
          <w:szCs w:val="24"/>
          <w:lang w:val="ro-MD" w:eastAsia="ru-RU"/>
        </w:rPr>
        <w:t>„Programul de vânzare directă a valorilor mobiliare de stat persoanelor fizice în RM”</w:t>
      </w:r>
      <w:r w:rsidR="00763817" w:rsidRPr="000D19A7">
        <w:rPr>
          <w:rStyle w:val="a6"/>
          <w:rFonts w:ascii="Times New Roman" w:hAnsi="Times New Roman" w:cs="Times New Roman"/>
          <w:color w:val="000000" w:themeColor="text1"/>
          <w:szCs w:val="24"/>
          <w:lang w:val="ro-MD" w:eastAsia="ru-RU"/>
        </w:rPr>
        <w:footnoteReference w:id="10"/>
      </w:r>
      <w:r w:rsidR="00763817" w:rsidRPr="000D19A7">
        <w:rPr>
          <w:rFonts w:ascii="Times New Roman" w:hAnsi="Times New Roman" w:cs="Times New Roman"/>
          <w:color w:val="000000" w:themeColor="text1"/>
          <w:szCs w:val="24"/>
          <w:lang w:val="ro-MD" w:eastAsia="ru-RU"/>
        </w:rPr>
        <w:t>. Programul menționat urmărește facilitarea accesului cetățenilor RM la cumpărarea VMS, dar și înstrăinarea acestora până la scadență prin intermediul unei platforme electronice.</w:t>
      </w:r>
      <w:r w:rsidR="00776AD1" w:rsidRPr="000D19A7">
        <w:rPr>
          <w:rFonts w:ascii="Times New Roman" w:hAnsi="Times New Roman" w:cs="Times New Roman"/>
          <w:color w:val="000000" w:themeColor="text1"/>
          <w:szCs w:val="24"/>
          <w:lang w:val="ro-MD" w:eastAsia="ru-RU"/>
        </w:rPr>
        <w:t xml:space="preserve"> De asemenea</w:t>
      </w:r>
      <w:r w:rsidR="000E02DA" w:rsidRPr="000D19A7">
        <w:rPr>
          <w:rFonts w:ascii="Times New Roman" w:hAnsi="Times New Roman" w:cs="Times New Roman"/>
          <w:color w:val="000000" w:themeColor="text1"/>
          <w:szCs w:val="24"/>
          <w:lang w:val="ro-MD" w:eastAsia="ru-RU"/>
        </w:rPr>
        <w:t>,</w:t>
      </w:r>
      <w:r w:rsidR="00776AD1" w:rsidRPr="000D19A7">
        <w:rPr>
          <w:rFonts w:ascii="Times New Roman" w:hAnsi="Times New Roman" w:cs="Times New Roman"/>
          <w:color w:val="000000" w:themeColor="text1"/>
          <w:szCs w:val="24"/>
          <w:lang w:val="ro-MD" w:eastAsia="ru-RU"/>
        </w:rPr>
        <w:t xml:space="preserve"> a fost aprobat Regulamentul</w:t>
      </w:r>
      <w:r w:rsidR="000E02DA" w:rsidRPr="000D19A7">
        <w:rPr>
          <w:rFonts w:ascii="Times New Roman" w:hAnsi="Times New Roman" w:cs="Times New Roman"/>
          <w:color w:val="000000" w:themeColor="text1"/>
          <w:szCs w:val="24"/>
          <w:lang w:val="ro-MD" w:eastAsia="ru-RU"/>
        </w:rPr>
        <w:t xml:space="preserve"> resursei informaționale formate</w:t>
      </w:r>
      <w:r w:rsidR="00776AD1" w:rsidRPr="000D19A7">
        <w:rPr>
          <w:rFonts w:ascii="Times New Roman" w:hAnsi="Times New Roman" w:cs="Times New Roman"/>
          <w:color w:val="000000" w:themeColor="text1"/>
          <w:szCs w:val="24"/>
          <w:lang w:val="ro-MD" w:eastAsia="ru-RU"/>
        </w:rPr>
        <w:t xml:space="preserve"> de Sistemul </w:t>
      </w:r>
      <w:r w:rsidR="007763DE" w:rsidRPr="000D19A7">
        <w:rPr>
          <w:rFonts w:ascii="Times New Roman" w:hAnsi="Times New Roman" w:cs="Times New Roman"/>
          <w:color w:val="000000" w:themeColor="text1"/>
          <w:szCs w:val="24"/>
          <w:lang w:val="ro-MD" w:eastAsia="ru-RU"/>
        </w:rPr>
        <w:t>respectiv</w:t>
      </w:r>
      <w:r w:rsidR="00776AD1" w:rsidRPr="000D19A7">
        <w:rPr>
          <w:rStyle w:val="a6"/>
          <w:rFonts w:ascii="Times New Roman" w:hAnsi="Times New Roman" w:cs="Times New Roman"/>
          <w:color w:val="000000" w:themeColor="text1"/>
          <w:szCs w:val="24"/>
          <w:lang w:val="ro-MD" w:eastAsia="ru-RU"/>
        </w:rPr>
        <w:footnoteReference w:id="11"/>
      </w:r>
      <w:r w:rsidR="006B5CD0" w:rsidRPr="000D19A7">
        <w:rPr>
          <w:rFonts w:ascii="Times New Roman" w:hAnsi="Times New Roman" w:cs="Times New Roman"/>
          <w:color w:val="000000" w:themeColor="text1"/>
          <w:szCs w:val="24"/>
          <w:lang w:val="ro-MD" w:eastAsia="ru-RU"/>
        </w:rPr>
        <w:t xml:space="preserve">. Totodată, </w:t>
      </w:r>
      <w:r w:rsidR="00491317" w:rsidRPr="000D19A7">
        <w:rPr>
          <w:rFonts w:ascii="Times New Roman" w:hAnsi="Times New Roman" w:cs="Times New Roman"/>
          <w:color w:val="000000" w:themeColor="text1"/>
          <w:szCs w:val="24"/>
          <w:lang w:val="ro-MD" w:eastAsia="ru-RU"/>
        </w:rPr>
        <w:t xml:space="preserve">tergiversarea procesului dat, </w:t>
      </w:r>
      <w:r w:rsidR="006B5CD0" w:rsidRPr="000D19A7">
        <w:rPr>
          <w:rFonts w:ascii="Times New Roman" w:hAnsi="Times New Roman" w:cs="Times New Roman"/>
          <w:color w:val="000000" w:themeColor="text1"/>
          <w:szCs w:val="24"/>
          <w:lang w:val="ro-MD" w:eastAsia="ru-RU"/>
        </w:rPr>
        <w:t>potrivit explicațiilor MF,</w:t>
      </w:r>
      <w:r w:rsidR="00491317" w:rsidRPr="000D19A7">
        <w:rPr>
          <w:rFonts w:ascii="Times New Roman" w:hAnsi="Times New Roman" w:cs="Times New Roman"/>
          <w:color w:val="000000" w:themeColor="text1"/>
          <w:szCs w:val="24"/>
          <w:lang w:val="ro-MD" w:eastAsia="ru-RU"/>
        </w:rPr>
        <w:t xml:space="preserve"> </w:t>
      </w:r>
      <w:r w:rsidR="00CB5376" w:rsidRPr="000D19A7">
        <w:rPr>
          <w:rFonts w:ascii="Times New Roman" w:hAnsi="Times New Roman" w:cs="Times New Roman"/>
          <w:color w:val="000000" w:themeColor="text1"/>
          <w:szCs w:val="24"/>
          <w:lang w:val="ro-MD" w:eastAsia="ru-RU"/>
        </w:rPr>
        <w:t>în mare parte</w:t>
      </w:r>
      <w:r w:rsidR="006A0B21" w:rsidRPr="000D19A7">
        <w:rPr>
          <w:rFonts w:ascii="Times New Roman" w:hAnsi="Times New Roman" w:cs="Times New Roman"/>
          <w:color w:val="000000" w:themeColor="text1"/>
          <w:szCs w:val="24"/>
          <w:lang w:val="ro-MD" w:eastAsia="ru-RU"/>
        </w:rPr>
        <w:t>,</w:t>
      </w:r>
      <w:r w:rsidR="00CB5376" w:rsidRPr="000D19A7">
        <w:rPr>
          <w:rFonts w:ascii="Times New Roman" w:hAnsi="Times New Roman" w:cs="Times New Roman"/>
          <w:color w:val="000000" w:themeColor="text1"/>
          <w:szCs w:val="24"/>
          <w:lang w:val="ro-MD" w:eastAsia="ru-RU"/>
        </w:rPr>
        <w:t xml:space="preserve"> </w:t>
      </w:r>
      <w:r w:rsidR="000E02DA" w:rsidRPr="000D19A7">
        <w:rPr>
          <w:rFonts w:ascii="Times New Roman" w:hAnsi="Times New Roman" w:cs="Times New Roman"/>
          <w:color w:val="000000" w:themeColor="text1"/>
          <w:szCs w:val="24"/>
          <w:lang w:val="ro-MD" w:eastAsia="ru-RU"/>
        </w:rPr>
        <w:t xml:space="preserve">a fost determinată de </w:t>
      </w:r>
      <w:r w:rsidR="00CB5376" w:rsidRPr="000D19A7">
        <w:rPr>
          <w:rFonts w:ascii="Times New Roman" w:hAnsi="Times New Roman" w:cs="Times New Roman"/>
          <w:color w:val="000000" w:themeColor="text1"/>
          <w:szCs w:val="24"/>
          <w:lang w:val="ro-MD" w:eastAsia="ru-RU"/>
        </w:rPr>
        <w:t>procesul de</w:t>
      </w:r>
      <w:r w:rsidR="006B5CD0" w:rsidRPr="000D19A7">
        <w:rPr>
          <w:rFonts w:ascii="Times New Roman" w:hAnsi="Times New Roman" w:cs="Times New Roman"/>
          <w:color w:val="000000" w:themeColor="text1"/>
          <w:szCs w:val="24"/>
          <w:lang w:val="ro-MD" w:eastAsia="ru-RU"/>
        </w:rPr>
        <w:t xml:space="preserve"> selectare</w:t>
      </w:r>
      <w:r w:rsidR="00CB5376" w:rsidRPr="000D19A7">
        <w:rPr>
          <w:rFonts w:ascii="Times New Roman" w:hAnsi="Times New Roman" w:cs="Times New Roman"/>
          <w:color w:val="000000" w:themeColor="text1"/>
          <w:szCs w:val="24"/>
          <w:lang w:val="ro-MD" w:eastAsia="ru-RU"/>
        </w:rPr>
        <w:t xml:space="preserve"> </w:t>
      </w:r>
      <w:r w:rsidR="006B5CD0" w:rsidRPr="000D19A7">
        <w:rPr>
          <w:rFonts w:ascii="Times New Roman" w:hAnsi="Times New Roman" w:cs="Times New Roman"/>
          <w:color w:val="000000" w:themeColor="text1"/>
          <w:szCs w:val="24"/>
          <w:lang w:val="ro-MD" w:eastAsia="ru-RU"/>
        </w:rPr>
        <w:t>a companiei</w:t>
      </w:r>
      <w:r w:rsidR="00CB5376" w:rsidRPr="000D19A7">
        <w:rPr>
          <w:rFonts w:ascii="Times New Roman" w:hAnsi="Times New Roman" w:cs="Times New Roman"/>
          <w:color w:val="000000" w:themeColor="text1"/>
          <w:szCs w:val="24"/>
          <w:lang w:val="ro-MD" w:eastAsia="ru-RU"/>
        </w:rPr>
        <w:t xml:space="preserve"> implementatoare și </w:t>
      </w:r>
      <w:r w:rsidR="006A0B21" w:rsidRPr="000D19A7">
        <w:rPr>
          <w:rFonts w:ascii="Times New Roman" w:hAnsi="Times New Roman" w:cs="Times New Roman"/>
          <w:color w:val="000000" w:themeColor="text1"/>
          <w:szCs w:val="24"/>
          <w:lang w:val="ro-MD" w:eastAsia="ru-RU"/>
        </w:rPr>
        <w:t xml:space="preserve">de </w:t>
      </w:r>
      <w:r w:rsidR="00CB5376" w:rsidRPr="000D19A7">
        <w:rPr>
          <w:rFonts w:ascii="Times New Roman" w:hAnsi="Times New Roman" w:cs="Times New Roman"/>
          <w:color w:val="000000" w:themeColor="text1"/>
          <w:szCs w:val="24"/>
          <w:lang w:val="ro-MD" w:eastAsia="ru-RU"/>
        </w:rPr>
        <w:t xml:space="preserve">semnarea contractului cu aceasta. </w:t>
      </w:r>
      <w:r w:rsidR="0079365E" w:rsidRPr="000D19A7">
        <w:rPr>
          <w:rFonts w:ascii="Times New Roman" w:hAnsi="Times New Roman" w:cs="Times New Roman"/>
          <w:color w:val="000000" w:themeColor="text1"/>
          <w:szCs w:val="24"/>
          <w:lang w:val="ro-MD" w:eastAsia="ru-RU"/>
        </w:rPr>
        <w:t xml:space="preserve">Se menționează că contractul cu compania </w:t>
      </w:r>
      <w:r w:rsidR="00CB5376" w:rsidRPr="000D19A7">
        <w:rPr>
          <w:rFonts w:ascii="Times New Roman" w:hAnsi="Times New Roman" w:cs="Times New Roman"/>
          <w:color w:val="000000" w:themeColor="text1"/>
          <w:szCs w:val="24"/>
          <w:lang w:val="ro-MD" w:eastAsia="ru-RU"/>
        </w:rPr>
        <w:t xml:space="preserve">implementatoare </w:t>
      </w:r>
      <w:r w:rsidR="0079365E" w:rsidRPr="000D19A7">
        <w:rPr>
          <w:rFonts w:ascii="Times New Roman" w:hAnsi="Times New Roman" w:cs="Times New Roman"/>
          <w:color w:val="000000" w:themeColor="text1"/>
          <w:szCs w:val="24"/>
          <w:lang w:val="ro-MD" w:eastAsia="ru-RU"/>
        </w:rPr>
        <w:t xml:space="preserve">selectată a fost semnat la 03.05.2023. </w:t>
      </w:r>
      <w:r w:rsidR="006A0B21" w:rsidRPr="000D19A7">
        <w:rPr>
          <w:rFonts w:ascii="Times New Roman" w:hAnsi="Times New Roman" w:cs="Times New Roman"/>
          <w:color w:val="000000" w:themeColor="text1"/>
          <w:szCs w:val="24"/>
          <w:lang w:val="ro-MD" w:eastAsia="ru-RU"/>
        </w:rPr>
        <w:t>În același timp</w:t>
      </w:r>
      <w:r w:rsidR="0079365E" w:rsidRPr="000D19A7">
        <w:rPr>
          <w:rFonts w:ascii="Times New Roman" w:hAnsi="Times New Roman" w:cs="Times New Roman"/>
          <w:color w:val="000000" w:themeColor="text1"/>
          <w:szCs w:val="24"/>
          <w:lang w:val="ro-MD" w:eastAsia="ru-RU"/>
        </w:rPr>
        <w:t>,</w:t>
      </w:r>
      <w:r w:rsidR="00CB5376" w:rsidRPr="000D19A7">
        <w:rPr>
          <w:rFonts w:ascii="Times New Roman" w:hAnsi="Times New Roman" w:cs="Times New Roman"/>
          <w:color w:val="000000" w:themeColor="text1"/>
          <w:szCs w:val="24"/>
          <w:lang w:val="ro-MD" w:eastAsia="ru-RU"/>
        </w:rPr>
        <w:t xml:space="preserve"> pe parcursul anului 2023, </w:t>
      </w:r>
      <w:r w:rsidR="00961756" w:rsidRPr="000D19A7">
        <w:rPr>
          <w:rFonts w:ascii="Times New Roman" w:hAnsi="Times New Roman" w:cs="Times New Roman"/>
          <w:color w:val="000000" w:themeColor="text1"/>
          <w:szCs w:val="24"/>
          <w:lang w:val="ro-MD" w:eastAsia="ru-RU"/>
        </w:rPr>
        <w:t>Grupul</w:t>
      </w:r>
      <w:r w:rsidR="000472AD" w:rsidRPr="000D19A7">
        <w:rPr>
          <w:rFonts w:ascii="Times New Roman" w:hAnsi="Times New Roman" w:cs="Times New Roman"/>
          <w:color w:val="000000" w:themeColor="text1"/>
          <w:szCs w:val="24"/>
          <w:lang w:val="ro-MD" w:eastAsia="ru-RU"/>
        </w:rPr>
        <w:t xml:space="preserve"> de lucru</w:t>
      </w:r>
      <w:r w:rsidR="00CB5376" w:rsidRPr="000D19A7">
        <w:rPr>
          <w:rStyle w:val="a6"/>
          <w:rFonts w:ascii="Times New Roman" w:hAnsi="Times New Roman" w:cs="Times New Roman"/>
          <w:color w:val="000000" w:themeColor="text1"/>
          <w:szCs w:val="24"/>
          <w:lang w:val="ro-MD" w:eastAsia="ru-RU"/>
        </w:rPr>
        <w:footnoteReference w:id="12"/>
      </w:r>
      <w:r w:rsidR="000472AD" w:rsidRPr="000D19A7">
        <w:rPr>
          <w:rFonts w:ascii="Times New Roman" w:hAnsi="Times New Roman" w:cs="Times New Roman"/>
          <w:color w:val="000000" w:themeColor="text1"/>
          <w:szCs w:val="24"/>
          <w:lang w:val="ro-MD" w:eastAsia="ru-RU"/>
        </w:rPr>
        <w:t xml:space="preserve"> a</w:t>
      </w:r>
      <w:r w:rsidR="007E67B3" w:rsidRPr="000D19A7">
        <w:rPr>
          <w:rFonts w:ascii="Times New Roman" w:hAnsi="Times New Roman" w:cs="Times New Roman"/>
          <w:color w:val="000000" w:themeColor="text1"/>
          <w:szCs w:val="24"/>
          <w:lang w:val="ro-MD" w:eastAsia="ru-RU"/>
        </w:rPr>
        <w:t xml:space="preserve"> organizat</w:t>
      </w:r>
      <w:r w:rsidR="00CB5376" w:rsidRPr="000D19A7">
        <w:rPr>
          <w:rFonts w:ascii="Times New Roman" w:hAnsi="Times New Roman" w:cs="Times New Roman"/>
          <w:color w:val="000000" w:themeColor="text1"/>
          <w:szCs w:val="24"/>
          <w:lang w:val="ro-MD" w:eastAsia="ru-RU"/>
        </w:rPr>
        <w:t xml:space="preserve"> 14 ședințe, </w:t>
      </w:r>
      <w:r w:rsidR="00961756" w:rsidRPr="000D19A7">
        <w:rPr>
          <w:rFonts w:ascii="Times New Roman" w:hAnsi="Times New Roman" w:cs="Times New Roman"/>
          <w:color w:val="000000" w:themeColor="text1"/>
          <w:szCs w:val="24"/>
          <w:lang w:val="ro-MD" w:eastAsia="ru-RU"/>
        </w:rPr>
        <w:t xml:space="preserve"> în cadrul cărora </w:t>
      </w:r>
      <w:r w:rsidR="006A0B21" w:rsidRPr="000D19A7">
        <w:rPr>
          <w:rFonts w:ascii="Times New Roman" w:hAnsi="Times New Roman" w:cs="Times New Roman"/>
          <w:color w:val="000000" w:themeColor="text1"/>
          <w:szCs w:val="24"/>
          <w:lang w:val="ro-MD" w:eastAsia="ru-RU"/>
        </w:rPr>
        <w:t>s-</w:t>
      </w:r>
      <w:r w:rsidR="00961756" w:rsidRPr="000D19A7">
        <w:rPr>
          <w:rFonts w:ascii="Times New Roman" w:hAnsi="Times New Roman" w:cs="Times New Roman"/>
          <w:color w:val="000000" w:themeColor="text1"/>
          <w:szCs w:val="24"/>
          <w:lang w:val="ro-MD" w:eastAsia="ru-RU"/>
        </w:rPr>
        <w:t xml:space="preserve">au discutat </w:t>
      </w:r>
      <w:r w:rsidR="0045346D" w:rsidRPr="000D19A7">
        <w:rPr>
          <w:rFonts w:ascii="Times New Roman" w:hAnsi="Times New Roman" w:cs="Times New Roman"/>
          <w:color w:val="000000" w:themeColor="text1"/>
          <w:szCs w:val="24"/>
          <w:lang w:val="ro-MD" w:eastAsia="ru-RU"/>
        </w:rPr>
        <w:t>subiecte</w:t>
      </w:r>
      <w:r w:rsidR="00961756" w:rsidRPr="000D19A7">
        <w:rPr>
          <w:rFonts w:ascii="Times New Roman" w:hAnsi="Times New Roman" w:cs="Times New Roman"/>
          <w:color w:val="000000" w:themeColor="text1"/>
          <w:szCs w:val="24"/>
          <w:lang w:val="ro-MD" w:eastAsia="ru-RU"/>
        </w:rPr>
        <w:t xml:space="preserve"> tehnice </w:t>
      </w:r>
      <w:r w:rsidR="00FD4BF0" w:rsidRPr="000D19A7">
        <w:rPr>
          <w:rFonts w:ascii="Times New Roman" w:hAnsi="Times New Roman" w:cs="Times New Roman"/>
          <w:color w:val="000000" w:themeColor="text1"/>
          <w:szCs w:val="24"/>
          <w:lang w:val="ro-MD" w:eastAsia="ru-RU"/>
        </w:rPr>
        <w:t>privind implementarea platformei electronice și a</w:t>
      </w:r>
      <w:r w:rsidR="006A0B21" w:rsidRPr="000D19A7">
        <w:rPr>
          <w:rFonts w:ascii="Times New Roman" w:hAnsi="Times New Roman" w:cs="Times New Roman"/>
          <w:color w:val="000000" w:themeColor="text1"/>
          <w:szCs w:val="24"/>
          <w:lang w:val="ro-MD" w:eastAsia="ru-RU"/>
        </w:rPr>
        <w:t>u</w:t>
      </w:r>
      <w:r w:rsidR="00FD4BF0" w:rsidRPr="000D19A7">
        <w:rPr>
          <w:rFonts w:ascii="Times New Roman" w:hAnsi="Times New Roman" w:cs="Times New Roman"/>
          <w:color w:val="000000" w:themeColor="text1"/>
          <w:szCs w:val="24"/>
          <w:lang w:val="ro-MD" w:eastAsia="ru-RU"/>
        </w:rPr>
        <w:t xml:space="preserve"> fost elaborat</w:t>
      </w:r>
      <w:r w:rsidR="006A0B21" w:rsidRPr="000D19A7">
        <w:rPr>
          <w:rFonts w:ascii="Times New Roman" w:hAnsi="Times New Roman" w:cs="Times New Roman"/>
          <w:color w:val="000000" w:themeColor="text1"/>
          <w:szCs w:val="24"/>
          <w:lang w:val="ro-MD" w:eastAsia="ru-RU"/>
        </w:rPr>
        <w:t>e</w:t>
      </w:r>
      <w:r w:rsidR="00FD4BF0" w:rsidRPr="000D19A7">
        <w:rPr>
          <w:rFonts w:ascii="Times New Roman" w:hAnsi="Times New Roman" w:cs="Times New Roman"/>
          <w:color w:val="000000" w:themeColor="text1"/>
          <w:szCs w:val="24"/>
          <w:lang w:val="ro-MD" w:eastAsia="ru-RU"/>
        </w:rPr>
        <w:t xml:space="preserve"> Planul de lucru și Calendarul de implementare a soluției IT. Menționăm că termenul de </w:t>
      </w:r>
      <w:r w:rsidR="00DF050C" w:rsidRPr="000D19A7">
        <w:rPr>
          <w:rFonts w:ascii="Times New Roman" w:hAnsi="Times New Roman" w:cs="Times New Roman"/>
          <w:color w:val="000000" w:themeColor="text1"/>
          <w:szCs w:val="24"/>
          <w:lang w:val="ro-MD" w:eastAsia="ru-RU"/>
        </w:rPr>
        <w:t xml:space="preserve">implementare a fost </w:t>
      </w:r>
      <w:r w:rsidR="00FD4BF0" w:rsidRPr="000D19A7">
        <w:rPr>
          <w:rFonts w:ascii="Times New Roman" w:hAnsi="Times New Roman" w:cs="Times New Roman"/>
          <w:color w:val="000000" w:themeColor="text1"/>
          <w:szCs w:val="24"/>
          <w:lang w:val="ro-MD" w:eastAsia="ru-RU"/>
        </w:rPr>
        <w:t>extin</w:t>
      </w:r>
      <w:r w:rsidR="00DF050C" w:rsidRPr="000D19A7">
        <w:rPr>
          <w:rFonts w:ascii="Times New Roman" w:hAnsi="Times New Roman" w:cs="Times New Roman"/>
          <w:color w:val="000000" w:themeColor="text1"/>
          <w:szCs w:val="24"/>
          <w:lang w:val="ro-MD" w:eastAsia="ru-RU"/>
        </w:rPr>
        <w:t>s</w:t>
      </w:r>
      <w:r w:rsidR="00DF050C" w:rsidRPr="000D19A7">
        <w:rPr>
          <w:rStyle w:val="a6"/>
          <w:rFonts w:ascii="Times New Roman" w:hAnsi="Times New Roman" w:cs="Times New Roman"/>
          <w:color w:val="000000" w:themeColor="text1"/>
          <w:szCs w:val="24"/>
          <w:lang w:val="ro-MD" w:eastAsia="ru-RU"/>
        </w:rPr>
        <w:footnoteReference w:id="13"/>
      </w:r>
      <w:r w:rsidR="00DF050C" w:rsidRPr="000D19A7">
        <w:rPr>
          <w:rFonts w:ascii="Times New Roman" w:hAnsi="Times New Roman" w:cs="Times New Roman"/>
          <w:color w:val="000000" w:themeColor="text1"/>
          <w:szCs w:val="24"/>
          <w:lang w:val="ro-MD" w:eastAsia="ru-RU"/>
        </w:rPr>
        <w:t>,</w:t>
      </w:r>
      <w:r w:rsidR="006A0B21" w:rsidRPr="000D19A7">
        <w:rPr>
          <w:rFonts w:ascii="Times New Roman" w:hAnsi="Times New Roman" w:cs="Times New Roman"/>
          <w:color w:val="000000" w:themeColor="text1"/>
          <w:szCs w:val="24"/>
          <w:lang w:val="ro-MD" w:eastAsia="ru-RU"/>
        </w:rPr>
        <w:t xml:space="preserve"> astfel,</w:t>
      </w:r>
      <w:r w:rsidR="00DF050C" w:rsidRPr="000D19A7">
        <w:rPr>
          <w:rFonts w:ascii="Times New Roman" w:hAnsi="Times New Roman" w:cs="Times New Roman"/>
          <w:color w:val="000000" w:themeColor="text1"/>
          <w:szCs w:val="24"/>
          <w:lang w:val="ro-MD" w:eastAsia="ru-RU"/>
        </w:rPr>
        <w:t xml:space="preserve"> MF fiind în aștepare de la compania implementatoare a platformei funcționale până la 01.07.2024. </w:t>
      </w:r>
    </w:p>
    <w:p w14:paraId="3E40517E" w14:textId="6C06D36D" w:rsidR="00BE5538" w:rsidRPr="000D19A7" w:rsidRDefault="00BE5538" w:rsidP="00633FBC">
      <w:pPr>
        <w:pStyle w:val="a7"/>
        <w:numPr>
          <w:ilvl w:val="2"/>
          <w:numId w:val="31"/>
        </w:numPr>
        <w:spacing w:after="0"/>
        <w:ind w:left="0" w:firstLine="0"/>
        <w:jc w:val="both"/>
        <w:rPr>
          <w:rFonts w:ascii="Times New Roman" w:hAnsi="Times New Roman" w:cs="Times New Roman"/>
          <w:b/>
          <w:i/>
          <w:lang w:val="ro-MD"/>
        </w:rPr>
      </w:pPr>
      <w:r w:rsidRPr="000D19A7">
        <w:rPr>
          <w:rFonts w:ascii="Times New Roman" w:hAnsi="Times New Roman" w:cs="Times New Roman"/>
          <w:b/>
          <w:i/>
          <w:lang w:val="ro-MD"/>
        </w:rPr>
        <w:t>Dob</w:t>
      </w:r>
      <w:r w:rsidR="006A0B21" w:rsidRPr="000D19A7">
        <w:rPr>
          <w:rFonts w:ascii="Times New Roman" w:hAnsi="Times New Roman" w:cs="Times New Roman"/>
          <w:b/>
          <w:i/>
          <w:lang w:val="ro-MD"/>
        </w:rPr>
        <w:t>â</w:t>
      </w:r>
      <w:r w:rsidRPr="000D19A7">
        <w:rPr>
          <w:rFonts w:ascii="Times New Roman" w:hAnsi="Times New Roman" w:cs="Times New Roman"/>
          <w:b/>
          <w:i/>
          <w:lang w:val="ro-MD"/>
        </w:rPr>
        <w:t>nda obținută de la VMS este supusă impozitării,</w:t>
      </w:r>
      <w:r w:rsidR="00C20591" w:rsidRPr="000D19A7">
        <w:rPr>
          <w:rFonts w:ascii="Times New Roman" w:hAnsi="Times New Roman" w:cs="Times New Roman"/>
          <w:b/>
          <w:i/>
          <w:lang w:val="ro-MD"/>
        </w:rPr>
        <w:t xml:space="preserve"> impozitul reținut din veniturile obținute sub formă de dob</w:t>
      </w:r>
      <w:r w:rsidR="006A0B21" w:rsidRPr="000D19A7">
        <w:rPr>
          <w:rFonts w:ascii="Times New Roman" w:hAnsi="Times New Roman" w:cs="Times New Roman"/>
          <w:b/>
          <w:i/>
          <w:lang w:val="ro-MD"/>
        </w:rPr>
        <w:t>â</w:t>
      </w:r>
      <w:r w:rsidR="00C20591" w:rsidRPr="000D19A7">
        <w:rPr>
          <w:rFonts w:ascii="Times New Roman" w:hAnsi="Times New Roman" w:cs="Times New Roman"/>
          <w:b/>
          <w:i/>
          <w:lang w:val="ro-MD"/>
        </w:rPr>
        <w:t xml:space="preserve">ndă de la VMS fiind mai mare </w:t>
      </w:r>
      <w:r w:rsidR="006A0B21" w:rsidRPr="000D19A7">
        <w:rPr>
          <w:rFonts w:ascii="Times New Roman" w:hAnsi="Times New Roman" w:cs="Times New Roman"/>
          <w:b/>
          <w:i/>
          <w:lang w:val="ro-MD"/>
        </w:rPr>
        <w:t>decât impozitul reținut din dobâ</w:t>
      </w:r>
      <w:r w:rsidR="00C20591" w:rsidRPr="000D19A7">
        <w:rPr>
          <w:rFonts w:ascii="Times New Roman" w:hAnsi="Times New Roman" w:cs="Times New Roman"/>
          <w:b/>
          <w:i/>
          <w:lang w:val="ro-MD"/>
        </w:rPr>
        <w:t xml:space="preserve">nda </w:t>
      </w:r>
      <w:r w:rsidR="006A0B21" w:rsidRPr="000D19A7">
        <w:rPr>
          <w:rFonts w:ascii="Times New Roman" w:hAnsi="Times New Roman" w:cs="Times New Roman"/>
          <w:b/>
          <w:i/>
          <w:lang w:val="ro-MD"/>
        </w:rPr>
        <w:t xml:space="preserve">de </w:t>
      </w:r>
      <w:r w:rsidR="00C20591" w:rsidRPr="000D19A7">
        <w:rPr>
          <w:rFonts w:ascii="Times New Roman" w:hAnsi="Times New Roman" w:cs="Times New Roman"/>
          <w:b/>
          <w:i/>
          <w:lang w:val="ro-MD"/>
        </w:rPr>
        <w:t>la depozitele bancare</w:t>
      </w:r>
      <w:r w:rsidR="006C14CF" w:rsidRPr="000D19A7">
        <w:rPr>
          <w:rFonts w:ascii="Times New Roman" w:hAnsi="Times New Roman" w:cs="Times New Roman"/>
          <w:b/>
          <w:i/>
          <w:lang w:val="ro-MD"/>
        </w:rPr>
        <w:t>.</w:t>
      </w:r>
      <w:r w:rsidRPr="000D19A7">
        <w:rPr>
          <w:rFonts w:ascii="Times New Roman" w:hAnsi="Times New Roman" w:cs="Times New Roman"/>
          <w:b/>
          <w:i/>
          <w:lang w:val="ro-MD"/>
        </w:rPr>
        <w:t xml:space="preserve"> </w:t>
      </w:r>
    </w:p>
    <w:p w14:paraId="26EE8025" w14:textId="3B8B90ED" w:rsidR="00ED79DC" w:rsidRPr="000D19A7" w:rsidRDefault="00BA2D8B" w:rsidP="00633FBC">
      <w:pPr>
        <w:spacing w:after="0" w:line="276" w:lineRule="auto"/>
        <w:jc w:val="both"/>
        <w:rPr>
          <w:rFonts w:ascii="Times New Roman" w:hAnsi="Times New Roman" w:cs="Times New Roman"/>
          <w:lang w:val="ro-MD"/>
        </w:rPr>
      </w:pPr>
      <w:r w:rsidRPr="000D19A7">
        <w:rPr>
          <w:rFonts w:ascii="Times New Roman" w:hAnsi="Times New Roman" w:cs="Times New Roman"/>
          <w:lang w:val="ro-MD"/>
        </w:rPr>
        <w:t>Î</w:t>
      </w:r>
      <w:r w:rsidR="000B5AA1" w:rsidRPr="000D19A7">
        <w:rPr>
          <w:rFonts w:ascii="Times New Roman" w:hAnsi="Times New Roman" w:cs="Times New Roman"/>
          <w:lang w:val="ro-MD"/>
        </w:rPr>
        <w:t xml:space="preserve">n conformitate cu prevederile </w:t>
      </w:r>
      <w:r w:rsidR="00D011EF" w:rsidRPr="000D19A7">
        <w:rPr>
          <w:rFonts w:ascii="Times New Roman" w:hAnsi="Times New Roman" w:cs="Times New Roman"/>
          <w:lang w:val="ro-MD"/>
        </w:rPr>
        <w:t>Codului Fiscal</w:t>
      </w:r>
      <w:r w:rsidR="003240B0" w:rsidRPr="000D19A7">
        <w:rPr>
          <w:rStyle w:val="a6"/>
          <w:rFonts w:ascii="Times New Roman" w:hAnsi="Times New Roman" w:cs="Times New Roman"/>
          <w:lang w:val="ro-MD"/>
        </w:rPr>
        <w:footnoteReference w:id="14"/>
      </w:r>
      <w:r w:rsidR="003240B0" w:rsidRPr="000D19A7">
        <w:rPr>
          <w:rFonts w:ascii="Times New Roman" w:hAnsi="Times New Roman" w:cs="Times New Roman"/>
          <w:lang w:val="ro-MD"/>
        </w:rPr>
        <w:t xml:space="preserve">, începând cu 01 ianuarie 2021, veniturile </w:t>
      </w:r>
      <w:r w:rsidR="00BD3B85" w:rsidRPr="000D19A7">
        <w:rPr>
          <w:rFonts w:ascii="Times New Roman" w:hAnsi="Times New Roman" w:cs="Times New Roman"/>
          <w:lang w:val="ro-MD"/>
        </w:rPr>
        <w:t>obținute sub formă de</w:t>
      </w:r>
      <w:r w:rsidR="003240B0" w:rsidRPr="000D19A7">
        <w:rPr>
          <w:rFonts w:ascii="Times New Roman" w:hAnsi="Times New Roman" w:cs="Times New Roman"/>
          <w:lang w:val="ro-MD"/>
        </w:rPr>
        <w:t xml:space="preserve"> </w:t>
      </w:r>
      <w:r w:rsidR="00BD3B85" w:rsidRPr="000D19A7">
        <w:rPr>
          <w:rFonts w:ascii="Times New Roman" w:hAnsi="Times New Roman" w:cs="Times New Roman"/>
          <w:lang w:val="ro-MD"/>
        </w:rPr>
        <w:t xml:space="preserve">dobândă de la </w:t>
      </w:r>
      <w:r w:rsidR="003240B0" w:rsidRPr="000D19A7">
        <w:rPr>
          <w:rFonts w:ascii="Times New Roman" w:hAnsi="Times New Roman" w:cs="Times New Roman"/>
          <w:lang w:val="ro-MD"/>
        </w:rPr>
        <w:t>VMS</w:t>
      </w:r>
      <w:r w:rsidR="00BD3B85" w:rsidRPr="000D19A7">
        <w:rPr>
          <w:rFonts w:ascii="Times New Roman" w:hAnsi="Times New Roman" w:cs="Times New Roman"/>
          <w:lang w:val="ro-MD"/>
        </w:rPr>
        <w:t xml:space="preserve"> de către persoanele fizice</w:t>
      </w:r>
      <w:r w:rsidR="003240B0" w:rsidRPr="000D19A7">
        <w:rPr>
          <w:rFonts w:ascii="Times New Roman" w:hAnsi="Times New Roman" w:cs="Times New Roman"/>
          <w:lang w:val="ro-MD"/>
        </w:rPr>
        <w:t xml:space="preserve"> sunt </w:t>
      </w:r>
      <w:r w:rsidR="00BD3B85" w:rsidRPr="000D19A7">
        <w:rPr>
          <w:rFonts w:ascii="Times New Roman" w:hAnsi="Times New Roman" w:cs="Times New Roman"/>
          <w:lang w:val="ro-MD"/>
        </w:rPr>
        <w:t xml:space="preserve">impozitate, mărimea impozitului </w:t>
      </w:r>
      <w:r w:rsidRPr="000D19A7">
        <w:rPr>
          <w:rFonts w:ascii="Times New Roman" w:hAnsi="Times New Roman" w:cs="Times New Roman"/>
          <w:lang w:val="ro-MD"/>
        </w:rPr>
        <w:t xml:space="preserve">reținut, </w:t>
      </w:r>
      <w:r w:rsidR="00BD3B85" w:rsidRPr="000D19A7">
        <w:rPr>
          <w:rFonts w:ascii="Times New Roman" w:hAnsi="Times New Roman" w:cs="Times New Roman"/>
          <w:lang w:val="ro-MD"/>
        </w:rPr>
        <w:t>caracteristic și pentru anul de gestiune 2023</w:t>
      </w:r>
      <w:r w:rsidRPr="000D19A7">
        <w:rPr>
          <w:rFonts w:ascii="Times New Roman" w:hAnsi="Times New Roman" w:cs="Times New Roman"/>
          <w:lang w:val="ro-MD"/>
        </w:rPr>
        <w:t xml:space="preserve">, </w:t>
      </w:r>
      <w:r w:rsidR="00BD3B85" w:rsidRPr="000D19A7">
        <w:rPr>
          <w:rFonts w:ascii="Times New Roman" w:hAnsi="Times New Roman" w:cs="Times New Roman"/>
          <w:lang w:val="ro-MD"/>
        </w:rPr>
        <w:t xml:space="preserve"> </w:t>
      </w:r>
      <w:r w:rsidRPr="000D19A7">
        <w:rPr>
          <w:rFonts w:ascii="Times New Roman" w:hAnsi="Times New Roman" w:cs="Times New Roman"/>
          <w:lang w:val="ro-MD"/>
        </w:rPr>
        <w:t>constituind</w:t>
      </w:r>
      <w:r w:rsidR="00BD3B85" w:rsidRPr="000D19A7">
        <w:rPr>
          <w:rFonts w:ascii="Times New Roman" w:hAnsi="Times New Roman" w:cs="Times New Roman"/>
          <w:lang w:val="ro-MD"/>
        </w:rPr>
        <w:t xml:space="preserve"> 12%</w:t>
      </w:r>
      <w:r w:rsidR="00C20591" w:rsidRPr="000D19A7">
        <w:rPr>
          <w:rFonts w:ascii="Times New Roman" w:hAnsi="Times New Roman" w:cs="Times New Roman"/>
          <w:lang w:val="ro-MD"/>
        </w:rPr>
        <w:t xml:space="preserve">, în comparație cu </w:t>
      </w:r>
      <w:r w:rsidR="00D67B33" w:rsidRPr="000D19A7">
        <w:rPr>
          <w:rFonts w:ascii="Times New Roman" w:hAnsi="Times New Roman" w:cs="Times New Roman"/>
          <w:lang w:val="ro-MD"/>
        </w:rPr>
        <w:t>mărimea impozitului reținut din dobânzile de la depozite</w:t>
      </w:r>
      <w:r w:rsidR="006A0B21" w:rsidRPr="000D19A7">
        <w:rPr>
          <w:rFonts w:ascii="Times New Roman" w:hAnsi="Times New Roman" w:cs="Times New Roman"/>
          <w:lang w:val="ro-MD"/>
        </w:rPr>
        <w:t>le</w:t>
      </w:r>
      <w:r w:rsidR="00D67B33" w:rsidRPr="000D19A7">
        <w:rPr>
          <w:rFonts w:ascii="Times New Roman" w:hAnsi="Times New Roman" w:cs="Times New Roman"/>
          <w:lang w:val="ro-MD"/>
        </w:rPr>
        <w:t xml:space="preserve"> bancare</w:t>
      </w:r>
      <w:r w:rsidR="006A0B21" w:rsidRPr="000D19A7">
        <w:rPr>
          <w:rFonts w:ascii="Times New Roman" w:hAnsi="Times New Roman" w:cs="Times New Roman"/>
          <w:lang w:val="ro-MD"/>
        </w:rPr>
        <w:t>,</w:t>
      </w:r>
      <w:r w:rsidR="00D67B33" w:rsidRPr="000D19A7">
        <w:rPr>
          <w:rFonts w:ascii="Times New Roman" w:hAnsi="Times New Roman" w:cs="Times New Roman"/>
          <w:lang w:val="ro-MD"/>
        </w:rPr>
        <w:t xml:space="preserve"> </w:t>
      </w:r>
      <w:r w:rsidR="006A0B21" w:rsidRPr="000D19A7">
        <w:rPr>
          <w:rFonts w:ascii="Times New Roman" w:hAnsi="Times New Roman" w:cs="Times New Roman"/>
          <w:lang w:val="ro-MD"/>
        </w:rPr>
        <w:t xml:space="preserve">care constituie 6%. În opinia </w:t>
      </w:r>
      <w:r w:rsidR="00D67B33" w:rsidRPr="000D19A7">
        <w:rPr>
          <w:rFonts w:ascii="Times New Roman" w:hAnsi="Times New Roman" w:cs="Times New Roman"/>
          <w:lang w:val="ro-MD"/>
        </w:rPr>
        <w:t>audit</w:t>
      </w:r>
      <w:r w:rsidR="006A0B21" w:rsidRPr="000D19A7">
        <w:rPr>
          <w:rFonts w:ascii="Times New Roman" w:hAnsi="Times New Roman" w:cs="Times New Roman"/>
          <w:lang w:val="ro-MD"/>
        </w:rPr>
        <w:t>ului</w:t>
      </w:r>
      <w:r w:rsidR="00D67B33" w:rsidRPr="000D19A7">
        <w:rPr>
          <w:rFonts w:ascii="Times New Roman" w:hAnsi="Times New Roman" w:cs="Times New Roman"/>
          <w:lang w:val="ro-MD"/>
        </w:rPr>
        <w:t>, tratamentul fiscal neuniform</w:t>
      </w:r>
      <w:r w:rsidR="00E971B8" w:rsidRPr="000D19A7">
        <w:rPr>
          <w:rFonts w:ascii="Times New Roman" w:hAnsi="Times New Roman" w:cs="Times New Roman"/>
          <w:lang w:val="ro-MD"/>
        </w:rPr>
        <w:t>,</w:t>
      </w:r>
      <w:r w:rsidR="00D67B33" w:rsidRPr="000D19A7">
        <w:rPr>
          <w:rFonts w:ascii="Times New Roman" w:hAnsi="Times New Roman" w:cs="Times New Roman"/>
          <w:lang w:val="ro-MD"/>
        </w:rPr>
        <w:t xml:space="preserve"> </w:t>
      </w:r>
      <w:r w:rsidR="00E971B8" w:rsidRPr="000D19A7">
        <w:rPr>
          <w:rFonts w:ascii="Times New Roman" w:hAnsi="Times New Roman" w:cs="Times New Roman"/>
          <w:lang w:val="ro-MD"/>
        </w:rPr>
        <w:t xml:space="preserve">la nivel de politică bugetar-fiscală, </w:t>
      </w:r>
      <w:r w:rsidR="00D67B33" w:rsidRPr="000D19A7">
        <w:rPr>
          <w:rFonts w:ascii="Times New Roman" w:hAnsi="Times New Roman" w:cs="Times New Roman"/>
          <w:lang w:val="ro-MD"/>
        </w:rPr>
        <w:t>nu asigură o echitate între diferite instrumente investi</w:t>
      </w:r>
      <w:r w:rsidR="00E971B8" w:rsidRPr="000D19A7">
        <w:rPr>
          <w:rFonts w:ascii="Times New Roman" w:hAnsi="Times New Roman" w:cs="Times New Roman"/>
          <w:lang w:val="ro-MD"/>
        </w:rPr>
        <w:t>ționale.</w:t>
      </w:r>
    </w:p>
    <w:p w14:paraId="162133AF" w14:textId="5F5C6589" w:rsidR="0018632F" w:rsidRPr="000D19A7" w:rsidRDefault="00BA2D8B" w:rsidP="00D747CD">
      <w:pPr>
        <w:spacing w:line="276" w:lineRule="auto"/>
        <w:jc w:val="both"/>
        <w:rPr>
          <w:rFonts w:ascii="Times New Roman" w:hAnsi="Times New Roman" w:cs="Times New Roman"/>
          <w:lang w:val="ro-MD"/>
        </w:rPr>
      </w:pPr>
      <w:r w:rsidRPr="000D19A7">
        <w:rPr>
          <w:rFonts w:ascii="Times New Roman" w:hAnsi="Times New Roman" w:cs="Times New Roman"/>
          <w:lang w:val="ro-MD"/>
        </w:rPr>
        <w:t xml:space="preserve">Totodată, auditul menționează că, începând cu 01.01.2024, cadrul normativ nominalizat mai sus, a fost completat și modificat, urmare cărui fapt, </w:t>
      </w:r>
      <w:r w:rsidR="00C20591" w:rsidRPr="000D19A7">
        <w:rPr>
          <w:rFonts w:ascii="Times New Roman" w:hAnsi="Times New Roman" w:cs="Times New Roman"/>
          <w:lang w:val="ro-MD"/>
        </w:rPr>
        <w:t>„</w:t>
      </w:r>
      <w:r w:rsidRPr="000D19A7">
        <w:rPr>
          <w:rFonts w:ascii="Times New Roman" w:hAnsi="Times New Roman" w:cs="Times New Roman"/>
          <w:lang w:val="ro-MD"/>
        </w:rPr>
        <w:t>MF sau dealerii primari</w:t>
      </w:r>
      <w:r w:rsidR="006A0B21" w:rsidRPr="000D19A7">
        <w:rPr>
          <w:rFonts w:ascii="Times New Roman" w:hAnsi="Times New Roman" w:cs="Times New Roman"/>
          <w:lang w:val="ro-MD"/>
        </w:rPr>
        <w:t>,</w:t>
      </w:r>
      <w:r w:rsidRPr="000D19A7">
        <w:rPr>
          <w:rFonts w:ascii="Times New Roman" w:hAnsi="Times New Roman" w:cs="Times New Roman"/>
          <w:lang w:val="ro-MD"/>
        </w:rPr>
        <w:t xml:space="preserve"> în sensul Legii nr.419/2006 cu privire la datoria sectorului public, garanțiile </w:t>
      </w:r>
      <w:r w:rsidR="006A0B21" w:rsidRPr="000D19A7">
        <w:rPr>
          <w:rFonts w:ascii="Times New Roman" w:hAnsi="Times New Roman" w:cs="Times New Roman"/>
          <w:lang w:val="ro-MD"/>
        </w:rPr>
        <w:t xml:space="preserve">de stat și recreditarea de stat, </w:t>
      </w:r>
      <w:r w:rsidRPr="000D19A7">
        <w:rPr>
          <w:rFonts w:ascii="Times New Roman" w:hAnsi="Times New Roman" w:cs="Times New Roman"/>
          <w:lang w:val="ro-MD"/>
        </w:rPr>
        <w:t xml:space="preserve">rețin un </w:t>
      </w:r>
      <w:r w:rsidR="00C20591" w:rsidRPr="000D19A7">
        <w:rPr>
          <w:rFonts w:ascii="Times New Roman" w:hAnsi="Times New Roman" w:cs="Times New Roman"/>
          <w:lang w:val="ro-MD"/>
        </w:rPr>
        <w:t>impozit în mărime de 6% din veniturile sub formă de dobânzi de la VMS obținute de către persoanele fizice.</w:t>
      </w:r>
    </w:p>
    <w:p w14:paraId="247CFB90" w14:textId="24CED599" w:rsidR="00BE5538" w:rsidRPr="000D19A7" w:rsidRDefault="00D709A9" w:rsidP="00D747CD">
      <w:pPr>
        <w:spacing w:line="276" w:lineRule="auto"/>
        <w:jc w:val="both"/>
        <w:rPr>
          <w:rFonts w:ascii="Times New Roman" w:hAnsi="Times New Roman" w:cs="Times New Roman"/>
          <w:lang w:val="ro-MD"/>
        </w:rPr>
      </w:pPr>
      <w:r w:rsidRPr="000D19A7">
        <w:rPr>
          <w:rFonts w:ascii="Times New Roman" w:hAnsi="Times New Roman" w:cs="Times New Roman"/>
          <w:lang w:val="ro-MD"/>
        </w:rPr>
        <w:t>În contextul celor expuse mai sus, auditul vine să accentuieze avantajele care le oferă investiția în VMS, și anume: i) VMS reprezintă unul dintre cele mai sigure instrumente financiare, prin intermediul căruia statul se împrumută de la cetățeni</w:t>
      </w:r>
      <w:r w:rsidR="000456DB" w:rsidRPr="000D19A7">
        <w:rPr>
          <w:rFonts w:ascii="Times New Roman" w:hAnsi="Times New Roman" w:cs="Times New Roman"/>
          <w:lang w:val="ro-MD"/>
        </w:rPr>
        <w:t>, deoarece beneficiază de garanția integrală a statului</w:t>
      </w:r>
      <w:r w:rsidRPr="000D19A7">
        <w:rPr>
          <w:rFonts w:ascii="Times New Roman" w:hAnsi="Times New Roman" w:cs="Times New Roman"/>
          <w:lang w:val="ro-MD"/>
        </w:rPr>
        <w:t xml:space="preserve">; ii) VMS pe termen lung sunt foarte atractive din punct de vedere al câștigului, deoarece oferă o dobândă avantajoasă; iii) VMS sunt instrumente accesibile atât pentru persoanele fizice cît și pentru cele juridice; </w:t>
      </w:r>
      <w:r w:rsidR="000456DB" w:rsidRPr="000D19A7">
        <w:rPr>
          <w:rFonts w:ascii="Times New Roman" w:hAnsi="Times New Roman" w:cs="Times New Roman"/>
          <w:lang w:val="ro-MD"/>
        </w:rPr>
        <w:t>iv) VMS pot fi vândute altui investitor înainte de scadență, în același timp având posibilitatea de a-și păstra o parte din dobânda acumulată pe perioada deținerii (cu excepția unor cazuri extreme când rata poate să crească semnificativ. Pe cînd, în cazul depozitului, atunci când se dorește rezilierea contractului înainte de scadență, există riscul ca dobânda acumulată să fie pierdută integral.</w:t>
      </w:r>
      <w:r w:rsidRPr="000D19A7">
        <w:rPr>
          <w:rFonts w:ascii="Times New Roman" w:hAnsi="Times New Roman" w:cs="Times New Roman"/>
          <w:lang w:val="ro-MD"/>
        </w:rPr>
        <w:t xml:space="preserve"> </w:t>
      </w:r>
    </w:p>
    <w:p w14:paraId="0DFC931B" w14:textId="1DA54D62" w:rsidR="0065580F" w:rsidRPr="000D19A7" w:rsidRDefault="0065580F" w:rsidP="007C5272">
      <w:pPr>
        <w:pStyle w:val="a7"/>
        <w:numPr>
          <w:ilvl w:val="2"/>
          <w:numId w:val="31"/>
        </w:numPr>
        <w:spacing w:after="0"/>
        <w:ind w:left="0" w:firstLine="0"/>
        <w:jc w:val="both"/>
        <w:rPr>
          <w:rFonts w:ascii="Times New Roman" w:hAnsi="Times New Roman" w:cs="Times New Roman"/>
          <w:b/>
          <w:i/>
          <w:color w:val="000000" w:themeColor="text1"/>
          <w:lang w:val="ro-MD"/>
        </w:rPr>
      </w:pPr>
      <w:r w:rsidRPr="000D19A7">
        <w:rPr>
          <w:rFonts w:ascii="Times New Roman" w:hAnsi="Times New Roman" w:cs="Times New Roman"/>
          <w:b/>
          <w:i/>
          <w:lang w:val="ro-MD" w:eastAsia="ru-RU"/>
        </w:rPr>
        <w:t>Similar anilor precedenți, soldul datori</w:t>
      </w:r>
      <w:r w:rsidR="00DF46B3" w:rsidRPr="000D19A7">
        <w:rPr>
          <w:rFonts w:ascii="Times New Roman" w:hAnsi="Times New Roman" w:cs="Times New Roman"/>
          <w:b/>
          <w:i/>
          <w:lang w:val="ro-MD" w:eastAsia="ru-RU"/>
        </w:rPr>
        <w:t>ilor</w:t>
      </w:r>
      <w:r w:rsidRPr="000D19A7">
        <w:rPr>
          <w:rFonts w:ascii="Times New Roman" w:hAnsi="Times New Roman" w:cs="Times New Roman"/>
          <w:b/>
          <w:i/>
          <w:lang w:val="ro-MD" w:eastAsia="ru-RU"/>
        </w:rPr>
        <w:t xml:space="preserve"> băncilor supuse lichidării față de Ministerul Finanțelor rămâne a fi </w:t>
      </w:r>
      <w:r w:rsidR="004B6472" w:rsidRPr="000D19A7">
        <w:rPr>
          <w:rFonts w:ascii="Times New Roman" w:hAnsi="Times New Roman" w:cs="Times New Roman"/>
          <w:b/>
          <w:i/>
          <w:lang w:val="ro-MD" w:eastAsia="ru-RU"/>
        </w:rPr>
        <w:t>semnificativ</w:t>
      </w:r>
      <w:r w:rsidR="004B4B35" w:rsidRPr="000D19A7">
        <w:rPr>
          <w:rFonts w:ascii="Times New Roman" w:hAnsi="Times New Roman" w:cs="Times New Roman"/>
          <w:b/>
          <w:i/>
          <w:color w:val="000000" w:themeColor="text1"/>
          <w:lang w:val="ro-MD"/>
        </w:rPr>
        <w:t>, persistând riscul de nerecuperare a acestor</w:t>
      </w:r>
      <w:r w:rsidR="00DF46B3" w:rsidRPr="000D19A7">
        <w:rPr>
          <w:rFonts w:ascii="Times New Roman" w:hAnsi="Times New Roman" w:cs="Times New Roman"/>
          <w:b/>
          <w:i/>
          <w:color w:val="000000" w:themeColor="text1"/>
          <w:lang w:val="ro-MD"/>
        </w:rPr>
        <w:t>a, d</w:t>
      </w:r>
      <w:r w:rsidR="004B4B35" w:rsidRPr="000D19A7">
        <w:rPr>
          <w:rFonts w:ascii="Times New Roman" w:hAnsi="Times New Roman" w:cs="Times New Roman"/>
          <w:b/>
          <w:i/>
          <w:color w:val="000000" w:themeColor="text1"/>
          <w:lang w:val="ro-MD"/>
        </w:rPr>
        <w:t>in imposibilitatea realizării de către bănci a activelor deținute</w:t>
      </w:r>
      <w:r w:rsidR="00DF46B3" w:rsidRPr="000D19A7">
        <w:rPr>
          <w:rFonts w:ascii="Times New Roman" w:hAnsi="Times New Roman" w:cs="Times New Roman"/>
          <w:b/>
          <w:i/>
          <w:color w:val="000000" w:themeColor="text1"/>
          <w:lang w:val="ro-MD"/>
        </w:rPr>
        <w:t>.</w:t>
      </w:r>
    </w:p>
    <w:p w14:paraId="5C8F6CA2" w14:textId="32A96C14" w:rsidR="00D437F1" w:rsidRPr="000D19A7" w:rsidRDefault="00A04785" w:rsidP="00D747CD">
      <w:pPr>
        <w:spacing w:after="0" w:line="276" w:lineRule="auto"/>
        <w:jc w:val="both"/>
        <w:rPr>
          <w:rFonts w:ascii="Times New Roman" w:hAnsi="Times New Roman" w:cs="Times New Roman"/>
          <w:lang w:val="ro-MD"/>
        </w:rPr>
      </w:pPr>
      <w:r w:rsidRPr="000D19A7">
        <w:rPr>
          <w:rFonts w:ascii="Times New Roman" w:hAnsi="Times New Roman" w:cs="Times New Roman"/>
          <w:lang w:val="ro-MD"/>
        </w:rPr>
        <w:t>M</w:t>
      </w:r>
      <w:r w:rsidR="00FB158C" w:rsidRPr="000D19A7">
        <w:rPr>
          <w:rFonts w:ascii="Times New Roman" w:hAnsi="Times New Roman" w:cs="Times New Roman"/>
          <w:lang w:val="ro-MD"/>
        </w:rPr>
        <w:t>enționăm că, prin Legea nr. 235 din 03.10.2016</w:t>
      </w:r>
      <w:r w:rsidR="00FB158C" w:rsidRPr="000D19A7">
        <w:rPr>
          <w:rStyle w:val="a6"/>
          <w:rFonts w:ascii="Times New Roman" w:hAnsi="Times New Roman" w:cs="Times New Roman"/>
          <w:color w:val="000000" w:themeColor="text1"/>
          <w:lang w:val="ro-MD"/>
        </w:rPr>
        <w:footnoteReference w:id="15"/>
      </w:r>
      <w:r w:rsidR="00FB158C" w:rsidRPr="000D19A7">
        <w:rPr>
          <w:rFonts w:ascii="Times New Roman" w:hAnsi="Times New Roman" w:cs="Times New Roman"/>
          <w:lang w:val="ro-MD"/>
        </w:rPr>
        <w:t xml:space="preserve">, MF a fost autorizat să emită și să transmită </w:t>
      </w:r>
      <w:r w:rsidR="00DF46B3" w:rsidRPr="000D19A7">
        <w:rPr>
          <w:rFonts w:ascii="Times New Roman" w:hAnsi="Times New Roman" w:cs="Times New Roman"/>
          <w:lang w:val="ro-MD"/>
        </w:rPr>
        <w:t>către BNM obligațiuni de stat</w:t>
      </w:r>
      <w:r w:rsidR="00FB158C" w:rsidRPr="000D19A7">
        <w:rPr>
          <w:rFonts w:ascii="Times New Roman" w:hAnsi="Times New Roman" w:cs="Times New Roman"/>
          <w:lang w:val="ro-MD"/>
        </w:rPr>
        <w:t xml:space="preserve"> în vederea executării obligațiilor de plată derivate din garanțiile de stat acordate de BNM pentru garantarea creditelor de urgență în cazul băncilor supuse lichidării</w:t>
      </w:r>
      <w:r w:rsidR="00FB158C" w:rsidRPr="000D19A7">
        <w:rPr>
          <w:rStyle w:val="a6"/>
          <w:rFonts w:ascii="Times New Roman" w:hAnsi="Times New Roman" w:cs="Times New Roman"/>
          <w:color w:val="000000" w:themeColor="text1"/>
          <w:lang w:val="ro-MD"/>
        </w:rPr>
        <w:footnoteReference w:id="16"/>
      </w:r>
      <w:r w:rsidR="00FB158C" w:rsidRPr="000D19A7">
        <w:rPr>
          <w:rFonts w:ascii="Times New Roman" w:hAnsi="Times New Roman" w:cs="Times New Roman"/>
          <w:lang w:val="ro-MD"/>
        </w:rPr>
        <w:t>. Volumul OS emise</w:t>
      </w:r>
      <w:r w:rsidR="00D437F1" w:rsidRPr="000D19A7">
        <w:rPr>
          <w:rFonts w:ascii="Times New Roman" w:hAnsi="Times New Roman" w:cs="Times New Roman"/>
          <w:lang w:val="ro-MD"/>
        </w:rPr>
        <w:t>,</w:t>
      </w:r>
      <w:r w:rsidR="00FB158C" w:rsidRPr="000D19A7">
        <w:rPr>
          <w:rFonts w:ascii="Times New Roman" w:hAnsi="Times New Roman" w:cs="Times New Roman"/>
          <w:lang w:val="ro-MD"/>
        </w:rPr>
        <w:t xml:space="preserve"> reprezintă suma creditelor neachitate de către băncile supuse lichidării la data emiterii obligațiunilor de stat</w:t>
      </w:r>
      <w:r w:rsidR="0065580F" w:rsidRPr="000D19A7">
        <w:rPr>
          <w:rFonts w:ascii="Times New Roman" w:hAnsi="Times New Roman" w:cs="Times New Roman"/>
          <w:lang w:val="ro-MD"/>
        </w:rPr>
        <w:t>. OS</w:t>
      </w:r>
      <w:r w:rsidR="00D437F1" w:rsidRPr="000D19A7">
        <w:rPr>
          <w:rFonts w:ascii="Times New Roman" w:hAnsi="Times New Roman" w:cs="Times New Roman"/>
          <w:lang w:val="ro-MD"/>
        </w:rPr>
        <w:t xml:space="preserve"> respective</w:t>
      </w:r>
      <w:r w:rsidR="0065580F" w:rsidRPr="000D19A7">
        <w:rPr>
          <w:rFonts w:ascii="Times New Roman" w:hAnsi="Times New Roman" w:cs="Times New Roman"/>
          <w:lang w:val="ro-MD"/>
        </w:rPr>
        <w:t xml:space="preserve"> sunt emise pentru un termen de până la 25 de ani, în sum</w:t>
      </w:r>
      <w:r w:rsidR="00846BE9" w:rsidRPr="000D19A7">
        <w:rPr>
          <w:rFonts w:ascii="Times New Roman" w:hAnsi="Times New Roman" w:cs="Times New Roman"/>
          <w:lang w:val="ro-MD"/>
        </w:rPr>
        <w:t xml:space="preserve">ă totală de 13 341,2 mil. lei, </w:t>
      </w:r>
      <w:r w:rsidR="0065580F" w:rsidRPr="000D19A7">
        <w:rPr>
          <w:rFonts w:ascii="Times New Roman" w:hAnsi="Times New Roman" w:cs="Times New Roman"/>
          <w:lang w:val="ro-MD"/>
        </w:rPr>
        <w:t>iar dobânzile aferente sunt achitate semianual în coformi</w:t>
      </w:r>
      <w:r w:rsidR="000B5AA1" w:rsidRPr="000D19A7">
        <w:rPr>
          <w:rFonts w:ascii="Times New Roman" w:hAnsi="Times New Roman" w:cs="Times New Roman"/>
          <w:lang w:val="ro-MD"/>
        </w:rPr>
        <w:t xml:space="preserve">tate cu un grafic prestabilit. Diminuarea datoriei față de BNM are loc prin </w:t>
      </w:r>
      <w:r w:rsidR="007F5283" w:rsidRPr="000D19A7">
        <w:rPr>
          <w:rFonts w:ascii="Times New Roman" w:hAnsi="Times New Roman" w:cs="Times New Roman"/>
          <w:lang w:val="ro-MD"/>
        </w:rPr>
        <w:t>răscumpărarea de către MF a VMS scadente, în limitele indicate în Legea bugetară anuală sau prin răscumpărări aniticipate.</w:t>
      </w:r>
    </w:p>
    <w:p w14:paraId="2EE5F572" w14:textId="5A357589" w:rsidR="00EC28F6" w:rsidRPr="000D19A7" w:rsidRDefault="0054365D" w:rsidP="00D747CD">
      <w:pPr>
        <w:spacing w:after="0" w:line="276" w:lineRule="auto"/>
        <w:jc w:val="both"/>
        <w:rPr>
          <w:rFonts w:ascii="Times New Roman" w:hAnsi="Times New Roman" w:cs="Times New Roman"/>
          <w:color w:val="000000" w:themeColor="text1"/>
          <w:szCs w:val="24"/>
          <w:lang w:val="ro-MD"/>
        </w:rPr>
      </w:pPr>
      <w:r w:rsidRPr="000D19A7">
        <w:rPr>
          <w:rFonts w:ascii="Times New Roman" w:hAnsi="Times New Roman" w:cs="Times New Roman"/>
          <w:color w:val="000000" w:themeColor="text1"/>
          <w:szCs w:val="24"/>
          <w:lang w:val="ro-MD"/>
        </w:rPr>
        <w:t xml:space="preserve">Astfel, </w:t>
      </w:r>
      <w:r w:rsidR="00846BE9" w:rsidRPr="000D19A7">
        <w:rPr>
          <w:rFonts w:ascii="Times New Roman" w:hAnsi="Times New Roman" w:cs="Times New Roman"/>
          <w:color w:val="000000" w:themeColor="text1"/>
          <w:szCs w:val="24"/>
          <w:lang w:val="ro-MD"/>
        </w:rPr>
        <w:t>potrivit</w:t>
      </w:r>
      <w:r w:rsidR="00D437F1" w:rsidRPr="000D19A7">
        <w:rPr>
          <w:rFonts w:ascii="Times New Roman" w:hAnsi="Times New Roman" w:cs="Times New Roman"/>
          <w:color w:val="000000" w:themeColor="text1"/>
          <w:szCs w:val="24"/>
          <w:lang w:val="ro-MD"/>
        </w:rPr>
        <w:t xml:space="preserve"> informației prezentată de MF, soldul datoriei băncilor supuse lichidării față de MF, la situația din 31.12.2023</w:t>
      </w:r>
      <w:r w:rsidR="00846BE9" w:rsidRPr="000D19A7">
        <w:rPr>
          <w:rFonts w:ascii="Times New Roman" w:hAnsi="Times New Roman" w:cs="Times New Roman"/>
          <w:color w:val="000000" w:themeColor="text1"/>
          <w:szCs w:val="24"/>
          <w:lang w:val="ro-MD"/>
        </w:rPr>
        <w:t>,</w:t>
      </w:r>
      <w:r w:rsidR="00D437F1" w:rsidRPr="000D19A7">
        <w:rPr>
          <w:rFonts w:ascii="Times New Roman" w:hAnsi="Times New Roman" w:cs="Times New Roman"/>
          <w:color w:val="000000" w:themeColor="text1"/>
          <w:szCs w:val="24"/>
          <w:lang w:val="ro-MD"/>
        </w:rPr>
        <w:t xml:space="preserve"> a constituit suma de 11 640,4 mil. lei, pe parcursul anului 2023, băncile respective rambursând doar 102,5 mil. lei. La situația din 31.12.2023</w:t>
      </w:r>
      <w:r w:rsidR="003B5586" w:rsidRPr="000D19A7">
        <w:rPr>
          <w:rFonts w:ascii="Times New Roman" w:hAnsi="Times New Roman" w:cs="Times New Roman"/>
          <w:color w:val="000000" w:themeColor="text1"/>
          <w:szCs w:val="24"/>
          <w:lang w:val="ro-MD"/>
        </w:rPr>
        <w:t>, băncile în proces de lichidare au restitui</w:t>
      </w:r>
      <w:r w:rsidR="00846BE9" w:rsidRPr="000D19A7">
        <w:rPr>
          <w:rFonts w:ascii="Times New Roman" w:hAnsi="Times New Roman" w:cs="Times New Roman"/>
          <w:color w:val="000000" w:themeColor="text1"/>
          <w:szCs w:val="24"/>
          <w:lang w:val="ro-MD"/>
        </w:rPr>
        <w:t>t</w:t>
      </w:r>
      <w:r w:rsidR="003B5586" w:rsidRPr="000D19A7">
        <w:rPr>
          <w:rFonts w:ascii="Times New Roman" w:hAnsi="Times New Roman" w:cs="Times New Roman"/>
          <w:color w:val="000000" w:themeColor="text1"/>
          <w:szCs w:val="24"/>
          <w:lang w:val="ro-MD"/>
        </w:rPr>
        <w:t xml:space="preserve"> </w:t>
      </w:r>
      <w:r w:rsidR="00F06A38">
        <w:rPr>
          <w:rFonts w:ascii="Times New Roman" w:hAnsi="Times New Roman" w:cs="Times New Roman"/>
          <w:color w:val="000000" w:themeColor="text1"/>
          <w:szCs w:val="24"/>
          <w:lang w:val="ro-MD"/>
        </w:rPr>
        <w:t>cumulativ</w:t>
      </w:r>
      <w:r w:rsidR="003B5586" w:rsidRPr="000D19A7">
        <w:rPr>
          <w:rFonts w:ascii="Times New Roman" w:hAnsi="Times New Roman" w:cs="Times New Roman"/>
          <w:color w:val="000000" w:themeColor="text1"/>
          <w:szCs w:val="24"/>
          <w:lang w:val="ro-MD"/>
        </w:rPr>
        <w:t xml:space="preserve"> suma de 2 129,3 mil. lei, ce reprezintă doar 15,5% din totalul datorie preluate de MF (13 769,7 mil. lei). </w:t>
      </w:r>
      <w:r w:rsidR="0064797D">
        <w:rPr>
          <w:rFonts w:ascii="Times New Roman" w:hAnsi="Times New Roman" w:cs="Times New Roman"/>
          <w:color w:val="000000" w:themeColor="text1"/>
          <w:szCs w:val="24"/>
          <w:lang w:val="ro-MD"/>
        </w:rPr>
        <w:t xml:space="preserve">În același timp, în vederea executării obligațiunilor derivate din garanțiile de stat, în anul 2023 MF a răscumpărat din portofoliul deținut de BNM, obligațiuni de stat în sumă de 310,0 mil.lei, datoria MF față de BNM, la situația din 31.12.2023, constituind         11 751,2 mil. lei. </w:t>
      </w:r>
      <w:r w:rsidR="0064797D">
        <w:rPr>
          <w:rFonts w:ascii="Times New Roman" w:hAnsi="Times New Roman" w:cs="Times New Roman"/>
          <w:i/>
          <w:color w:val="000000" w:themeColor="text1"/>
          <w:szCs w:val="24"/>
          <w:lang w:val="ro-MD"/>
        </w:rPr>
        <w:t xml:space="preserve"> </w:t>
      </w:r>
      <w:r w:rsidR="00AB0266" w:rsidRPr="000D19A7">
        <w:rPr>
          <w:rFonts w:ascii="Times New Roman" w:hAnsi="Times New Roman" w:cs="Times New Roman"/>
          <w:i/>
          <w:color w:val="000000" w:themeColor="text1"/>
          <w:szCs w:val="24"/>
          <w:lang w:val="ro-MD"/>
        </w:rPr>
        <w:t>Analiza în dinamică a rambursărilor efectuate de către băncile aflate în proces de lichidare se prezintă în Tabelul nr.</w:t>
      </w:r>
      <w:r w:rsidR="000D19A7">
        <w:rPr>
          <w:rFonts w:ascii="Times New Roman" w:hAnsi="Times New Roman" w:cs="Times New Roman"/>
          <w:i/>
          <w:color w:val="000000" w:themeColor="text1"/>
          <w:szCs w:val="24"/>
          <w:lang w:val="ro-MD"/>
        </w:rPr>
        <w:t>6</w:t>
      </w:r>
      <w:r w:rsidR="00705AA0" w:rsidRPr="000D19A7">
        <w:rPr>
          <w:rFonts w:ascii="Times New Roman" w:hAnsi="Times New Roman" w:cs="Times New Roman"/>
          <w:i/>
          <w:color w:val="000000" w:themeColor="text1"/>
          <w:szCs w:val="24"/>
          <w:lang w:val="ro-MD"/>
        </w:rPr>
        <w:t>.</w:t>
      </w:r>
      <w:r w:rsidR="00AB0266" w:rsidRPr="000D19A7">
        <w:rPr>
          <w:rFonts w:ascii="Times New Roman" w:hAnsi="Times New Roman" w:cs="Times New Roman"/>
          <w:i/>
          <w:color w:val="000000" w:themeColor="text1"/>
          <w:szCs w:val="24"/>
          <w:lang w:val="ro-MD"/>
        </w:rPr>
        <w:t xml:space="preserve"> </w:t>
      </w:r>
    </w:p>
    <w:p w14:paraId="728B81F8" w14:textId="4C57A44F" w:rsidR="00AB0266" w:rsidRPr="000D19A7" w:rsidRDefault="00AB0266" w:rsidP="005C51C0">
      <w:pPr>
        <w:pStyle w:val="af3"/>
        <w:spacing w:line="276" w:lineRule="auto"/>
        <w:jc w:val="right"/>
        <w:rPr>
          <w:rFonts w:ascii="Times New Roman" w:hAnsi="Times New Roman" w:cs="Times New Roman"/>
          <w:b/>
          <w:i/>
          <w:color w:val="000000" w:themeColor="text1"/>
          <w:sz w:val="24"/>
          <w:szCs w:val="24"/>
          <w:lang w:val="ro-MD"/>
        </w:rPr>
      </w:pPr>
      <w:r w:rsidRPr="000D19A7">
        <w:rPr>
          <w:rFonts w:ascii="Times New Roman" w:hAnsi="Times New Roman" w:cs="Times New Roman"/>
          <w:b/>
          <w:i/>
          <w:color w:val="000000" w:themeColor="text1"/>
          <w:sz w:val="24"/>
          <w:szCs w:val="24"/>
          <w:lang w:val="ro-MD"/>
        </w:rPr>
        <w:t>Tabelul nr.</w:t>
      </w:r>
      <w:r w:rsidR="000D19A7">
        <w:rPr>
          <w:rFonts w:ascii="Times New Roman" w:hAnsi="Times New Roman" w:cs="Times New Roman"/>
          <w:b/>
          <w:i/>
          <w:color w:val="000000" w:themeColor="text1"/>
          <w:sz w:val="24"/>
          <w:szCs w:val="24"/>
          <w:lang w:val="ro-MD"/>
        </w:rPr>
        <w:t>6</w:t>
      </w:r>
    </w:p>
    <w:p w14:paraId="6D05EF04" w14:textId="77777777" w:rsidR="00AB0266" w:rsidRPr="000D19A7" w:rsidRDefault="00AB0266" w:rsidP="005C51C0">
      <w:pPr>
        <w:pStyle w:val="af3"/>
        <w:spacing w:line="276" w:lineRule="auto"/>
        <w:jc w:val="center"/>
        <w:rPr>
          <w:rFonts w:ascii="Times New Roman" w:hAnsi="Times New Roman" w:cs="Times New Roman"/>
          <w:b/>
          <w:color w:val="000000" w:themeColor="text1"/>
          <w:sz w:val="24"/>
          <w:szCs w:val="24"/>
          <w:lang w:val="ro-MD"/>
        </w:rPr>
      </w:pPr>
      <w:r w:rsidRPr="000D19A7">
        <w:rPr>
          <w:rFonts w:ascii="Times New Roman" w:hAnsi="Times New Roman" w:cs="Times New Roman"/>
          <w:b/>
          <w:color w:val="000000" w:themeColor="text1"/>
          <w:sz w:val="24"/>
          <w:szCs w:val="24"/>
          <w:lang w:val="ro-MD"/>
        </w:rPr>
        <w:t>Dinamica rambursărilor efectuate de către băncile aflate în proces de lichidare, mil. lei</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41"/>
        <w:gridCol w:w="1227"/>
        <w:gridCol w:w="1132"/>
        <w:gridCol w:w="1035"/>
        <w:gridCol w:w="1052"/>
        <w:gridCol w:w="986"/>
      </w:tblGrid>
      <w:tr w:rsidR="007B4FBA" w:rsidRPr="000D19A7" w14:paraId="438D47CD" w14:textId="77777777" w:rsidTr="00147A6B">
        <w:trPr>
          <w:trHeight w:val="423"/>
          <w:jc w:val="center"/>
        </w:trPr>
        <w:tc>
          <w:tcPr>
            <w:tcW w:w="2772" w:type="dxa"/>
            <w:vMerge w:val="restart"/>
            <w:shd w:val="clear" w:color="auto" w:fill="auto"/>
            <w:vAlign w:val="center"/>
          </w:tcPr>
          <w:p w14:paraId="17AF6A43"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Băncile supuse lichidării</w:t>
            </w:r>
          </w:p>
        </w:tc>
        <w:tc>
          <w:tcPr>
            <w:tcW w:w="1141" w:type="dxa"/>
            <w:vMerge w:val="restart"/>
            <w:shd w:val="clear" w:color="auto" w:fill="auto"/>
            <w:vAlign w:val="center"/>
          </w:tcPr>
          <w:p w14:paraId="3F8C3EEB"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Datoria inițială preluată</w:t>
            </w:r>
          </w:p>
        </w:tc>
        <w:tc>
          <w:tcPr>
            <w:tcW w:w="1227" w:type="dxa"/>
            <w:vMerge w:val="restart"/>
            <w:shd w:val="clear" w:color="auto" w:fill="auto"/>
            <w:vAlign w:val="center"/>
          </w:tcPr>
          <w:p w14:paraId="02568827" w14:textId="6091EDF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 xml:space="preserve">Rambursat </w:t>
            </w:r>
            <w:r w:rsidR="003B5586" w:rsidRPr="000D19A7">
              <w:rPr>
                <w:rFonts w:ascii="Times New Roman" w:eastAsia="Times New Roman" w:hAnsi="Times New Roman" w:cs="Times New Roman"/>
                <w:b/>
                <w:bCs/>
                <w:sz w:val="18"/>
                <w:szCs w:val="18"/>
                <w:lang w:val="ro-MD" w:eastAsia="ru-RU"/>
              </w:rPr>
              <w:t>total la situația din 31.12.2023</w:t>
            </w:r>
          </w:p>
        </w:tc>
        <w:tc>
          <w:tcPr>
            <w:tcW w:w="1132" w:type="dxa"/>
            <w:vMerge w:val="restart"/>
            <w:shd w:val="clear" w:color="auto" w:fill="auto"/>
            <w:vAlign w:val="center"/>
          </w:tcPr>
          <w:p w14:paraId="4CB1FE48" w14:textId="3D949541" w:rsidR="00E11B18" w:rsidRPr="000D19A7" w:rsidRDefault="003B5586"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Din care în a.2023</w:t>
            </w:r>
          </w:p>
        </w:tc>
        <w:tc>
          <w:tcPr>
            <w:tcW w:w="1035" w:type="dxa"/>
            <w:vMerge w:val="restart"/>
            <w:shd w:val="clear" w:color="auto" w:fill="auto"/>
            <w:vAlign w:val="center"/>
          </w:tcPr>
          <w:p w14:paraId="477DB0B2" w14:textId="7B4878BB" w:rsidR="00E11B18" w:rsidRPr="000D19A7" w:rsidRDefault="00812F93"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Soldul datoriei la 31.12.2023</w:t>
            </w:r>
          </w:p>
        </w:tc>
        <w:tc>
          <w:tcPr>
            <w:tcW w:w="2038" w:type="dxa"/>
            <w:gridSpan w:val="2"/>
            <w:shd w:val="clear" w:color="auto" w:fill="auto"/>
            <w:vAlign w:val="center"/>
          </w:tcPr>
          <w:p w14:paraId="0847BF94" w14:textId="5A8F1AFF" w:rsidR="00E11B18" w:rsidRPr="000D19A7" w:rsidRDefault="00846BE9" w:rsidP="00846BE9">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 xml:space="preserve">Prognoza </w:t>
            </w:r>
            <w:r w:rsidR="00E11B18" w:rsidRPr="000D19A7">
              <w:rPr>
                <w:rFonts w:ascii="Times New Roman" w:eastAsia="Times New Roman" w:hAnsi="Times New Roman" w:cs="Times New Roman"/>
                <w:b/>
                <w:bCs/>
                <w:sz w:val="18"/>
                <w:szCs w:val="18"/>
                <w:lang w:val="ro-MD" w:eastAsia="ru-RU"/>
              </w:rPr>
              <w:t>de rambursare în anii</w:t>
            </w:r>
          </w:p>
        </w:tc>
      </w:tr>
      <w:tr w:rsidR="007B4FBA" w:rsidRPr="000D19A7" w14:paraId="325FC994" w14:textId="77777777" w:rsidTr="00147A6B">
        <w:trPr>
          <w:jc w:val="center"/>
        </w:trPr>
        <w:tc>
          <w:tcPr>
            <w:tcW w:w="2772" w:type="dxa"/>
            <w:vMerge/>
            <w:shd w:val="clear" w:color="auto" w:fill="auto"/>
            <w:vAlign w:val="center"/>
          </w:tcPr>
          <w:p w14:paraId="5231868A"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p>
        </w:tc>
        <w:tc>
          <w:tcPr>
            <w:tcW w:w="1141" w:type="dxa"/>
            <w:vMerge/>
            <w:shd w:val="clear" w:color="auto" w:fill="auto"/>
            <w:vAlign w:val="center"/>
          </w:tcPr>
          <w:p w14:paraId="51034B40"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p>
        </w:tc>
        <w:tc>
          <w:tcPr>
            <w:tcW w:w="1227" w:type="dxa"/>
            <w:vMerge/>
            <w:shd w:val="clear" w:color="auto" w:fill="auto"/>
            <w:vAlign w:val="center"/>
          </w:tcPr>
          <w:p w14:paraId="066ABE67"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p>
        </w:tc>
        <w:tc>
          <w:tcPr>
            <w:tcW w:w="1132" w:type="dxa"/>
            <w:vMerge/>
            <w:shd w:val="clear" w:color="auto" w:fill="auto"/>
            <w:vAlign w:val="center"/>
          </w:tcPr>
          <w:p w14:paraId="48173B53"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p>
        </w:tc>
        <w:tc>
          <w:tcPr>
            <w:tcW w:w="1035" w:type="dxa"/>
            <w:vMerge/>
            <w:shd w:val="clear" w:color="auto" w:fill="auto"/>
            <w:vAlign w:val="center"/>
          </w:tcPr>
          <w:p w14:paraId="3E4BCB0D" w14:textId="77777777" w:rsidR="00E11B18" w:rsidRPr="000D19A7" w:rsidRDefault="00E11B18" w:rsidP="00946026">
            <w:pPr>
              <w:pStyle w:val="af3"/>
              <w:spacing w:line="276" w:lineRule="auto"/>
              <w:jc w:val="both"/>
              <w:rPr>
                <w:rFonts w:ascii="Times New Roman" w:eastAsia="Times New Roman" w:hAnsi="Times New Roman" w:cs="Times New Roman"/>
                <w:b/>
                <w:bCs/>
                <w:sz w:val="18"/>
                <w:szCs w:val="18"/>
                <w:lang w:val="ro-MD" w:eastAsia="ru-RU"/>
              </w:rPr>
            </w:pPr>
          </w:p>
        </w:tc>
        <w:tc>
          <w:tcPr>
            <w:tcW w:w="1052" w:type="dxa"/>
            <w:shd w:val="clear" w:color="auto" w:fill="auto"/>
            <w:vAlign w:val="center"/>
          </w:tcPr>
          <w:p w14:paraId="7CB97AC6" w14:textId="3D98810D" w:rsidR="00E11B18" w:rsidRPr="000D19A7" w:rsidRDefault="00E11B18"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2023</w:t>
            </w:r>
          </w:p>
        </w:tc>
        <w:tc>
          <w:tcPr>
            <w:tcW w:w="986" w:type="dxa"/>
            <w:shd w:val="clear" w:color="auto" w:fill="auto"/>
            <w:vAlign w:val="center"/>
          </w:tcPr>
          <w:p w14:paraId="72A801F3" w14:textId="1D53A3DA" w:rsidR="00E11B18" w:rsidRPr="000D19A7" w:rsidRDefault="00E11B18"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2024</w:t>
            </w:r>
          </w:p>
        </w:tc>
      </w:tr>
      <w:tr w:rsidR="007B4FBA" w:rsidRPr="000D19A7" w14:paraId="3A03B329" w14:textId="77777777" w:rsidTr="00147A6B">
        <w:trPr>
          <w:jc w:val="center"/>
        </w:trPr>
        <w:tc>
          <w:tcPr>
            <w:tcW w:w="2772" w:type="dxa"/>
            <w:shd w:val="clear" w:color="auto" w:fill="auto"/>
            <w:vAlign w:val="center"/>
          </w:tcPr>
          <w:p w14:paraId="1E085A0E" w14:textId="56BC9F23" w:rsidR="00394CE1" w:rsidRPr="000D19A7" w:rsidRDefault="00394CE1" w:rsidP="00846BE9">
            <w:pPr>
              <w:pStyle w:val="af3"/>
              <w:spacing w:line="276" w:lineRule="auto"/>
              <w:jc w:val="both"/>
              <w:rPr>
                <w:rFonts w:ascii="Times New Roman" w:eastAsia="Times New Roman" w:hAnsi="Times New Roman" w:cs="Times New Roman"/>
                <w:bCs/>
                <w:sz w:val="18"/>
                <w:szCs w:val="18"/>
                <w:lang w:val="ro-MD" w:eastAsia="ru-RU"/>
              </w:rPr>
            </w:pPr>
            <w:r w:rsidRPr="000D19A7">
              <w:rPr>
                <w:rFonts w:ascii="Times New Roman" w:hAnsi="Times New Roman" w:cs="Times New Roman"/>
                <w:sz w:val="18"/>
                <w:szCs w:val="18"/>
                <w:lang w:val="ro-MD"/>
              </w:rPr>
              <w:t>„</w:t>
            </w:r>
            <w:r w:rsidR="00846BE9" w:rsidRPr="000D19A7">
              <w:rPr>
                <w:rFonts w:ascii="Times New Roman" w:hAnsi="Times New Roman" w:cs="Times New Roman"/>
                <w:sz w:val="18"/>
                <w:szCs w:val="18"/>
                <w:lang w:val="ro-MD"/>
              </w:rPr>
              <w:t>Banca de Economii” S</w:t>
            </w:r>
            <w:r w:rsidRPr="000D19A7">
              <w:rPr>
                <w:rFonts w:ascii="Times New Roman" w:hAnsi="Times New Roman" w:cs="Times New Roman"/>
                <w:sz w:val="18"/>
                <w:szCs w:val="18"/>
                <w:lang w:val="ro-MD"/>
              </w:rPr>
              <w:t>A</w:t>
            </w:r>
          </w:p>
        </w:tc>
        <w:tc>
          <w:tcPr>
            <w:tcW w:w="1141" w:type="dxa"/>
            <w:shd w:val="clear" w:color="auto" w:fill="auto"/>
            <w:vAlign w:val="center"/>
          </w:tcPr>
          <w:p w14:paraId="41738D53" w14:textId="77777777"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9 083,0</w:t>
            </w:r>
          </w:p>
        </w:tc>
        <w:tc>
          <w:tcPr>
            <w:tcW w:w="1227" w:type="dxa"/>
            <w:shd w:val="clear" w:color="auto" w:fill="auto"/>
            <w:vAlign w:val="center"/>
          </w:tcPr>
          <w:p w14:paraId="09017283" w14:textId="25E608CB" w:rsidR="00394CE1" w:rsidRPr="000D19A7" w:rsidRDefault="003B5586"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1 407,0</w:t>
            </w:r>
          </w:p>
        </w:tc>
        <w:tc>
          <w:tcPr>
            <w:tcW w:w="1132" w:type="dxa"/>
            <w:shd w:val="clear" w:color="auto" w:fill="auto"/>
            <w:vAlign w:val="center"/>
          </w:tcPr>
          <w:p w14:paraId="1792B866" w14:textId="7200E03D" w:rsidR="00394CE1" w:rsidRPr="000D19A7" w:rsidRDefault="003B5586"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69,0</w:t>
            </w:r>
          </w:p>
        </w:tc>
        <w:tc>
          <w:tcPr>
            <w:tcW w:w="1035" w:type="dxa"/>
            <w:shd w:val="clear" w:color="auto" w:fill="auto"/>
            <w:vAlign w:val="center"/>
          </w:tcPr>
          <w:p w14:paraId="15F30286" w14:textId="370A0EA9"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 xml:space="preserve">7 </w:t>
            </w:r>
            <w:r w:rsidR="003B5586" w:rsidRPr="000D19A7">
              <w:rPr>
                <w:rFonts w:ascii="Times New Roman" w:eastAsia="Times New Roman" w:hAnsi="Times New Roman" w:cs="Times New Roman"/>
                <w:bCs/>
                <w:sz w:val="18"/>
                <w:szCs w:val="18"/>
                <w:lang w:val="ro-MD" w:eastAsia="ru-RU"/>
              </w:rPr>
              <w:t>676,0</w:t>
            </w:r>
          </w:p>
        </w:tc>
        <w:tc>
          <w:tcPr>
            <w:tcW w:w="1052" w:type="dxa"/>
            <w:shd w:val="clear" w:color="auto" w:fill="auto"/>
            <w:vAlign w:val="center"/>
          </w:tcPr>
          <w:p w14:paraId="4FA7EBBA" w14:textId="638DDD2C"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91,2</w:t>
            </w:r>
          </w:p>
        </w:tc>
        <w:tc>
          <w:tcPr>
            <w:tcW w:w="986" w:type="dxa"/>
            <w:shd w:val="clear" w:color="auto" w:fill="auto"/>
            <w:vAlign w:val="center"/>
          </w:tcPr>
          <w:p w14:paraId="77881111" w14:textId="12912128"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91,2</w:t>
            </w:r>
          </w:p>
        </w:tc>
      </w:tr>
      <w:tr w:rsidR="007B4FBA" w:rsidRPr="000D19A7" w14:paraId="6AAC2B84" w14:textId="77777777" w:rsidTr="00147A6B">
        <w:trPr>
          <w:jc w:val="center"/>
        </w:trPr>
        <w:tc>
          <w:tcPr>
            <w:tcW w:w="2772" w:type="dxa"/>
            <w:shd w:val="clear" w:color="auto" w:fill="auto"/>
            <w:vAlign w:val="center"/>
          </w:tcPr>
          <w:p w14:paraId="3AFCFAA5" w14:textId="32C6147B" w:rsidR="00394CE1" w:rsidRPr="000D19A7" w:rsidRDefault="00846BE9" w:rsidP="00846BE9">
            <w:pPr>
              <w:pStyle w:val="af3"/>
              <w:spacing w:line="276" w:lineRule="auto"/>
              <w:jc w:val="both"/>
              <w:rPr>
                <w:rFonts w:ascii="Times New Roman" w:eastAsia="Times New Roman" w:hAnsi="Times New Roman" w:cs="Times New Roman"/>
                <w:bCs/>
                <w:sz w:val="18"/>
                <w:szCs w:val="18"/>
                <w:lang w:val="ro-MD" w:eastAsia="ru-RU"/>
              </w:rPr>
            </w:pPr>
            <w:r w:rsidRPr="000D19A7">
              <w:rPr>
                <w:rFonts w:ascii="Times New Roman" w:hAnsi="Times New Roman" w:cs="Times New Roman"/>
                <w:sz w:val="18"/>
                <w:szCs w:val="18"/>
                <w:lang w:val="ro-MD"/>
              </w:rPr>
              <w:t>B.C. „Banca Socială” SA</w:t>
            </w:r>
          </w:p>
        </w:tc>
        <w:tc>
          <w:tcPr>
            <w:tcW w:w="1141" w:type="dxa"/>
            <w:shd w:val="clear" w:color="auto" w:fill="auto"/>
            <w:vAlign w:val="center"/>
          </w:tcPr>
          <w:p w14:paraId="1628621D" w14:textId="77777777"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2 392,0</w:t>
            </w:r>
          </w:p>
        </w:tc>
        <w:tc>
          <w:tcPr>
            <w:tcW w:w="1227" w:type="dxa"/>
            <w:shd w:val="clear" w:color="auto" w:fill="auto"/>
            <w:vAlign w:val="center"/>
          </w:tcPr>
          <w:p w14:paraId="2648A1AB" w14:textId="05718409" w:rsidR="00394CE1" w:rsidRPr="000D19A7" w:rsidRDefault="003B5586"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585,0</w:t>
            </w:r>
          </w:p>
        </w:tc>
        <w:tc>
          <w:tcPr>
            <w:tcW w:w="1132" w:type="dxa"/>
            <w:shd w:val="clear" w:color="auto" w:fill="auto"/>
            <w:vAlign w:val="center"/>
          </w:tcPr>
          <w:p w14:paraId="4B6EDA43" w14:textId="3110DA89" w:rsidR="00394CE1" w:rsidRPr="000D19A7" w:rsidRDefault="003B5586"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33,0</w:t>
            </w:r>
          </w:p>
        </w:tc>
        <w:tc>
          <w:tcPr>
            <w:tcW w:w="1035" w:type="dxa"/>
            <w:shd w:val="clear" w:color="auto" w:fill="auto"/>
            <w:vAlign w:val="center"/>
          </w:tcPr>
          <w:p w14:paraId="7A2DB972" w14:textId="708B08DE"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1 8</w:t>
            </w:r>
            <w:r w:rsidR="003B5586" w:rsidRPr="000D19A7">
              <w:rPr>
                <w:rFonts w:ascii="Times New Roman" w:eastAsia="Times New Roman" w:hAnsi="Times New Roman" w:cs="Times New Roman"/>
                <w:bCs/>
                <w:sz w:val="18"/>
                <w:szCs w:val="18"/>
                <w:lang w:val="ro-MD" w:eastAsia="ru-RU"/>
              </w:rPr>
              <w:t>07,0</w:t>
            </w:r>
          </w:p>
        </w:tc>
        <w:tc>
          <w:tcPr>
            <w:tcW w:w="1052" w:type="dxa"/>
            <w:shd w:val="clear" w:color="auto" w:fill="auto"/>
            <w:vAlign w:val="center"/>
          </w:tcPr>
          <w:p w14:paraId="5DF35776" w14:textId="3D8A75FB"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30,0</w:t>
            </w:r>
          </w:p>
        </w:tc>
        <w:tc>
          <w:tcPr>
            <w:tcW w:w="986" w:type="dxa"/>
            <w:shd w:val="clear" w:color="auto" w:fill="auto"/>
            <w:vAlign w:val="center"/>
          </w:tcPr>
          <w:p w14:paraId="0D35F95D" w14:textId="0FBB33D7"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35,0</w:t>
            </w:r>
          </w:p>
        </w:tc>
      </w:tr>
      <w:tr w:rsidR="007B4FBA" w:rsidRPr="000D19A7" w14:paraId="0DDE7BA9" w14:textId="77777777" w:rsidTr="00147A6B">
        <w:trPr>
          <w:jc w:val="center"/>
        </w:trPr>
        <w:tc>
          <w:tcPr>
            <w:tcW w:w="2772" w:type="dxa"/>
            <w:shd w:val="clear" w:color="auto" w:fill="auto"/>
            <w:vAlign w:val="center"/>
          </w:tcPr>
          <w:p w14:paraId="6A0E52C6" w14:textId="273689EB" w:rsidR="00394CE1" w:rsidRPr="000D19A7" w:rsidRDefault="00846BE9" w:rsidP="00846BE9">
            <w:pPr>
              <w:pStyle w:val="af3"/>
              <w:spacing w:line="276" w:lineRule="auto"/>
              <w:jc w:val="both"/>
              <w:rPr>
                <w:rFonts w:ascii="Times New Roman" w:eastAsia="Times New Roman" w:hAnsi="Times New Roman" w:cs="Times New Roman"/>
                <w:bCs/>
                <w:sz w:val="18"/>
                <w:szCs w:val="18"/>
                <w:lang w:val="ro-MD" w:eastAsia="ru-RU"/>
              </w:rPr>
            </w:pPr>
            <w:r w:rsidRPr="000D19A7">
              <w:rPr>
                <w:rFonts w:ascii="Times New Roman" w:hAnsi="Times New Roman" w:cs="Times New Roman"/>
                <w:sz w:val="18"/>
                <w:szCs w:val="18"/>
                <w:lang w:val="ro-MD"/>
              </w:rPr>
              <w:t>B.C. „Unibank” S</w:t>
            </w:r>
            <w:r w:rsidR="00394CE1" w:rsidRPr="000D19A7">
              <w:rPr>
                <w:rFonts w:ascii="Times New Roman" w:hAnsi="Times New Roman" w:cs="Times New Roman"/>
                <w:sz w:val="18"/>
                <w:szCs w:val="18"/>
                <w:lang w:val="ro-MD"/>
              </w:rPr>
              <w:t>A</w:t>
            </w:r>
          </w:p>
        </w:tc>
        <w:tc>
          <w:tcPr>
            <w:tcW w:w="1141" w:type="dxa"/>
            <w:shd w:val="clear" w:color="auto" w:fill="auto"/>
            <w:vAlign w:val="center"/>
          </w:tcPr>
          <w:p w14:paraId="428A5E61" w14:textId="77777777"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1 866,2</w:t>
            </w:r>
          </w:p>
        </w:tc>
        <w:tc>
          <w:tcPr>
            <w:tcW w:w="1227" w:type="dxa"/>
            <w:shd w:val="clear" w:color="auto" w:fill="auto"/>
            <w:vAlign w:val="center"/>
          </w:tcPr>
          <w:p w14:paraId="51539105" w14:textId="7DD227F0" w:rsidR="003B5586" w:rsidRPr="000D19A7" w:rsidRDefault="00394CE1"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5</w:t>
            </w:r>
            <w:r w:rsidR="003B5586" w:rsidRPr="000D19A7">
              <w:rPr>
                <w:rFonts w:ascii="Times New Roman" w:hAnsi="Times New Roman" w:cs="Times New Roman"/>
                <w:sz w:val="18"/>
                <w:szCs w:val="18"/>
                <w:lang w:val="ro-MD"/>
              </w:rPr>
              <w:t>9,4</w:t>
            </w:r>
          </w:p>
        </w:tc>
        <w:tc>
          <w:tcPr>
            <w:tcW w:w="1132" w:type="dxa"/>
            <w:shd w:val="clear" w:color="auto" w:fill="auto"/>
            <w:vAlign w:val="center"/>
          </w:tcPr>
          <w:p w14:paraId="0DEF483B" w14:textId="7DD41A3D" w:rsidR="00394CE1" w:rsidRPr="000D19A7" w:rsidRDefault="003B5586"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0,5</w:t>
            </w:r>
          </w:p>
        </w:tc>
        <w:tc>
          <w:tcPr>
            <w:tcW w:w="1035" w:type="dxa"/>
            <w:shd w:val="clear" w:color="auto" w:fill="auto"/>
            <w:vAlign w:val="center"/>
          </w:tcPr>
          <w:p w14:paraId="1FBD22FA" w14:textId="2BB39627"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1 80</w:t>
            </w:r>
            <w:r w:rsidR="003B5586" w:rsidRPr="000D19A7">
              <w:rPr>
                <w:rFonts w:ascii="Times New Roman" w:eastAsia="Times New Roman" w:hAnsi="Times New Roman" w:cs="Times New Roman"/>
                <w:bCs/>
                <w:sz w:val="18"/>
                <w:szCs w:val="18"/>
                <w:lang w:val="ro-MD" w:eastAsia="ru-RU"/>
              </w:rPr>
              <w:t>6,8</w:t>
            </w:r>
          </w:p>
        </w:tc>
        <w:tc>
          <w:tcPr>
            <w:tcW w:w="1052" w:type="dxa"/>
            <w:shd w:val="clear" w:color="auto" w:fill="auto"/>
            <w:vAlign w:val="center"/>
          </w:tcPr>
          <w:p w14:paraId="521B6407" w14:textId="0DF0AFE7"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7,0</w:t>
            </w:r>
          </w:p>
        </w:tc>
        <w:tc>
          <w:tcPr>
            <w:tcW w:w="986" w:type="dxa"/>
            <w:shd w:val="clear" w:color="auto" w:fill="auto"/>
            <w:vAlign w:val="center"/>
          </w:tcPr>
          <w:p w14:paraId="1A5A1B85" w14:textId="06CE34B7"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13,8</w:t>
            </w:r>
          </w:p>
        </w:tc>
      </w:tr>
      <w:tr w:rsidR="007B4FBA" w:rsidRPr="000D19A7" w14:paraId="7B8DA90F" w14:textId="77777777" w:rsidTr="00147A6B">
        <w:trPr>
          <w:jc w:val="center"/>
        </w:trPr>
        <w:tc>
          <w:tcPr>
            <w:tcW w:w="2772" w:type="dxa"/>
            <w:shd w:val="clear" w:color="auto" w:fill="auto"/>
            <w:vAlign w:val="center"/>
          </w:tcPr>
          <w:p w14:paraId="2B3ABAAB" w14:textId="17886B30" w:rsidR="00394CE1" w:rsidRPr="000D19A7" w:rsidRDefault="00846BE9" w:rsidP="00846BE9">
            <w:pPr>
              <w:pStyle w:val="af3"/>
              <w:spacing w:line="276" w:lineRule="auto"/>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„Investprivatbank” S</w:t>
            </w:r>
            <w:r w:rsidR="00394CE1" w:rsidRPr="000D19A7">
              <w:rPr>
                <w:rFonts w:ascii="Times New Roman" w:hAnsi="Times New Roman" w:cs="Times New Roman"/>
                <w:sz w:val="18"/>
                <w:szCs w:val="18"/>
                <w:lang w:val="ro-MD"/>
              </w:rPr>
              <w:t>A</w:t>
            </w:r>
          </w:p>
        </w:tc>
        <w:tc>
          <w:tcPr>
            <w:tcW w:w="1141" w:type="dxa"/>
            <w:shd w:val="clear" w:color="auto" w:fill="auto"/>
            <w:vAlign w:val="center"/>
          </w:tcPr>
          <w:p w14:paraId="0717F569" w14:textId="77777777"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428,5</w:t>
            </w:r>
          </w:p>
        </w:tc>
        <w:tc>
          <w:tcPr>
            <w:tcW w:w="1227" w:type="dxa"/>
            <w:shd w:val="clear" w:color="auto" w:fill="auto"/>
            <w:vAlign w:val="center"/>
          </w:tcPr>
          <w:p w14:paraId="3D2E74F7" w14:textId="3A681AEF" w:rsidR="00394CE1" w:rsidRPr="000D19A7" w:rsidRDefault="00394CE1"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77,9</w:t>
            </w:r>
          </w:p>
        </w:tc>
        <w:tc>
          <w:tcPr>
            <w:tcW w:w="1132" w:type="dxa"/>
            <w:shd w:val="clear" w:color="auto" w:fill="auto"/>
            <w:vAlign w:val="center"/>
          </w:tcPr>
          <w:p w14:paraId="3A4A0DEF" w14:textId="4932DD4F" w:rsidR="00394CE1" w:rsidRPr="000D19A7" w:rsidRDefault="00780D82" w:rsidP="003B5586">
            <w:pPr>
              <w:spacing w:after="0" w:line="276" w:lineRule="auto"/>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w:t>
            </w:r>
          </w:p>
        </w:tc>
        <w:tc>
          <w:tcPr>
            <w:tcW w:w="1035" w:type="dxa"/>
            <w:shd w:val="clear" w:color="auto" w:fill="auto"/>
            <w:vAlign w:val="center"/>
          </w:tcPr>
          <w:p w14:paraId="5C632F8B" w14:textId="786A03F8" w:rsidR="00394CE1" w:rsidRPr="000D19A7" w:rsidRDefault="00394CE1"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350,6</w:t>
            </w:r>
          </w:p>
        </w:tc>
        <w:tc>
          <w:tcPr>
            <w:tcW w:w="1052" w:type="dxa"/>
            <w:shd w:val="clear" w:color="auto" w:fill="auto"/>
            <w:vAlign w:val="center"/>
          </w:tcPr>
          <w:p w14:paraId="4D8FFD07" w14:textId="199F8D06"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3,6</w:t>
            </w:r>
          </w:p>
        </w:tc>
        <w:tc>
          <w:tcPr>
            <w:tcW w:w="986" w:type="dxa"/>
            <w:shd w:val="clear" w:color="auto" w:fill="auto"/>
            <w:vAlign w:val="center"/>
          </w:tcPr>
          <w:p w14:paraId="7A2BC0BA" w14:textId="63C9E3D3" w:rsidR="00394CE1" w:rsidRPr="000D19A7" w:rsidRDefault="00E11B18" w:rsidP="003B5586">
            <w:pPr>
              <w:pStyle w:val="af3"/>
              <w:spacing w:line="276" w:lineRule="auto"/>
              <w:jc w:val="center"/>
              <w:rPr>
                <w:rFonts w:ascii="Times New Roman" w:eastAsia="Times New Roman" w:hAnsi="Times New Roman" w:cs="Times New Roman"/>
                <w:bCs/>
                <w:sz w:val="18"/>
                <w:szCs w:val="18"/>
                <w:lang w:val="ro-MD" w:eastAsia="ru-RU"/>
              </w:rPr>
            </w:pPr>
            <w:r w:rsidRPr="000D19A7">
              <w:rPr>
                <w:rFonts w:ascii="Times New Roman" w:eastAsia="Times New Roman" w:hAnsi="Times New Roman" w:cs="Times New Roman"/>
                <w:bCs/>
                <w:sz w:val="18"/>
                <w:szCs w:val="18"/>
                <w:lang w:val="ro-MD" w:eastAsia="ru-RU"/>
              </w:rPr>
              <w:t>-</w:t>
            </w:r>
          </w:p>
        </w:tc>
      </w:tr>
      <w:tr w:rsidR="007B4FBA" w:rsidRPr="000D19A7" w14:paraId="190A9416" w14:textId="77777777" w:rsidTr="00147A6B">
        <w:trPr>
          <w:jc w:val="center"/>
        </w:trPr>
        <w:tc>
          <w:tcPr>
            <w:tcW w:w="2772" w:type="dxa"/>
            <w:shd w:val="clear" w:color="auto" w:fill="auto"/>
            <w:vAlign w:val="center"/>
          </w:tcPr>
          <w:p w14:paraId="049BB0A5" w14:textId="77777777" w:rsidR="00394CE1" w:rsidRPr="000D19A7" w:rsidRDefault="00394CE1" w:rsidP="00946026">
            <w:pPr>
              <w:pStyle w:val="af3"/>
              <w:spacing w:line="276" w:lineRule="auto"/>
              <w:jc w:val="both"/>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Total</w:t>
            </w:r>
          </w:p>
        </w:tc>
        <w:tc>
          <w:tcPr>
            <w:tcW w:w="1141" w:type="dxa"/>
            <w:shd w:val="clear" w:color="auto" w:fill="auto"/>
            <w:vAlign w:val="center"/>
          </w:tcPr>
          <w:p w14:paraId="63D457B9" w14:textId="77777777" w:rsidR="00394CE1" w:rsidRPr="000D19A7" w:rsidRDefault="00394CE1"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13 769,7</w:t>
            </w:r>
          </w:p>
        </w:tc>
        <w:tc>
          <w:tcPr>
            <w:tcW w:w="1227" w:type="dxa"/>
            <w:shd w:val="clear" w:color="auto" w:fill="auto"/>
            <w:vAlign w:val="center"/>
          </w:tcPr>
          <w:p w14:paraId="64362D5F" w14:textId="34B2C436" w:rsidR="00394CE1" w:rsidRPr="000D19A7" w:rsidRDefault="00780D82" w:rsidP="003B5586">
            <w:pPr>
              <w:spacing w:after="0" w:line="276" w:lineRule="auto"/>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 xml:space="preserve">2 </w:t>
            </w:r>
            <w:r w:rsidR="003B5586" w:rsidRPr="000D19A7">
              <w:rPr>
                <w:rFonts w:ascii="Times New Roman" w:hAnsi="Times New Roman" w:cs="Times New Roman"/>
                <w:b/>
                <w:sz w:val="18"/>
                <w:szCs w:val="18"/>
                <w:lang w:val="ro-MD"/>
              </w:rPr>
              <w:t>129,3</w:t>
            </w:r>
          </w:p>
        </w:tc>
        <w:tc>
          <w:tcPr>
            <w:tcW w:w="1132" w:type="dxa"/>
            <w:shd w:val="clear" w:color="auto" w:fill="auto"/>
            <w:vAlign w:val="center"/>
          </w:tcPr>
          <w:p w14:paraId="0D777533" w14:textId="5DC13A10" w:rsidR="00394CE1" w:rsidRPr="000D19A7" w:rsidRDefault="003B5586" w:rsidP="003B5586">
            <w:pPr>
              <w:spacing w:after="0" w:line="276" w:lineRule="auto"/>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102,5</w:t>
            </w:r>
          </w:p>
        </w:tc>
        <w:tc>
          <w:tcPr>
            <w:tcW w:w="1035" w:type="dxa"/>
            <w:shd w:val="clear" w:color="auto" w:fill="auto"/>
            <w:vAlign w:val="center"/>
          </w:tcPr>
          <w:p w14:paraId="4E40896F" w14:textId="467F22BA" w:rsidR="00394CE1" w:rsidRPr="000D19A7" w:rsidRDefault="00394CE1"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 xml:space="preserve">11 </w:t>
            </w:r>
            <w:r w:rsidR="003B5586" w:rsidRPr="000D19A7">
              <w:rPr>
                <w:rFonts w:ascii="Times New Roman" w:eastAsia="Times New Roman" w:hAnsi="Times New Roman" w:cs="Times New Roman"/>
                <w:b/>
                <w:bCs/>
                <w:sz w:val="18"/>
                <w:szCs w:val="18"/>
                <w:lang w:val="ro-MD" w:eastAsia="ru-RU"/>
              </w:rPr>
              <w:t>640,4</w:t>
            </w:r>
          </w:p>
        </w:tc>
        <w:tc>
          <w:tcPr>
            <w:tcW w:w="1052" w:type="dxa"/>
            <w:shd w:val="clear" w:color="auto" w:fill="auto"/>
            <w:vAlign w:val="center"/>
          </w:tcPr>
          <w:p w14:paraId="79199221" w14:textId="3F435560" w:rsidR="00394CE1" w:rsidRPr="000D19A7" w:rsidRDefault="00E11B18"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131,8</w:t>
            </w:r>
          </w:p>
        </w:tc>
        <w:tc>
          <w:tcPr>
            <w:tcW w:w="986" w:type="dxa"/>
            <w:shd w:val="clear" w:color="auto" w:fill="auto"/>
            <w:vAlign w:val="center"/>
          </w:tcPr>
          <w:p w14:paraId="23088608" w14:textId="1FE6C618" w:rsidR="00394CE1" w:rsidRPr="000D19A7" w:rsidRDefault="00E11B18" w:rsidP="003B5586">
            <w:pPr>
              <w:pStyle w:val="af3"/>
              <w:spacing w:line="276" w:lineRule="auto"/>
              <w:jc w:val="center"/>
              <w:rPr>
                <w:rFonts w:ascii="Times New Roman" w:eastAsia="Times New Roman" w:hAnsi="Times New Roman" w:cs="Times New Roman"/>
                <w:b/>
                <w:bCs/>
                <w:sz w:val="18"/>
                <w:szCs w:val="18"/>
                <w:lang w:val="ro-MD" w:eastAsia="ru-RU"/>
              </w:rPr>
            </w:pPr>
            <w:r w:rsidRPr="000D19A7">
              <w:rPr>
                <w:rFonts w:ascii="Times New Roman" w:eastAsia="Times New Roman" w:hAnsi="Times New Roman" w:cs="Times New Roman"/>
                <w:b/>
                <w:bCs/>
                <w:sz w:val="18"/>
                <w:szCs w:val="18"/>
                <w:lang w:val="ro-MD" w:eastAsia="ru-RU"/>
              </w:rPr>
              <w:t>140,0</w:t>
            </w:r>
          </w:p>
        </w:tc>
      </w:tr>
    </w:tbl>
    <w:p w14:paraId="771111C7" w14:textId="7D0410C2" w:rsidR="00F6344E" w:rsidRPr="000D19A7" w:rsidRDefault="00AB0266" w:rsidP="00D747CD">
      <w:pPr>
        <w:pStyle w:val="af3"/>
        <w:spacing w:after="240" w:line="276" w:lineRule="auto"/>
        <w:ind w:firstLine="567"/>
        <w:jc w:val="both"/>
        <w:rPr>
          <w:rFonts w:ascii="Times New Roman" w:hAnsi="Times New Roman" w:cs="Times New Roman"/>
          <w:i/>
          <w:sz w:val="20"/>
          <w:szCs w:val="20"/>
          <w:lang w:val="ro-MD" w:eastAsia="ru-RU"/>
        </w:rPr>
      </w:pPr>
      <w:r w:rsidRPr="000D19A7">
        <w:rPr>
          <w:rFonts w:ascii="Times New Roman" w:hAnsi="Times New Roman" w:cs="Times New Roman"/>
          <w:b/>
          <w:i/>
          <w:sz w:val="20"/>
          <w:szCs w:val="20"/>
          <w:lang w:val="ro-MD" w:eastAsia="ru-RU"/>
        </w:rPr>
        <w:t>Sursa:</w:t>
      </w:r>
      <w:r w:rsidRPr="000D19A7">
        <w:rPr>
          <w:rFonts w:ascii="Times New Roman" w:hAnsi="Times New Roman" w:cs="Times New Roman"/>
          <w:i/>
          <w:sz w:val="20"/>
          <w:szCs w:val="20"/>
          <w:lang w:val="ro-MD" w:eastAsia="ru-RU"/>
        </w:rPr>
        <w:t xml:space="preserve"> Informați</w:t>
      </w:r>
      <w:r w:rsidR="006C0423" w:rsidRPr="000D19A7">
        <w:rPr>
          <w:rFonts w:ascii="Times New Roman" w:hAnsi="Times New Roman" w:cs="Times New Roman"/>
          <w:i/>
          <w:sz w:val="20"/>
          <w:szCs w:val="20"/>
          <w:lang w:val="ro-MD" w:eastAsia="ru-RU"/>
        </w:rPr>
        <w:t>ile</w:t>
      </w:r>
      <w:r w:rsidRPr="000D19A7">
        <w:rPr>
          <w:rFonts w:ascii="Times New Roman" w:hAnsi="Times New Roman" w:cs="Times New Roman"/>
          <w:i/>
          <w:sz w:val="20"/>
          <w:szCs w:val="20"/>
          <w:lang w:val="ro-MD" w:eastAsia="ru-RU"/>
        </w:rPr>
        <w:t xml:space="preserve"> MF privind soldul datoriei băncilor în proces de li</w:t>
      </w:r>
      <w:r w:rsidR="00846BE9" w:rsidRPr="000D19A7">
        <w:rPr>
          <w:rFonts w:ascii="Times New Roman" w:hAnsi="Times New Roman" w:cs="Times New Roman"/>
          <w:i/>
          <w:sz w:val="20"/>
          <w:szCs w:val="20"/>
          <w:lang w:val="ro-MD" w:eastAsia="ru-RU"/>
        </w:rPr>
        <w:t>chidare față de MF.</w:t>
      </w:r>
    </w:p>
    <w:p w14:paraId="74B78C21" w14:textId="63665567" w:rsidR="00B80D19" w:rsidRPr="000D19A7" w:rsidRDefault="00C50B50" w:rsidP="00B64692">
      <w:pPr>
        <w:spacing w:line="276" w:lineRule="auto"/>
        <w:jc w:val="both"/>
        <w:rPr>
          <w:rFonts w:ascii="Times New Roman" w:hAnsi="Times New Roman" w:cs="Times New Roman"/>
          <w:color w:val="000000" w:themeColor="text1"/>
          <w:szCs w:val="24"/>
          <w:lang w:val="ro-MD"/>
        </w:rPr>
      </w:pPr>
      <w:r w:rsidRPr="000D19A7">
        <w:rPr>
          <w:rFonts w:ascii="Times New Roman" w:hAnsi="Times New Roman" w:cs="Times New Roman"/>
          <w:color w:val="000000" w:themeColor="text1"/>
          <w:szCs w:val="24"/>
          <w:lang w:val="ro-MD"/>
        </w:rPr>
        <w:t xml:space="preserve">Auditul menționează că nu există </w:t>
      </w:r>
      <w:r w:rsidR="009E7AF4" w:rsidRPr="000D19A7">
        <w:rPr>
          <w:rFonts w:ascii="Times New Roman" w:hAnsi="Times New Roman" w:cs="Times New Roman"/>
          <w:color w:val="000000" w:themeColor="text1"/>
          <w:szCs w:val="24"/>
          <w:lang w:val="ro-MD"/>
        </w:rPr>
        <w:t xml:space="preserve">prevederi legislative care ar reglementa elaborarea </w:t>
      </w:r>
      <w:r w:rsidR="00F6344E" w:rsidRPr="000D19A7">
        <w:rPr>
          <w:rFonts w:ascii="Times New Roman" w:hAnsi="Times New Roman" w:cs="Times New Roman"/>
          <w:color w:val="000000" w:themeColor="text1"/>
          <w:szCs w:val="24"/>
          <w:lang w:val="ro-MD"/>
        </w:rPr>
        <w:t xml:space="preserve">unui grafic </w:t>
      </w:r>
      <w:r w:rsidR="00961E01" w:rsidRPr="000D19A7">
        <w:rPr>
          <w:rFonts w:ascii="Times New Roman" w:hAnsi="Times New Roman" w:cs="Times New Roman"/>
          <w:color w:val="000000" w:themeColor="text1"/>
          <w:szCs w:val="24"/>
          <w:lang w:val="ro-MD"/>
        </w:rPr>
        <w:t>de</w:t>
      </w:r>
      <w:r w:rsidR="00F6344E" w:rsidRPr="000D19A7">
        <w:rPr>
          <w:rFonts w:ascii="Times New Roman" w:hAnsi="Times New Roman" w:cs="Times New Roman"/>
          <w:color w:val="000000" w:themeColor="text1"/>
          <w:szCs w:val="24"/>
          <w:lang w:val="ro-MD"/>
        </w:rPr>
        <w:t xml:space="preserve"> încasare</w:t>
      </w:r>
      <w:r w:rsidR="00961E01" w:rsidRPr="000D19A7">
        <w:rPr>
          <w:rFonts w:ascii="Times New Roman" w:hAnsi="Times New Roman" w:cs="Times New Roman"/>
          <w:color w:val="000000" w:themeColor="text1"/>
          <w:szCs w:val="24"/>
          <w:lang w:val="ro-MD"/>
        </w:rPr>
        <w:t xml:space="preserve"> </w:t>
      </w:r>
      <w:r w:rsidR="00F6344E" w:rsidRPr="000D19A7">
        <w:rPr>
          <w:rFonts w:ascii="Times New Roman" w:hAnsi="Times New Roman" w:cs="Times New Roman"/>
          <w:color w:val="000000" w:themeColor="text1"/>
          <w:szCs w:val="24"/>
          <w:lang w:val="ro-MD"/>
        </w:rPr>
        <w:t>a mijloacelor din valorificarea active</w:t>
      </w:r>
      <w:r w:rsidR="001F7356" w:rsidRPr="000D19A7">
        <w:rPr>
          <w:rFonts w:ascii="Times New Roman" w:hAnsi="Times New Roman" w:cs="Times New Roman"/>
          <w:color w:val="000000" w:themeColor="text1"/>
          <w:szCs w:val="24"/>
          <w:lang w:val="ro-MD"/>
        </w:rPr>
        <w:t xml:space="preserve">lor băncilor supuse lichidării. </w:t>
      </w:r>
      <w:r w:rsidRPr="000D19A7">
        <w:rPr>
          <w:rFonts w:ascii="Times New Roman" w:hAnsi="Times New Roman" w:cs="Times New Roman"/>
          <w:color w:val="000000" w:themeColor="text1"/>
          <w:szCs w:val="24"/>
          <w:lang w:val="ro-MD"/>
        </w:rPr>
        <w:t>Potrivit explicațiilor MF, un astfel de grafic este imposibil de elaborat, deoarece este dificil de estimat sumele care vor fi obținute din realizarea activelor băncilor.</w:t>
      </w:r>
      <w:r w:rsidR="004B4B35" w:rsidRPr="000D19A7">
        <w:rPr>
          <w:rFonts w:ascii="Times New Roman" w:hAnsi="Times New Roman" w:cs="Times New Roman"/>
          <w:color w:val="000000" w:themeColor="text1"/>
          <w:szCs w:val="24"/>
          <w:lang w:val="ro-MD"/>
        </w:rPr>
        <w:t xml:space="preserve"> </w:t>
      </w:r>
      <w:r w:rsidR="00F6344E" w:rsidRPr="000D19A7">
        <w:rPr>
          <w:rFonts w:ascii="Times New Roman" w:hAnsi="Times New Roman" w:cs="Times New Roman"/>
          <w:color w:val="000000" w:themeColor="text1"/>
          <w:szCs w:val="24"/>
          <w:lang w:val="ro-MD"/>
        </w:rPr>
        <w:t>Tot</w:t>
      </w:r>
      <w:r w:rsidR="004B4B35" w:rsidRPr="000D19A7">
        <w:rPr>
          <w:rFonts w:ascii="Times New Roman" w:hAnsi="Times New Roman" w:cs="Times New Roman"/>
          <w:color w:val="000000" w:themeColor="text1"/>
          <w:szCs w:val="24"/>
          <w:lang w:val="ro-MD"/>
        </w:rPr>
        <w:t>uși</w:t>
      </w:r>
      <w:r w:rsidR="00F6344E" w:rsidRPr="000D19A7">
        <w:rPr>
          <w:rFonts w:ascii="Times New Roman" w:hAnsi="Times New Roman" w:cs="Times New Roman"/>
          <w:color w:val="000000" w:themeColor="text1"/>
          <w:szCs w:val="24"/>
          <w:lang w:val="ro-MD"/>
        </w:rPr>
        <w:t xml:space="preserve">, </w:t>
      </w:r>
      <w:r w:rsidR="004B4B35" w:rsidRPr="000D19A7">
        <w:rPr>
          <w:rFonts w:ascii="Times New Roman" w:hAnsi="Times New Roman" w:cs="Times New Roman"/>
          <w:color w:val="000000" w:themeColor="text1"/>
          <w:szCs w:val="24"/>
          <w:lang w:val="ro-MD"/>
        </w:rPr>
        <w:t xml:space="preserve">lichidatorii băncilor respective </w:t>
      </w:r>
      <w:r w:rsidR="00D92375" w:rsidRPr="000D19A7">
        <w:rPr>
          <w:rFonts w:ascii="Times New Roman" w:hAnsi="Times New Roman" w:cs="Times New Roman"/>
          <w:color w:val="000000" w:themeColor="text1"/>
          <w:szCs w:val="24"/>
          <w:lang w:val="ro-MD"/>
        </w:rPr>
        <w:t xml:space="preserve">au </w:t>
      </w:r>
      <w:r w:rsidR="004B4B35" w:rsidRPr="000D19A7">
        <w:rPr>
          <w:rFonts w:ascii="Times New Roman" w:hAnsi="Times New Roman" w:cs="Times New Roman"/>
          <w:color w:val="000000" w:themeColor="text1"/>
          <w:szCs w:val="24"/>
          <w:lang w:val="ro-MD"/>
        </w:rPr>
        <w:t>elabor</w:t>
      </w:r>
      <w:r w:rsidR="00D92375" w:rsidRPr="000D19A7">
        <w:rPr>
          <w:rFonts w:ascii="Times New Roman" w:hAnsi="Times New Roman" w:cs="Times New Roman"/>
          <w:color w:val="000000" w:themeColor="text1"/>
          <w:szCs w:val="24"/>
          <w:lang w:val="ro-MD"/>
        </w:rPr>
        <w:t>at</w:t>
      </w:r>
      <w:r w:rsidR="004B4B35" w:rsidRPr="000D19A7">
        <w:rPr>
          <w:rFonts w:ascii="Times New Roman" w:hAnsi="Times New Roman" w:cs="Times New Roman"/>
          <w:color w:val="000000" w:themeColor="text1"/>
          <w:szCs w:val="24"/>
          <w:lang w:val="ro-MD"/>
        </w:rPr>
        <w:t xml:space="preserve"> </w:t>
      </w:r>
      <w:r w:rsidR="00846BE9" w:rsidRPr="000D19A7">
        <w:rPr>
          <w:rFonts w:ascii="Times New Roman" w:hAnsi="Times New Roman" w:cs="Times New Roman"/>
          <w:color w:val="000000" w:themeColor="text1"/>
          <w:szCs w:val="24"/>
          <w:lang w:val="ro-MD"/>
        </w:rPr>
        <w:t>anumite</w:t>
      </w:r>
      <w:r w:rsidR="00F6344E" w:rsidRPr="000D19A7">
        <w:rPr>
          <w:rFonts w:ascii="Times New Roman" w:hAnsi="Times New Roman" w:cs="Times New Roman"/>
          <w:color w:val="000000" w:themeColor="text1"/>
          <w:szCs w:val="24"/>
          <w:lang w:val="ro-MD"/>
        </w:rPr>
        <w:t xml:space="preserve"> </w:t>
      </w:r>
      <w:r w:rsidR="007846FD" w:rsidRPr="000D19A7">
        <w:rPr>
          <w:rFonts w:ascii="Times New Roman" w:hAnsi="Times New Roman" w:cs="Times New Roman"/>
          <w:color w:val="000000" w:themeColor="text1"/>
          <w:szCs w:val="24"/>
          <w:lang w:val="ro-MD"/>
        </w:rPr>
        <w:t>prognoz</w:t>
      </w:r>
      <w:r w:rsidR="004B4B35" w:rsidRPr="000D19A7">
        <w:rPr>
          <w:rFonts w:ascii="Times New Roman" w:hAnsi="Times New Roman" w:cs="Times New Roman"/>
          <w:color w:val="000000" w:themeColor="text1"/>
          <w:szCs w:val="24"/>
          <w:lang w:val="ro-MD"/>
        </w:rPr>
        <w:t>e</w:t>
      </w:r>
      <w:r w:rsidR="007846FD" w:rsidRPr="000D19A7">
        <w:rPr>
          <w:rFonts w:ascii="Times New Roman" w:hAnsi="Times New Roman" w:cs="Times New Roman"/>
          <w:color w:val="000000" w:themeColor="text1"/>
          <w:szCs w:val="24"/>
          <w:lang w:val="ro-MD"/>
        </w:rPr>
        <w:t xml:space="preserve"> de r</w:t>
      </w:r>
      <w:r w:rsidR="00D92375" w:rsidRPr="000D19A7">
        <w:rPr>
          <w:rFonts w:ascii="Times New Roman" w:hAnsi="Times New Roman" w:cs="Times New Roman"/>
          <w:color w:val="000000" w:themeColor="text1"/>
          <w:szCs w:val="24"/>
          <w:lang w:val="ro-MD"/>
        </w:rPr>
        <w:t xml:space="preserve">ambursare a datoriei respective, </w:t>
      </w:r>
      <w:r w:rsidR="004B4B35" w:rsidRPr="000D19A7">
        <w:rPr>
          <w:rFonts w:ascii="Times New Roman" w:hAnsi="Times New Roman" w:cs="Times New Roman"/>
          <w:color w:val="000000" w:themeColor="text1"/>
          <w:szCs w:val="24"/>
          <w:lang w:val="ro-MD"/>
        </w:rPr>
        <w:t>potrivit căr</w:t>
      </w:r>
      <w:r w:rsidR="00846BE9" w:rsidRPr="000D19A7">
        <w:rPr>
          <w:rFonts w:ascii="Times New Roman" w:hAnsi="Times New Roman" w:cs="Times New Roman"/>
          <w:color w:val="000000" w:themeColor="text1"/>
          <w:szCs w:val="24"/>
          <w:lang w:val="ro-MD"/>
        </w:rPr>
        <w:t>ora</w:t>
      </w:r>
      <w:r w:rsidR="004B4B35" w:rsidRPr="000D19A7">
        <w:rPr>
          <w:rFonts w:ascii="Times New Roman" w:hAnsi="Times New Roman" w:cs="Times New Roman"/>
          <w:color w:val="000000" w:themeColor="text1"/>
          <w:szCs w:val="24"/>
          <w:lang w:val="ro-MD"/>
        </w:rPr>
        <w:t>,</w:t>
      </w:r>
      <w:r w:rsidR="001F7356" w:rsidRPr="000D19A7">
        <w:rPr>
          <w:rFonts w:ascii="Times New Roman" w:hAnsi="Times New Roman" w:cs="Times New Roman"/>
          <w:color w:val="000000" w:themeColor="text1"/>
          <w:szCs w:val="24"/>
          <w:lang w:val="ro-MD"/>
        </w:rPr>
        <w:t xml:space="preserve"> </w:t>
      </w:r>
      <w:r w:rsidR="00D92375" w:rsidRPr="000D19A7">
        <w:rPr>
          <w:rFonts w:ascii="Times New Roman" w:hAnsi="Times New Roman" w:cs="Times New Roman"/>
          <w:color w:val="000000" w:themeColor="text1"/>
          <w:szCs w:val="24"/>
          <w:lang w:val="ro-MD"/>
        </w:rPr>
        <w:t>urmare valorificării activelor deținute, în anul</w:t>
      </w:r>
      <w:r w:rsidR="001F7356" w:rsidRPr="000D19A7">
        <w:rPr>
          <w:rFonts w:ascii="Times New Roman" w:hAnsi="Times New Roman" w:cs="Times New Roman"/>
          <w:color w:val="000000" w:themeColor="text1"/>
          <w:szCs w:val="24"/>
          <w:lang w:val="ro-MD"/>
        </w:rPr>
        <w:t xml:space="preserve"> 2023, </w:t>
      </w:r>
      <w:r w:rsidR="00D92375" w:rsidRPr="000D19A7">
        <w:rPr>
          <w:rFonts w:ascii="Times New Roman" w:hAnsi="Times New Roman" w:cs="Times New Roman"/>
          <w:color w:val="000000" w:themeColor="text1"/>
          <w:szCs w:val="24"/>
          <w:lang w:val="ro-MD"/>
        </w:rPr>
        <w:t xml:space="preserve">băncile în proces de lichidare, din soldul datoriei rămase, urmau să ramburseze </w:t>
      </w:r>
      <w:r w:rsidR="001F7356" w:rsidRPr="000D19A7">
        <w:rPr>
          <w:rFonts w:ascii="Times New Roman" w:hAnsi="Times New Roman" w:cs="Times New Roman"/>
          <w:color w:val="000000" w:themeColor="text1"/>
          <w:szCs w:val="24"/>
          <w:lang w:val="ro-MD"/>
        </w:rPr>
        <w:t xml:space="preserve">în bugetul de </w:t>
      </w:r>
      <w:r w:rsidR="00D92375" w:rsidRPr="000D19A7">
        <w:rPr>
          <w:rFonts w:ascii="Times New Roman" w:hAnsi="Times New Roman" w:cs="Times New Roman"/>
          <w:color w:val="000000" w:themeColor="text1"/>
          <w:szCs w:val="24"/>
          <w:lang w:val="ro-MD"/>
        </w:rPr>
        <w:t xml:space="preserve">stat circa </w:t>
      </w:r>
      <w:r w:rsidR="004A202D" w:rsidRPr="000D19A7">
        <w:rPr>
          <w:rFonts w:ascii="Times New Roman" w:hAnsi="Times New Roman" w:cs="Times New Roman"/>
          <w:color w:val="000000" w:themeColor="text1"/>
          <w:szCs w:val="24"/>
          <w:lang w:val="ro-MD"/>
        </w:rPr>
        <w:t>131</w:t>
      </w:r>
      <w:r w:rsidR="00D92375" w:rsidRPr="000D19A7">
        <w:rPr>
          <w:rFonts w:ascii="Times New Roman" w:hAnsi="Times New Roman" w:cs="Times New Roman"/>
          <w:color w:val="000000" w:themeColor="text1"/>
          <w:szCs w:val="24"/>
          <w:lang w:val="ro-MD"/>
        </w:rPr>
        <w:t xml:space="preserve">,8 mil. lei, de facto acestea restituind doar 102,5 mil. lei, ce constituie doar </w:t>
      </w:r>
      <w:r w:rsidR="004A202D" w:rsidRPr="000D19A7">
        <w:rPr>
          <w:rFonts w:ascii="Times New Roman" w:hAnsi="Times New Roman" w:cs="Times New Roman"/>
          <w:color w:val="000000" w:themeColor="text1"/>
          <w:szCs w:val="24"/>
          <w:lang w:val="ro-MD"/>
        </w:rPr>
        <w:t>77,8</w:t>
      </w:r>
      <w:r w:rsidR="00D92375" w:rsidRPr="000D19A7">
        <w:rPr>
          <w:rFonts w:ascii="Times New Roman" w:hAnsi="Times New Roman" w:cs="Times New Roman"/>
          <w:color w:val="000000" w:themeColor="text1"/>
          <w:szCs w:val="24"/>
          <w:lang w:val="ro-MD"/>
        </w:rPr>
        <w:t>% din suma prognozată.</w:t>
      </w:r>
      <w:r w:rsidR="009E7AF4" w:rsidRPr="000D19A7">
        <w:rPr>
          <w:rFonts w:ascii="Times New Roman" w:hAnsi="Times New Roman" w:cs="Times New Roman"/>
          <w:color w:val="000000" w:themeColor="text1"/>
          <w:szCs w:val="24"/>
          <w:lang w:val="ro-MD"/>
        </w:rPr>
        <w:t xml:space="preserve"> </w:t>
      </w:r>
    </w:p>
    <w:p w14:paraId="7607C32D" w14:textId="67824F54" w:rsidR="00C61767" w:rsidRPr="000D19A7" w:rsidRDefault="005F7170" w:rsidP="0057265D">
      <w:pPr>
        <w:pStyle w:val="a7"/>
        <w:numPr>
          <w:ilvl w:val="2"/>
          <w:numId w:val="31"/>
        </w:numPr>
        <w:spacing w:after="0"/>
        <w:ind w:left="0" w:firstLine="0"/>
        <w:jc w:val="both"/>
        <w:rPr>
          <w:rFonts w:ascii="Times New Roman" w:hAnsi="Times New Roman" w:cs="Times New Roman"/>
          <w:b/>
          <w:i/>
          <w:lang w:val="ro-MD"/>
        </w:rPr>
      </w:pPr>
      <w:r w:rsidRPr="000D19A7">
        <w:rPr>
          <w:rFonts w:ascii="Times New Roman" w:hAnsi="Times New Roman" w:cs="Times New Roman"/>
          <w:b/>
          <w:i/>
          <w:lang w:val="ro-MD"/>
        </w:rPr>
        <w:t>N</w:t>
      </w:r>
      <w:r w:rsidR="001D358A" w:rsidRPr="000D19A7">
        <w:rPr>
          <w:rFonts w:ascii="Times New Roman" w:hAnsi="Times New Roman" w:cs="Times New Roman"/>
          <w:b/>
          <w:i/>
          <w:lang w:val="ro-MD"/>
        </w:rPr>
        <w:t xml:space="preserve">ivelul de executare al </w:t>
      </w:r>
      <w:r w:rsidR="00A96A02" w:rsidRPr="000D19A7">
        <w:rPr>
          <w:rFonts w:ascii="Times New Roman" w:hAnsi="Times New Roman" w:cs="Times New Roman"/>
          <w:b/>
          <w:i/>
          <w:lang w:val="ro-MD"/>
        </w:rPr>
        <w:t xml:space="preserve">alocațiilor bugetare îndreptate pentru implementarea proiectelor investiționale, </w:t>
      </w:r>
      <w:r w:rsidR="001D358A" w:rsidRPr="000D19A7">
        <w:rPr>
          <w:rFonts w:ascii="Times New Roman" w:hAnsi="Times New Roman" w:cs="Times New Roman"/>
          <w:b/>
          <w:i/>
          <w:lang w:val="ro-MD"/>
        </w:rPr>
        <w:t>rămâne în continuare scăzut, în unele cazuri fiind necesar</w:t>
      </w:r>
      <w:r w:rsidR="00846BE9" w:rsidRPr="000D19A7">
        <w:rPr>
          <w:rFonts w:ascii="Times New Roman" w:hAnsi="Times New Roman" w:cs="Times New Roman"/>
          <w:b/>
          <w:i/>
          <w:lang w:val="ro-MD"/>
        </w:rPr>
        <w:t>e</w:t>
      </w:r>
      <w:r w:rsidR="001D358A" w:rsidRPr="000D19A7">
        <w:rPr>
          <w:rFonts w:ascii="Times New Roman" w:hAnsi="Times New Roman" w:cs="Times New Roman"/>
          <w:b/>
          <w:i/>
          <w:lang w:val="ro-MD"/>
        </w:rPr>
        <w:t xml:space="preserve"> chiar revizuirea și actualizarea acestora, urmând a fi suportate cheltuieli suplimentare d</w:t>
      </w:r>
      <w:r w:rsidR="00846BE9" w:rsidRPr="000D19A7">
        <w:rPr>
          <w:rFonts w:ascii="Times New Roman" w:hAnsi="Times New Roman" w:cs="Times New Roman"/>
          <w:b/>
          <w:i/>
          <w:lang w:val="ro-MD"/>
        </w:rPr>
        <w:t>in</w:t>
      </w:r>
      <w:r w:rsidR="001D358A" w:rsidRPr="000D19A7">
        <w:rPr>
          <w:rFonts w:ascii="Times New Roman" w:hAnsi="Times New Roman" w:cs="Times New Roman"/>
          <w:b/>
          <w:i/>
          <w:lang w:val="ro-MD"/>
        </w:rPr>
        <w:t xml:space="preserve"> bugetul de stat</w:t>
      </w:r>
      <w:r w:rsidR="00846BE9" w:rsidRPr="000D19A7">
        <w:rPr>
          <w:rFonts w:ascii="Times New Roman" w:hAnsi="Times New Roman" w:cs="Times New Roman"/>
          <w:b/>
          <w:i/>
          <w:lang w:val="ro-MD"/>
        </w:rPr>
        <w:t>.</w:t>
      </w:r>
    </w:p>
    <w:p w14:paraId="249F8985" w14:textId="25C63C32" w:rsidR="00114852" w:rsidRPr="000D19A7" w:rsidRDefault="00481E5A" w:rsidP="00946032">
      <w:pPr>
        <w:spacing w:after="0" w:line="276" w:lineRule="auto"/>
        <w:jc w:val="both"/>
        <w:rPr>
          <w:rFonts w:ascii="Times New Roman" w:hAnsi="Times New Roman" w:cs="Times New Roman"/>
          <w:lang w:val="ro-MD"/>
        </w:rPr>
      </w:pPr>
      <w:r w:rsidRPr="000D19A7">
        <w:rPr>
          <w:rFonts w:ascii="Times New Roman" w:hAnsi="Times New Roman" w:cs="Times New Roman"/>
          <w:lang w:val="ro-MD"/>
        </w:rPr>
        <w:t>În conformtate cu prev</w:t>
      </w:r>
      <w:r w:rsidR="00846BE9" w:rsidRPr="000D19A7">
        <w:rPr>
          <w:rFonts w:ascii="Times New Roman" w:hAnsi="Times New Roman" w:cs="Times New Roman"/>
          <w:lang w:val="ro-MD"/>
        </w:rPr>
        <w:t>e</w:t>
      </w:r>
      <w:r w:rsidRPr="000D19A7">
        <w:rPr>
          <w:rFonts w:ascii="Times New Roman" w:hAnsi="Times New Roman" w:cs="Times New Roman"/>
          <w:lang w:val="ro-MD"/>
        </w:rPr>
        <w:t>derile cadrului normativ, autorităţile administraţiei publice centrale/autorităţile publice care beneficiază de mijloace obţinute din împrumuturi de stat externe, prin care sînt realizate proiectele finanţate din surse externe, monitorizează implementarea şi realizarea scopurilor acestor proiecte</w:t>
      </w:r>
      <w:r w:rsidRPr="000D19A7">
        <w:rPr>
          <w:rStyle w:val="a6"/>
          <w:rFonts w:ascii="Times New Roman" w:hAnsi="Times New Roman" w:cs="Times New Roman"/>
          <w:lang w:val="ro-MD"/>
        </w:rPr>
        <w:footnoteReference w:id="17"/>
      </w:r>
      <w:r w:rsidRPr="000D19A7">
        <w:rPr>
          <w:rFonts w:ascii="Times New Roman" w:hAnsi="Times New Roman" w:cs="Times New Roman"/>
          <w:lang w:val="ro-MD"/>
        </w:rPr>
        <w:t>.</w:t>
      </w:r>
    </w:p>
    <w:p w14:paraId="61A2CE6D" w14:textId="30683126" w:rsidR="00CF18F2" w:rsidRPr="000D19A7" w:rsidRDefault="00114852" w:rsidP="00946032">
      <w:pPr>
        <w:spacing w:after="0" w:line="276" w:lineRule="auto"/>
        <w:jc w:val="both"/>
        <w:rPr>
          <w:rFonts w:ascii="Times New Roman" w:hAnsi="Times New Roman" w:cs="Times New Roman"/>
          <w:lang w:val="ro-MD"/>
        </w:rPr>
      </w:pPr>
      <w:r w:rsidRPr="000D19A7">
        <w:rPr>
          <w:rFonts w:ascii="Times New Roman" w:hAnsi="Times New Roman" w:cs="Times New Roman"/>
          <w:lang w:val="ro-MD"/>
        </w:rPr>
        <w:t>Totodată, MF monitorizează mijloacele financiare valorificate din împrumuturile de stat externe</w:t>
      </w:r>
      <w:r w:rsidR="00846BE9" w:rsidRPr="000D19A7">
        <w:rPr>
          <w:rFonts w:ascii="Times New Roman" w:hAnsi="Times New Roman" w:cs="Times New Roman"/>
          <w:lang w:val="ro-MD"/>
        </w:rPr>
        <w:t>.</w:t>
      </w:r>
      <w:r w:rsidRPr="000D19A7">
        <w:rPr>
          <w:rFonts w:ascii="Times New Roman" w:hAnsi="Times New Roman" w:cs="Times New Roman"/>
          <w:lang w:val="ro-MD"/>
        </w:rPr>
        <w:t xml:space="preserve"> </w:t>
      </w:r>
      <w:r w:rsidR="00846BE9" w:rsidRPr="000D19A7">
        <w:rPr>
          <w:rFonts w:ascii="Times New Roman" w:hAnsi="Times New Roman" w:cs="Times New Roman"/>
          <w:lang w:val="ro-MD"/>
        </w:rPr>
        <w:t>M</w:t>
      </w:r>
      <w:r w:rsidRPr="000D19A7">
        <w:rPr>
          <w:rFonts w:ascii="Times New Roman" w:hAnsi="Times New Roman" w:cs="Times New Roman"/>
          <w:lang w:val="ro-MD"/>
        </w:rPr>
        <w:t>inisterele de ramură controlează şi poartă răspundere pentru realizarea proiectelor finanţate din surse externe</w:t>
      </w:r>
      <w:r w:rsidR="00846BE9" w:rsidRPr="000D19A7">
        <w:rPr>
          <w:rFonts w:ascii="Times New Roman" w:hAnsi="Times New Roman" w:cs="Times New Roman"/>
          <w:lang w:val="ro-MD"/>
        </w:rPr>
        <w:t xml:space="preserve"> în conformitate cu informaţia </w:t>
      </w:r>
      <w:r w:rsidRPr="000D19A7">
        <w:rPr>
          <w:rFonts w:ascii="Times New Roman" w:hAnsi="Times New Roman" w:cs="Times New Roman"/>
          <w:lang w:val="ro-MD"/>
        </w:rPr>
        <w:t>prezentată în mod obligatoriu de către unităţile speciale responsabile de implementarea acestor proiecte şi programe, precum şi în baza informaţiei primite de la creditori. Formele şi termenele de pr</w:t>
      </w:r>
      <w:r w:rsidR="00846BE9" w:rsidRPr="000D19A7">
        <w:rPr>
          <w:rFonts w:ascii="Times New Roman" w:hAnsi="Times New Roman" w:cs="Times New Roman"/>
          <w:lang w:val="ro-MD"/>
        </w:rPr>
        <w:t>ezentare a acestei informaţii su</w:t>
      </w:r>
      <w:r w:rsidRPr="000D19A7">
        <w:rPr>
          <w:rFonts w:ascii="Times New Roman" w:hAnsi="Times New Roman" w:cs="Times New Roman"/>
          <w:lang w:val="ro-MD"/>
        </w:rPr>
        <w:t>nt stabilite de către MF</w:t>
      </w:r>
      <w:r w:rsidRPr="000D19A7">
        <w:rPr>
          <w:rStyle w:val="a6"/>
          <w:rFonts w:ascii="Times New Roman" w:hAnsi="Times New Roman" w:cs="Times New Roman"/>
          <w:lang w:val="ro-MD"/>
        </w:rPr>
        <w:footnoteReference w:id="18"/>
      </w:r>
      <w:r w:rsidRPr="000D19A7">
        <w:rPr>
          <w:rFonts w:ascii="Times New Roman" w:hAnsi="Times New Roman" w:cs="Times New Roman"/>
          <w:lang w:val="ro-MD"/>
        </w:rPr>
        <w:t>.</w:t>
      </w:r>
    </w:p>
    <w:p w14:paraId="51E88D7F" w14:textId="30AA1032" w:rsidR="00114852" w:rsidRPr="000D19A7" w:rsidRDefault="00114852" w:rsidP="00946032">
      <w:pPr>
        <w:spacing w:after="0" w:line="276" w:lineRule="auto"/>
        <w:jc w:val="both"/>
        <w:rPr>
          <w:rFonts w:ascii="Times New Roman" w:hAnsi="Times New Roman" w:cs="Times New Roman"/>
          <w:lang w:val="ro-MD"/>
        </w:rPr>
      </w:pPr>
      <w:r w:rsidRPr="000D19A7">
        <w:rPr>
          <w:rFonts w:ascii="Times New Roman" w:hAnsi="Times New Roman" w:cs="Times New Roman"/>
          <w:lang w:val="ro-MD"/>
        </w:rPr>
        <w:t>Verificările de audit atestă neconfo</w:t>
      </w:r>
      <w:r w:rsidR="00846BE9" w:rsidRPr="000D19A7">
        <w:rPr>
          <w:rFonts w:ascii="Times New Roman" w:hAnsi="Times New Roman" w:cs="Times New Roman"/>
          <w:lang w:val="ro-MD"/>
        </w:rPr>
        <w:t>r</w:t>
      </w:r>
      <w:r w:rsidRPr="000D19A7">
        <w:rPr>
          <w:rFonts w:ascii="Times New Roman" w:hAnsi="Times New Roman" w:cs="Times New Roman"/>
          <w:lang w:val="ro-MD"/>
        </w:rPr>
        <w:t>mități la valorificarea împrumuturilor de stat externe aferente implementării proiectelor investiționale, fiind înregistrate solduri nedebursate la acestea, care</w:t>
      </w:r>
      <w:r w:rsidR="00846BE9" w:rsidRPr="000D19A7">
        <w:rPr>
          <w:rFonts w:ascii="Times New Roman" w:hAnsi="Times New Roman" w:cs="Times New Roman"/>
          <w:lang w:val="ro-MD"/>
        </w:rPr>
        <w:t>,</w:t>
      </w:r>
      <w:r w:rsidRPr="000D19A7">
        <w:rPr>
          <w:rFonts w:ascii="Times New Roman" w:hAnsi="Times New Roman" w:cs="Times New Roman"/>
          <w:lang w:val="ro-MD"/>
        </w:rPr>
        <w:t xml:space="preserve"> în unele cazuri</w:t>
      </w:r>
      <w:r w:rsidR="00846BE9" w:rsidRPr="000D19A7">
        <w:rPr>
          <w:rFonts w:ascii="Times New Roman" w:hAnsi="Times New Roman" w:cs="Times New Roman"/>
          <w:lang w:val="ro-MD"/>
        </w:rPr>
        <w:t>,</w:t>
      </w:r>
      <w:r w:rsidRPr="000D19A7">
        <w:rPr>
          <w:rFonts w:ascii="Times New Roman" w:hAnsi="Times New Roman" w:cs="Times New Roman"/>
          <w:lang w:val="ro-MD"/>
        </w:rPr>
        <w:t xml:space="preserve"> au fost determinate de tergiversarea procedurilor de achiziție publică, iar în alte cazuri a apărut necesitatea revizuirii și actualizării proiectelor respective</w:t>
      </w:r>
      <w:r w:rsidR="00EA5245" w:rsidRPr="000D19A7">
        <w:rPr>
          <w:rFonts w:ascii="Times New Roman" w:hAnsi="Times New Roman" w:cs="Times New Roman"/>
          <w:lang w:val="ro-MD"/>
        </w:rPr>
        <w:t xml:space="preserve">, care generează cheltuieli </w:t>
      </w:r>
      <w:r w:rsidR="00846BE9" w:rsidRPr="000D19A7">
        <w:rPr>
          <w:rFonts w:ascii="Times New Roman" w:hAnsi="Times New Roman" w:cs="Times New Roman"/>
          <w:lang w:val="ro-MD"/>
        </w:rPr>
        <w:t xml:space="preserve">suplimentare din </w:t>
      </w:r>
      <w:r w:rsidR="00EA5245" w:rsidRPr="000D19A7">
        <w:rPr>
          <w:rFonts w:ascii="Times New Roman" w:hAnsi="Times New Roman" w:cs="Times New Roman"/>
          <w:lang w:val="ro-MD"/>
        </w:rPr>
        <w:t>bugetul de stat</w:t>
      </w:r>
      <w:r w:rsidRPr="000D19A7">
        <w:rPr>
          <w:rFonts w:ascii="Times New Roman" w:hAnsi="Times New Roman" w:cs="Times New Roman"/>
          <w:lang w:val="ro-MD"/>
        </w:rPr>
        <w:t>.</w:t>
      </w:r>
    </w:p>
    <w:p w14:paraId="28065730" w14:textId="6D7A0899" w:rsidR="00EA5245" w:rsidRPr="000D19A7" w:rsidRDefault="00EA5245" w:rsidP="00946032">
      <w:pPr>
        <w:spacing w:after="0" w:line="276" w:lineRule="auto"/>
        <w:jc w:val="both"/>
        <w:rPr>
          <w:rFonts w:ascii="Times New Roman" w:hAnsi="Times New Roman" w:cs="Times New Roman"/>
          <w:lang w:val="ro-MD"/>
        </w:rPr>
      </w:pPr>
      <w:r w:rsidRPr="000D19A7">
        <w:rPr>
          <w:rFonts w:ascii="Times New Roman" w:hAnsi="Times New Roman" w:cs="Times New Roman"/>
          <w:lang w:val="ro-MD"/>
        </w:rPr>
        <w:t xml:space="preserve">În acest sens, auditul menționează următoarele </w:t>
      </w:r>
      <w:r w:rsidR="00DB0054" w:rsidRPr="000D19A7">
        <w:rPr>
          <w:rFonts w:ascii="Times New Roman" w:hAnsi="Times New Roman" w:cs="Times New Roman"/>
          <w:lang w:val="ro-MD"/>
        </w:rPr>
        <w:t>împrumuturi ex</w:t>
      </w:r>
      <w:r w:rsidR="00751991" w:rsidRPr="000D19A7">
        <w:rPr>
          <w:rFonts w:ascii="Times New Roman" w:hAnsi="Times New Roman" w:cs="Times New Roman"/>
          <w:lang w:val="ro-MD"/>
        </w:rPr>
        <w:t>terne, pentru care, la situația din 31.12.2023,</w:t>
      </w:r>
      <w:r w:rsidR="00DB0054" w:rsidRPr="000D19A7">
        <w:rPr>
          <w:rFonts w:ascii="Times New Roman" w:hAnsi="Times New Roman" w:cs="Times New Roman"/>
          <w:lang w:val="ro-MD"/>
        </w:rPr>
        <w:t xml:space="preserve"> au fost înregistrate nivel</w:t>
      </w:r>
      <w:r w:rsidR="00846BE9" w:rsidRPr="000D19A7">
        <w:rPr>
          <w:rFonts w:ascii="Times New Roman" w:hAnsi="Times New Roman" w:cs="Times New Roman"/>
          <w:lang w:val="ro-MD"/>
        </w:rPr>
        <w:t>uri</w:t>
      </w:r>
      <w:r w:rsidR="00DB0054" w:rsidRPr="000D19A7">
        <w:rPr>
          <w:rFonts w:ascii="Times New Roman" w:hAnsi="Times New Roman" w:cs="Times New Roman"/>
          <w:lang w:val="ro-MD"/>
        </w:rPr>
        <w:t xml:space="preserve"> de debursare scăzute</w:t>
      </w:r>
      <w:r w:rsidR="00492F9E" w:rsidRPr="000D19A7">
        <w:rPr>
          <w:rFonts w:ascii="Times New Roman" w:hAnsi="Times New Roman" w:cs="Times New Roman"/>
          <w:lang w:val="ro-MD"/>
        </w:rPr>
        <w:t>, dar cheltuieli de deservire majore</w:t>
      </w:r>
      <w:r w:rsidR="00DB0054" w:rsidRPr="000D19A7">
        <w:rPr>
          <w:rFonts w:ascii="Times New Roman" w:hAnsi="Times New Roman" w:cs="Times New Roman"/>
          <w:lang w:val="ro-MD"/>
        </w:rPr>
        <w:t>:</w:t>
      </w:r>
    </w:p>
    <w:p w14:paraId="50C4CD6E" w14:textId="1C6F8ADC" w:rsidR="00751991" w:rsidRPr="000D19A7" w:rsidRDefault="00DB0054"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„Livada Moldovei”</w:t>
      </w:r>
      <w:r w:rsidR="00426330" w:rsidRPr="000D19A7">
        <w:rPr>
          <w:rFonts w:ascii="Times New Roman" w:hAnsi="Times New Roman" w:cs="Times New Roman"/>
          <w:b/>
          <w:i/>
          <w:lang w:val="ro-MD"/>
        </w:rPr>
        <w:t xml:space="preserve">: </w:t>
      </w:r>
      <w:r w:rsidRPr="000D19A7">
        <w:rPr>
          <w:rFonts w:ascii="Times New Roman" w:hAnsi="Times New Roman" w:cs="Times New Roman"/>
          <w:b/>
          <w:i/>
          <w:lang w:val="ro-MD"/>
        </w:rPr>
        <w:t xml:space="preserve"> </w:t>
      </w:r>
      <w:r w:rsidRPr="000D19A7">
        <w:rPr>
          <w:rFonts w:ascii="Times New Roman" w:hAnsi="Times New Roman" w:cs="Times New Roman"/>
          <w:lang w:val="ro-MD"/>
        </w:rPr>
        <w:t xml:space="preserve">nivelul de debursare </w:t>
      </w:r>
      <w:r w:rsidR="00846BE9" w:rsidRPr="000D19A7">
        <w:rPr>
          <w:rFonts w:ascii="Times New Roman" w:hAnsi="Times New Roman" w:cs="Times New Roman"/>
          <w:lang w:val="ro-MD"/>
        </w:rPr>
        <w:t xml:space="preserve">- </w:t>
      </w:r>
      <w:r w:rsidRPr="000D19A7">
        <w:rPr>
          <w:rFonts w:ascii="Times New Roman" w:hAnsi="Times New Roman" w:cs="Times New Roman"/>
          <w:lang w:val="ro-MD"/>
        </w:rPr>
        <w:t>74,78%</w:t>
      </w:r>
      <w:r w:rsidR="00846BE9" w:rsidRPr="000D19A7">
        <w:rPr>
          <w:rFonts w:ascii="Times New Roman" w:hAnsi="Times New Roman" w:cs="Times New Roman"/>
          <w:lang w:val="ro-MD"/>
        </w:rPr>
        <w:t xml:space="preserve">, </w:t>
      </w:r>
      <w:r w:rsidR="00492F9E" w:rsidRPr="000D19A7">
        <w:rPr>
          <w:rFonts w:ascii="Times New Roman" w:hAnsi="Times New Roman" w:cs="Times New Roman"/>
          <w:lang w:val="ro-MD"/>
        </w:rPr>
        <w:t>dobânzi ș</w:t>
      </w:r>
      <w:r w:rsidR="00AC7329" w:rsidRPr="000D19A7">
        <w:rPr>
          <w:rFonts w:ascii="Times New Roman" w:hAnsi="Times New Roman" w:cs="Times New Roman"/>
          <w:lang w:val="ro-MD"/>
        </w:rPr>
        <w:t>i comisioane achitate – circa 37</w:t>
      </w:r>
      <w:r w:rsidR="00492F9E" w:rsidRPr="000D19A7">
        <w:rPr>
          <w:rFonts w:ascii="Times New Roman" w:hAnsi="Times New Roman" w:cs="Times New Roman"/>
          <w:lang w:val="ro-MD"/>
        </w:rPr>
        <w:t>,</w:t>
      </w:r>
      <w:r w:rsidR="00AC7329" w:rsidRPr="000D19A7">
        <w:rPr>
          <w:rFonts w:ascii="Times New Roman" w:hAnsi="Times New Roman" w:cs="Times New Roman"/>
          <w:lang w:val="ro-MD"/>
        </w:rPr>
        <w:t>8</w:t>
      </w:r>
      <w:r w:rsidR="00751991" w:rsidRPr="000D19A7">
        <w:rPr>
          <w:rFonts w:ascii="Times New Roman" w:hAnsi="Times New Roman" w:cs="Times New Roman"/>
          <w:lang w:val="ro-MD"/>
        </w:rPr>
        <w:t xml:space="preserve"> mil. lei, termenul limită de debursare fiind prelu</w:t>
      </w:r>
      <w:r w:rsidR="00152A8D">
        <w:rPr>
          <w:rFonts w:ascii="Times New Roman" w:hAnsi="Times New Roman" w:cs="Times New Roman"/>
          <w:lang w:val="ro-MD"/>
        </w:rPr>
        <w:t>ngit până la data de 27.05.2025;</w:t>
      </w:r>
    </w:p>
    <w:p w14:paraId="4B87C279" w14:textId="3F4324E3" w:rsidR="005B5897" w:rsidRPr="000D19A7" w:rsidRDefault="005B5897"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„Construcția Penitenciarului nr.13”</w:t>
      </w:r>
      <w:r w:rsidR="00426330" w:rsidRPr="000D19A7">
        <w:rPr>
          <w:rFonts w:ascii="Times New Roman" w:hAnsi="Times New Roman" w:cs="Times New Roman"/>
          <w:b/>
          <w:i/>
          <w:lang w:val="ro-MD"/>
        </w:rPr>
        <w:t xml:space="preserve">: </w:t>
      </w:r>
      <w:r w:rsidRPr="000D19A7">
        <w:rPr>
          <w:rFonts w:ascii="Times New Roman" w:hAnsi="Times New Roman" w:cs="Times New Roman"/>
          <w:lang w:val="ro-MD"/>
        </w:rPr>
        <w:t xml:space="preserve">nivelul de debursare 1,91%, dobânzi achitate – </w:t>
      </w:r>
      <w:r w:rsidR="00AC7329" w:rsidRPr="000D19A7">
        <w:rPr>
          <w:rFonts w:ascii="Times New Roman" w:hAnsi="Times New Roman" w:cs="Times New Roman"/>
          <w:lang w:val="ro-MD"/>
        </w:rPr>
        <w:t>811,6</w:t>
      </w:r>
      <w:r w:rsidRPr="000D19A7">
        <w:rPr>
          <w:rFonts w:ascii="Times New Roman" w:hAnsi="Times New Roman" w:cs="Times New Roman"/>
          <w:lang w:val="ro-MD"/>
        </w:rPr>
        <w:t xml:space="preserve"> mii lei. Potrivit explicațiilor persoanelor responsabile, urmare vizitei de monitorizare la U</w:t>
      </w:r>
      <w:r w:rsidR="00751991" w:rsidRPr="000D19A7">
        <w:rPr>
          <w:rFonts w:ascii="Times New Roman" w:hAnsi="Times New Roman" w:cs="Times New Roman"/>
          <w:lang w:val="ro-MD"/>
        </w:rPr>
        <w:t xml:space="preserve">nitatea de </w:t>
      </w:r>
      <w:r w:rsidRPr="000D19A7">
        <w:rPr>
          <w:rFonts w:ascii="Times New Roman" w:hAnsi="Times New Roman" w:cs="Times New Roman"/>
          <w:lang w:val="ro-MD"/>
        </w:rPr>
        <w:t>I</w:t>
      </w:r>
      <w:r w:rsidR="00751991" w:rsidRPr="000D19A7">
        <w:rPr>
          <w:rFonts w:ascii="Times New Roman" w:hAnsi="Times New Roman" w:cs="Times New Roman"/>
          <w:lang w:val="ro-MD"/>
        </w:rPr>
        <w:t xml:space="preserve">mplementare a </w:t>
      </w:r>
      <w:r w:rsidRPr="000D19A7">
        <w:rPr>
          <w:rFonts w:ascii="Times New Roman" w:hAnsi="Times New Roman" w:cs="Times New Roman"/>
          <w:lang w:val="ro-MD"/>
        </w:rPr>
        <w:t>P</w:t>
      </w:r>
      <w:r w:rsidR="00751991" w:rsidRPr="000D19A7">
        <w:rPr>
          <w:rFonts w:ascii="Times New Roman" w:hAnsi="Times New Roman" w:cs="Times New Roman"/>
          <w:lang w:val="ro-MD"/>
        </w:rPr>
        <w:t xml:space="preserve">roiectului de </w:t>
      </w:r>
      <w:r w:rsidRPr="000D19A7">
        <w:rPr>
          <w:rFonts w:ascii="Times New Roman" w:hAnsi="Times New Roman" w:cs="Times New Roman"/>
          <w:lang w:val="ro-MD"/>
        </w:rPr>
        <w:t>C</w:t>
      </w:r>
      <w:r w:rsidR="00751991" w:rsidRPr="000D19A7">
        <w:rPr>
          <w:rFonts w:ascii="Times New Roman" w:hAnsi="Times New Roman" w:cs="Times New Roman"/>
          <w:lang w:val="ro-MD"/>
        </w:rPr>
        <w:t xml:space="preserve">onstrucție a </w:t>
      </w:r>
      <w:r w:rsidRPr="000D19A7">
        <w:rPr>
          <w:rFonts w:ascii="Times New Roman" w:hAnsi="Times New Roman" w:cs="Times New Roman"/>
          <w:lang w:val="ro-MD"/>
        </w:rPr>
        <w:t>P</w:t>
      </w:r>
      <w:r w:rsidR="00751991" w:rsidRPr="000D19A7">
        <w:rPr>
          <w:rFonts w:ascii="Times New Roman" w:hAnsi="Times New Roman" w:cs="Times New Roman"/>
          <w:lang w:val="ro-MD"/>
        </w:rPr>
        <w:t xml:space="preserve">enitenciarului din Chișinău (UIP PC), </w:t>
      </w:r>
      <w:r w:rsidRPr="000D19A7">
        <w:rPr>
          <w:rFonts w:ascii="Times New Roman" w:hAnsi="Times New Roman" w:cs="Times New Roman"/>
          <w:lang w:val="ro-MD"/>
        </w:rPr>
        <w:t xml:space="preserve">în luna octombrie 2022 de către </w:t>
      </w:r>
      <w:r w:rsidR="00751991" w:rsidRPr="000D19A7">
        <w:rPr>
          <w:rFonts w:ascii="Times New Roman" w:hAnsi="Times New Roman" w:cs="Times New Roman"/>
          <w:lang w:val="ro-MD"/>
        </w:rPr>
        <w:t xml:space="preserve">reprezentanții Băncii de Dezvoltare a Consiliului Europei (CEB), </w:t>
      </w:r>
      <w:r w:rsidRPr="000D19A7">
        <w:rPr>
          <w:rFonts w:ascii="Times New Roman" w:hAnsi="Times New Roman" w:cs="Times New Roman"/>
          <w:lang w:val="ro-MD"/>
        </w:rPr>
        <w:t xml:space="preserve">a fost recomandată modificarea proiectului de construcție a penitenciarului în conformitate cu necesitățile reale, reieșind din faptul că documentația de deviz datează din 2021, iar costurile pentru utilaje, materiale și salarizare au </w:t>
      </w:r>
      <w:r w:rsidR="00746E68" w:rsidRPr="000D19A7">
        <w:rPr>
          <w:rFonts w:ascii="Times New Roman" w:hAnsi="Times New Roman" w:cs="Times New Roman"/>
          <w:lang w:val="ro-MD"/>
        </w:rPr>
        <w:t xml:space="preserve">crescut cu </w:t>
      </w:r>
      <w:r w:rsidRPr="000D19A7">
        <w:rPr>
          <w:rFonts w:ascii="Times New Roman" w:hAnsi="Times New Roman" w:cs="Times New Roman"/>
          <w:lang w:val="ro-MD"/>
        </w:rPr>
        <w:t xml:space="preserve">peste 35%. </w:t>
      </w:r>
      <w:r w:rsidR="003A667B" w:rsidRPr="000D19A7">
        <w:rPr>
          <w:rFonts w:ascii="Times New Roman" w:hAnsi="Times New Roman" w:cs="Times New Roman"/>
          <w:lang w:val="ro-MD"/>
        </w:rPr>
        <w:t>Dată fiind această situație</w:t>
      </w:r>
      <w:r w:rsidRPr="000D19A7">
        <w:rPr>
          <w:rFonts w:ascii="Times New Roman" w:hAnsi="Times New Roman" w:cs="Times New Roman"/>
          <w:lang w:val="ro-MD"/>
        </w:rPr>
        <w:t>, s-au contractat servicii de reproiectare la data de 26.04.2023. Pentru achitarea serviciilor de reproiectare</w:t>
      </w:r>
      <w:r w:rsidR="003A667B" w:rsidRPr="000D19A7">
        <w:rPr>
          <w:rFonts w:ascii="Times New Roman" w:hAnsi="Times New Roman" w:cs="Times New Roman"/>
          <w:lang w:val="ro-MD"/>
        </w:rPr>
        <w:t>,</w:t>
      </w:r>
      <w:r w:rsidRPr="000D19A7">
        <w:rPr>
          <w:rFonts w:ascii="Times New Roman" w:hAnsi="Times New Roman" w:cs="Times New Roman"/>
          <w:lang w:val="ro-MD"/>
        </w:rPr>
        <w:t xml:space="preserve"> la data de 18.09.2023 a fost debursată </w:t>
      </w:r>
      <w:r w:rsidR="00E66FEE" w:rsidRPr="000D19A7">
        <w:rPr>
          <w:rFonts w:ascii="Times New Roman" w:hAnsi="Times New Roman" w:cs="Times New Roman"/>
          <w:lang w:val="ro-MD"/>
        </w:rPr>
        <w:t>t</w:t>
      </w:r>
      <w:r w:rsidRPr="000D19A7">
        <w:rPr>
          <w:rFonts w:ascii="Times New Roman" w:hAnsi="Times New Roman" w:cs="Times New Roman"/>
          <w:lang w:val="ro-MD"/>
        </w:rPr>
        <w:t>r</w:t>
      </w:r>
      <w:r w:rsidR="003A667B" w:rsidRPr="000D19A7">
        <w:rPr>
          <w:rFonts w:ascii="Times New Roman" w:hAnsi="Times New Roman" w:cs="Times New Roman"/>
          <w:lang w:val="ro-MD"/>
        </w:rPr>
        <w:t xml:space="preserve">anșa </w:t>
      </w:r>
      <w:r w:rsidRPr="000D19A7">
        <w:rPr>
          <w:rFonts w:ascii="Times New Roman" w:hAnsi="Times New Roman" w:cs="Times New Roman"/>
          <w:lang w:val="ro-MD"/>
        </w:rPr>
        <w:t xml:space="preserve">3 din împrumutul acordat </w:t>
      </w:r>
      <w:r w:rsidR="003A667B" w:rsidRPr="000D19A7">
        <w:rPr>
          <w:rFonts w:ascii="Times New Roman" w:hAnsi="Times New Roman" w:cs="Times New Roman"/>
          <w:lang w:val="ro-MD"/>
        </w:rPr>
        <w:t>la</w:t>
      </w:r>
      <w:r w:rsidRPr="000D19A7">
        <w:rPr>
          <w:rFonts w:ascii="Times New Roman" w:hAnsi="Times New Roman" w:cs="Times New Roman"/>
          <w:lang w:val="ro-MD"/>
        </w:rPr>
        <w:t xml:space="preserve"> sfârșitul </w:t>
      </w:r>
      <w:r w:rsidR="00E66FEE" w:rsidRPr="000D19A7">
        <w:rPr>
          <w:rFonts w:ascii="Times New Roman" w:hAnsi="Times New Roman" w:cs="Times New Roman"/>
          <w:lang w:val="ro-MD"/>
        </w:rPr>
        <w:t>t</w:t>
      </w:r>
      <w:r w:rsidRPr="000D19A7">
        <w:rPr>
          <w:rFonts w:ascii="Times New Roman" w:hAnsi="Times New Roman" w:cs="Times New Roman"/>
          <w:lang w:val="ro-MD"/>
        </w:rPr>
        <w:t>rim</w:t>
      </w:r>
      <w:r w:rsidR="003A667B" w:rsidRPr="000D19A7">
        <w:rPr>
          <w:rFonts w:ascii="Times New Roman" w:hAnsi="Times New Roman" w:cs="Times New Roman"/>
          <w:lang w:val="ro-MD"/>
        </w:rPr>
        <w:t xml:space="preserve">estrului </w:t>
      </w:r>
      <w:r w:rsidRPr="000D19A7">
        <w:rPr>
          <w:rFonts w:ascii="Times New Roman" w:hAnsi="Times New Roman" w:cs="Times New Roman"/>
          <w:lang w:val="ro-MD"/>
        </w:rPr>
        <w:t xml:space="preserve">IV, </w:t>
      </w:r>
      <w:r w:rsidR="003A667B" w:rsidRPr="000D19A7">
        <w:rPr>
          <w:rFonts w:ascii="Times New Roman" w:hAnsi="Times New Roman" w:cs="Times New Roman"/>
          <w:lang w:val="ro-MD"/>
        </w:rPr>
        <w:t>s-</w:t>
      </w:r>
      <w:r w:rsidRPr="000D19A7">
        <w:rPr>
          <w:rFonts w:ascii="Times New Roman" w:hAnsi="Times New Roman" w:cs="Times New Roman"/>
          <w:lang w:val="ro-MD"/>
        </w:rPr>
        <w:t xml:space="preserve">au finalizat lucrările de reevaluare a costurilor </w:t>
      </w:r>
      <w:r w:rsidR="003A667B" w:rsidRPr="000D19A7">
        <w:rPr>
          <w:rFonts w:ascii="Times New Roman" w:hAnsi="Times New Roman" w:cs="Times New Roman"/>
          <w:lang w:val="ro-MD"/>
        </w:rPr>
        <w:t>de construcție a obiectu</w:t>
      </w:r>
      <w:r w:rsidRPr="000D19A7">
        <w:rPr>
          <w:rFonts w:ascii="Times New Roman" w:hAnsi="Times New Roman" w:cs="Times New Roman"/>
          <w:lang w:val="ro-MD"/>
        </w:rPr>
        <w:t>lui. În baza documentației de deviz și proiect a fost sistematizat caietul de sarcini pentru iniț</w:t>
      </w:r>
      <w:r w:rsidR="00152A8D">
        <w:rPr>
          <w:rFonts w:ascii="Times New Roman" w:hAnsi="Times New Roman" w:cs="Times New Roman"/>
          <w:lang w:val="ro-MD"/>
        </w:rPr>
        <w:t>ierea procedurii de achiziții;</w:t>
      </w:r>
    </w:p>
    <w:p w14:paraId="0AAA022B" w14:textId="73F3CAB2" w:rsidR="00851878" w:rsidRPr="000D19A7" w:rsidRDefault="00851878"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„Reabilitarea drumurilor din Moldova IV”</w:t>
      </w:r>
      <w:r w:rsidR="00426330" w:rsidRPr="000D19A7">
        <w:rPr>
          <w:rFonts w:ascii="Times New Roman" w:hAnsi="Times New Roman" w:cs="Times New Roman"/>
          <w:b/>
          <w:i/>
          <w:lang w:val="ro-MD"/>
        </w:rPr>
        <w:t xml:space="preserve">: </w:t>
      </w:r>
      <w:r w:rsidR="00E66FEE" w:rsidRPr="000D19A7">
        <w:rPr>
          <w:rFonts w:ascii="Times New Roman" w:hAnsi="Times New Roman" w:cs="Times New Roman"/>
          <w:lang w:val="ro-MD"/>
        </w:rPr>
        <w:t xml:space="preserve">nivelul de debursare - </w:t>
      </w:r>
      <w:r w:rsidRPr="000D19A7">
        <w:rPr>
          <w:rFonts w:ascii="Times New Roman" w:hAnsi="Times New Roman" w:cs="Times New Roman"/>
          <w:lang w:val="ro-MD"/>
        </w:rPr>
        <w:t>52,72%, comisioane și dobânzi achitate – 2</w:t>
      </w:r>
      <w:r w:rsidR="00AC7329" w:rsidRPr="000D19A7">
        <w:rPr>
          <w:rFonts w:ascii="Times New Roman" w:hAnsi="Times New Roman" w:cs="Times New Roman"/>
          <w:lang w:val="ro-MD"/>
        </w:rPr>
        <w:t>30</w:t>
      </w:r>
      <w:r w:rsidRPr="000D19A7">
        <w:rPr>
          <w:rFonts w:ascii="Times New Roman" w:hAnsi="Times New Roman" w:cs="Times New Roman"/>
          <w:lang w:val="ro-MD"/>
        </w:rPr>
        <w:t>,</w:t>
      </w:r>
      <w:r w:rsidR="00AC7329" w:rsidRPr="000D19A7">
        <w:rPr>
          <w:rFonts w:ascii="Times New Roman" w:hAnsi="Times New Roman" w:cs="Times New Roman"/>
          <w:lang w:val="ro-MD"/>
        </w:rPr>
        <w:t>8</w:t>
      </w:r>
      <w:r w:rsidRPr="000D19A7">
        <w:rPr>
          <w:rFonts w:ascii="Times New Roman" w:hAnsi="Times New Roman" w:cs="Times New Roman"/>
          <w:lang w:val="ro-MD"/>
        </w:rPr>
        <w:t xml:space="preserve"> mil. lei. Nivelul de debursare nu a fost explicat de către persoanele responsabile</w:t>
      </w:r>
      <w:r w:rsidR="00B65325" w:rsidRPr="000D19A7">
        <w:rPr>
          <w:rFonts w:ascii="Times New Roman" w:hAnsi="Times New Roman" w:cs="Times New Roman"/>
          <w:lang w:val="ro-MD"/>
        </w:rPr>
        <w:t>, termenul limită de debursare fiind 31.12.2027;</w:t>
      </w:r>
    </w:p>
    <w:p w14:paraId="6B923A60" w14:textId="3CCB1D73" w:rsidR="00B25F48" w:rsidRPr="000D19A7" w:rsidRDefault="00851878"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„Achiziția locomotivelor și restructurarea infrastructurii feroviare”</w:t>
      </w:r>
      <w:r w:rsidR="00426330" w:rsidRPr="000D19A7">
        <w:rPr>
          <w:rFonts w:ascii="Times New Roman" w:hAnsi="Times New Roman" w:cs="Times New Roman"/>
          <w:lang w:val="ro-MD"/>
        </w:rPr>
        <w:t xml:space="preserve">: </w:t>
      </w:r>
      <w:r w:rsidRPr="000D19A7">
        <w:rPr>
          <w:rFonts w:ascii="Times New Roman" w:hAnsi="Times New Roman" w:cs="Times New Roman"/>
          <w:lang w:val="ro-MD"/>
        </w:rPr>
        <w:t xml:space="preserve">nivelul de debursare – 39,03%, dobânzi și comisioane achitate – </w:t>
      </w:r>
      <w:r w:rsidR="00AC7329" w:rsidRPr="000D19A7">
        <w:rPr>
          <w:rFonts w:ascii="Times New Roman" w:hAnsi="Times New Roman" w:cs="Times New Roman"/>
          <w:lang w:val="ro-MD"/>
        </w:rPr>
        <w:t>68,8</w:t>
      </w:r>
      <w:r w:rsidRPr="000D19A7">
        <w:rPr>
          <w:rFonts w:ascii="Times New Roman" w:hAnsi="Times New Roman" w:cs="Times New Roman"/>
          <w:lang w:val="ro-MD"/>
        </w:rPr>
        <w:t xml:space="preserve"> mil. lei.</w:t>
      </w:r>
      <w:r w:rsidR="00B25F48" w:rsidRPr="000D19A7">
        <w:t xml:space="preserve"> </w:t>
      </w:r>
      <w:r w:rsidR="00B25F48" w:rsidRPr="000D19A7">
        <w:rPr>
          <w:rFonts w:ascii="Times New Roman" w:hAnsi="Times New Roman" w:cs="Times New Roman"/>
          <w:lang w:val="ro-MD"/>
        </w:rPr>
        <w:t>Nivelul de debursare nu a fost explicat de către</w:t>
      </w:r>
      <w:r w:rsidR="00152A8D">
        <w:rPr>
          <w:rFonts w:ascii="Times New Roman" w:hAnsi="Times New Roman" w:cs="Times New Roman"/>
          <w:lang w:val="ro-MD"/>
        </w:rPr>
        <w:t xml:space="preserve"> persoanele responsabile;</w:t>
      </w:r>
      <w:r w:rsidR="00B65325" w:rsidRPr="000D19A7">
        <w:rPr>
          <w:rFonts w:ascii="Times New Roman" w:hAnsi="Times New Roman" w:cs="Times New Roman"/>
          <w:lang w:val="ro-MD"/>
        </w:rPr>
        <w:t xml:space="preserve"> </w:t>
      </w:r>
    </w:p>
    <w:p w14:paraId="3B5ADDA9" w14:textId="161937AC" w:rsidR="00426330" w:rsidRPr="000D19A7" w:rsidRDefault="00B25F48"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„Interconectarea rețelelor de energie elec</w:t>
      </w:r>
      <w:r w:rsidR="00C14F04">
        <w:rPr>
          <w:rFonts w:ascii="Times New Roman" w:hAnsi="Times New Roman" w:cs="Times New Roman"/>
          <w:b/>
          <w:i/>
          <w:lang w:val="ro-MD"/>
        </w:rPr>
        <w:t>t</w:t>
      </w:r>
      <w:r w:rsidRPr="000D19A7">
        <w:rPr>
          <w:rFonts w:ascii="Times New Roman" w:hAnsi="Times New Roman" w:cs="Times New Roman"/>
          <w:b/>
          <w:i/>
          <w:lang w:val="ro-MD"/>
        </w:rPr>
        <w:t>rică dintre R</w:t>
      </w:r>
      <w:r w:rsidR="00E66FEE" w:rsidRPr="000D19A7">
        <w:rPr>
          <w:rFonts w:ascii="Times New Roman" w:hAnsi="Times New Roman" w:cs="Times New Roman"/>
          <w:b/>
          <w:i/>
          <w:lang w:val="ro-MD"/>
        </w:rPr>
        <w:t xml:space="preserve">epublica </w:t>
      </w:r>
      <w:r w:rsidRPr="000D19A7">
        <w:rPr>
          <w:rFonts w:ascii="Times New Roman" w:hAnsi="Times New Roman" w:cs="Times New Roman"/>
          <w:b/>
          <w:i/>
          <w:lang w:val="ro-MD"/>
        </w:rPr>
        <w:t>M</w:t>
      </w:r>
      <w:r w:rsidR="00E66FEE" w:rsidRPr="000D19A7">
        <w:rPr>
          <w:rFonts w:ascii="Times New Roman" w:hAnsi="Times New Roman" w:cs="Times New Roman"/>
          <w:b/>
          <w:i/>
          <w:lang w:val="ro-MD"/>
        </w:rPr>
        <w:t>oldova</w:t>
      </w:r>
      <w:r w:rsidRPr="000D19A7">
        <w:rPr>
          <w:rFonts w:ascii="Times New Roman" w:hAnsi="Times New Roman" w:cs="Times New Roman"/>
          <w:b/>
          <w:i/>
          <w:lang w:val="ro-MD"/>
        </w:rPr>
        <w:t xml:space="preserve"> și R</w:t>
      </w:r>
      <w:r w:rsidR="00E66FEE" w:rsidRPr="000D19A7">
        <w:rPr>
          <w:rFonts w:ascii="Times New Roman" w:hAnsi="Times New Roman" w:cs="Times New Roman"/>
          <w:b/>
          <w:i/>
          <w:lang w:val="ro-MD"/>
        </w:rPr>
        <w:t>omânia</w:t>
      </w:r>
      <w:r w:rsidRPr="000D19A7">
        <w:rPr>
          <w:rFonts w:ascii="Times New Roman" w:hAnsi="Times New Roman" w:cs="Times New Roman"/>
          <w:b/>
          <w:i/>
          <w:lang w:val="ro-MD"/>
        </w:rPr>
        <w:t>, Faza I</w:t>
      </w:r>
      <w:r w:rsidRPr="000D19A7">
        <w:rPr>
          <w:rFonts w:ascii="Times New Roman" w:hAnsi="Times New Roman" w:cs="Times New Roman"/>
          <w:lang w:val="ro-MD"/>
        </w:rPr>
        <w:t>”</w:t>
      </w:r>
      <w:r w:rsidR="00426330" w:rsidRPr="000D19A7">
        <w:rPr>
          <w:rFonts w:ascii="Times New Roman" w:hAnsi="Times New Roman" w:cs="Times New Roman"/>
          <w:lang w:val="ro-MD"/>
        </w:rPr>
        <w:t xml:space="preserve">: </w:t>
      </w:r>
      <w:r w:rsidR="00B65325" w:rsidRPr="000D19A7">
        <w:rPr>
          <w:rFonts w:ascii="Times New Roman" w:hAnsi="Times New Roman" w:cs="Times New Roman"/>
          <w:lang w:val="ro-MD"/>
        </w:rPr>
        <w:t xml:space="preserve">nivelul de debursare – 1,81%, </w:t>
      </w:r>
      <w:r w:rsidRPr="000D19A7">
        <w:rPr>
          <w:rFonts w:ascii="Times New Roman" w:hAnsi="Times New Roman" w:cs="Times New Roman"/>
          <w:lang w:val="ro-MD"/>
        </w:rPr>
        <w:t xml:space="preserve"> </w:t>
      </w:r>
      <w:r w:rsidR="00D96F44" w:rsidRPr="000D19A7">
        <w:rPr>
          <w:rFonts w:ascii="Times New Roman" w:hAnsi="Times New Roman" w:cs="Times New Roman"/>
          <w:lang w:val="ro-MD"/>
        </w:rPr>
        <w:t xml:space="preserve">Cauzele nedebursării: </w:t>
      </w:r>
      <w:r w:rsidR="00E66FEE" w:rsidRPr="000D19A7">
        <w:rPr>
          <w:rFonts w:ascii="Times New Roman" w:hAnsi="Times New Roman" w:cs="Times New Roman"/>
          <w:lang w:val="ro-MD"/>
        </w:rPr>
        <w:t xml:space="preserve">tergiversarea </w:t>
      </w:r>
      <w:r w:rsidRPr="000D19A7">
        <w:rPr>
          <w:rFonts w:ascii="Times New Roman" w:hAnsi="Times New Roman" w:cs="Times New Roman"/>
          <w:lang w:val="ro-MD"/>
        </w:rPr>
        <w:t>elabor</w:t>
      </w:r>
      <w:r w:rsidR="00E66FEE" w:rsidRPr="000D19A7">
        <w:rPr>
          <w:rFonts w:ascii="Times New Roman" w:hAnsi="Times New Roman" w:cs="Times New Roman"/>
          <w:lang w:val="ro-MD"/>
        </w:rPr>
        <w:t>ării</w:t>
      </w:r>
      <w:r w:rsidRPr="000D19A7">
        <w:rPr>
          <w:rFonts w:ascii="Times New Roman" w:hAnsi="Times New Roman" w:cs="Times New Roman"/>
          <w:lang w:val="ro-MD"/>
        </w:rPr>
        <w:t xml:space="preserve"> și</w:t>
      </w:r>
      <w:r w:rsidR="00E66FEE" w:rsidRPr="000D19A7">
        <w:rPr>
          <w:rFonts w:ascii="Times New Roman" w:hAnsi="Times New Roman" w:cs="Times New Roman"/>
          <w:lang w:val="ro-MD"/>
        </w:rPr>
        <w:t>,</w:t>
      </w:r>
      <w:r w:rsidRPr="000D19A7">
        <w:rPr>
          <w:rFonts w:ascii="Times New Roman" w:hAnsi="Times New Roman" w:cs="Times New Roman"/>
          <w:lang w:val="ro-MD"/>
        </w:rPr>
        <w:t xml:space="preserve"> respectiv</w:t>
      </w:r>
      <w:r w:rsidR="00E66FEE" w:rsidRPr="000D19A7">
        <w:rPr>
          <w:rFonts w:ascii="Times New Roman" w:hAnsi="Times New Roman" w:cs="Times New Roman"/>
          <w:lang w:val="ro-MD"/>
        </w:rPr>
        <w:t>,</w:t>
      </w:r>
      <w:r w:rsidRPr="000D19A7">
        <w:rPr>
          <w:rFonts w:ascii="Times New Roman" w:hAnsi="Times New Roman" w:cs="Times New Roman"/>
          <w:lang w:val="ro-MD"/>
        </w:rPr>
        <w:t xml:space="preserve"> aprob</w:t>
      </w:r>
      <w:r w:rsidR="00E66FEE" w:rsidRPr="000D19A7">
        <w:rPr>
          <w:rFonts w:ascii="Times New Roman" w:hAnsi="Times New Roman" w:cs="Times New Roman"/>
          <w:lang w:val="ro-MD"/>
        </w:rPr>
        <w:t>ării</w:t>
      </w:r>
      <w:r w:rsidRPr="000D19A7">
        <w:rPr>
          <w:rFonts w:ascii="Times New Roman" w:hAnsi="Times New Roman" w:cs="Times New Roman"/>
          <w:lang w:val="ro-MD"/>
        </w:rPr>
        <w:t xml:space="preserve"> proiectului tehnic pentru construcția LEA de 400kw, </w:t>
      </w:r>
      <w:r w:rsidR="00D96F44" w:rsidRPr="000D19A7">
        <w:rPr>
          <w:rFonts w:ascii="Times New Roman" w:hAnsi="Times New Roman" w:cs="Times New Roman"/>
          <w:lang w:val="ro-MD"/>
        </w:rPr>
        <w:t>c</w:t>
      </w:r>
      <w:r w:rsidRPr="000D19A7">
        <w:rPr>
          <w:rFonts w:ascii="Times New Roman" w:hAnsi="Times New Roman" w:cs="Times New Roman"/>
          <w:lang w:val="ro-MD"/>
        </w:rPr>
        <w:t xml:space="preserve">onsultările publice și lansarea procedurii de expropriere au </w:t>
      </w:r>
      <w:r w:rsidR="00E66FEE" w:rsidRPr="000D19A7">
        <w:rPr>
          <w:rFonts w:ascii="Times New Roman" w:hAnsi="Times New Roman" w:cs="Times New Roman"/>
          <w:lang w:val="ro-MD"/>
        </w:rPr>
        <w:t>fost transferate pentru trimestrul</w:t>
      </w:r>
      <w:r w:rsidRPr="000D19A7">
        <w:rPr>
          <w:rFonts w:ascii="Times New Roman" w:hAnsi="Times New Roman" w:cs="Times New Roman"/>
          <w:lang w:val="ro-MD"/>
        </w:rPr>
        <w:t xml:space="preserve"> I</w:t>
      </w:r>
      <w:r w:rsidR="00E66FEE" w:rsidRPr="000D19A7">
        <w:rPr>
          <w:rFonts w:ascii="Times New Roman" w:hAnsi="Times New Roman" w:cs="Times New Roman"/>
          <w:lang w:val="ro-MD"/>
        </w:rPr>
        <w:t xml:space="preserve"> al anului</w:t>
      </w:r>
      <w:r w:rsidRPr="000D19A7">
        <w:rPr>
          <w:rFonts w:ascii="Times New Roman" w:hAnsi="Times New Roman" w:cs="Times New Roman"/>
          <w:lang w:val="ro-MD"/>
        </w:rPr>
        <w:t xml:space="preserve"> 2024</w:t>
      </w:r>
      <w:r w:rsidR="00C47FB4" w:rsidRPr="000D19A7">
        <w:rPr>
          <w:rFonts w:ascii="Times New Roman" w:hAnsi="Times New Roman" w:cs="Times New Roman"/>
          <w:lang w:val="ro-MD"/>
        </w:rPr>
        <w:t>;</w:t>
      </w:r>
    </w:p>
    <w:p w14:paraId="2DC1715C" w14:textId="77777777" w:rsidR="00B65325" w:rsidRPr="000D19A7" w:rsidRDefault="00426330"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Proiectul „Sistemul termoenergetic al mun. Bălți. Faza II (CET-NORD Faza II)”</w:t>
      </w:r>
      <w:r w:rsidRPr="000D19A7">
        <w:rPr>
          <w:rFonts w:ascii="Times New Roman" w:hAnsi="Times New Roman" w:cs="Times New Roman"/>
          <w:lang w:val="ro-MD"/>
        </w:rPr>
        <w:t>:</w:t>
      </w:r>
      <w:r w:rsidRPr="000D19A7">
        <w:rPr>
          <w:rFonts w:ascii="Times New Roman" w:hAnsi="Times New Roman" w:cs="Times New Roman"/>
          <w:b/>
          <w:i/>
          <w:lang w:val="ro-MD"/>
        </w:rPr>
        <w:t xml:space="preserve"> </w:t>
      </w:r>
      <w:r w:rsidRPr="000D19A7">
        <w:rPr>
          <w:rFonts w:ascii="Times New Roman" w:hAnsi="Times New Roman" w:cs="Times New Roman"/>
          <w:lang w:val="ro-MD"/>
        </w:rPr>
        <w:t xml:space="preserve">nivelul de debursare – </w:t>
      </w:r>
      <w:r w:rsidR="00A2756D" w:rsidRPr="000D19A7">
        <w:rPr>
          <w:rFonts w:ascii="Times New Roman" w:hAnsi="Times New Roman" w:cs="Times New Roman"/>
          <w:lang w:val="ro-MD"/>
        </w:rPr>
        <w:t>26,67%, c</w:t>
      </w:r>
      <w:r w:rsidRPr="000D19A7">
        <w:rPr>
          <w:rFonts w:ascii="Times New Roman" w:hAnsi="Times New Roman" w:cs="Times New Roman"/>
          <w:lang w:val="ro-MD"/>
        </w:rPr>
        <w:t>omisioane și dobânzi achitate – 7,</w:t>
      </w:r>
      <w:r w:rsidR="00AC7329" w:rsidRPr="000D19A7">
        <w:rPr>
          <w:rFonts w:ascii="Times New Roman" w:hAnsi="Times New Roman" w:cs="Times New Roman"/>
          <w:lang w:val="ro-MD"/>
        </w:rPr>
        <w:t>2</w:t>
      </w:r>
      <w:r w:rsidR="00B65325" w:rsidRPr="000D19A7">
        <w:rPr>
          <w:rFonts w:ascii="Times New Roman" w:hAnsi="Times New Roman" w:cs="Times New Roman"/>
          <w:lang w:val="ro-MD"/>
        </w:rPr>
        <w:t xml:space="preserve"> mil. lei, termenul limită de debursare – 24.11.2024.</w:t>
      </w:r>
      <w:r w:rsidRPr="000D19A7">
        <w:rPr>
          <w:rFonts w:ascii="Times New Roman" w:hAnsi="Times New Roman" w:cs="Times New Roman"/>
          <w:lang w:val="ro-MD"/>
        </w:rPr>
        <w:t xml:space="preserve"> </w:t>
      </w:r>
      <w:r w:rsidR="002734C8" w:rsidRPr="000D19A7">
        <w:rPr>
          <w:rFonts w:ascii="Times New Roman" w:hAnsi="Times New Roman" w:cs="Times New Roman"/>
          <w:lang w:val="ro-MD"/>
        </w:rPr>
        <w:t>Nivelul de debursare nu a fost explicat d</w:t>
      </w:r>
      <w:r w:rsidR="00B65325" w:rsidRPr="000D19A7">
        <w:rPr>
          <w:rFonts w:ascii="Times New Roman" w:hAnsi="Times New Roman" w:cs="Times New Roman"/>
          <w:lang w:val="ro-MD"/>
        </w:rPr>
        <w:t>e către persoanele responsabile;</w:t>
      </w:r>
    </w:p>
    <w:p w14:paraId="4F2851C2" w14:textId="40BCC76C" w:rsidR="00462BCA" w:rsidRPr="000D19A7" w:rsidRDefault="00B65325"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 xml:space="preserve"> </w:t>
      </w:r>
      <w:r w:rsidR="00462BCA" w:rsidRPr="000D19A7">
        <w:rPr>
          <w:rFonts w:ascii="Times New Roman" w:hAnsi="Times New Roman" w:cs="Times New Roman"/>
          <w:b/>
          <w:i/>
          <w:lang w:val="ro-MD"/>
        </w:rPr>
        <w:t>Proiectul „Îmbunătățirea eficienței sistemului de alimentare centralizată</w:t>
      </w:r>
      <w:r w:rsidR="00C438FE" w:rsidRPr="000D19A7">
        <w:rPr>
          <w:rFonts w:ascii="Times New Roman" w:hAnsi="Times New Roman" w:cs="Times New Roman"/>
          <w:b/>
          <w:i/>
          <w:lang w:val="ro-MD"/>
        </w:rPr>
        <w:t xml:space="preserve"> cu energie termică</w:t>
      </w:r>
      <w:r w:rsidR="00462BCA" w:rsidRPr="000D19A7">
        <w:rPr>
          <w:rFonts w:ascii="Times New Roman" w:hAnsi="Times New Roman" w:cs="Times New Roman"/>
          <w:b/>
          <w:i/>
          <w:lang w:val="ro-MD"/>
        </w:rPr>
        <w:t>”</w:t>
      </w:r>
      <w:r w:rsidR="005579F1" w:rsidRPr="000D19A7">
        <w:rPr>
          <w:rFonts w:ascii="Times New Roman" w:hAnsi="Times New Roman" w:cs="Times New Roman"/>
          <w:b/>
          <w:i/>
          <w:lang w:val="ro-MD"/>
        </w:rPr>
        <w:t xml:space="preserve">: </w:t>
      </w:r>
      <w:r w:rsidR="00462BCA" w:rsidRPr="000D19A7">
        <w:rPr>
          <w:rFonts w:ascii="Times New Roman" w:hAnsi="Times New Roman" w:cs="Times New Roman"/>
          <w:lang w:val="ro-MD"/>
        </w:rPr>
        <w:t xml:space="preserve">nivelul de debursare – 1,09%, comisioane și dobânzi achitate – </w:t>
      </w:r>
      <w:r w:rsidR="00AC7329" w:rsidRPr="000D19A7">
        <w:rPr>
          <w:rFonts w:ascii="Times New Roman" w:hAnsi="Times New Roman" w:cs="Times New Roman"/>
          <w:lang w:val="ro-MD"/>
        </w:rPr>
        <w:t>18,5</w:t>
      </w:r>
      <w:r w:rsidR="00462BCA" w:rsidRPr="000D19A7">
        <w:rPr>
          <w:rFonts w:ascii="Times New Roman" w:hAnsi="Times New Roman" w:cs="Times New Roman"/>
          <w:lang w:val="ro-MD"/>
        </w:rPr>
        <w:t xml:space="preserve"> </w:t>
      </w:r>
      <w:r w:rsidRPr="000D19A7">
        <w:rPr>
          <w:rFonts w:ascii="Times New Roman" w:hAnsi="Times New Roman" w:cs="Times New Roman"/>
          <w:lang w:val="ro-MD"/>
        </w:rPr>
        <w:t xml:space="preserve">mil. lei, termenul limită de debursare – 31.12.2025. </w:t>
      </w:r>
      <w:r w:rsidR="00462BCA" w:rsidRPr="000D19A7">
        <w:rPr>
          <w:rFonts w:ascii="Times New Roman" w:hAnsi="Times New Roman" w:cs="Times New Roman"/>
          <w:lang w:val="ro-MD"/>
        </w:rPr>
        <w:t xml:space="preserve">Potrivit explicațiilor persoanelor responsabile, </w:t>
      </w:r>
      <w:r w:rsidR="00462BCA" w:rsidRPr="000D19A7">
        <w:rPr>
          <w:rFonts w:ascii="Times New Roman" w:hAnsi="Times New Roman" w:cs="Times New Roman"/>
          <w:i/>
          <w:lang w:val="ro-MD"/>
        </w:rPr>
        <w:t xml:space="preserve">„licitația internațională pentru pachetul de achiziție, care prevede proiectarea, furnizarea și instalarea punctelor termice individuale și a rețelelor termice aferente clădirii rezidențiale și </w:t>
      </w:r>
      <w:r w:rsidR="00B74983" w:rsidRPr="000D19A7">
        <w:rPr>
          <w:rFonts w:ascii="Times New Roman" w:hAnsi="Times New Roman" w:cs="Times New Roman"/>
          <w:i/>
          <w:lang w:val="ro-MD"/>
        </w:rPr>
        <w:t>publice, a fost lansată în trimestrul</w:t>
      </w:r>
      <w:r w:rsidR="00462BCA" w:rsidRPr="000D19A7">
        <w:rPr>
          <w:rFonts w:ascii="Times New Roman" w:hAnsi="Times New Roman" w:cs="Times New Roman"/>
          <w:i/>
          <w:lang w:val="ro-MD"/>
        </w:rPr>
        <w:t xml:space="preserve"> III al a</w:t>
      </w:r>
      <w:r w:rsidR="00B74983" w:rsidRPr="000D19A7">
        <w:rPr>
          <w:rFonts w:ascii="Times New Roman" w:hAnsi="Times New Roman" w:cs="Times New Roman"/>
          <w:i/>
          <w:lang w:val="ro-MD"/>
        </w:rPr>
        <w:t>nului</w:t>
      </w:r>
      <w:r w:rsidR="00462BCA" w:rsidRPr="000D19A7">
        <w:rPr>
          <w:rFonts w:ascii="Times New Roman" w:hAnsi="Times New Roman" w:cs="Times New Roman"/>
          <w:i/>
          <w:lang w:val="ro-MD"/>
        </w:rPr>
        <w:t xml:space="preserve"> 2023. </w:t>
      </w:r>
      <w:r w:rsidR="00B74983" w:rsidRPr="000D19A7">
        <w:rPr>
          <w:rFonts w:ascii="Times New Roman" w:hAnsi="Times New Roman" w:cs="Times New Roman"/>
          <w:i/>
          <w:lang w:val="ro-MD"/>
        </w:rPr>
        <w:t>C</w:t>
      </w:r>
      <w:r w:rsidR="00462BCA" w:rsidRPr="000D19A7">
        <w:rPr>
          <w:rFonts w:ascii="Times New Roman" w:hAnsi="Times New Roman" w:cs="Times New Roman"/>
          <w:i/>
          <w:lang w:val="ro-MD"/>
        </w:rPr>
        <w:t xml:space="preserve">ontractul de consultanță pentru supravegherea tehnică și suport în evaluarea ofertelor pentru pachetul prioritar al proiectului </w:t>
      </w:r>
      <w:r w:rsidR="00B74983" w:rsidRPr="000D19A7">
        <w:rPr>
          <w:rFonts w:ascii="Times New Roman" w:hAnsi="Times New Roman" w:cs="Times New Roman"/>
          <w:i/>
          <w:lang w:val="ro-MD"/>
        </w:rPr>
        <w:t xml:space="preserve">este </w:t>
      </w:r>
      <w:r w:rsidR="00462BCA" w:rsidRPr="000D19A7">
        <w:rPr>
          <w:rFonts w:ascii="Times New Roman" w:hAnsi="Times New Roman" w:cs="Times New Roman"/>
          <w:i/>
          <w:lang w:val="ro-MD"/>
        </w:rPr>
        <w:t>în derulare, totuși</w:t>
      </w:r>
      <w:r w:rsidR="00B74983" w:rsidRPr="000D19A7">
        <w:rPr>
          <w:rFonts w:ascii="Times New Roman" w:hAnsi="Times New Roman" w:cs="Times New Roman"/>
          <w:i/>
          <w:lang w:val="ro-MD"/>
        </w:rPr>
        <w:t>,</w:t>
      </w:r>
      <w:r w:rsidR="00462BCA" w:rsidRPr="000D19A7">
        <w:rPr>
          <w:rFonts w:ascii="Times New Roman" w:hAnsi="Times New Roman" w:cs="Times New Roman"/>
          <w:i/>
          <w:lang w:val="ro-MD"/>
        </w:rPr>
        <w:t xml:space="preserve"> dat fiind faptul că a fost necesară operarea unor modificări în echipa de consultanță, care a fost implicată în procesul de evaluare a ofertelor pentru pachetul de achiziție, a fost inițiată procedura de elaborare a amendamentului la contract, iar plățile aferente serviciilor de consultanță prestate în perioada anului 2023 au fost transferate</w:t>
      </w:r>
      <w:r w:rsidR="00B74983" w:rsidRPr="000D19A7">
        <w:rPr>
          <w:rFonts w:ascii="Times New Roman" w:hAnsi="Times New Roman" w:cs="Times New Roman"/>
          <w:i/>
          <w:lang w:val="ro-MD"/>
        </w:rPr>
        <w:t xml:space="preserve"> spre achitare în trimestrul I al anului </w:t>
      </w:r>
      <w:r w:rsidR="00462BCA" w:rsidRPr="000D19A7">
        <w:rPr>
          <w:rFonts w:ascii="Times New Roman" w:hAnsi="Times New Roman" w:cs="Times New Roman"/>
          <w:i/>
          <w:lang w:val="ro-MD"/>
        </w:rPr>
        <w:t>2024. Licitația pentru pachetul prioritar al proiectului a fost încheiată cu r</w:t>
      </w:r>
      <w:r w:rsidR="00B74983" w:rsidRPr="000D19A7">
        <w:rPr>
          <w:rFonts w:ascii="Times New Roman" w:hAnsi="Times New Roman" w:cs="Times New Roman"/>
          <w:i/>
          <w:lang w:val="ro-MD"/>
        </w:rPr>
        <w:t>e</w:t>
      </w:r>
      <w:r w:rsidR="00462BCA" w:rsidRPr="000D19A7">
        <w:rPr>
          <w:rFonts w:ascii="Times New Roman" w:hAnsi="Times New Roman" w:cs="Times New Roman"/>
          <w:i/>
          <w:lang w:val="ro-MD"/>
        </w:rPr>
        <w:t>spingerea ofertelor prezentate din motivul necorespunderii acestora față de cerințele stabilite în Documentul de achiziție. Prin urmare, urmează a fi lansată o nouă procedură de licitație. Proiectul urmează a fi restructurat, pentru a reflecta pachetele de achiziție revizuite, bugetul estimativ actualizat și perioada extinsă</w:t>
      </w:r>
      <w:r w:rsidR="00152A8D">
        <w:rPr>
          <w:rFonts w:ascii="Times New Roman" w:hAnsi="Times New Roman" w:cs="Times New Roman"/>
          <w:i/>
          <w:lang w:val="ro-MD"/>
        </w:rPr>
        <w:t xml:space="preserve"> de implementare a proiectului”;</w:t>
      </w:r>
    </w:p>
    <w:p w14:paraId="151975FB" w14:textId="6B88F1AF" w:rsidR="00BC511D" w:rsidRPr="000D19A7" w:rsidRDefault="00BC511D" w:rsidP="00D747CD">
      <w:pPr>
        <w:pStyle w:val="a7"/>
        <w:numPr>
          <w:ilvl w:val="3"/>
          <w:numId w:val="12"/>
        </w:numPr>
        <w:tabs>
          <w:tab w:val="left" w:pos="284"/>
        </w:tabs>
        <w:spacing w:after="0" w:line="276" w:lineRule="auto"/>
        <w:ind w:left="0" w:firstLine="0"/>
        <w:jc w:val="both"/>
        <w:rPr>
          <w:rFonts w:ascii="Times New Roman" w:hAnsi="Times New Roman" w:cs="Times New Roman"/>
          <w:b/>
          <w:i/>
          <w:lang w:val="ro-MD"/>
        </w:rPr>
      </w:pPr>
      <w:r w:rsidRPr="000D19A7">
        <w:rPr>
          <w:rFonts w:ascii="Times New Roman" w:hAnsi="Times New Roman" w:cs="Times New Roman"/>
          <w:b/>
          <w:i/>
          <w:lang w:val="ro-MD"/>
        </w:rPr>
        <w:t>Proiectul „Înregistrare și evaluare funciară”</w:t>
      </w:r>
      <w:r w:rsidR="005579F1" w:rsidRPr="000D19A7">
        <w:rPr>
          <w:rFonts w:ascii="Times New Roman" w:hAnsi="Times New Roman" w:cs="Times New Roman"/>
          <w:b/>
          <w:i/>
          <w:lang w:val="ro-MD"/>
        </w:rPr>
        <w:t xml:space="preserve">: </w:t>
      </w:r>
      <w:r w:rsidRPr="000D19A7">
        <w:rPr>
          <w:rFonts w:ascii="Times New Roman" w:hAnsi="Times New Roman" w:cs="Times New Roman"/>
          <w:lang w:val="ro-MD"/>
        </w:rPr>
        <w:t>nivelul de debursare</w:t>
      </w:r>
      <w:r w:rsidR="00FF2901" w:rsidRPr="000D19A7">
        <w:rPr>
          <w:rFonts w:ascii="Times New Roman" w:hAnsi="Times New Roman" w:cs="Times New Roman"/>
          <w:lang w:val="ro-MD"/>
        </w:rPr>
        <w:t xml:space="preserve"> -</w:t>
      </w:r>
      <w:r w:rsidRPr="000D19A7">
        <w:rPr>
          <w:rFonts w:ascii="Times New Roman" w:hAnsi="Times New Roman" w:cs="Times New Roman"/>
          <w:lang w:val="ro-MD"/>
        </w:rPr>
        <w:t xml:space="preserve"> 33,19%, dobânzi și comisioane </w:t>
      </w:r>
      <w:r w:rsidR="00FF2901" w:rsidRPr="000D19A7">
        <w:rPr>
          <w:rFonts w:ascii="Times New Roman" w:hAnsi="Times New Roman" w:cs="Times New Roman"/>
          <w:lang w:val="ro-MD"/>
        </w:rPr>
        <w:t xml:space="preserve">achitate - </w:t>
      </w:r>
      <w:r w:rsidRPr="000D19A7">
        <w:rPr>
          <w:rFonts w:ascii="Times New Roman" w:hAnsi="Times New Roman" w:cs="Times New Roman"/>
          <w:lang w:val="ro-MD"/>
        </w:rPr>
        <w:t>1,</w:t>
      </w:r>
      <w:r w:rsidR="00AC7329" w:rsidRPr="000D19A7">
        <w:rPr>
          <w:rFonts w:ascii="Times New Roman" w:hAnsi="Times New Roman" w:cs="Times New Roman"/>
          <w:lang w:val="ro-MD"/>
        </w:rPr>
        <w:t>6</w:t>
      </w:r>
      <w:r w:rsidR="001C2807" w:rsidRPr="000D19A7">
        <w:rPr>
          <w:rFonts w:ascii="Times New Roman" w:hAnsi="Times New Roman" w:cs="Times New Roman"/>
          <w:lang w:val="ro-MD"/>
        </w:rPr>
        <w:t xml:space="preserve"> mil. lei, termenul limită de debursare fiind 30.06.2024.</w:t>
      </w:r>
      <w:r w:rsidRPr="000D19A7">
        <w:rPr>
          <w:rFonts w:ascii="Times New Roman" w:hAnsi="Times New Roman" w:cs="Times New Roman"/>
          <w:lang w:val="ro-MD"/>
        </w:rPr>
        <w:t xml:space="preserve"> Potrivit explicațiilor persoanelor responsabile</w:t>
      </w:r>
      <w:r w:rsidRPr="000D19A7">
        <w:rPr>
          <w:rFonts w:ascii="Times New Roman" w:hAnsi="Times New Roman" w:cs="Times New Roman"/>
          <w:i/>
          <w:lang w:val="ro-MD"/>
        </w:rPr>
        <w:t>,</w:t>
      </w:r>
      <w:r w:rsidRPr="000D19A7">
        <w:rPr>
          <w:rFonts w:ascii="Times New Roman" w:hAnsi="Times New Roman" w:cs="Times New Roman"/>
          <w:lang w:val="ro-MD"/>
        </w:rPr>
        <w:t xml:space="preserve"> nivelul scăzut de debursare a fost determinat de</w:t>
      </w:r>
      <w:r w:rsidRPr="000D19A7">
        <w:rPr>
          <w:rFonts w:ascii="Times New Roman" w:hAnsi="Times New Roman" w:cs="Times New Roman"/>
          <w:i/>
          <w:lang w:val="ro-MD"/>
        </w:rPr>
        <w:t xml:space="preserve"> „prezentarea întârziată de către executanți a lucrărilor și facturilor, prezentarea întârziată de c</w:t>
      </w:r>
      <w:r w:rsidR="00AC7329" w:rsidRPr="000D19A7">
        <w:rPr>
          <w:rFonts w:ascii="Times New Roman" w:hAnsi="Times New Roman" w:cs="Times New Roman"/>
          <w:i/>
          <w:lang w:val="ro-MD"/>
        </w:rPr>
        <w:t>ă</w:t>
      </w:r>
      <w:r w:rsidRPr="000D19A7">
        <w:rPr>
          <w:rFonts w:ascii="Times New Roman" w:hAnsi="Times New Roman" w:cs="Times New Roman"/>
          <w:i/>
          <w:lang w:val="ro-MD"/>
        </w:rPr>
        <w:t>tre consultanții internaționali a livră</w:t>
      </w:r>
      <w:r w:rsidR="00152A8D">
        <w:rPr>
          <w:rFonts w:ascii="Times New Roman" w:hAnsi="Times New Roman" w:cs="Times New Roman"/>
          <w:i/>
          <w:lang w:val="ro-MD"/>
        </w:rPr>
        <w:t>rilor și conturilor spre plată”;</w:t>
      </w:r>
    </w:p>
    <w:p w14:paraId="56F01498" w14:textId="0B3F1FC2" w:rsidR="00C61767" w:rsidRPr="000D19A7" w:rsidRDefault="005579F1" w:rsidP="00D747CD">
      <w:pPr>
        <w:pStyle w:val="a7"/>
        <w:numPr>
          <w:ilvl w:val="3"/>
          <w:numId w:val="12"/>
        </w:numPr>
        <w:tabs>
          <w:tab w:val="left" w:pos="284"/>
        </w:tabs>
        <w:spacing w:after="0" w:line="276" w:lineRule="auto"/>
        <w:ind w:left="0" w:firstLine="0"/>
        <w:jc w:val="both"/>
        <w:rPr>
          <w:rFonts w:ascii="Times New Roman" w:hAnsi="Times New Roman" w:cs="Times New Roman"/>
          <w:lang w:val="ro-MD"/>
        </w:rPr>
      </w:pPr>
      <w:r w:rsidRPr="000D19A7">
        <w:rPr>
          <w:rFonts w:ascii="Times New Roman" w:hAnsi="Times New Roman" w:cs="Times New Roman"/>
          <w:b/>
          <w:i/>
          <w:lang w:val="ro-MD"/>
        </w:rPr>
        <w:t xml:space="preserve">Proiectul „Dezvoltarea sistemului electroenergetic”: </w:t>
      </w:r>
      <w:r w:rsidRPr="000D19A7">
        <w:rPr>
          <w:rFonts w:ascii="Times New Roman" w:hAnsi="Times New Roman" w:cs="Times New Roman"/>
          <w:lang w:val="ro-MD"/>
        </w:rPr>
        <w:t xml:space="preserve">nivelul de debursare – </w:t>
      </w:r>
      <w:r w:rsidR="00AC7329" w:rsidRPr="000D19A7">
        <w:rPr>
          <w:rFonts w:ascii="Times New Roman" w:hAnsi="Times New Roman" w:cs="Times New Roman"/>
          <w:lang w:val="ro-MD"/>
        </w:rPr>
        <w:t>19,0</w:t>
      </w:r>
      <w:r w:rsidRPr="000D19A7">
        <w:rPr>
          <w:rFonts w:ascii="Times New Roman" w:hAnsi="Times New Roman" w:cs="Times New Roman"/>
          <w:lang w:val="ro-MD"/>
        </w:rPr>
        <w:t>%, dob</w:t>
      </w:r>
      <w:r w:rsidR="00AC7329" w:rsidRPr="000D19A7">
        <w:rPr>
          <w:rFonts w:ascii="Times New Roman" w:hAnsi="Times New Roman" w:cs="Times New Roman"/>
          <w:lang w:val="ro-MD"/>
        </w:rPr>
        <w:t>ânzi și comisioane</w:t>
      </w:r>
      <w:r w:rsidRPr="000D19A7">
        <w:rPr>
          <w:rFonts w:ascii="Times New Roman" w:hAnsi="Times New Roman" w:cs="Times New Roman"/>
          <w:lang w:val="ro-MD"/>
        </w:rPr>
        <w:t xml:space="preserve"> achitat</w:t>
      </w:r>
      <w:r w:rsidR="00AC7329" w:rsidRPr="000D19A7">
        <w:rPr>
          <w:rFonts w:ascii="Times New Roman" w:hAnsi="Times New Roman" w:cs="Times New Roman"/>
          <w:lang w:val="ro-MD"/>
        </w:rPr>
        <w:t>e</w:t>
      </w:r>
      <w:r w:rsidRPr="000D19A7">
        <w:rPr>
          <w:rFonts w:ascii="Times New Roman" w:hAnsi="Times New Roman" w:cs="Times New Roman"/>
          <w:lang w:val="ro-MD"/>
        </w:rPr>
        <w:t xml:space="preserve"> – </w:t>
      </w:r>
      <w:r w:rsidR="00AC7329" w:rsidRPr="000D19A7">
        <w:rPr>
          <w:rFonts w:ascii="Times New Roman" w:hAnsi="Times New Roman" w:cs="Times New Roman"/>
          <w:lang w:val="ro-MD"/>
        </w:rPr>
        <w:t>7,0</w:t>
      </w:r>
      <w:r w:rsidRPr="000D19A7">
        <w:rPr>
          <w:rFonts w:ascii="Times New Roman" w:hAnsi="Times New Roman" w:cs="Times New Roman"/>
          <w:lang w:val="ro-MD"/>
        </w:rPr>
        <w:t xml:space="preserve"> mil. lei. </w:t>
      </w:r>
      <w:r w:rsidR="00662EC8" w:rsidRPr="000D19A7">
        <w:rPr>
          <w:rFonts w:ascii="Times New Roman" w:hAnsi="Times New Roman" w:cs="Times New Roman"/>
          <w:lang w:val="ro-MD"/>
        </w:rPr>
        <w:t>Nivelul scăzut de debursare se datorează în principal</w:t>
      </w:r>
      <w:r w:rsidR="00662EC8" w:rsidRPr="000D19A7">
        <w:rPr>
          <w:rFonts w:ascii="Times New Roman" w:hAnsi="Times New Roman" w:cs="Times New Roman"/>
          <w:i/>
          <w:lang w:val="ro-MD"/>
        </w:rPr>
        <w:t xml:space="preserve"> „</w:t>
      </w:r>
      <w:r w:rsidRPr="000D19A7">
        <w:rPr>
          <w:rFonts w:ascii="Times New Roman" w:hAnsi="Times New Roman" w:cs="Times New Roman"/>
          <w:i/>
          <w:lang w:val="ro-MD"/>
        </w:rPr>
        <w:t>tergivers</w:t>
      </w:r>
      <w:r w:rsidR="00662EC8" w:rsidRPr="000D19A7">
        <w:rPr>
          <w:rFonts w:ascii="Times New Roman" w:hAnsi="Times New Roman" w:cs="Times New Roman"/>
          <w:i/>
          <w:lang w:val="ro-MD"/>
        </w:rPr>
        <w:t xml:space="preserve">ării </w:t>
      </w:r>
      <w:r w:rsidRPr="000D19A7">
        <w:rPr>
          <w:rFonts w:ascii="Times New Roman" w:hAnsi="Times New Roman" w:cs="Times New Roman"/>
          <w:i/>
          <w:lang w:val="ro-MD"/>
        </w:rPr>
        <w:t>elabor</w:t>
      </w:r>
      <w:r w:rsidR="00662EC8" w:rsidRPr="000D19A7">
        <w:rPr>
          <w:rFonts w:ascii="Times New Roman" w:hAnsi="Times New Roman" w:cs="Times New Roman"/>
          <w:i/>
          <w:lang w:val="ro-MD"/>
        </w:rPr>
        <w:t xml:space="preserve">ării </w:t>
      </w:r>
      <w:r w:rsidRPr="000D19A7">
        <w:rPr>
          <w:rFonts w:ascii="Times New Roman" w:hAnsi="Times New Roman" w:cs="Times New Roman"/>
          <w:i/>
          <w:lang w:val="ro-MD"/>
        </w:rPr>
        <w:t>proiectului tehnic pentru construcția LEA și stația electrică Chișinău</w:t>
      </w:r>
      <w:r w:rsidR="00662EC8" w:rsidRPr="000D19A7">
        <w:rPr>
          <w:rFonts w:ascii="Times New Roman" w:hAnsi="Times New Roman" w:cs="Times New Roman"/>
          <w:i/>
          <w:lang w:val="ro-MD"/>
        </w:rPr>
        <w:t xml:space="preserve">, </w:t>
      </w:r>
      <w:r w:rsidRPr="000D19A7">
        <w:rPr>
          <w:rFonts w:ascii="Times New Roman" w:hAnsi="Times New Roman" w:cs="Times New Roman"/>
          <w:i/>
          <w:lang w:val="ro-MD"/>
        </w:rPr>
        <w:t>tergiversar</w:t>
      </w:r>
      <w:r w:rsidR="00662EC8" w:rsidRPr="000D19A7">
        <w:rPr>
          <w:rFonts w:ascii="Times New Roman" w:hAnsi="Times New Roman" w:cs="Times New Roman"/>
          <w:i/>
          <w:lang w:val="ro-MD"/>
        </w:rPr>
        <w:t>ii</w:t>
      </w:r>
      <w:r w:rsidRPr="000D19A7">
        <w:rPr>
          <w:rFonts w:ascii="Times New Roman" w:hAnsi="Times New Roman" w:cs="Times New Roman"/>
          <w:i/>
          <w:lang w:val="ro-MD"/>
        </w:rPr>
        <w:t xml:space="preserve"> procedurii de expropriere și evaluare a prejudiciilor aferente exproprierii, urmare devierii de la traseul preconizat. Se menționează că în baza deciziilor guvernului a fost completată lista terenurilor necesare de a fi expropriate, proprietarii terenurilor respective urmează să înainteze cereri pentru plata despăgubirilor. În perioada de gestiune nu au fost depuse cereri de către persoanele respective, acest fapt tergiversînd implementarea Proiectului respectiv. Totodată, ca urmare a misiunii Băncii Mondiale de evaluare a Proiectului la mijloc de termen, </w:t>
      </w:r>
      <w:r w:rsidR="00B242D3">
        <w:rPr>
          <w:rFonts w:ascii="Times New Roman" w:hAnsi="Times New Roman" w:cs="Times New Roman"/>
          <w:i/>
          <w:lang w:val="ro-MD"/>
        </w:rPr>
        <w:t xml:space="preserve">  </w:t>
      </w:r>
      <w:r w:rsidRPr="000D19A7">
        <w:rPr>
          <w:rFonts w:ascii="Times New Roman" w:hAnsi="Times New Roman" w:cs="Times New Roman"/>
          <w:i/>
          <w:lang w:val="ro-MD"/>
        </w:rPr>
        <w:t>s-a convenit asupra necesității de restructurare a Proiectului, cu extinderea duratei de finalizare. Prin urmare, planul de achiziții și bugetul Proiectului. Alt moment ce stopează procedura de expropriere este etapa de înregistrare a dosarelor cadastrale la ASP, care nu poate fi realizată fără participarea fizică a proprietarilor de teren și achitarea serviciilor datedin numele acestora la ASP. În mare parte, debursările depind de rezultatele licitaț</w:t>
      </w:r>
      <w:r w:rsidR="00152A8D">
        <w:rPr>
          <w:rFonts w:ascii="Times New Roman" w:hAnsi="Times New Roman" w:cs="Times New Roman"/>
          <w:i/>
          <w:lang w:val="ro-MD"/>
        </w:rPr>
        <w:t>iilor și semnarea contractelor</w:t>
      </w:r>
      <w:r w:rsidRPr="000D19A7">
        <w:rPr>
          <w:rFonts w:ascii="Times New Roman" w:hAnsi="Times New Roman" w:cs="Times New Roman"/>
          <w:i/>
          <w:lang w:val="ro-MD"/>
        </w:rPr>
        <w:t>”</w:t>
      </w:r>
      <w:r w:rsidR="00152A8D">
        <w:rPr>
          <w:rFonts w:ascii="Times New Roman" w:hAnsi="Times New Roman" w:cs="Times New Roman"/>
          <w:i/>
          <w:lang w:val="ro-MD"/>
        </w:rPr>
        <w:t>;</w:t>
      </w:r>
    </w:p>
    <w:p w14:paraId="206794CD" w14:textId="2F538024" w:rsidR="005A22EF" w:rsidRPr="000D19A7" w:rsidRDefault="005A22EF" w:rsidP="00D747CD">
      <w:pPr>
        <w:pStyle w:val="a7"/>
        <w:numPr>
          <w:ilvl w:val="3"/>
          <w:numId w:val="12"/>
        </w:numPr>
        <w:tabs>
          <w:tab w:val="left" w:pos="284"/>
        </w:tabs>
        <w:spacing w:after="0" w:line="276" w:lineRule="auto"/>
        <w:ind w:left="0" w:firstLine="0"/>
        <w:jc w:val="both"/>
        <w:rPr>
          <w:rFonts w:ascii="Times New Roman" w:hAnsi="Times New Roman" w:cs="Times New Roman"/>
          <w:i/>
          <w:lang w:val="ro-MD"/>
        </w:rPr>
      </w:pPr>
      <w:r w:rsidRPr="000D19A7">
        <w:rPr>
          <w:rFonts w:ascii="Times New Roman" w:hAnsi="Times New Roman" w:cs="Times New Roman"/>
          <w:b/>
          <w:i/>
          <w:lang w:val="ro-MD"/>
        </w:rPr>
        <w:t xml:space="preserve">Proiectul „Îmbunătățirea capacităților pentru transformarea zonei rurale (IFAD VIII”) – </w:t>
      </w:r>
      <w:r w:rsidRPr="000D19A7">
        <w:rPr>
          <w:rFonts w:ascii="Times New Roman" w:hAnsi="Times New Roman" w:cs="Times New Roman"/>
          <w:lang w:val="ro-MD"/>
        </w:rPr>
        <w:t>nivelul de debursare – 7,75%, dobânda achitată – 174,</w:t>
      </w:r>
      <w:r w:rsidR="0004710B" w:rsidRPr="000D19A7">
        <w:rPr>
          <w:rFonts w:ascii="Times New Roman" w:hAnsi="Times New Roman" w:cs="Times New Roman"/>
          <w:lang w:val="ro-MD"/>
        </w:rPr>
        <w:t>44</w:t>
      </w:r>
      <w:r w:rsidRPr="000D19A7">
        <w:rPr>
          <w:rFonts w:ascii="Times New Roman" w:hAnsi="Times New Roman" w:cs="Times New Roman"/>
          <w:lang w:val="ro-MD"/>
        </w:rPr>
        <w:t xml:space="preserve"> mii lei. Potrivit persoanelor responsabile, </w:t>
      </w:r>
      <w:r w:rsidRPr="000D19A7">
        <w:rPr>
          <w:rFonts w:ascii="Times New Roman" w:hAnsi="Times New Roman" w:cs="Times New Roman"/>
          <w:i/>
          <w:lang w:val="ro-MD"/>
        </w:rPr>
        <w:t>„Atragerea resurselor externe atât din granturi cât și din împrumuturi are loc in transe și doar după justificarea prin cheltuieli a resurselor atrase anterior. În 2023 programul a întâmpinat dificultăți la implementarea proiectelor de infrastructură, astfel fiind nevalorificate resursele, fapt ce a dus la nevalorificarea intrarilor din granturi și împrumuturi eterne. Un alt motiv ar fi că, IFAD VII a fost extins cu 6 luni, cheltuielile pentru implementarea proiectului fiind acoperite din IFAD VII în vederea evitării dublei finanțări. Totodată, nivelul de debursare este interdependent de nivelul de executare a cheltuielilor”.</w:t>
      </w:r>
    </w:p>
    <w:p w14:paraId="25EC0B10" w14:textId="77777777" w:rsidR="005579F1" w:rsidRPr="00633FBC" w:rsidRDefault="005579F1" w:rsidP="005579F1">
      <w:pPr>
        <w:pStyle w:val="a7"/>
        <w:tabs>
          <w:tab w:val="left" w:pos="284"/>
        </w:tabs>
        <w:spacing w:after="0"/>
        <w:ind w:left="0"/>
        <w:jc w:val="both"/>
        <w:rPr>
          <w:rFonts w:ascii="Times New Roman" w:hAnsi="Times New Roman" w:cs="Times New Roman"/>
          <w:sz w:val="16"/>
          <w:szCs w:val="16"/>
          <w:lang w:val="ro-MD"/>
        </w:rPr>
      </w:pPr>
    </w:p>
    <w:p w14:paraId="16EC9096" w14:textId="0294D1E4" w:rsidR="006A4486" w:rsidRPr="000D19A7" w:rsidRDefault="009F0E2E" w:rsidP="007C5272">
      <w:pPr>
        <w:pStyle w:val="a7"/>
        <w:numPr>
          <w:ilvl w:val="2"/>
          <w:numId w:val="31"/>
        </w:numPr>
        <w:tabs>
          <w:tab w:val="left" w:pos="284"/>
        </w:tabs>
        <w:spacing w:after="0"/>
        <w:ind w:left="0" w:firstLine="0"/>
        <w:jc w:val="both"/>
        <w:rPr>
          <w:rFonts w:ascii="Times New Roman" w:hAnsi="Times New Roman" w:cs="Times New Roman"/>
          <w:b/>
          <w:i/>
          <w:lang w:val="ro-MD"/>
        </w:rPr>
      </w:pPr>
      <w:r w:rsidRPr="000D19A7">
        <w:rPr>
          <w:rFonts w:ascii="Times New Roman" w:hAnsi="Times New Roman" w:cs="Times New Roman"/>
          <w:b/>
          <w:i/>
          <w:lang w:val="ro-MD"/>
        </w:rPr>
        <w:t xml:space="preserve">Un aspect problematic râmâne în continuare a fi imposibilitatea achitării unei datorii externe, din cauza unor factori externi care nu au depins de Republica Moldova </w:t>
      </w:r>
    </w:p>
    <w:p w14:paraId="0E203232" w14:textId="019F79B9" w:rsidR="009F0E2E" w:rsidRPr="000D19A7" w:rsidRDefault="0088720F" w:rsidP="00633FBC">
      <w:pPr>
        <w:spacing w:line="276" w:lineRule="auto"/>
        <w:jc w:val="both"/>
        <w:rPr>
          <w:rFonts w:ascii="Times New Roman" w:hAnsi="Times New Roman" w:cs="Times New Roman"/>
          <w:lang w:val="ro-MD"/>
        </w:rPr>
      </w:pPr>
      <w:r w:rsidRPr="000D19A7">
        <w:rPr>
          <w:rFonts w:ascii="Times New Roman" w:hAnsi="Times New Roman" w:cs="Times New Roman"/>
          <w:lang w:val="ro-MD"/>
        </w:rPr>
        <w:t xml:space="preserve">În conformitate cu </w:t>
      </w:r>
      <w:r w:rsidR="00982D27" w:rsidRPr="000D19A7">
        <w:rPr>
          <w:rFonts w:ascii="Times New Roman" w:hAnsi="Times New Roman" w:cs="Times New Roman"/>
          <w:lang w:val="ro-MD"/>
        </w:rPr>
        <w:t>program</w:t>
      </w:r>
      <w:r w:rsidR="00D95FA8" w:rsidRPr="000D19A7">
        <w:rPr>
          <w:rFonts w:ascii="Times New Roman" w:hAnsi="Times New Roman" w:cs="Times New Roman"/>
          <w:lang w:val="ro-MD"/>
        </w:rPr>
        <w:t>ul</w:t>
      </w:r>
      <w:r w:rsidR="00982D27" w:rsidRPr="000D19A7">
        <w:rPr>
          <w:rFonts w:ascii="Times New Roman" w:hAnsi="Times New Roman" w:cs="Times New Roman"/>
          <w:lang w:val="ro-MD"/>
        </w:rPr>
        <w:t xml:space="preserve"> susținut de FMI prin mecanismul extins de creditare (ECF) și mecanismul de finanțare extinsă (EFF), unul din</w:t>
      </w:r>
      <w:r w:rsidRPr="000D19A7">
        <w:rPr>
          <w:rFonts w:ascii="Times New Roman" w:hAnsi="Times New Roman" w:cs="Times New Roman"/>
          <w:lang w:val="ro-MD"/>
        </w:rPr>
        <w:t>tre</w:t>
      </w:r>
      <w:r w:rsidR="00982D27" w:rsidRPr="000D19A7">
        <w:rPr>
          <w:rFonts w:ascii="Times New Roman" w:hAnsi="Times New Roman" w:cs="Times New Roman"/>
          <w:lang w:val="ro-MD"/>
        </w:rPr>
        <w:t xml:space="preserve"> indicatorii de performanță cantitativă, care trebuie respectați de Republica Moldova, este de a nu acumula/admite arierate la plățile externe. Memorandumul prevede plafonul privind acumularea arieratelor la plățile externe, care se aplică pe întreaga durată a programului. Totodată, plafonul respectiv nu se va aplica față de arieratele la plata da</w:t>
      </w:r>
      <w:r w:rsidRPr="000D19A7">
        <w:rPr>
          <w:rFonts w:ascii="Times New Roman" w:hAnsi="Times New Roman" w:cs="Times New Roman"/>
          <w:lang w:val="ro-MD"/>
        </w:rPr>
        <w:t xml:space="preserve">toriei externe care vor </w:t>
      </w:r>
      <w:r w:rsidR="00982D27" w:rsidRPr="000D19A7">
        <w:rPr>
          <w:rFonts w:ascii="Times New Roman" w:hAnsi="Times New Roman" w:cs="Times New Roman"/>
          <w:lang w:val="ro-MD"/>
        </w:rPr>
        <w:t>rezulta din renegocierea datoriei externe cu creditorii externi, inclusiv cu Clubul de la Paris, și</w:t>
      </w:r>
      <w:r w:rsidRPr="000D19A7">
        <w:rPr>
          <w:rFonts w:ascii="Times New Roman" w:hAnsi="Times New Roman" w:cs="Times New Roman"/>
          <w:lang w:val="ro-MD"/>
        </w:rPr>
        <w:t>,</w:t>
      </w:r>
      <w:r w:rsidR="00982D27" w:rsidRPr="000D19A7">
        <w:rPr>
          <w:rFonts w:ascii="Times New Roman" w:hAnsi="Times New Roman" w:cs="Times New Roman"/>
          <w:lang w:val="ro-MD"/>
        </w:rPr>
        <w:t xml:space="preserve"> în mod specific, față de arieratele la plățile externe în cazul în care creditorul este de acord cu stoparea plăților pe parcursul negocierilor. Obligațiile privind plățile externe pentru care</w:t>
      </w:r>
      <w:r w:rsidRPr="000D19A7">
        <w:rPr>
          <w:rFonts w:ascii="Times New Roman" w:hAnsi="Times New Roman" w:cs="Times New Roman"/>
          <w:lang w:val="ro-MD"/>
        </w:rPr>
        <w:t xml:space="preserve"> creditorul a extins moratoriul, </w:t>
      </w:r>
      <w:r w:rsidR="00982D27" w:rsidRPr="000D19A7">
        <w:rPr>
          <w:rFonts w:ascii="Times New Roman" w:hAnsi="Times New Roman" w:cs="Times New Roman"/>
          <w:lang w:val="ro-MD"/>
        </w:rPr>
        <w:t>sau în cazul cărora plățile se transferă într-un cont fiduciar (escrow) din cauza riscurilor de blocare a rambursărilor de către băncile corespondente</w:t>
      </w:r>
      <w:r w:rsidRPr="000D19A7">
        <w:rPr>
          <w:rFonts w:ascii="Times New Roman" w:hAnsi="Times New Roman" w:cs="Times New Roman"/>
          <w:lang w:val="ro-MD"/>
        </w:rPr>
        <w:t>,</w:t>
      </w:r>
      <w:r w:rsidR="00982D27" w:rsidRPr="000D19A7">
        <w:rPr>
          <w:rFonts w:ascii="Times New Roman" w:hAnsi="Times New Roman" w:cs="Times New Roman"/>
          <w:lang w:val="ro-MD"/>
        </w:rPr>
        <w:t xml:space="preserve"> nu se consideră arierate, în contextul criteriului de performanță menționat mai sus. Astfel, MF, în baza Contractului de cont fiduciar de sechestru (cont special)</w:t>
      </w:r>
      <w:r w:rsidRPr="000D19A7">
        <w:rPr>
          <w:rFonts w:ascii="Times New Roman" w:hAnsi="Times New Roman" w:cs="Times New Roman"/>
          <w:lang w:val="ro-MD"/>
        </w:rPr>
        <w:t>,</w:t>
      </w:r>
      <w:r w:rsidR="00982D27" w:rsidRPr="000D19A7">
        <w:rPr>
          <w:rFonts w:ascii="Times New Roman" w:hAnsi="Times New Roman" w:cs="Times New Roman"/>
          <w:lang w:val="ro-MD"/>
        </w:rPr>
        <w:t xml:space="preserve"> încheiat între MF și BNM la data de 31.03.2023, a creat un astfel de cont la BNM.</w:t>
      </w:r>
    </w:p>
    <w:p w14:paraId="12BADDBC" w14:textId="04E2D00C" w:rsidR="00C61C53" w:rsidRPr="000D19A7" w:rsidRDefault="009F6F09" w:rsidP="00633FBC">
      <w:pPr>
        <w:spacing w:line="276" w:lineRule="auto"/>
        <w:jc w:val="both"/>
        <w:rPr>
          <w:rFonts w:ascii="Times New Roman" w:hAnsi="Times New Roman" w:cs="Times New Roman"/>
          <w:lang w:val="ro-MD"/>
        </w:rPr>
      </w:pPr>
      <w:r w:rsidRPr="000D19A7">
        <w:rPr>
          <w:rFonts w:ascii="Times New Roman" w:hAnsi="Times New Roman" w:cs="Times New Roman"/>
          <w:lang w:val="ro-MD"/>
        </w:rPr>
        <w:t xml:space="preserve">În contextul celor expuse, auditul evidențiază situația aferentă datoriei Guvernului RM față de Guvernul Federației Ruse care la 31.12.2022 constituia circa 14,55 mil. dolari SUA, din care </w:t>
      </w:r>
      <w:r w:rsidR="0088720F" w:rsidRPr="000D19A7">
        <w:rPr>
          <w:rFonts w:ascii="Times New Roman" w:hAnsi="Times New Roman" w:cs="Times New Roman"/>
          <w:lang w:val="ro-MD"/>
        </w:rPr>
        <w:t>suma principală</w:t>
      </w:r>
      <w:r w:rsidRPr="000D19A7">
        <w:rPr>
          <w:rFonts w:ascii="Times New Roman" w:hAnsi="Times New Roman" w:cs="Times New Roman"/>
          <w:lang w:val="ro-MD"/>
        </w:rPr>
        <w:t xml:space="preserve"> – 14.5 mil. dolari SUA, și dobânda – circa 0,5 mii dolari SUA. Reiterăm că a fost imposibil de achitat </w:t>
      </w:r>
      <w:r w:rsidR="0088720F" w:rsidRPr="000D19A7">
        <w:rPr>
          <w:rFonts w:ascii="Times New Roman" w:hAnsi="Times New Roman" w:cs="Times New Roman"/>
          <w:lang w:val="ro-MD"/>
        </w:rPr>
        <w:t xml:space="preserve">datoria respectivă, </w:t>
      </w:r>
      <w:r w:rsidRPr="000D19A7">
        <w:rPr>
          <w:rFonts w:ascii="Times New Roman" w:hAnsi="Times New Roman" w:cs="Times New Roman"/>
          <w:lang w:val="ro-MD"/>
        </w:rPr>
        <w:t>din cauza sancțiunil</w:t>
      </w:r>
      <w:r w:rsidR="0088720F" w:rsidRPr="000D19A7">
        <w:rPr>
          <w:rFonts w:ascii="Times New Roman" w:hAnsi="Times New Roman" w:cs="Times New Roman"/>
          <w:lang w:val="ro-MD"/>
        </w:rPr>
        <w:t>or</w:t>
      </w:r>
      <w:r w:rsidRPr="000D19A7">
        <w:rPr>
          <w:rFonts w:ascii="Times New Roman" w:hAnsi="Times New Roman" w:cs="Times New Roman"/>
          <w:lang w:val="ro-MD"/>
        </w:rPr>
        <w:t xml:space="preserve"> impuse asupra Federației Ruse, plățile respective urmând a fi achitate după ce vor fi ridicate sancțiunile respective sau când va fi stabilit de </w:t>
      </w:r>
      <w:r w:rsidR="0088720F" w:rsidRPr="000D19A7">
        <w:rPr>
          <w:rFonts w:ascii="Times New Roman" w:hAnsi="Times New Roman" w:cs="Times New Roman"/>
          <w:lang w:val="ro-MD"/>
        </w:rPr>
        <w:t xml:space="preserve">către </w:t>
      </w:r>
      <w:r w:rsidRPr="000D19A7">
        <w:rPr>
          <w:rFonts w:ascii="Times New Roman" w:hAnsi="Times New Roman" w:cs="Times New Roman"/>
          <w:lang w:val="ro-MD"/>
        </w:rPr>
        <w:t>autoritățile ambelor părți, un alt mecanism/modalitate de plată.</w:t>
      </w:r>
    </w:p>
    <w:p w14:paraId="4FA6AB02" w14:textId="08470BD2" w:rsidR="0004710B" w:rsidRPr="000D19A7" w:rsidRDefault="00984E8F" w:rsidP="0004710B">
      <w:pPr>
        <w:spacing w:line="276" w:lineRule="auto"/>
        <w:jc w:val="both"/>
        <w:rPr>
          <w:rFonts w:ascii="Times New Roman" w:hAnsi="Times New Roman" w:cs="Times New Roman"/>
          <w:lang w:val="ro-MD"/>
        </w:rPr>
      </w:pPr>
      <w:r w:rsidRPr="000D19A7">
        <w:rPr>
          <w:rFonts w:ascii="Times New Roman" w:hAnsi="Times New Roman" w:cs="Times New Roman"/>
          <w:lang w:val="ro-MD"/>
        </w:rPr>
        <w:t xml:space="preserve">Totodată, menționăm că datoria respectivă, la situația din 31.12.2023 constituie </w:t>
      </w:r>
      <w:r w:rsidR="0004710B" w:rsidRPr="000D19A7">
        <w:rPr>
          <w:rFonts w:ascii="Times New Roman" w:hAnsi="Times New Roman" w:cs="Times New Roman"/>
          <w:lang w:val="ro-MD"/>
        </w:rPr>
        <w:t>15,4 mil. dol</w:t>
      </w:r>
      <w:r w:rsidR="0088720F" w:rsidRPr="000D19A7">
        <w:rPr>
          <w:rFonts w:ascii="Times New Roman" w:hAnsi="Times New Roman" w:cs="Times New Roman"/>
          <w:lang w:val="ro-MD"/>
        </w:rPr>
        <w:t>.</w:t>
      </w:r>
      <w:r w:rsidR="0004710B" w:rsidRPr="000D19A7">
        <w:rPr>
          <w:rFonts w:ascii="Times New Roman" w:hAnsi="Times New Roman" w:cs="Times New Roman"/>
          <w:lang w:val="ro-MD"/>
        </w:rPr>
        <w:t xml:space="preserve"> SUA, sau cu 0,83 mil. dol. SUA mai mult, din cauza penalităților asupra datoriei expirate</w:t>
      </w:r>
      <w:r w:rsidR="001626B2" w:rsidRPr="000D19A7">
        <w:rPr>
          <w:rFonts w:ascii="Times New Roman" w:hAnsi="Times New Roman" w:cs="Times New Roman"/>
          <w:lang w:val="ro-MD"/>
        </w:rPr>
        <w:t xml:space="preserve"> calculate pentru anul 2023</w:t>
      </w:r>
      <w:r w:rsidR="0004710B" w:rsidRPr="000D19A7">
        <w:rPr>
          <w:rFonts w:ascii="Times New Roman" w:hAnsi="Times New Roman" w:cs="Times New Roman"/>
          <w:lang w:val="ro-MD"/>
        </w:rPr>
        <w:t>.</w:t>
      </w:r>
    </w:p>
    <w:p w14:paraId="0EBED07C" w14:textId="212DAEC4" w:rsidR="0004710B" w:rsidRPr="000D19A7" w:rsidRDefault="0004710B" w:rsidP="0004710B">
      <w:pPr>
        <w:spacing w:line="276" w:lineRule="auto"/>
        <w:jc w:val="both"/>
        <w:rPr>
          <w:rFonts w:ascii="Times New Roman" w:hAnsi="Times New Roman" w:cs="Times New Roman"/>
          <w:lang w:val="ro-MD"/>
        </w:rPr>
      </w:pPr>
      <w:r w:rsidRPr="000D19A7">
        <w:rPr>
          <w:rFonts w:ascii="Times New Roman" w:hAnsi="Times New Roman" w:cs="Times New Roman"/>
          <w:lang w:val="ro-MD"/>
        </w:rPr>
        <w:t>Potrivit explicațiilor MF, „la data de 26 mai 2023, în vederea reglementării datoriei Republicii Moldova față de Federația Rusă, a fost organizată o ședință cu partea rusă, la care au participat reprezentanții MF și a</w:t>
      </w:r>
      <w:r w:rsidR="0088720F" w:rsidRPr="000D19A7">
        <w:rPr>
          <w:rFonts w:ascii="Times New Roman" w:hAnsi="Times New Roman" w:cs="Times New Roman"/>
          <w:lang w:val="ro-MD"/>
        </w:rPr>
        <w:t xml:space="preserve">i BNM. Urmare </w:t>
      </w:r>
      <w:r w:rsidRPr="000D19A7">
        <w:rPr>
          <w:rFonts w:ascii="Times New Roman" w:hAnsi="Times New Roman" w:cs="Times New Roman"/>
          <w:lang w:val="ro-MD"/>
        </w:rPr>
        <w:t xml:space="preserve">ședinței respective, partea rusă urma să comunice părții moldovenești </w:t>
      </w:r>
      <w:r w:rsidR="0088720F" w:rsidRPr="000D19A7">
        <w:rPr>
          <w:rFonts w:ascii="Times New Roman" w:hAnsi="Times New Roman" w:cs="Times New Roman"/>
          <w:lang w:val="ro-MD"/>
        </w:rPr>
        <w:t>despre</w:t>
      </w:r>
      <w:r w:rsidRPr="000D19A7">
        <w:rPr>
          <w:rFonts w:ascii="Times New Roman" w:hAnsi="Times New Roman" w:cs="Times New Roman"/>
          <w:lang w:val="ro-MD"/>
        </w:rPr>
        <w:t xml:space="preserve"> modalitatea de achitare a datoriei restante în youan chinezi. Până la momentul de față nu au fost recepționate astfel de informații”.</w:t>
      </w:r>
    </w:p>
    <w:p w14:paraId="66D963FE" w14:textId="30A5A16E" w:rsidR="00C80983" w:rsidRPr="000D19A7" w:rsidRDefault="00C80983" w:rsidP="00946026">
      <w:pPr>
        <w:pStyle w:val="a7"/>
        <w:tabs>
          <w:tab w:val="left" w:pos="284"/>
        </w:tabs>
        <w:spacing w:after="0" w:line="276" w:lineRule="auto"/>
        <w:ind w:left="0"/>
        <w:jc w:val="both"/>
        <w:rPr>
          <w:rFonts w:ascii="Times New Roman" w:hAnsi="Times New Roman" w:cs="Times New Roman"/>
          <w:sz w:val="10"/>
          <w:szCs w:val="10"/>
          <w:lang w:val="ro-MD"/>
        </w:rPr>
      </w:pPr>
    </w:p>
    <w:p w14:paraId="25752761" w14:textId="0E38C711" w:rsidR="00570B52" w:rsidRPr="000D19A7" w:rsidRDefault="003F1923" w:rsidP="00845E75">
      <w:pPr>
        <w:pStyle w:val="2"/>
        <w:numPr>
          <w:ilvl w:val="1"/>
          <w:numId w:val="31"/>
        </w:numPr>
        <w:tabs>
          <w:tab w:val="left" w:pos="709"/>
        </w:tabs>
        <w:spacing w:line="276" w:lineRule="auto"/>
        <w:ind w:left="0" w:firstLine="0"/>
        <w:jc w:val="both"/>
        <w:rPr>
          <w:rFonts w:ascii="Times New Roman" w:hAnsi="Times New Roman" w:cs="Times New Roman"/>
          <w:i w:val="0"/>
          <w:szCs w:val="24"/>
          <w:lang w:val="ro-MD"/>
        </w:rPr>
      </w:pPr>
      <w:bookmarkStart w:id="17" w:name="_Toc168321552"/>
      <w:bookmarkStart w:id="18" w:name="_Toc47012278"/>
      <w:r w:rsidRPr="000D19A7">
        <w:rPr>
          <w:rFonts w:ascii="Times New Roman" w:hAnsi="Times New Roman" w:cs="Times New Roman"/>
          <w:i w:val="0"/>
          <w:szCs w:val="24"/>
          <w:lang w:val="ro-MD"/>
        </w:rPr>
        <w:t>Ministerul Finanțelor a asigurat conformitatea acordării garanțiilor de stat în raport cu prevederile cadrului normativ aplicabil?</w:t>
      </w:r>
      <w:bookmarkEnd w:id="17"/>
    </w:p>
    <w:p w14:paraId="64E2538C" w14:textId="6257B88B" w:rsidR="00D747CD" w:rsidRPr="000D19A7" w:rsidRDefault="00F17FF9" w:rsidP="00A71984">
      <w:pPr>
        <w:shd w:val="clear" w:color="auto" w:fill="FFFFFF"/>
        <w:spacing w:line="276" w:lineRule="auto"/>
        <w:jc w:val="both"/>
        <w:rPr>
          <w:rFonts w:ascii="Times New Roman" w:eastAsia="Calibri" w:hAnsi="Times New Roman" w:cs="Times New Roman"/>
          <w:i/>
          <w:szCs w:val="24"/>
          <w:lang w:val="ro-MD"/>
        </w:rPr>
      </w:pPr>
      <w:r w:rsidRPr="000D19A7">
        <w:rPr>
          <w:rFonts w:ascii="Times New Roman" w:hAnsi="Times New Roman" w:cs="Times New Roman"/>
          <w:i/>
          <w:lang w:val="ro-MD"/>
        </w:rPr>
        <w:t>Deși MF întreprinde măsuri în vederea recuperării la bugetul de stat datoriilor aferente garanțiilor de stat, totuși persistă riscul de nerecuperare a acestora.</w:t>
      </w:r>
      <w:r w:rsidR="00A409F0" w:rsidRPr="000D19A7">
        <w:rPr>
          <w:rFonts w:ascii="Times New Roman" w:eastAsia="Calibri" w:hAnsi="Times New Roman" w:cs="Times New Roman"/>
          <w:szCs w:val="24"/>
          <w:lang w:val="ro-MD"/>
        </w:rPr>
        <w:t xml:space="preserve"> </w:t>
      </w:r>
      <w:r w:rsidR="00A409F0" w:rsidRPr="000D19A7">
        <w:rPr>
          <w:rFonts w:ascii="Times New Roman" w:eastAsia="Calibri" w:hAnsi="Times New Roman" w:cs="Times New Roman"/>
          <w:i/>
          <w:szCs w:val="24"/>
          <w:lang w:val="ro-MD"/>
        </w:rPr>
        <w:t>Se menționează că soldul garanțiilor de stat interne la situația din 31.12.2023 a constituit 1 682,5 mil. lei, încadrându-se în limitele plafonului de 2 500,0 mil. lei aprobat prin Legea bugetară anuală</w:t>
      </w:r>
      <w:r w:rsidR="00A409F0" w:rsidRPr="000D19A7">
        <w:rPr>
          <w:rFonts w:ascii="Times New Roman" w:eastAsia="Calibri" w:hAnsi="Times New Roman" w:cs="Times New Roman"/>
          <w:i/>
          <w:szCs w:val="24"/>
          <w:vertAlign w:val="superscript"/>
          <w:lang w:val="ro-MD"/>
        </w:rPr>
        <w:footnoteReference w:id="19"/>
      </w:r>
      <w:r w:rsidR="00A409F0" w:rsidRPr="000D19A7">
        <w:rPr>
          <w:rFonts w:ascii="Times New Roman" w:eastAsia="Calibri" w:hAnsi="Times New Roman" w:cs="Times New Roman"/>
          <w:i/>
          <w:szCs w:val="24"/>
          <w:lang w:val="ro-MD"/>
        </w:rPr>
        <w:t>.</w:t>
      </w:r>
    </w:p>
    <w:p w14:paraId="2B22A559" w14:textId="005D534E" w:rsidR="00B3364C" w:rsidRPr="00FD5EFE" w:rsidRDefault="00EA53B0" w:rsidP="00FD5EFE">
      <w:pPr>
        <w:pStyle w:val="a7"/>
        <w:numPr>
          <w:ilvl w:val="2"/>
          <w:numId w:val="31"/>
        </w:numPr>
        <w:spacing w:after="0" w:line="276" w:lineRule="auto"/>
        <w:ind w:left="0" w:firstLine="0"/>
        <w:jc w:val="both"/>
        <w:rPr>
          <w:rFonts w:ascii="Times New Roman" w:eastAsia="Calibri" w:hAnsi="Times New Roman" w:cs="Times New Roman"/>
          <w:b/>
          <w:i/>
          <w:lang w:val="ro-MD"/>
        </w:rPr>
      </w:pPr>
      <w:r w:rsidRPr="00FD5EFE">
        <w:rPr>
          <w:rFonts w:ascii="Times New Roman" w:hAnsi="Times New Roman" w:cs="Times New Roman"/>
          <w:b/>
          <w:i/>
          <w:lang w:val="ro-MD"/>
        </w:rPr>
        <w:t>Deși beneficiarilor</w:t>
      </w:r>
      <w:r w:rsidR="00FC7626" w:rsidRPr="00FD5EFE">
        <w:rPr>
          <w:rFonts w:ascii="Times New Roman" w:hAnsi="Times New Roman" w:cs="Times New Roman"/>
          <w:b/>
          <w:i/>
          <w:lang w:val="ro-MD"/>
        </w:rPr>
        <w:t xml:space="preserve"> garantați </w:t>
      </w:r>
      <w:r w:rsidRPr="00FD5EFE">
        <w:rPr>
          <w:rFonts w:ascii="Times New Roman" w:hAnsi="Times New Roman" w:cs="Times New Roman"/>
          <w:b/>
          <w:i/>
          <w:lang w:val="ro-MD"/>
        </w:rPr>
        <w:t>din</w:t>
      </w:r>
      <w:r w:rsidR="00FC7626" w:rsidRPr="00FD5EFE">
        <w:rPr>
          <w:rFonts w:ascii="Times New Roman" w:hAnsi="Times New Roman" w:cs="Times New Roman"/>
          <w:b/>
          <w:i/>
          <w:lang w:val="ro-MD"/>
        </w:rPr>
        <w:t xml:space="preserve"> cadrul Programului</w:t>
      </w:r>
      <w:r w:rsidRPr="00FD5EFE">
        <w:rPr>
          <w:rFonts w:ascii="Times New Roman" w:hAnsi="Times New Roman" w:cs="Times New Roman"/>
          <w:b/>
          <w:i/>
          <w:lang w:val="ro-MD"/>
        </w:rPr>
        <w:t xml:space="preserve"> de stat</w:t>
      </w:r>
      <w:r w:rsidR="00FC7626" w:rsidRPr="00FD5EFE">
        <w:rPr>
          <w:rFonts w:ascii="Times New Roman" w:hAnsi="Times New Roman" w:cs="Times New Roman"/>
          <w:b/>
          <w:i/>
          <w:lang w:val="ro-MD"/>
        </w:rPr>
        <w:t xml:space="preserve"> „Prima casă” </w:t>
      </w:r>
      <w:r w:rsidRPr="00FD5EFE">
        <w:rPr>
          <w:rFonts w:ascii="Times New Roman" w:hAnsi="Times New Roman" w:cs="Times New Roman"/>
          <w:b/>
          <w:i/>
          <w:lang w:val="ro-MD"/>
        </w:rPr>
        <w:t xml:space="preserve">li se acordă </w:t>
      </w:r>
      <w:r w:rsidR="00FC7626" w:rsidRPr="00FD5EFE">
        <w:rPr>
          <w:rFonts w:ascii="Times New Roman" w:hAnsi="Times New Roman" w:cs="Times New Roman"/>
          <w:b/>
          <w:i/>
          <w:lang w:val="ro-MD"/>
        </w:rPr>
        <w:t>compensații</w:t>
      </w:r>
      <w:r w:rsidR="00DD03FE" w:rsidRPr="00FD5EFE">
        <w:rPr>
          <w:rFonts w:ascii="Times New Roman" w:hAnsi="Times New Roman" w:cs="Times New Roman"/>
          <w:b/>
          <w:i/>
        </w:rPr>
        <w:t xml:space="preserve"> </w:t>
      </w:r>
      <w:r w:rsidR="00DD03FE" w:rsidRPr="00FD5EFE">
        <w:rPr>
          <w:rFonts w:ascii="Times New Roman" w:hAnsi="Times New Roman" w:cs="Times New Roman"/>
          <w:b/>
          <w:i/>
          <w:lang w:val="ro-MD"/>
        </w:rPr>
        <w:t>pentru</w:t>
      </w:r>
      <w:r w:rsidRPr="00FD5EFE">
        <w:rPr>
          <w:rFonts w:ascii="Times New Roman" w:hAnsi="Times New Roman" w:cs="Times New Roman"/>
          <w:b/>
          <w:i/>
          <w:lang w:val="ro-MD"/>
        </w:rPr>
        <w:t xml:space="preserve"> </w:t>
      </w:r>
      <w:r w:rsidR="00DD03FE" w:rsidRPr="00FD5EFE">
        <w:rPr>
          <w:rFonts w:ascii="Times New Roman" w:hAnsi="Times New Roman" w:cs="Times New Roman"/>
          <w:b/>
          <w:i/>
          <w:lang w:val="ro-MD"/>
        </w:rPr>
        <w:t>compensarea majorării ratei dobânzii la creditele parțial garantate de stat, acordate</w:t>
      </w:r>
      <w:r w:rsidRPr="00FD5EFE">
        <w:rPr>
          <w:rFonts w:ascii="Times New Roman" w:hAnsi="Times New Roman" w:cs="Times New Roman"/>
          <w:b/>
          <w:i/>
          <w:lang w:val="ro-MD"/>
        </w:rPr>
        <w:t>,</w:t>
      </w:r>
      <w:r w:rsidR="00DD03FE" w:rsidRPr="00FD5EFE">
        <w:rPr>
          <w:rFonts w:ascii="Times New Roman" w:hAnsi="Times New Roman" w:cs="Times New Roman"/>
          <w:b/>
          <w:i/>
          <w:lang w:val="ro-MD"/>
        </w:rPr>
        <w:t xml:space="preserve"> </w:t>
      </w:r>
      <w:r w:rsidR="00FC7626" w:rsidRPr="00FD5EFE">
        <w:rPr>
          <w:rFonts w:ascii="Times New Roman" w:hAnsi="Times New Roman" w:cs="Times New Roman"/>
          <w:b/>
          <w:i/>
          <w:lang w:val="ro-MD"/>
        </w:rPr>
        <w:t>n</w:t>
      </w:r>
      <w:r w:rsidR="00994471" w:rsidRPr="00FD5EFE">
        <w:rPr>
          <w:rFonts w:ascii="Times New Roman" w:hAnsi="Times New Roman" w:cs="Times New Roman"/>
          <w:b/>
          <w:i/>
          <w:lang w:val="ro-MD"/>
        </w:rPr>
        <w:t>eon</w:t>
      </w:r>
      <w:r w:rsidR="00464362" w:rsidRPr="00FD5EFE">
        <w:rPr>
          <w:rFonts w:ascii="Times New Roman" w:hAnsi="Times New Roman" w:cs="Times New Roman"/>
          <w:b/>
          <w:i/>
          <w:lang w:val="ro-MD"/>
        </w:rPr>
        <w:t>orare</w:t>
      </w:r>
      <w:r w:rsidR="00994471" w:rsidRPr="00FD5EFE">
        <w:rPr>
          <w:rFonts w:ascii="Times New Roman" w:hAnsi="Times New Roman" w:cs="Times New Roman"/>
          <w:b/>
          <w:i/>
          <w:lang w:val="ro-MD"/>
        </w:rPr>
        <w:t xml:space="preserve">a obligațiunilor de către </w:t>
      </w:r>
      <w:r w:rsidR="00FC7626" w:rsidRPr="00FD5EFE">
        <w:rPr>
          <w:rFonts w:ascii="Times New Roman" w:hAnsi="Times New Roman" w:cs="Times New Roman"/>
          <w:b/>
          <w:i/>
          <w:lang w:val="ro-MD"/>
        </w:rPr>
        <w:t xml:space="preserve">aceștia este </w:t>
      </w:r>
      <w:r w:rsidR="00464362" w:rsidRPr="00FD5EFE">
        <w:rPr>
          <w:rFonts w:ascii="Times New Roman" w:hAnsi="Times New Roman" w:cs="Times New Roman"/>
          <w:b/>
          <w:i/>
          <w:lang w:val="ro-MD"/>
        </w:rPr>
        <w:t>tot mai frecventă</w:t>
      </w:r>
      <w:r w:rsidR="00FC7626" w:rsidRPr="00FD5EFE">
        <w:rPr>
          <w:rFonts w:ascii="Times New Roman" w:hAnsi="Times New Roman" w:cs="Times New Roman"/>
          <w:b/>
          <w:i/>
          <w:lang w:val="ro-MD"/>
        </w:rPr>
        <w:t>, în anul 2023 fiind deja activate 8 garanții de stat</w:t>
      </w:r>
      <w:r w:rsidRPr="00FD5EFE">
        <w:rPr>
          <w:rFonts w:ascii="Times New Roman" w:hAnsi="Times New Roman" w:cs="Times New Roman"/>
          <w:b/>
          <w:i/>
          <w:lang w:val="ro-MD"/>
        </w:rPr>
        <w:t>.</w:t>
      </w:r>
    </w:p>
    <w:p w14:paraId="740FD31F" w14:textId="53850297" w:rsidR="00853F59" w:rsidRPr="000D19A7" w:rsidRDefault="00AD1552" w:rsidP="00A71984">
      <w:pPr>
        <w:shd w:val="clear" w:color="auto" w:fill="FFFFFF"/>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Totodată,</w:t>
      </w:r>
      <w:r w:rsidR="00520A53" w:rsidRPr="000D19A7">
        <w:rPr>
          <w:rFonts w:ascii="Times New Roman" w:eastAsia="Calibri" w:hAnsi="Times New Roman" w:cs="Times New Roman"/>
          <w:szCs w:val="24"/>
          <w:lang w:val="ro-MD"/>
        </w:rPr>
        <w:t xml:space="preserve"> </w:t>
      </w:r>
      <w:r w:rsidR="00542D5C" w:rsidRPr="000D19A7">
        <w:rPr>
          <w:rFonts w:ascii="Times New Roman" w:eastAsia="Calibri" w:hAnsi="Times New Roman" w:cs="Times New Roman"/>
          <w:szCs w:val="24"/>
          <w:lang w:val="ro-MD"/>
        </w:rPr>
        <w:t>pentru implementarea Programului de stat „Prima casă”</w:t>
      </w:r>
      <w:r w:rsidR="00520A53" w:rsidRPr="000D19A7">
        <w:rPr>
          <w:rFonts w:ascii="Times New Roman" w:eastAsia="Calibri" w:hAnsi="Times New Roman" w:cs="Times New Roman"/>
          <w:szCs w:val="24"/>
          <w:lang w:val="ro-MD"/>
        </w:rPr>
        <w:t>, în anul 2023,</w:t>
      </w:r>
      <w:r w:rsidR="00542D5C" w:rsidRPr="000D19A7">
        <w:rPr>
          <w:rFonts w:ascii="Times New Roman" w:eastAsia="Calibri" w:hAnsi="Times New Roman" w:cs="Times New Roman"/>
          <w:szCs w:val="24"/>
          <w:lang w:val="ro-MD"/>
        </w:rPr>
        <w:t xml:space="preserve"> s-au alocat mijloace bugetare în </w:t>
      </w:r>
      <w:r w:rsidR="001626B2" w:rsidRPr="000D19A7">
        <w:rPr>
          <w:rFonts w:ascii="Times New Roman" w:eastAsia="Calibri" w:hAnsi="Times New Roman" w:cs="Times New Roman"/>
          <w:szCs w:val="24"/>
          <w:lang w:val="ro-MD"/>
        </w:rPr>
        <w:t>sumă</w:t>
      </w:r>
      <w:r w:rsidR="00542D5C" w:rsidRPr="000D19A7">
        <w:rPr>
          <w:rFonts w:ascii="Times New Roman" w:eastAsia="Calibri" w:hAnsi="Times New Roman" w:cs="Times New Roman"/>
          <w:szCs w:val="24"/>
          <w:lang w:val="ro-MD"/>
        </w:rPr>
        <w:t xml:space="preserve"> totală de 170,0 mil. lei, inclusiv 10,0 mil. lei pentru onorarea garanțiilor de stat în cadrul Programului. </w:t>
      </w:r>
      <w:r w:rsidR="00D747CD">
        <w:rPr>
          <w:rFonts w:ascii="Times New Roman" w:eastAsia="Calibri" w:hAnsi="Times New Roman" w:cs="Times New Roman"/>
          <w:szCs w:val="24"/>
          <w:lang w:val="ro-MD"/>
        </w:rPr>
        <w:t xml:space="preserve"> </w:t>
      </w:r>
      <w:r w:rsidR="00276B09" w:rsidRPr="000D19A7">
        <w:rPr>
          <w:rFonts w:ascii="Times New Roman" w:eastAsia="Calibri" w:hAnsi="Times New Roman" w:cs="Times New Roman"/>
          <w:szCs w:val="24"/>
          <w:lang w:val="ro-MD"/>
        </w:rPr>
        <w:t>As</w:t>
      </w:r>
      <w:r w:rsidRPr="000D19A7">
        <w:rPr>
          <w:rFonts w:ascii="Times New Roman" w:eastAsia="Calibri" w:hAnsi="Times New Roman" w:cs="Times New Roman"/>
          <w:szCs w:val="24"/>
          <w:lang w:val="ro-MD"/>
        </w:rPr>
        <w:t>tfel, la situația din 31.12.2023</w:t>
      </w:r>
      <w:r w:rsidR="00276B09" w:rsidRPr="000D19A7">
        <w:rPr>
          <w:rFonts w:ascii="Times New Roman" w:eastAsia="Calibri" w:hAnsi="Times New Roman" w:cs="Times New Roman"/>
          <w:szCs w:val="24"/>
          <w:lang w:val="ro-MD"/>
        </w:rPr>
        <w:t xml:space="preserve">, soldul garanțiilor de stat interne a constituit 1 </w:t>
      </w:r>
      <w:r w:rsidR="00853F59" w:rsidRPr="000D19A7">
        <w:rPr>
          <w:rFonts w:ascii="Times New Roman" w:eastAsia="Calibri" w:hAnsi="Times New Roman" w:cs="Times New Roman"/>
          <w:szCs w:val="24"/>
          <w:lang w:val="ro-MD"/>
        </w:rPr>
        <w:t>682,5</w:t>
      </w:r>
      <w:r w:rsidR="00276B09" w:rsidRPr="000D19A7">
        <w:rPr>
          <w:rFonts w:ascii="Times New Roman" w:eastAsia="Calibri" w:hAnsi="Times New Roman" w:cs="Times New Roman"/>
          <w:szCs w:val="24"/>
          <w:lang w:val="ro-MD"/>
        </w:rPr>
        <w:t xml:space="preserve"> mil. lei, </w:t>
      </w:r>
      <w:r w:rsidR="001626B2" w:rsidRPr="000D19A7">
        <w:rPr>
          <w:rFonts w:ascii="Times New Roman" w:eastAsia="Calibri" w:hAnsi="Times New Roman" w:cs="Times New Roman"/>
          <w:szCs w:val="24"/>
          <w:lang w:val="ro-MD"/>
        </w:rPr>
        <w:t xml:space="preserve">și este </w:t>
      </w:r>
      <w:r w:rsidR="00276B09" w:rsidRPr="000D19A7">
        <w:rPr>
          <w:rFonts w:ascii="Times New Roman" w:eastAsia="Calibri" w:hAnsi="Times New Roman" w:cs="Times New Roman"/>
          <w:szCs w:val="24"/>
          <w:lang w:val="ro-MD"/>
        </w:rPr>
        <w:t>format în totalitate din garanții de stat interne acordate în cadrul P</w:t>
      </w:r>
      <w:r w:rsidR="00853F59" w:rsidRPr="000D19A7">
        <w:rPr>
          <w:rFonts w:ascii="Times New Roman" w:eastAsia="Calibri" w:hAnsi="Times New Roman" w:cs="Times New Roman"/>
          <w:szCs w:val="24"/>
          <w:lang w:val="ro-MD"/>
        </w:rPr>
        <w:t>r</w:t>
      </w:r>
      <w:r w:rsidR="001626B2" w:rsidRPr="000D19A7">
        <w:rPr>
          <w:rFonts w:ascii="Times New Roman" w:eastAsia="Calibri" w:hAnsi="Times New Roman" w:cs="Times New Roman"/>
          <w:szCs w:val="24"/>
          <w:lang w:val="ro-MD"/>
        </w:rPr>
        <w:t xml:space="preserve">ogramului de stat „Prima casă”, </w:t>
      </w:r>
      <w:r w:rsidR="00853F59" w:rsidRPr="000D19A7">
        <w:rPr>
          <w:rFonts w:ascii="Times New Roman" w:eastAsia="Calibri" w:hAnsi="Times New Roman" w:cs="Times New Roman"/>
          <w:szCs w:val="24"/>
          <w:lang w:val="ro-MD"/>
        </w:rPr>
        <w:t xml:space="preserve">micșorându-se cu circa 151,1 mil. lei comparativ cu finele anului precedent. </w:t>
      </w:r>
    </w:p>
    <w:p w14:paraId="35DF59F1" w14:textId="3EF7A505" w:rsidR="0019781F" w:rsidRPr="000D19A7" w:rsidRDefault="00853F59" w:rsidP="00580E05">
      <w:pPr>
        <w:shd w:val="clear" w:color="auto" w:fill="FFFFFF"/>
        <w:spacing w:after="0" w:line="276" w:lineRule="auto"/>
        <w:jc w:val="both"/>
        <w:rPr>
          <w:rFonts w:ascii="Times New Roman" w:eastAsia="Calibri" w:hAnsi="Times New Roman" w:cs="Times New Roman"/>
          <w:i/>
          <w:szCs w:val="24"/>
          <w:lang w:val="ro-MD"/>
        </w:rPr>
      </w:pPr>
      <w:r w:rsidRPr="000D19A7">
        <w:rPr>
          <w:rFonts w:ascii="Times New Roman" w:eastAsia="Calibri" w:hAnsi="Times New Roman" w:cs="Times New Roman"/>
          <w:szCs w:val="24"/>
          <w:lang w:val="ro-MD"/>
        </w:rPr>
        <w:t>Potrivit informației prezentată de MF,</w:t>
      </w:r>
      <w:r w:rsidR="00276B09" w:rsidRPr="000D19A7">
        <w:rPr>
          <w:rFonts w:ascii="Times New Roman" w:eastAsia="Calibri" w:hAnsi="Times New Roman" w:cs="Times New Roman"/>
          <w:szCs w:val="24"/>
          <w:lang w:val="ro-MD"/>
        </w:rPr>
        <w:t xml:space="preserve"> </w:t>
      </w:r>
      <w:r w:rsidRPr="000D19A7">
        <w:rPr>
          <w:rFonts w:ascii="Times New Roman" w:eastAsia="Calibri" w:hAnsi="Times New Roman" w:cs="Times New Roman"/>
          <w:szCs w:val="24"/>
          <w:lang w:val="ro-MD"/>
        </w:rPr>
        <w:t>pe parcursul anului 2023</w:t>
      </w:r>
      <w:r w:rsidR="00276B09" w:rsidRPr="000D19A7">
        <w:rPr>
          <w:rFonts w:ascii="Times New Roman" w:eastAsia="Calibri" w:hAnsi="Times New Roman" w:cs="Times New Roman"/>
          <w:szCs w:val="24"/>
          <w:lang w:val="ro-MD"/>
        </w:rPr>
        <w:t>, băncile comerciale</w:t>
      </w:r>
      <w:r w:rsidR="00D80675" w:rsidRPr="000D19A7">
        <w:rPr>
          <w:rStyle w:val="a6"/>
          <w:rFonts w:ascii="Times New Roman" w:eastAsia="Calibri" w:hAnsi="Times New Roman" w:cs="Times New Roman"/>
          <w:szCs w:val="24"/>
          <w:lang w:val="ro-MD"/>
        </w:rPr>
        <w:footnoteReference w:id="20"/>
      </w:r>
      <w:r w:rsidR="0085650C" w:rsidRPr="000D19A7">
        <w:rPr>
          <w:rFonts w:ascii="Times New Roman" w:eastAsia="Calibri" w:hAnsi="Times New Roman" w:cs="Times New Roman"/>
          <w:szCs w:val="24"/>
          <w:lang w:val="ro-MD"/>
        </w:rPr>
        <w:t xml:space="preserve"> </w:t>
      </w:r>
      <w:r w:rsidR="00276B09" w:rsidRPr="000D19A7">
        <w:rPr>
          <w:rFonts w:ascii="Times New Roman" w:eastAsia="Calibri" w:hAnsi="Times New Roman" w:cs="Times New Roman"/>
          <w:szCs w:val="24"/>
          <w:lang w:val="ro-MD"/>
        </w:rPr>
        <w:t xml:space="preserve">au acordat în cadrul Programului noi credite garantate de stat în sumă </w:t>
      </w:r>
      <w:r w:rsidRPr="000D19A7">
        <w:rPr>
          <w:rFonts w:ascii="Times New Roman" w:eastAsia="Calibri" w:hAnsi="Times New Roman" w:cs="Times New Roman"/>
          <w:szCs w:val="24"/>
          <w:lang w:val="ro-MD"/>
        </w:rPr>
        <w:t xml:space="preserve">totală de circa 16,4 mil. lei, cu 153,9 mil. lei </w:t>
      </w:r>
      <w:r w:rsidR="009A12CF" w:rsidRPr="000D19A7">
        <w:rPr>
          <w:rFonts w:ascii="Times New Roman" w:eastAsia="Calibri" w:hAnsi="Times New Roman" w:cs="Times New Roman"/>
          <w:szCs w:val="24"/>
          <w:lang w:val="ro-MD"/>
        </w:rPr>
        <w:t xml:space="preserve">mai puțin </w:t>
      </w:r>
      <w:r w:rsidRPr="000D19A7">
        <w:rPr>
          <w:rFonts w:ascii="Times New Roman" w:eastAsia="Calibri" w:hAnsi="Times New Roman" w:cs="Times New Roman"/>
          <w:szCs w:val="24"/>
          <w:lang w:val="ro-MD"/>
        </w:rPr>
        <w:t xml:space="preserve">comparativ cu anul precedent. </w:t>
      </w:r>
      <w:r w:rsidR="00276B09" w:rsidRPr="000D19A7">
        <w:rPr>
          <w:rFonts w:ascii="Times New Roman" w:eastAsia="Calibri" w:hAnsi="Times New Roman" w:cs="Times New Roman"/>
          <w:szCs w:val="24"/>
          <w:lang w:val="ro-MD"/>
        </w:rPr>
        <w:t>În aceeași perioadă, beneficiarii Programului au rambursat cr</w:t>
      </w:r>
      <w:r w:rsidRPr="000D19A7">
        <w:rPr>
          <w:rFonts w:ascii="Times New Roman" w:eastAsia="Calibri" w:hAnsi="Times New Roman" w:cs="Times New Roman"/>
          <w:szCs w:val="24"/>
          <w:lang w:val="ro-MD"/>
        </w:rPr>
        <w:t xml:space="preserve">edite garantate în sumă de 167,4 mil. lei, sau </w:t>
      </w:r>
      <w:r w:rsidR="009A12CF" w:rsidRPr="000D19A7">
        <w:rPr>
          <w:rFonts w:ascii="Times New Roman" w:eastAsia="Calibri" w:hAnsi="Times New Roman" w:cs="Times New Roman"/>
          <w:szCs w:val="24"/>
          <w:lang w:val="ro-MD"/>
        </w:rPr>
        <w:t>cu 3,81 mil. lei</w:t>
      </w:r>
      <w:r w:rsidR="00C34D94" w:rsidRPr="000D19A7">
        <w:rPr>
          <w:rFonts w:ascii="Times New Roman" w:eastAsia="Calibri" w:hAnsi="Times New Roman" w:cs="Times New Roman"/>
          <w:szCs w:val="24"/>
          <w:lang w:val="ro-MD"/>
        </w:rPr>
        <w:t xml:space="preserve"> </w:t>
      </w:r>
      <w:r w:rsidR="009A12CF" w:rsidRPr="000D19A7">
        <w:rPr>
          <w:rFonts w:ascii="Times New Roman" w:eastAsia="Calibri" w:hAnsi="Times New Roman" w:cs="Times New Roman"/>
          <w:szCs w:val="24"/>
          <w:lang w:val="ro-MD"/>
        </w:rPr>
        <w:t xml:space="preserve">mai puțin </w:t>
      </w:r>
      <w:r w:rsidR="00C34D94" w:rsidRPr="000D19A7">
        <w:rPr>
          <w:rFonts w:ascii="Times New Roman" w:eastAsia="Calibri" w:hAnsi="Times New Roman" w:cs="Times New Roman"/>
          <w:i/>
          <w:szCs w:val="24"/>
          <w:lang w:val="ro-MD"/>
        </w:rPr>
        <w:t>Analiza în dinamică a creditelor acordate și rambursate în cadrul Programului de stat „Prima casă” se prezintă în Tabelul nr.</w:t>
      </w:r>
      <w:r w:rsidR="000D19A7">
        <w:rPr>
          <w:rFonts w:ascii="Times New Roman" w:eastAsia="Calibri" w:hAnsi="Times New Roman" w:cs="Times New Roman"/>
          <w:i/>
          <w:szCs w:val="24"/>
          <w:lang w:val="ro-MD"/>
        </w:rPr>
        <w:t>7.</w:t>
      </w:r>
    </w:p>
    <w:p w14:paraId="2AB971AE" w14:textId="716CFA43" w:rsidR="00C11362" w:rsidRPr="00A71984" w:rsidRDefault="000D19A7" w:rsidP="00580E05">
      <w:pPr>
        <w:shd w:val="clear" w:color="auto" w:fill="FFFFFF"/>
        <w:spacing w:after="0" w:line="276" w:lineRule="auto"/>
        <w:jc w:val="right"/>
        <w:rPr>
          <w:rFonts w:ascii="Times New Roman" w:eastAsia="Calibri" w:hAnsi="Times New Roman" w:cs="Times New Roman"/>
          <w:b/>
          <w:i/>
          <w:szCs w:val="24"/>
          <w:lang w:val="ro-MD"/>
        </w:rPr>
      </w:pPr>
      <w:r w:rsidRPr="00A71984">
        <w:rPr>
          <w:rFonts w:ascii="Times New Roman" w:eastAsia="Calibri" w:hAnsi="Times New Roman" w:cs="Times New Roman"/>
          <w:b/>
          <w:i/>
          <w:szCs w:val="24"/>
          <w:lang w:val="ro-MD"/>
        </w:rPr>
        <w:t>Tabelul nr.7</w:t>
      </w:r>
    </w:p>
    <w:p w14:paraId="577AF20A" w14:textId="24503783" w:rsidR="00FD1A39" w:rsidRPr="00A71984" w:rsidRDefault="00FD1A39" w:rsidP="00114BF6">
      <w:pPr>
        <w:shd w:val="clear" w:color="auto" w:fill="FFFFFF"/>
        <w:spacing w:after="0" w:line="276" w:lineRule="auto"/>
        <w:jc w:val="center"/>
        <w:rPr>
          <w:rFonts w:ascii="Times New Roman" w:eastAsia="Calibri" w:hAnsi="Times New Roman" w:cs="Times New Roman"/>
          <w:b/>
          <w:szCs w:val="24"/>
          <w:lang w:val="ro-MD"/>
        </w:rPr>
      </w:pPr>
      <w:r w:rsidRPr="00A71984">
        <w:rPr>
          <w:rFonts w:ascii="Times New Roman" w:eastAsia="Calibri" w:hAnsi="Times New Roman" w:cs="Times New Roman"/>
          <w:b/>
          <w:szCs w:val="24"/>
          <w:lang w:val="ro-MD"/>
        </w:rPr>
        <w:t>Dinamica creditelor acordate și rambursate în cadrul Programului de stat „Prima casă”</w:t>
      </w:r>
    </w:p>
    <w:tbl>
      <w:tblPr>
        <w:tblW w:w="9336" w:type="dxa"/>
        <w:tblLook w:val="04A0" w:firstRow="1" w:lastRow="0" w:firstColumn="1" w:lastColumn="0" w:noHBand="0" w:noVBand="1"/>
      </w:tblPr>
      <w:tblGrid>
        <w:gridCol w:w="4536"/>
        <w:gridCol w:w="960"/>
        <w:gridCol w:w="960"/>
        <w:gridCol w:w="960"/>
        <w:gridCol w:w="960"/>
        <w:gridCol w:w="960"/>
      </w:tblGrid>
      <w:tr w:rsidR="00C34D94" w:rsidRPr="000D19A7" w14:paraId="64FFC5E6" w14:textId="77777777" w:rsidTr="005D21DA">
        <w:trPr>
          <w:trHeight w:val="300"/>
        </w:trPr>
        <w:tc>
          <w:tcPr>
            <w:tcW w:w="4536" w:type="dxa"/>
            <w:tcBorders>
              <w:top w:val="nil"/>
              <w:left w:val="nil"/>
              <w:bottom w:val="single" w:sz="4" w:space="0" w:color="auto"/>
              <w:right w:val="nil"/>
            </w:tcBorders>
            <w:shd w:val="clear" w:color="auto" w:fill="auto"/>
            <w:noWrap/>
            <w:vAlign w:val="bottom"/>
            <w:hideMark/>
          </w:tcPr>
          <w:p w14:paraId="14D84B2E" w14:textId="77777777" w:rsidR="00C34D94" w:rsidRPr="000D19A7" w:rsidRDefault="00C34D94" w:rsidP="00114B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48C8EBA4" w14:textId="77777777" w:rsidR="00C34D94" w:rsidRPr="000D19A7" w:rsidRDefault="00C34D94" w:rsidP="00114B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5F04DACD" w14:textId="77777777" w:rsidR="00C34D94" w:rsidRPr="000D19A7" w:rsidRDefault="00C34D94" w:rsidP="00114B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584ADDB6" w14:textId="77777777" w:rsidR="00C34D94" w:rsidRPr="000D19A7" w:rsidRDefault="00C34D94" w:rsidP="00114B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4B2876E4" w14:textId="77777777" w:rsidR="00C34D94" w:rsidRPr="000D19A7" w:rsidRDefault="00C34D94" w:rsidP="00114B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6A65F89E" w14:textId="77777777" w:rsidR="00C34D94" w:rsidRPr="000D19A7" w:rsidRDefault="00C34D94" w:rsidP="00114BF6">
            <w:pPr>
              <w:spacing w:after="0" w:line="240" w:lineRule="auto"/>
              <w:jc w:val="right"/>
              <w:rPr>
                <w:rFonts w:ascii="Times New Roman" w:eastAsia="Times New Roman" w:hAnsi="Times New Roman" w:cs="Times New Roman"/>
                <w:i/>
                <w:iCs/>
                <w:color w:val="000000"/>
                <w:sz w:val="20"/>
                <w:szCs w:val="20"/>
              </w:rPr>
            </w:pPr>
            <w:r w:rsidRPr="000D19A7">
              <w:rPr>
                <w:rFonts w:ascii="Times New Roman" w:eastAsia="Times New Roman" w:hAnsi="Times New Roman" w:cs="Times New Roman"/>
                <w:i/>
                <w:iCs/>
                <w:color w:val="000000"/>
                <w:sz w:val="20"/>
                <w:szCs w:val="20"/>
              </w:rPr>
              <w:t>mil. lei</w:t>
            </w:r>
          </w:p>
        </w:tc>
      </w:tr>
      <w:tr w:rsidR="00C34D94" w:rsidRPr="000D19A7" w14:paraId="34249CBB" w14:textId="77777777" w:rsidTr="005D21D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7F61A"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Indicatorul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90C5A"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A86B"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F4E7"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0834"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74E8" w14:textId="77777777" w:rsidR="00C34D94" w:rsidRPr="000D19A7" w:rsidRDefault="00C34D94" w:rsidP="00114BF6">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2023</w:t>
            </w:r>
          </w:p>
        </w:tc>
      </w:tr>
      <w:tr w:rsidR="00C34D94" w:rsidRPr="000D19A7" w14:paraId="3D0F490F" w14:textId="77777777" w:rsidTr="005D21D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D9177" w14:textId="77777777" w:rsidR="00C34D94" w:rsidRPr="000D19A7" w:rsidRDefault="00C34D94" w:rsidP="00C34D94">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 Credite noi acordate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272C5"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9E92E"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370,90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359E"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711,38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D92C"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170,30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4409B"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16,40</w:t>
            </w:r>
          </w:p>
        </w:tc>
      </w:tr>
      <w:tr w:rsidR="00C34D94" w:rsidRPr="000D19A7" w14:paraId="5B1F95A5" w14:textId="77777777" w:rsidTr="005D21D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9A9F" w14:textId="77777777" w:rsidR="00C34D94" w:rsidRPr="000D19A7" w:rsidRDefault="00C34D94" w:rsidP="00C34D94">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 Credite rambursate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74E4"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B3255"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65,70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C91B"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110,74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E1608"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171,21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093F" w14:textId="77777777" w:rsidR="00C34D94" w:rsidRPr="000D19A7" w:rsidRDefault="00C34D94" w:rsidP="00C34D94">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167,40</w:t>
            </w:r>
          </w:p>
        </w:tc>
      </w:tr>
    </w:tbl>
    <w:p w14:paraId="0D23862D" w14:textId="6E192455" w:rsidR="00C34D94" w:rsidRPr="000D19A7" w:rsidRDefault="00C34D94" w:rsidP="00C34D94">
      <w:pPr>
        <w:shd w:val="clear" w:color="auto" w:fill="FFFFFF"/>
        <w:spacing w:line="276" w:lineRule="auto"/>
        <w:ind w:firstLine="284"/>
        <w:jc w:val="both"/>
        <w:rPr>
          <w:rFonts w:ascii="Times New Roman" w:eastAsia="Calibri" w:hAnsi="Times New Roman" w:cs="Times New Roman"/>
          <w:b/>
          <w:i/>
          <w:sz w:val="20"/>
          <w:szCs w:val="20"/>
          <w:lang w:val="ro-MD"/>
        </w:rPr>
      </w:pPr>
      <w:r w:rsidRPr="000D19A7">
        <w:rPr>
          <w:rFonts w:ascii="Times New Roman" w:eastAsia="Calibri" w:hAnsi="Times New Roman" w:cs="Times New Roman"/>
          <w:b/>
          <w:i/>
          <w:sz w:val="20"/>
          <w:szCs w:val="20"/>
          <w:lang w:val="ro-MD"/>
        </w:rPr>
        <w:t xml:space="preserve">Sursa: </w:t>
      </w:r>
      <w:r w:rsidRPr="000D19A7">
        <w:rPr>
          <w:rFonts w:ascii="Times New Roman" w:eastAsia="Calibri" w:hAnsi="Times New Roman" w:cs="Times New Roman"/>
          <w:i/>
          <w:sz w:val="20"/>
          <w:szCs w:val="20"/>
          <w:lang w:val="ro-MD"/>
        </w:rPr>
        <w:t>Informație sintetizată în baza informației prezentată de MF</w:t>
      </w:r>
      <w:r w:rsidR="005D21DA" w:rsidRPr="000D19A7">
        <w:rPr>
          <w:rFonts w:ascii="Times New Roman" w:eastAsia="Calibri" w:hAnsi="Times New Roman" w:cs="Times New Roman"/>
          <w:b/>
          <w:i/>
          <w:sz w:val="20"/>
          <w:szCs w:val="20"/>
          <w:lang w:val="ro-MD"/>
        </w:rPr>
        <w:t>.</w:t>
      </w:r>
    </w:p>
    <w:p w14:paraId="5A89D66F" w14:textId="7586D369" w:rsidR="00C34D94" w:rsidRPr="000D19A7" w:rsidRDefault="006D72EA" w:rsidP="00946026">
      <w:pPr>
        <w:shd w:val="clear" w:color="auto" w:fill="FFFFFF"/>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Reieșind d</w:t>
      </w:r>
      <w:r w:rsidR="00C34D94" w:rsidRPr="000D19A7">
        <w:rPr>
          <w:rFonts w:ascii="Times New Roman" w:eastAsia="Calibri" w:hAnsi="Times New Roman" w:cs="Times New Roman"/>
          <w:szCs w:val="24"/>
          <w:lang w:val="ro-MD"/>
        </w:rPr>
        <w:t xml:space="preserve">in datele analizate, se relevă că pe parcursul ultimilor 3 ani, valoarea creditelor acordate în cadrul Programului a scăzut semnificativ, de la 711,38 mil. lei în anul 2021 până la 16,4 mil. lei </w:t>
      </w:r>
      <w:r w:rsidR="00FC1DC0" w:rsidRPr="000D19A7">
        <w:rPr>
          <w:rFonts w:ascii="Times New Roman" w:eastAsia="Calibri" w:hAnsi="Times New Roman" w:cs="Times New Roman"/>
          <w:szCs w:val="24"/>
          <w:lang w:val="ro-MD"/>
        </w:rPr>
        <w:t xml:space="preserve">(58 de credite) </w:t>
      </w:r>
      <w:r w:rsidR="00C34D94" w:rsidRPr="000D19A7">
        <w:rPr>
          <w:rFonts w:ascii="Times New Roman" w:eastAsia="Calibri" w:hAnsi="Times New Roman" w:cs="Times New Roman"/>
          <w:szCs w:val="24"/>
          <w:lang w:val="ro-MD"/>
        </w:rPr>
        <w:t xml:space="preserve">drept urmare creșterii semnificative a ratelor dobânzii la creditele contractate.  </w:t>
      </w:r>
    </w:p>
    <w:p w14:paraId="38C12E95" w14:textId="24F5A1DC" w:rsidR="00BE0795" w:rsidRPr="000D19A7" w:rsidRDefault="00BE0795" w:rsidP="00D25B6E">
      <w:pPr>
        <w:tabs>
          <w:tab w:val="left" w:pos="284"/>
        </w:tabs>
        <w:spacing w:after="0" w:line="276" w:lineRule="auto"/>
        <w:contextualSpacing/>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 xml:space="preserve">Potrivit cadrului legal, dacă debitorul garantat nu-și îndeplinește obligațiile sale de plată conform contractului de împrumut încheiat cu creditorul și acesta din urmă a întreprins toate măsurile ca debitorul garantat să ramburseze datoria, creditorul are dreptul să prezinte Ministerului Finanțelor o cerere prin care să solicite executarea garanției de stat. Ministerul Finanțelor transferă suma solicitată de creditor dacă informațiile din cererea de executare a garanției de stat sunt conforme cu prevederile </w:t>
      </w:r>
      <w:r w:rsidR="009774EA" w:rsidRPr="000D19A7">
        <w:rPr>
          <w:rFonts w:ascii="Times New Roman" w:eastAsia="Calibri" w:hAnsi="Times New Roman" w:cs="Times New Roman"/>
          <w:szCs w:val="24"/>
          <w:lang w:val="ro-MD"/>
        </w:rPr>
        <w:t>cadrului normativ</w:t>
      </w:r>
      <w:r w:rsidRPr="000D19A7">
        <w:rPr>
          <w:rFonts w:ascii="Times New Roman" w:eastAsia="Calibri" w:hAnsi="Times New Roman" w:cs="Times New Roman"/>
          <w:szCs w:val="24"/>
          <w:lang w:val="ro-MD"/>
        </w:rPr>
        <w:t xml:space="preserve"> și cu condițiile stipulate în contractul de garanție de stat.</w:t>
      </w:r>
      <w:r w:rsidRPr="000D19A7">
        <w:rPr>
          <w:rFonts w:ascii="Times New Roman" w:eastAsia="Calibri" w:hAnsi="Times New Roman" w:cs="Times New Roman"/>
          <w:sz w:val="22"/>
        </w:rPr>
        <w:t xml:space="preserve"> </w:t>
      </w:r>
      <w:r w:rsidRPr="000D19A7">
        <w:rPr>
          <w:rFonts w:ascii="Times New Roman" w:eastAsia="Calibri" w:hAnsi="Times New Roman" w:cs="Times New Roman"/>
          <w:szCs w:val="24"/>
          <w:lang w:val="ro-MD"/>
        </w:rPr>
        <w:t xml:space="preserve">Obligația pecuniară care rezultă din garanțiile de stat se execută din contul mijloacelor disponibile ale bugetului de stat. Ministerul Finanțelor informează Guvernul și Parlamentul privind cererile de executare a garanțiilor de stat, prezentate ministerului de </w:t>
      </w:r>
      <w:r w:rsidR="006D72EA" w:rsidRPr="000D19A7">
        <w:rPr>
          <w:rFonts w:ascii="Times New Roman" w:eastAsia="Calibri" w:hAnsi="Times New Roman" w:cs="Times New Roman"/>
          <w:szCs w:val="24"/>
          <w:lang w:val="ro-MD"/>
        </w:rPr>
        <w:t xml:space="preserve">către </w:t>
      </w:r>
      <w:r w:rsidRPr="000D19A7">
        <w:rPr>
          <w:rFonts w:ascii="Times New Roman" w:eastAsia="Calibri" w:hAnsi="Times New Roman" w:cs="Times New Roman"/>
          <w:szCs w:val="24"/>
          <w:lang w:val="ro-MD"/>
        </w:rPr>
        <w:t>creditorii garantați, și privind executările efectuate</w:t>
      </w:r>
      <w:r w:rsidRPr="000D19A7">
        <w:rPr>
          <w:rFonts w:ascii="Times New Roman" w:eastAsia="Calibri" w:hAnsi="Times New Roman" w:cs="Times New Roman"/>
          <w:szCs w:val="24"/>
          <w:vertAlign w:val="superscript"/>
          <w:lang w:val="ro-MD"/>
        </w:rPr>
        <w:footnoteReference w:id="21"/>
      </w:r>
      <w:r w:rsidRPr="000D19A7">
        <w:rPr>
          <w:rFonts w:ascii="Times New Roman" w:eastAsia="Calibri" w:hAnsi="Times New Roman" w:cs="Times New Roman"/>
          <w:szCs w:val="24"/>
          <w:lang w:val="ro-MD"/>
        </w:rPr>
        <w:t xml:space="preserve">. </w:t>
      </w:r>
    </w:p>
    <w:p w14:paraId="6624DAD3" w14:textId="7912791E" w:rsidR="00BE0795" w:rsidRPr="000D19A7" w:rsidRDefault="00BE0795" w:rsidP="00D25B6E">
      <w:pPr>
        <w:shd w:val="clear" w:color="auto" w:fill="FFFFFF"/>
        <w:spacing w:after="0"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Auditul menționează că, în anul 2023 au fost deja înregistrate 8 cazuri de activare a garanției de stat</w:t>
      </w:r>
      <w:r w:rsidRPr="000D19A7">
        <w:rPr>
          <w:rStyle w:val="a6"/>
          <w:rFonts w:ascii="Times New Roman" w:eastAsia="Calibri" w:hAnsi="Times New Roman" w:cs="Times New Roman"/>
          <w:szCs w:val="24"/>
          <w:lang w:val="ro-MD"/>
        </w:rPr>
        <w:footnoteReference w:id="22"/>
      </w:r>
      <w:r w:rsidRPr="000D19A7">
        <w:rPr>
          <w:rFonts w:ascii="Times New Roman" w:eastAsia="Calibri" w:hAnsi="Times New Roman" w:cs="Times New Roman"/>
          <w:szCs w:val="24"/>
          <w:lang w:val="ro-MD"/>
        </w:rPr>
        <w:t xml:space="preserve"> în cadrul Programului de stat „Prima casă”, din contul bugetului de stat fiind dezafectate mijloace financiare </w:t>
      </w:r>
      <w:r w:rsidRPr="000D19A7">
        <w:rPr>
          <w:rFonts w:ascii="Times New Roman" w:eastAsia="Times New Roman" w:hAnsi="Times New Roman" w:cs="Times New Roman"/>
          <w:bCs/>
          <w:color w:val="000000"/>
          <w:szCs w:val="24"/>
          <w:lang w:val="ro-MD" w:eastAsia="ru-RU"/>
        </w:rPr>
        <w:t xml:space="preserve">în sumă totală de 1 931,73 mii lei, sau cu 1 476,13 mii lei mai mult în comparație cu anul precedent. Totodată, în anul 2023, în bugetul de stat au fost restituite mijloacele </w:t>
      </w:r>
      <w:r w:rsidR="006D72EA" w:rsidRPr="000D19A7">
        <w:rPr>
          <w:rFonts w:ascii="Times New Roman" w:eastAsia="Times New Roman" w:hAnsi="Times New Roman" w:cs="Times New Roman"/>
          <w:bCs/>
          <w:color w:val="000000"/>
          <w:szCs w:val="24"/>
          <w:lang w:val="ro-MD" w:eastAsia="ru-RU"/>
        </w:rPr>
        <w:t>dezafectate din bugetul de stat</w:t>
      </w:r>
      <w:r w:rsidR="007A265B" w:rsidRPr="000D19A7">
        <w:rPr>
          <w:rFonts w:ascii="Times New Roman" w:eastAsia="Times New Roman" w:hAnsi="Times New Roman" w:cs="Times New Roman"/>
          <w:bCs/>
          <w:color w:val="000000"/>
          <w:szCs w:val="24"/>
          <w:lang w:val="ro-MD" w:eastAsia="ru-RU"/>
        </w:rPr>
        <w:t xml:space="preserve">, </w:t>
      </w:r>
      <w:r w:rsidRPr="000D19A7">
        <w:rPr>
          <w:rFonts w:ascii="Times New Roman" w:eastAsia="Times New Roman" w:hAnsi="Times New Roman" w:cs="Times New Roman"/>
          <w:bCs/>
          <w:color w:val="000000"/>
          <w:szCs w:val="24"/>
          <w:lang w:val="ro-MD" w:eastAsia="ru-RU"/>
        </w:rPr>
        <w:t xml:space="preserve">în urma onorării garanției de stat în cadrul Programului </w:t>
      </w:r>
      <w:r w:rsidR="006D72EA" w:rsidRPr="000D19A7">
        <w:rPr>
          <w:rFonts w:ascii="Times New Roman" w:eastAsia="Times New Roman" w:hAnsi="Times New Roman" w:cs="Times New Roman"/>
          <w:bCs/>
          <w:color w:val="000000"/>
          <w:szCs w:val="24"/>
          <w:lang w:val="ro-MD" w:eastAsia="ru-RU"/>
        </w:rPr>
        <w:t xml:space="preserve">de stat </w:t>
      </w:r>
      <w:r w:rsidRPr="000D19A7">
        <w:rPr>
          <w:rFonts w:ascii="Times New Roman" w:eastAsia="Times New Roman" w:hAnsi="Times New Roman" w:cs="Times New Roman"/>
          <w:bCs/>
          <w:color w:val="000000"/>
          <w:szCs w:val="24"/>
          <w:lang w:val="ro-MD" w:eastAsia="ru-RU"/>
        </w:rPr>
        <w:t>„Prima casă”, în sumă de 456,74</w:t>
      </w:r>
      <w:r w:rsidR="006E04FC" w:rsidRPr="000D19A7">
        <w:rPr>
          <w:rFonts w:ascii="Times New Roman" w:eastAsia="Times New Roman" w:hAnsi="Times New Roman" w:cs="Times New Roman"/>
          <w:bCs/>
          <w:color w:val="000000"/>
          <w:szCs w:val="24"/>
          <w:lang w:val="ro-MD" w:eastAsia="ru-RU"/>
        </w:rPr>
        <w:t xml:space="preserve"> mii. lei. Soldul mijloacelor dezafectate din bugetul de stat urmare onorării garanțiilor de stat în cadrul Programului de stat „Prima casă”, la situația din 31.12.2023 constituie 1 474,99 mii lei.</w:t>
      </w:r>
    </w:p>
    <w:p w14:paraId="2EEBC28B" w14:textId="75BBA4B3" w:rsidR="00BE0795" w:rsidRPr="000D19A7" w:rsidRDefault="00BE0795" w:rsidP="00BE0795">
      <w:pPr>
        <w:shd w:val="clear" w:color="auto" w:fill="FFFFFF"/>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În acest context, menționăm că, începând cu anul 2022, prin decizi</w:t>
      </w:r>
      <w:r w:rsidR="00354608" w:rsidRPr="000D19A7">
        <w:rPr>
          <w:rFonts w:ascii="Times New Roman" w:eastAsia="Calibri" w:hAnsi="Times New Roman" w:cs="Times New Roman"/>
          <w:szCs w:val="24"/>
          <w:lang w:val="ro-MD"/>
        </w:rPr>
        <w:t>ile Guvernului, benificiarilor P</w:t>
      </w:r>
      <w:r w:rsidRPr="000D19A7">
        <w:rPr>
          <w:rFonts w:ascii="Times New Roman" w:eastAsia="Calibri" w:hAnsi="Times New Roman" w:cs="Times New Roman"/>
          <w:szCs w:val="24"/>
          <w:lang w:val="ro-MD"/>
        </w:rPr>
        <w:t xml:space="preserve">rogramului </w:t>
      </w:r>
      <w:r w:rsidR="00354608" w:rsidRPr="000D19A7">
        <w:rPr>
          <w:rFonts w:ascii="Times New Roman" w:eastAsia="Calibri" w:hAnsi="Times New Roman" w:cs="Times New Roman"/>
          <w:szCs w:val="24"/>
          <w:lang w:val="ro-MD"/>
        </w:rPr>
        <w:t>le-</w:t>
      </w:r>
      <w:r w:rsidRPr="000D19A7">
        <w:rPr>
          <w:rFonts w:ascii="Times New Roman" w:eastAsia="Calibri" w:hAnsi="Times New Roman" w:cs="Times New Roman"/>
          <w:szCs w:val="24"/>
          <w:lang w:val="ro-MD"/>
        </w:rPr>
        <w:t>a fost aprobată și acordarea compensațiilor pentru acoperirea parțială a cheltuielilor pe care le suportă beneficiarul pentru achitaea dobânzii lunare a creditului ipotecar în cadrul Programului, ca urmare a creșterii accelerate a ratei dobânzii.</w:t>
      </w:r>
    </w:p>
    <w:p w14:paraId="1A0936B6" w14:textId="6CB1DB76" w:rsidR="00BE0795" w:rsidRPr="000D19A7" w:rsidRDefault="00A71984" w:rsidP="00BE0795">
      <w:pPr>
        <w:shd w:val="clear" w:color="auto" w:fill="FFFFFF"/>
        <w:spacing w:line="276" w:lineRule="auto"/>
        <w:jc w:val="both"/>
        <w:rPr>
          <w:rFonts w:ascii="Times New Roman" w:eastAsia="Calibri" w:hAnsi="Times New Roman" w:cs="Times New Roman"/>
          <w:szCs w:val="24"/>
          <w:lang w:val="ro-MD"/>
        </w:rPr>
      </w:pPr>
      <w:r>
        <w:rPr>
          <w:rFonts w:ascii="Times New Roman" w:eastAsia="Calibri" w:hAnsi="Times New Roman" w:cs="Times New Roman"/>
          <w:szCs w:val="24"/>
          <w:lang w:val="ro-MD"/>
        </w:rPr>
        <w:t>Totodată</w:t>
      </w:r>
      <w:r w:rsidR="00BE0795" w:rsidRPr="000D19A7">
        <w:rPr>
          <w:rFonts w:ascii="Times New Roman" w:eastAsia="Calibri" w:hAnsi="Times New Roman" w:cs="Times New Roman"/>
          <w:szCs w:val="24"/>
          <w:lang w:val="ro-MD"/>
        </w:rPr>
        <w:t xml:space="preserve">, auditul evidențiază că 5 beneficiari </w:t>
      </w:r>
      <w:r w:rsidR="00F6556C" w:rsidRPr="000D19A7">
        <w:rPr>
          <w:rFonts w:ascii="Times New Roman" w:eastAsia="Calibri" w:hAnsi="Times New Roman" w:cs="Times New Roman"/>
          <w:szCs w:val="24"/>
          <w:lang w:val="ro-MD"/>
        </w:rPr>
        <w:t xml:space="preserve">ai Programului </w:t>
      </w:r>
      <w:r w:rsidR="00BE0795" w:rsidRPr="000D19A7">
        <w:rPr>
          <w:rFonts w:ascii="Times New Roman" w:eastAsia="Calibri" w:hAnsi="Times New Roman" w:cs="Times New Roman"/>
          <w:szCs w:val="24"/>
          <w:lang w:val="ro-MD"/>
        </w:rPr>
        <w:t xml:space="preserve">din cei 8, cărora </w:t>
      </w:r>
      <w:r w:rsidR="00F6556C" w:rsidRPr="000D19A7">
        <w:rPr>
          <w:rFonts w:ascii="Times New Roman" w:eastAsia="Calibri" w:hAnsi="Times New Roman" w:cs="Times New Roman"/>
          <w:szCs w:val="24"/>
          <w:lang w:val="ro-MD"/>
        </w:rPr>
        <w:t xml:space="preserve">li </w:t>
      </w:r>
      <w:r w:rsidR="00BE0795" w:rsidRPr="000D19A7">
        <w:rPr>
          <w:rFonts w:ascii="Times New Roman" w:eastAsia="Calibri" w:hAnsi="Times New Roman" w:cs="Times New Roman"/>
          <w:szCs w:val="24"/>
          <w:lang w:val="ro-MD"/>
        </w:rPr>
        <w:t>s-au activat garanțiile de stat, au beneficiat de compensații, inclusiv pentru compensarea majorării ratei dobânzii la creditele contractate</w:t>
      </w:r>
      <w:r w:rsidR="00BE0795" w:rsidRPr="000D19A7">
        <w:rPr>
          <w:rStyle w:val="a6"/>
          <w:rFonts w:ascii="Times New Roman" w:eastAsia="Calibri" w:hAnsi="Times New Roman" w:cs="Times New Roman"/>
          <w:szCs w:val="24"/>
          <w:lang w:val="ro-MD"/>
        </w:rPr>
        <w:footnoteReference w:id="23"/>
      </w:r>
      <w:r w:rsidR="00BE0795" w:rsidRPr="000D19A7">
        <w:rPr>
          <w:rFonts w:ascii="Times New Roman" w:eastAsia="Calibri" w:hAnsi="Times New Roman" w:cs="Times New Roman"/>
          <w:szCs w:val="24"/>
          <w:lang w:val="ro-MD"/>
        </w:rPr>
        <w:t xml:space="preserve">. </w:t>
      </w:r>
    </w:p>
    <w:p w14:paraId="6E849126" w14:textId="77777777" w:rsidR="00BE0795" w:rsidRPr="000D19A7" w:rsidRDefault="00BE0795" w:rsidP="00BE0795">
      <w:pPr>
        <w:shd w:val="clear" w:color="auto" w:fill="FFFFFF"/>
        <w:spacing w:line="276" w:lineRule="auto"/>
        <w:jc w:val="both"/>
        <w:rPr>
          <w:rFonts w:ascii="Times New Roman" w:eastAsia="Calibri" w:hAnsi="Times New Roman" w:cs="Times New Roman"/>
          <w:szCs w:val="24"/>
          <w:lang w:val="ro-MD"/>
        </w:rPr>
      </w:pPr>
      <w:r w:rsidRPr="000D19A7">
        <w:rPr>
          <w:rFonts w:ascii="Times New Roman" w:eastAsia="Times New Roman" w:hAnsi="Times New Roman" w:cs="Times New Roman"/>
          <w:bCs/>
          <w:color w:val="000000"/>
          <w:szCs w:val="24"/>
          <w:lang w:val="ro-MD" w:eastAsia="ru-RU"/>
        </w:rPr>
        <w:t>În anul 2023 nu au fost acordate garanții de stat externe.</w:t>
      </w:r>
    </w:p>
    <w:p w14:paraId="7BFD18EA" w14:textId="4D2CC68E" w:rsidR="004C122C" w:rsidRPr="000D19A7" w:rsidRDefault="00B16FD4" w:rsidP="007C5272">
      <w:pPr>
        <w:pStyle w:val="a7"/>
        <w:numPr>
          <w:ilvl w:val="2"/>
          <w:numId w:val="31"/>
        </w:numPr>
        <w:spacing w:after="0"/>
        <w:ind w:left="0" w:hanging="12"/>
        <w:jc w:val="both"/>
        <w:rPr>
          <w:rFonts w:ascii="Times New Roman" w:hAnsi="Times New Roman" w:cs="Times New Roman"/>
          <w:b/>
          <w:i/>
          <w:lang w:val="ro-MD" w:eastAsia="ru-RU"/>
        </w:rPr>
      </w:pPr>
      <w:r w:rsidRPr="000D19A7">
        <w:rPr>
          <w:rFonts w:ascii="Times New Roman" w:hAnsi="Times New Roman" w:cs="Times New Roman"/>
          <w:b/>
          <w:i/>
          <w:lang w:val="ro-MD" w:eastAsia="ru-RU"/>
        </w:rPr>
        <w:t>D</w:t>
      </w:r>
      <w:r w:rsidR="004C122C" w:rsidRPr="000D19A7">
        <w:rPr>
          <w:rFonts w:ascii="Times New Roman" w:hAnsi="Times New Roman" w:cs="Times New Roman"/>
          <w:b/>
          <w:i/>
          <w:lang w:val="ro-MD" w:eastAsia="ru-RU"/>
        </w:rPr>
        <w:t xml:space="preserve">atoriile debitorilor garantați </w:t>
      </w:r>
      <w:r w:rsidRPr="000D19A7">
        <w:rPr>
          <w:rFonts w:ascii="Times New Roman" w:hAnsi="Times New Roman" w:cs="Times New Roman"/>
          <w:b/>
          <w:i/>
          <w:lang w:val="ro-MD" w:eastAsia="ru-RU"/>
        </w:rPr>
        <w:t xml:space="preserve">în sumă totală de 74,71 mil. lei </w:t>
      </w:r>
      <w:r w:rsidR="004C122C" w:rsidRPr="000D19A7">
        <w:rPr>
          <w:rFonts w:ascii="Times New Roman" w:hAnsi="Times New Roman" w:cs="Times New Roman"/>
          <w:b/>
          <w:i/>
          <w:lang w:val="ro-MD" w:eastAsia="ru-RU"/>
        </w:rPr>
        <w:t>sunt cu termenul de achitare expirat</w:t>
      </w:r>
      <w:r w:rsidR="00F20BA4" w:rsidRPr="000D19A7">
        <w:rPr>
          <w:rFonts w:ascii="Times New Roman" w:hAnsi="Times New Roman" w:cs="Times New Roman"/>
          <w:b/>
          <w:i/>
          <w:lang w:val="ro-MD" w:eastAsia="ru-RU"/>
        </w:rPr>
        <w:t xml:space="preserve"> și nerecupera</w:t>
      </w:r>
      <w:r w:rsidR="003B43AF" w:rsidRPr="000D19A7">
        <w:rPr>
          <w:rFonts w:ascii="Times New Roman" w:hAnsi="Times New Roman" w:cs="Times New Roman"/>
          <w:b/>
          <w:i/>
          <w:lang w:val="ro-MD" w:eastAsia="ru-RU"/>
        </w:rPr>
        <w:t>bile</w:t>
      </w:r>
      <w:r w:rsidR="00CE139F" w:rsidRPr="000D19A7">
        <w:rPr>
          <w:rFonts w:ascii="Times New Roman" w:hAnsi="Times New Roman" w:cs="Times New Roman"/>
          <w:b/>
          <w:i/>
          <w:lang w:val="ro-MD" w:eastAsia="ru-RU"/>
        </w:rPr>
        <w:t xml:space="preserve">, o parte din </w:t>
      </w:r>
      <w:r w:rsidRPr="000D19A7">
        <w:rPr>
          <w:rFonts w:ascii="Times New Roman" w:hAnsi="Times New Roman" w:cs="Times New Roman"/>
          <w:b/>
          <w:i/>
          <w:lang w:val="ro-MD" w:eastAsia="ru-RU"/>
        </w:rPr>
        <w:t>care</w:t>
      </w:r>
      <w:r w:rsidR="00623834" w:rsidRPr="000D19A7">
        <w:rPr>
          <w:rFonts w:ascii="Times New Roman" w:hAnsi="Times New Roman" w:cs="Times New Roman"/>
          <w:b/>
          <w:i/>
          <w:lang w:val="ro-MD" w:eastAsia="ru-RU"/>
        </w:rPr>
        <w:t>,</w:t>
      </w:r>
      <w:r w:rsidRPr="000D19A7">
        <w:rPr>
          <w:rFonts w:ascii="Times New Roman" w:hAnsi="Times New Roman" w:cs="Times New Roman"/>
          <w:b/>
          <w:i/>
          <w:lang w:val="ro-MD" w:eastAsia="ru-RU"/>
        </w:rPr>
        <w:t xml:space="preserve"> în sumă totală de </w:t>
      </w:r>
      <w:r w:rsidR="00623834" w:rsidRPr="000D19A7">
        <w:rPr>
          <w:rFonts w:ascii="Times New Roman" w:hAnsi="Times New Roman" w:cs="Times New Roman"/>
          <w:b/>
          <w:i/>
          <w:lang w:val="ro-MD" w:eastAsia="ru-RU"/>
        </w:rPr>
        <w:t xml:space="preserve"> </w:t>
      </w:r>
      <w:r w:rsidRPr="000D19A7">
        <w:rPr>
          <w:rFonts w:ascii="Times New Roman" w:hAnsi="Times New Roman" w:cs="Times New Roman"/>
          <w:b/>
          <w:i/>
          <w:lang w:val="ro-MD" w:eastAsia="ru-RU"/>
        </w:rPr>
        <w:t>407,78 mi</w:t>
      </w:r>
      <w:r w:rsidR="0032173F">
        <w:rPr>
          <w:rFonts w:ascii="Times New Roman" w:hAnsi="Times New Roman" w:cs="Times New Roman"/>
          <w:b/>
          <w:i/>
          <w:lang w:val="ro-MD" w:eastAsia="ru-RU"/>
        </w:rPr>
        <w:t>l</w:t>
      </w:r>
      <w:r w:rsidRPr="000D19A7">
        <w:rPr>
          <w:rFonts w:ascii="Times New Roman" w:hAnsi="Times New Roman" w:cs="Times New Roman"/>
          <w:b/>
          <w:i/>
          <w:lang w:val="ro-MD" w:eastAsia="ru-RU"/>
        </w:rPr>
        <w:t xml:space="preserve">. lei,  </w:t>
      </w:r>
      <w:r w:rsidR="00623834" w:rsidRPr="000D19A7">
        <w:rPr>
          <w:rFonts w:ascii="Times New Roman" w:hAnsi="Times New Roman" w:cs="Times New Roman"/>
          <w:b/>
          <w:i/>
          <w:lang w:val="ro-MD" w:eastAsia="ru-RU"/>
        </w:rPr>
        <w:t xml:space="preserve">urmare deciziilor organelor de resort </w:t>
      </w:r>
      <w:r w:rsidRPr="000D19A7">
        <w:rPr>
          <w:rFonts w:ascii="Times New Roman" w:hAnsi="Times New Roman" w:cs="Times New Roman"/>
          <w:b/>
          <w:i/>
          <w:lang w:val="ro-MD" w:eastAsia="ru-RU"/>
        </w:rPr>
        <w:t xml:space="preserve">au fost </w:t>
      </w:r>
      <w:r w:rsidR="00623834" w:rsidRPr="000D19A7">
        <w:rPr>
          <w:rFonts w:ascii="Times New Roman" w:hAnsi="Times New Roman" w:cs="Times New Roman"/>
          <w:b/>
          <w:i/>
          <w:lang w:val="ro-MD" w:eastAsia="ru-RU"/>
        </w:rPr>
        <w:t xml:space="preserve">anulate, </w:t>
      </w:r>
      <w:r w:rsidR="00E853CE" w:rsidRPr="000D19A7">
        <w:rPr>
          <w:rFonts w:ascii="Times New Roman" w:hAnsi="Times New Roman" w:cs="Times New Roman"/>
          <w:b/>
          <w:i/>
          <w:lang w:val="ro-MD" w:eastAsia="ru-RU"/>
        </w:rPr>
        <w:t>acestea reprezentând pierderi pentru bugetul de stat</w:t>
      </w:r>
    </w:p>
    <w:p w14:paraId="207DECC3" w14:textId="5126EA82" w:rsidR="00E8109A" w:rsidRPr="000D19A7" w:rsidRDefault="00E8109A" w:rsidP="007C5272">
      <w:pPr>
        <w:spacing w:after="0" w:line="276" w:lineRule="auto"/>
        <w:jc w:val="both"/>
        <w:rPr>
          <w:rFonts w:ascii="Times New Roman" w:hAnsi="Times New Roman" w:cs="Times New Roman"/>
          <w:lang w:val="ro-MD"/>
        </w:rPr>
      </w:pPr>
      <w:r w:rsidRPr="000D19A7">
        <w:rPr>
          <w:rFonts w:ascii="Times New Roman" w:eastAsia="Times New Roman" w:hAnsi="Times New Roman" w:cs="Times New Roman"/>
          <w:lang w:val="ro-MD" w:eastAsia="ro-RO"/>
        </w:rPr>
        <w:t>Potrivit datelor raportate de Ministerul Finanțelor, l</w:t>
      </w:r>
      <w:r w:rsidRPr="000D19A7">
        <w:rPr>
          <w:rFonts w:ascii="Times New Roman" w:hAnsi="Times New Roman" w:cs="Times New Roman"/>
          <w:lang w:val="ro-MD"/>
        </w:rPr>
        <w:t xml:space="preserve">a situația din 31.12.2023, </w:t>
      </w:r>
      <w:r w:rsidRPr="000D19A7">
        <w:rPr>
          <w:rFonts w:ascii="Times New Roman" w:hAnsi="Times New Roman" w:cs="Times New Roman"/>
          <w:b/>
          <w:lang w:val="ro-MD"/>
        </w:rPr>
        <w:t>soldul datoriei debitorilor garantați față de MF</w:t>
      </w:r>
      <w:r w:rsidR="0099050E" w:rsidRPr="000D19A7">
        <w:rPr>
          <w:rFonts w:ascii="Times New Roman" w:hAnsi="Times New Roman" w:cs="Times New Roman"/>
          <w:lang w:val="ro-MD"/>
        </w:rPr>
        <w:t xml:space="preserve">, </w:t>
      </w:r>
      <w:r w:rsidRPr="000D19A7">
        <w:rPr>
          <w:rFonts w:ascii="Times New Roman" w:hAnsi="Times New Roman" w:cs="Times New Roman"/>
          <w:lang w:val="ro-MD"/>
        </w:rPr>
        <w:t>ca urmare a dezafectării mijloacelor pentru onorarea obligațiilor din garanțiile de stat interne și externe</w:t>
      </w:r>
      <w:r w:rsidR="0099050E" w:rsidRPr="000D19A7">
        <w:rPr>
          <w:rFonts w:ascii="Times New Roman" w:hAnsi="Times New Roman" w:cs="Times New Roman"/>
          <w:lang w:val="ro-MD"/>
        </w:rPr>
        <w:t>,</w:t>
      </w:r>
      <w:r w:rsidRPr="000D19A7">
        <w:rPr>
          <w:rFonts w:ascii="Times New Roman" w:hAnsi="Times New Roman" w:cs="Times New Roman"/>
          <w:lang w:val="ro-MD"/>
        </w:rPr>
        <w:t xml:space="preserve"> </w:t>
      </w:r>
      <w:r w:rsidR="00B83A81" w:rsidRPr="000D19A7">
        <w:rPr>
          <w:rFonts w:ascii="Times New Roman" w:hAnsi="Times New Roman" w:cs="Times New Roman"/>
          <w:lang w:val="ro-MD"/>
        </w:rPr>
        <w:t xml:space="preserve">a </w:t>
      </w:r>
      <w:r w:rsidRPr="000D19A7">
        <w:rPr>
          <w:rFonts w:ascii="Times New Roman" w:hAnsi="Times New Roman" w:cs="Times New Roman"/>
          <w:lang w:val="ro-MD"/>
        </w:rPr>
        <w:t>constitui</w:t>
      </w:r>
      <w:r w:rsidR="00B83A81" w:rsidRPr="000D19A7">
        <w:rPr>
          <w:rFonts w:ascii="Times New Roman" w:hAnsi="Times New Roman" w:cs="Times New Roman"/>
          <w:lang w:val="ro-MD"/>
        </w:rPr>
        <w:t>t</w:t>
      </w:r>
      <w:r w:rsidRPr="000D19A7">
        <w:rPr>
          <w:rFonts w:ascii="Times New Roman" w:hAnsi="Times New Roman" w:cs="Times New Roman"/>
          <w:lang w:val="ro-MD"/>
        </w:rPr>
        <w:t xml:space="preserve"> 74,71 mil. lei, din care: 4,34 mil. lei</w:t>
      </w:r>
      <w:r w:rsidR="0099050E" w:rsidRPr="000D19A7">
        <w:rPr>
          <w:rFonts w:ascii="Times New Roman" w:hAnsi="Times New Roman" w:cs="Times New Roman"/>
          <w:lang w:val="ro-MD"/>
        </w:rPr>
        <w:t xml:space="preserve"> sunt</w:t>
      </w:r>
      <w:r w:rsidRPr="000D19A7">
        <w:rPr>
          <w:rFonts w:ascii="Times New Roman" w:hAnsi="Times New Roman" w:cs="Times New Roman"/>
          <w:lang w:val="ro-MD"/>
        </w:rPr>
        <w:t xml:space="preserve"> datorii</w:t>
      </w:r>
      <w:r w:rsidR="0099050E" w:rsidRPr="000D19A7">
        <w:rPr>
          <w:rFonts w:ascii="Times New Roman" w:hAnsi="Times New Roman" w:cs="Times New Roman"/>
          <w:lang w:val="ro-MD"/>
        </w:rPr>
        <w:t xml:space="preserve">le </w:t>
      </w:r>
      <w:r w:rsidRPr="000D19A7">
        <w:rPr>
          <w:rFonts w:ascii="Times New Roman" w:hAnsi="Times New Roman" w:cs="Times New Roman"/>
          <w:lang w:val="ro-MD"/>
        </w:rPr>
        <w:t>debitorilor garantați aferente împrumuturilor interne</w:t>
      </w:r>
      <w:r w:rsidR="0099050E" w:rsidRPr="000D19A7">
        <w:rPr>
          <w:rFonts w:ascii="Times New Roman" w:hAnsi="Times New Roman" w:cs="Times New Roman"/>
          <w:lang w:val="ro-MD"/>
        </w:rPr>
        <w:t>,</w:t>
      </w:r>
      <w:r w:rsidRPr="000D19A7">
        <w:rPr>
          <w:rFonts w:ascii="Times New Roman" w:hAnsi="Times New Roman" w:cs="Times New Roman"/>
          <w:lang w:val="ro-MD"/>
        </w:rPr>
        <w:t xml:space="preserve"> și 70,</w:t>
      </w:r>
      <w:r w:rsidR="00AC4C33" w:rsidRPr="000D19A7">
        <w:rPr>
          <w:rFonts w:ascii="Times New Roman" w:hAnsi="Times New Roman" w:cs="Times New Roman"/>
          <w:lang w:val="ro-MD"/>
        </w:rPr>
        <w:t>36</w:t>
      </w:r>
      <w:r w:rsidR="0099050E" w:rsidRPr="000D19A7">
        <w:rPr>
          <w:rFonts w:ascii="Times New Roman" w:hAnsi="Times New Roman" w:cs="Times New Roman"/>
          <w:lang w:val="ro-MD"/>
        </w:rPr>
        <w:t xml:space="preserve"> mil.lei – datorii</w:t>
      </w:r>
      <w:r w:rsidRPr="000D19A7">
        <w:rPr>
          <w:rFonts w:ascii="Times New Roman" w:hAnsi="Times New Roman" w:cs="Times New Roman"/>
          <w:lang w:val="ro-MD"/>
        </w:rPr>
        <w:t xml:space="preserve">le debitorilor garantați aferente împrumuturilor externe. </w:t>
      </w:r>
      <w:r w:rsidR="00D913FA" w:rsidRPr="000D19A7">
        <w:rPr>
          <w:rFonts w:ascii="Times New Roman" w:hAnsi="Times New Roman" w:cs="Times New Roman"/>
          <w:lang w:val="ro-MD"/>
        </w:rPr>
        <w:t>Auditul menționează că, datoria în sumă de 74,71 mil. lei este cu termenul de achitare expirat.</w:t>
      </w:r>
      <w:r w:rsidR="000D19A7">
        <w:rPr>
          <w:rFonts w:ascii="Times New Roman" w:hAnsi="Times New Roman" w:cs="Times New Roman"/>
          <w:lang w:val="ro-MD"/>
        </w:rPr>
        <w:t xml:space="preserve"> </w:t>
      </w:r>
      <w:r w:rsidRPr="000D19A7">
        <w:rPr>
          <w:rFonts w:ascii="Times New Roman" w:hAnsi="Times New Roman" w:cs="Times New Roman"/>
          <w:i/>
          <w:lang w:val="ro-MD"/>
        </w:rPr>
        <w:t>Informația privind datoriile debitorilor garantați față de MF la împrumuturile interne și externe acordate sub formă de g</w:t>
      </w:r>
      <w:r w:rsidR="000D19A7">
        <w:rPr>
          <w:rFonts w:ascii="Times New Roman" w:hAnsi="Times New Roman" w:cs="Times New Roman"/>
          <w:i/>
          <w:lang w:val="ro-MD"/>
        </w:rPr>
        <w:t>aranție de stat se prezintă în T</w:t>
      </w:r>
      <w:r w:rsidRPr="000D19A7">
        <w:rPr>
          <w:rFonts w:ascii="Times New Roman" w:hAnsi="Times New Roman" w:cs="Times New Roman"/>
          <w:i/>
          <w:lang w:val="ro-MD"/>
        </w:rPr>
        <w:t xml:space="preserve">abelul </w:t>
      </w:r>
      <w:r w:rsidR="000D19A7">
        <w:rPr>
          <w:rFonts w:ascii="Times New Roman" w:hAnsi="Times New Roman" w:cs="Times New Roman"/>
          <w:i/>
          <w:lang w:val="ro-MD"/>
        </w:rPr>
        <w:t xml:space="preserve">nr.8 </w:t>
      </w:r>
      <w:r w:rsidRPr="000D19A7">
        <w:rPr>
          <w:rFonts w:ascii="Times New Roman" w:hAnsi="Times New Roman" w:cs="Times New Roman"/>
          <w:i/>
          <w:lang w:val="ro-MD"/>
        </w:rPr>
        <w:t>care urmează.</w:t>
      </w:r>
    </w:p>
    <w:p w14:paraId="0E953290" w14:textId="7AD9AF68" w:rsidR="00C11362" w:rsidRPr="000D19A7" w:rsidRDefault="000D19A7" w:rsidP="007C5272">
      <w:pPr>
        <w:spacing w:after="0"/>
        <w:jc w:val="right"/>
        <w:rPr>
          <w:rFonts w:ascii="Times New Roman" w:hAnsi="Times New Roman" w:cs="Times New Roman"/>
          <w:b/>
          <w:i/>
          <w:lang w:val="ro-MD"/>
        </w:rPr>
      </w:pPr>
      <w:r>
        <w:rPr>
          <w:rFonts w:ascii="Times New Roman" w:hAnsi="Times New Roman" w:cs="Times New Roman"/>
          <w:b/>
          <w:i/>
          <w:lang w:val="ro-MD"/>
        </w:rPr>
        <w:t>Tabelul nr.8</w:t>
      </w:r>
      <w:r w:rsidR="00C11362" w:rsidRPr="000D19A7">
        <w:rPr>
          <w:rFonts w:ascii="Times New Roman" w:hAnsi="Times New Roman" w:cs="Times New Roman"/>
          <w:b/>
          <w:i/>
          <w:lang w:val="ro-MD"/>
        </w:rPr>
        <w:t xml:space="preserve"> </w:t>
      </w:r>
    </w:p>
    <w:p w14:paraId="19F0BE7F" w14:textId="77777777" w:rsidR="00E8109A" w:rsidRPr="000D19A7" w:rsidRDefault="00E8109A" w:rsidP="007C5272">
      <w:pPr>
        <w:tabs>
          <w:tab w:val="left" w:pos="284"/>
          <w:tab w:val="left" w:pos="567"/>
        </w:tabs>
        <w:spacing w:after="0"/>
        <w:jc w:val="center"/>
        <w:rPr>
          <w:rFonts w:ascii="Times New Roman" w:eastAsia="Calibri" w:hAnsi="Times New Roman" w:cs="Times New Roman"/>
          <w:b/>
          <w:szCs w:val="24"/>
          <w:lang w:val="ro-MD"/>
        </w:rPr>
      </w:pPr>
      <w:r w:rsidRPr="000D19A7">
        <w:rPr>
          <w:rFonts w:ascii="Times New Roman" w:eastAsia="Calibri" w:hAnsi="Times New Roman" w:cs="Times New Roman"/>
          <w:b/>
          <w:szCs w:val="24"/>
          <w:lang w:val="ro-MD"/>
        </w:rPr>
        <w:t>Datoriile debitorilor garantați față de Ministerul Finanțelor</w:t>
      </w:r>
    </w:p>
    <w:p w14:paraId="43C8D6D1" w14:textId="77777777" w:rsidR="00E8109A" w:rsidRPr="00D747CD" w:rsidRDefault="00E8109A" w:rsidP="007C5272">
      <w:pPr>
        <w:tabs>
          <w:tab w:val="left" w:pos="284"/>
          <w:tab w:val="left" w:pos="567"/>
        </w:tabs>
        <w:spacing w:after="0"/>
        <w:jc w:val="right"/>
        <w:rPr>
          <w:rFonts w:ascii="Times New Roman" w:eastAsia="Calibri" w:hAnsi="Times New Roman" w:cs="Times New Roman"/>
          <w:i/>
          <w:sz w:val="20"/>
          <w:szCs w:val="20"/>
          <w:lang w:val="ro-MD"/>
        </w:rPr>
      </w:pPr>
      <w:r w:rsidRPr="00D747CD">
        <w:rPr>
          <w:rFonts w:ascii="Times New Roman" w:eastAsia="Calibri" w:hAnsi="Times New Roman" w:cs="Times New Roman"/>
          <w:i/>
          <w:sz w:val="20"/>
          <w:szCs w:val="20"/>
          <w:lang w:val="ro-MD"/>
        </w:rPr>
        <w:t>lei</w:t>
      </w:r>
    </w:p>
    <w:tbl>
      <w:tblPr>
        <w:tblStyle w:val="TableGrid21"/>
        <w:tblW w:w="9941" w:type="dxa"/>
        <w:tblInd w:w="-147" w:type="dxa"/>
        <w:tblLook w:val="04A0" w:firstRow="1" w:lastRow="0" w:firstColumn="1" w:lastColumn="0" w:noHBand="0" w:noVBand="1"/>
      </w:tblPr>
      <w:tblGrid>
        <w:gridCol w:w="498"/>
        <w:gridCol w:w="2905"/>
        <w:gridCol w:w="1010"/>
        <w:gridCol w:w="1414"/>
        <w:gridCol w:w="1413"/>
        <w:gridCol w:w="1426"/>
        <w:gridCol w:w="1275"/>
      </w:tblGrid>
      <w:tr w:rsidR="00E8109A" w:rsidRPr="000D19A7" w14:paraId="33F008F3" w14:textId="77777777" w:rsidTr="000A5F8C">
        <w:trPr>
          <w:cantSplit/>
          <w:trHeight w:val="768"/>
        </w:trPr>
        <w:tc>
          <w:tcPr>
            <w:tcW w:w="498" w:type="dxa"/>
            <w:shd w:val="clear" w:color="auto" w:fill="44546A" w:themeFill="text2"/>
          </w:tcPr>
          <w:p w14:paraId="0AE5F11D"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Nr.</w:t>
            </w:r>
          </w:p>
        </w:tc>
        <w:tc>
          <w:tcPr>
            <w:tcW w:w="2905" w:type="dxa"/>
            <w:shd w:val="clear" w:color="auto" w:fill="44546A" w:themeFill="text2"/>
          </w:tcPr>
          <w:p w14:paraId="325F8934" w14:textId="77777777" w:rsidR="00E8109A" w:rsidRPr="000D19A7" w:rsidRDefault="00E8109A" w:rsidP="007C5272">
            <w:pPr>
              <w:spacing w:line="259" w:lineRule="auto"/>
              <w:ind w:left="99"/>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Denumirea debitorului garantat</w:t>
            </w:r>
          </w:p>
        </w:tc>
        <w:tc>
          <w:tcPr>
            <w:tcW w:w="1010" w:type="dxa"/>
            <w:shd w:val="clear" w:color="auto" w:fill="44546A" w:themeFill="text2"/>
          </w:tcPr>
          <w:p w14:paraId="161F550D"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mii u.m</w:t>
            </w:r>
          </w:p>
        </w:tc>
        <w:tc>
          <w:tcPr>
            <w:tcW w:w="1414" w:type="dxa"/>
            <w:shd w:val="clear" w:color="auto" w:fill="44546A" w:themeFill="text2"/>
          </w:tcPr>
          <w:p w14:paraId="4B0EA04D"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Soldul datoriei la 01.01.2023</w:t>
            </w:r>
          </w:p>
        </w:tc>
        <w:tc>
          <w:tcPr>
            <w:tcW w:w="1413" w:type="dxa"/>
            <w:shd w:val="clear" w:color="auto" w:fill="44546A" w:themeFill="text2"/>
          </w:tcPr>
          <w:p w14:paraId="0B2875E1"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Modificări în anul 2023</w:t>
            </w:r>
          </w:p>
        </w:tc>
        <w:tc>
          <w:tcPr>
            <w:tcW w:w="1426" w:type="dxa"/>
            <w:shd w:val="clear" w:color="auto" w:fill="44546A" w:themeFill="text2"/>
          </w:tcPr>
          <w:p w14:paraId="2A3EEC4A"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Soldul datoriei la 31.12.2023</w:t>
            </w:r>
          </w:p>
        </w:tc>
        <w:tc>
          <w:tcPr>
            <w:tcW w:w="1275" w:type="dxa"/>
            <w:shd w:val="clear" w:color="auto" w:fill="44546A" w:themeFill="text2"/>
          </w:tcPr>
          <w:p w14:paraId="4AFBAB86" w14:textId="77777777" w:rsidR="00E8109A" w:rsidRPr="000D19A7" w:rsidRDefault="00E8109A" w:rsidP="007C5272">
            <w:pPr>
              <w:spacing w:line="259" w:lineRule="auto"/>
              <w:jc w:val="center"/>
              <w:rPr>
                <w:rFonts w:ascii="Times New Roman" w:eastAsiaTheme="minorHAnsi" w:hAnsi="Times New Roman" w:cs="Times New Roman"/>
                <w:b/>
                <w:color w:val="FFFFFF" w:themeColor="background1"/>
                <w:sz w:val="18"/>
                <w:szCs w:val="20"/>
                <w:lang w:val="ro-MD"/>
              </w:rPr>
            </w:pPr>
            <w:r w:rsidRPr="000D19A7">
              <w:rPr>
                <w:rFonts w:ascii="Times New Roman" w:eastAsiaTheme="minorHAnsi" w:hAnsi="Times New Roman" w:cs="Times New Roman"/>
                <w:b/>
                <w:color w:val="FFFFFF" w:themeColor="background1"/>
                <w:sz w:val="18"/>
                <w:szCs w:val="20"/>
                <w:lang w:val="ro-MD"/>
              </w:rPr>
              <w:t>Inclusiv, cu termenul de achitare expirat</w:t>
            </w:r>
          </w:p>
        </w:tc>
      </w:tr>
      <w:tr w:rsidR="00E8109A" w:rsidRPr="000D19A7" w14:paraId="1867A5A5" w14:textId="77777777" w:rsidTr="000A5F8C">
        <w:trPr>
          <w:cantSplit/>
          <w:trHeight w:val="270"/>
        </w:trPr>
        <w:tc>
          <w:tcPr>
            <w:tcW w:w="498" w:type="dxa"/>
            <w:shd w:val="clear" w:color="auto" w:fill="auto"/>
            <w:vAlign w:val="center"/>
          </w:tcPr>
          <w:p w14:paraId="1A9420E1"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1</w:t>
            </w:r>
          </w:p>
        </w:tc>
        <w:tc>
          <w:tcPr>
            <w:tcW w:w="2905" w:type="dxa"/>
            <w:shd w:val="clear" w:color="auto" w:fill="auto"/>
            <w:vAlign w:val="center"/>
          </w:tcPr>
          <w:p w14:paraId="3FBE1FF8"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2</w:t>
            </w:r>
          </w:p>
        </w:tc>
        <w:tc>
          <w:tcPr>
            <w:tcW w:w="1010" w:type="dxa"/>
            <w:shd w:val="clear" w:color="auto" w:fill="auto"/>
            <w:vAlign w:val="center"/>
          </w:tcPr>
          <w:p w14:paraId="7BDD4AD3"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3</w:t>
            </w:r>
          </w:p>
        </w:tc>
        <w:tc>
          <w:tcPr>
            <w:tcW w:w="1414" w:type="dxa"/>
            <w:shd w:val="clear" w:color="auto" w:fill="auto"/>
            <w:vAlign w:val="center"/>
          </w:tcPr>
          <w:p w14:paraId="738C89C5"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4</w:t>
            </w:r>
          </w:p>
        </w:tc>
        <w:tc>
          <w:tcPr>
            <w:tcW w:w="1413" w:type="dxa"/>
            <w:shd w:val="clear" w:color="auto" w:fill="auto"/>
            <w:vAlign w:val="center"/>
          </w:tcPr>
          <w:p w14:paraId="718E33FD"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5</w:t>
            </w:r>
          </w:p>
        </w:tc>
        <w:tc>
          <w:tcPr>
            <w:tcW w:w="1426" w:type="dxa"/>
            <w:shd w:val="clear" w:color="auto" w:fill="auto"/>
            <w:vAlign w:val="center"/>
          </w:tcPr>
          <w:p w14:paraId="776D60A0"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6</w:t>
            </w:r>
          </w:p>
        </w:tc>
        <w:tc>
          <w:tcPr>
            <w:tcW w:w="1275" w:type="dxa"/>
            <w:shd w:val="clear" w:color="auto" w:fill="auto"/>
            <w:vAlign w:val="center"/>
          </w:tcPr>
          <w:p w14:paraId="3A20D3BC" w14:textId="77777777" w:rsidR="00E8109A" w:rsidRPr="000D19A7" w:rsidRDefault="00E8109A" w:rsidP="00E8109A">
            <w:pPr>
              <w:spacing w:after="160" w:line="259" w:lineRule="auto"/>
              <w:jc w:val="center"/>
              <w:rPr>
                <w:rFonts w:ascii="Times New Roman" w:eastAsiaTheme="minorHAnsi" w:hAnsi="Times New Roman" w:cs="Times New Roman"/>
                <w:b/>
                <w:i/>
                <w:sz w:val="16"/>
                <w:szCs w:val="20"/>
                <w:lang w:val="ro-MD"/>
              </w:rPr>
            </w:pPr>
            <w:r w:rsidRPr="000D19A7">
              <w:rPr>
                <w:rFonts w:ascii="Times New Roman" w:eastAsiaTheme="minorHAnsi" w:hAnsi="Times New Roman" w:cs="Times New Roman"/>
                <w:b/>
                <w:i/>
                <w:sz w:val="16"/>
                <w:szCs w:val="20"/>
                <w:lang w:val="ro-MD"/>
              </w:rPr>
              <w:t xml:space="preserve">7 </w:t>
            </w:r>
          </w:p>
        </w:tc>
      </w:tr>
      <w:tr w:rsidR="00E8109A" w:rsidRPr="000D19A7" w14:paraId="3B6FC73A" w14:textId="77777777" w:rsidTr="000A5F8C">
        <w:trPr>
          <w:trHeight w:val="412"/>
        </w:trPr>
        <w:tc>
          <w:tcPr>
            <w:tcW w:w="498" w:type="dxa"/>
          </w:tcPr>
          <w:p w14:paraId="5B4A7651"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w:t>
            </w:r>
          </w:p>
        </w:tc>
        <w:tc>
          <w:tcPr>
            <w:tcW w:w="2905" w:type="dxa"/>
          </w:tcPr>
          <w:p w14:paraId="52A9F74A"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SA „Flamingo-96”</w:t>
            </w:r>
          </w:p>
          <w:p w14:paraId="5D80A101" w14:textId="77777777" w:rsidR="00E8109A" w:rsidRPr="000D19A7" w:rsidRDefault="00E8109A" w:rsidP="00C94C20">
            <w:pPr>
              <w:spacing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i/>
                <w:color w:val="000000" w:themeColor="text1"/>
                <w:sz w:val="18"/>
                <w:szCs w:val="18"/>
                <w:lang w:val="ro-MD"/>
              </w:rPr>
              <w:t>Nr.03-3/11-35 din 07.03.1996</w:t>
            </w:r>
          </w:p>
        </w:tc>
        <w:tc>
          <w:tcPr>
            <w:tcW w:w="1010" w:type="dxa"/>
          </w:tcPr>
          <w:p w14:paraId="2AAD9C60"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6154CFC3"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2 418 534,55</w:t>
            </w:r>
          </w:p>
        </w:tc>
        <w:tc>
          <w:tcPr>
            <w:tcW w:w="1413" w:type="dxa"/>
          </w:tcPr>
          <w:p w14:paraId="0DB3513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333FA1F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2 418 534,55</w:t>
            </w:r>
          </w:p>
        </w:tc>
        <w:tc>
          <w:tcPr>
            <w:tcW w:w="1275" w:type="dxa"/>
          </w:tcPr>
          <w:p w14:paraId="2B356BA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2 418 534,55</w:t>
            </w:r>
          </w:p>
        </w:tc>
      </w:tr>
      <w:tr w:rsidR="00E8109A" w:rsidRPr="000D19A7" w14:paraId="48E94C45" w14:textId="77777777" w:rsidTr="000A5F8C">
        <w:tc>
          <w:tcPr>
            <w:tcW w:w="498" w:type="dxa"/>
          </w:tcPr>
          <w:p w14:paraId="4A3AC294"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w:t>
            </w:r>
          </w:p>
        </w:tc>
        <w:tc>
          <w:tcPr>
            <w:tcW w:w="2905" w:type="dxa"/>
          </w:tcPr>
          <w:p w14:paraId="4B477EAF" w14:textId="0E306B4F"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10D3CE07" w14:textId="77777777" w:rsidR="00E8109A" w:rsidRPr="000D19A7" w:rsidRDefault="00E8109A" w:rsidP="00C94C20">
            <w:pPr>
              <w:spacing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i/>
                <w:color w:val="000000" w:themeColor="text1"/>
                <w:sz w:val="18"/>
                <w:szCs w:val="18"/>
                <w:lang w:val="ro-MD"/>
              </w:rPr>
              <w:t>Nr.MOLD/2728  din 14.12.2021</w:t>
            </w:r>
          </w:p>
        </w:tc>
        <w:tc>
          <w:tcPr>
            <w:tcW w:w="1010" w:type="dxa"/>
          </w:tcPr>
          <w:p w14:paraId="28939CD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41F4A3B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13" w:type="dxa"/>
          </w:tcPr>
          <w:p w14:paraId="6139ABD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162 968,74</w:t>
            </w:r>
          </w:p>
        </w:tc>
        <w:tc>
          <w:tcPr>
            <w:tcW w:w="1426" w:type="dxa"/>
          </w:tcPr>
          <w:p w14:paraId="7C829425"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162 968,74</w:t>
            </w:r>
          </w:p>
        </w:tc>
        <w:tc>
          <w:tcPr>
            <w:tcW w:w="1275" w:type="dxa"/>
          </w:tcPr>
          <w:p w14:paraId="387A5A5C"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162 968,74</w:t>
            </w:r>
          </w:p>
        </w:tc>
      </w:tr>
      <w:tr w:rsidR="00E8109A" w:rsidRPr="000D19A7" w14:paraId="14B30CFE" w14:textId="77777777" w:rsidTr="000A5F8C">
        <w:tc>
          <w:tcPr>
            <w:tcW w:w="498" w:type="dxa"/>
          </w:tcPr>
          <w:p w14:paraId="391FCC88"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w:t>
            </w:r>
          </w:p>
        </w:tc>
        <w:tc>
          <w:tcPr>
            <w:tcW w:w="2905" w:type="dxa"/>
          </w:tcPr>
          <w:p w14:paraId="13F6529A" w14:textId="53D450C3"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6BCBA593"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i/>
                <w:color w:val="000000" w:themeColor="text1"/>
                <w:sz w:val="18"/>
                <w:szCs w:val="18"/>
                <w:lang w:val="ro-MD"/>
              </w:rPr>
              <w:t>Nr.MOLD/2465 din 04.10.2021</w:t>
            </w:r>
          </w:p>
        </w:tc>
        <w:tc>
          <w:tcPr>
            <w:tcW w:w="1010" w:type="dxa"/>
          </w:tcPr>
          <w:p w14:paraId="7E9BEB1D"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3E97BB56"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301 437,43</w:t>
            </w:r>
          </w:p>
        </w:tc>
        <w:tc>
          <w:tcPr>
            <w:tcW w:w="1413" w:type="dxa"/>
          </w:tcPr>
          <w:p w14:paraId="5DFA9933"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71D413E3"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301 437,43</w:t>
            </w:r>
          </w:p>
        </w:tc>
        <w:tc>
          <w:tcPr>
            <w:tcW w:w="1275" w:type="dxa"/>
          </w:tcPr>
          <w:p w14:paraId="700BEDEA"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301 437,43</w:t>
            </w:r>
          </w:p>
        </w:tc>
      </w:tr>
      <w:tr w:rsidR="00E8109A" w:rsidRPr="000D19A7" w14:paraId="318D6FE0" w14:textId="77777777" w:rsidTr="000A5F8C">
        <w:tc>
          <w:tcPr>
            <w:tcW w:w="498" w:type="dxa"/>
          </w:tcPr>
          <w:p w14:paraId="34061DC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4.</w:t>
            </w:r>
          </w:p>
        </w:tc>
        <w:tc>
          <w:tcPr>
            <w:tcW w:w="2905" w:type="dxa"/>
          </w:tcPr>
          <w:p w14:paraId="69B21DC8" w14:textId="4DE8D944"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712D7977"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Nr.VICB/923 din 16.01.2020</w:t>
            </w:r>
          </w:p>
        </w:tc>
        <w:tc>
          <w:tcPr>
            <w:tcW w:w="1010" w:type="dxa"/>
          </w:tcPr>
          <w:p w14:paraId="7899B513"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3BC49B01"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154 234,40</w:t>
            </w:r>
          </w:p>
        </w:tc>
        <w:tc>
          <w:tcPr>
            <w:tcW w:w="1413" w:type="dxa"/>
          </w:tcPr>
          <w:p w14:paraId="007B4E02"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-154 234,40</w:t>
            </w:r>
          </w:p>
        </w:tc>
        <w:tc>
          <w:tcPr>
            <w:tcW w:w="1426" w:type="dxa"/>
          </w:tcPr>
          <w:p w14:paraId="156C51A2"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275" w:type="dxa"/>
          </w:tcPr>
          <w:p w14:paraId="77848273"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r>
      <w:tr w:rsidR="00E8109A" w:rsidRPr="000D19A7" w14:paraId="7CD48D96" w14:textId="77777777" w:rsidTr="000A5F8C">
        <w:tc>
          <w:tcPr>
            <w:tcW w:w="498" w:type="dxa"/>
          </w:tcPr>
          <w:p w14:paraId="1A09AA70"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5</w:t>
            </w:r>
          </w:p>
        </w:tc>
        <w:tc>
          <w:tcPr>
            <w:tcW w:w="2905" w:type="dxa"/>
          </w:tcPr>
          <w:p w14:paraId="7FDC37CA" w14:textId="4328D7FA"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3E554DEC"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Nr.MOLD/1047 din 05.07.2019</w:t>
            </w:r>
          </w:p>
        </w:tc>
        <w:tc>
          <w:tcPr>
            <w:tcW w:w="1010" w:type="dxa"/>
          </w:tcPr>
          <w:p w14:paraId="699B353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0255810F"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p>
        </w:tc>
        <w:tc>
          <w:tcPr>
            <w:tcW w:w="1413" w:type="dxa"/>
          </w:tcPr>
          <w:p w14:paraId="2544DC84"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273 793,32</w:t>
            </w:r>
          </w:p>
        </w:tc>
        <w:tc>
          <w:tcPr>
            <w:tcW w:w="1426" w:type="dxa"/>
          </w:tcPr>
          <w:p w14:paraId="5DCC730B"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273 793,32</w:t>
            </w:r>
          </w:p>
        </w:tc>
        <w:tc>
          <w:tcPr>
            <w:tcW w:w="1275" w:type="dxa"/>
          </w:tcPr>
          <w:p w14:paraId="07665B9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273 793,32</w:t>
            </w:r>
          </w:p>
        </w:tc>
      </w:tr>
      <w:tr w:rsidR="00E8109A" w:rsidRPr="000D19A7" w14:paraId="7A573B16" w14:textId="77777777" w:rsidTr="000A5F8C">
        <w:tc>
          <w:tcPr>
            <w:tcW w:w="498" w:type="dxa"/>
          </w:tcPr>
          <w:p w14:paraId="0148BC9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6</w:t>
            </w:r>
          </w:p>
        </w:tc>
        <w:tc>
          <w:tcPr>
            <w:tcW w:w="2905" w:type="dxa"/>
          </w:tcPr>
          <w:p w14:paraId="5E789618" w14:textId="39AB6DEB"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5323065D"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Nr.MOLD/2777 din 24.12.2021</w:t>
            </w:r>
          </w:p>
        </w:tc>
        <w:tc>
          <w:tcPr>
            <w:tcW w:w="1010" w:type="dxa"/>
          </w:tcPr>
          <w:p w14:paraId="01B7F575"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09502A8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p>
        </w:tc>
        <w:tc>
          <w:tcPr>
            <w:tcW w:w="1413" w:type="dxa"/>
          </w:tcPr>
          <w:p w14:paraId="637D1AAC"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383 243,57</w:t>
            </w:r>
          </w:p>
        </w:tc>
        <w:tc>
          <w:tcPr>
            <w:tcW w:w="1426" w:type="dxa"/>
          </w:tcPr>
          <w:p w14:paraId="517512D6"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383 243,57</w:t>
            </w:r>
          </w:p>
        </w:tc>
        <w:tc>
          <w:tcPr>
            <w:tcW w:w="1275" w:type="dxa"/>
          </w:tcPr>
          <w:p w14:paraId="13608EE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383 243,57</w:t>
            </w:r>
          </w:p>
        </w:tc>
      </w:tr>
      <w:tr w:rsidR="00E8109A" w:rsidRPr="000D19A7" w14:paraId="47799F4E" w14:textId="77777777" w:rsidTr="000A5F8C">
        <w:tc>
          <w:tcPr>
            <w:tcW w:w="498" w:type="dxa"/>
          </w:tcPr>
          <w:p w14:paraId="7F82AEE7"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7</w:t>
            </w:r>
          </w:p>
        </w:tc>
        <w:tc>
          <w:tcPr>
            <w:tcW w:w="2905" w:type="dxa"/>
          </w:tcPr>
          <w:p w14:paraId="537CD41F" w14:textId="4528A721"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76E27B01"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Nr.MOLD/1163 din 23.08.2019</w:t>
            </w:r>
          </w:p>
        </w:tc>
        <w:tc>
          <w:tcPr>
            <w:tcW w:w="1010" w:type="dxa"/>
          </w:tcPr>
          <w:p w14:paraId="6995DC15"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3529023F"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p>
        </w:tc>
        <w:tc>
          <w:tcPr>
            <w:tcW w:w="1413" w:type="dxa"/>
          </w:tcPr>
          <w:p w14:paraId="014804F4"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365 773,24</w:t>
            </w:r>
          </w:p>
        </w:tc>
        <w:tc>
          <w:tcPr>
            <w:tcW w:w="1426" w:type="dxa"/>
          </w:tcPr>
          <w:p w14:paraId="42F2C4DB"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365 773,24</w:t>
            </w:r>
          </w:p>
        </w:tc>
        <w:tc>
          <w:tcPr>
            <w:tcW w:w="1275" w:type="dxa"/>
          </w:tcPr>
          <w:p w14:paraId="7676D295"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365 773,24</w:t>
            </w:r>
          </w:p>
        </w:tc>
      </w:tr>
      <w:tr w:rsidR="00E8109A" w:rsidRPr="000D19A7" w14:paraId="17137E5D" w14:textId="77777777" w:rsidTr="000A5F8C">
        <w:tc>
          <w:tcPr>
            <w:tcW w:w="498" w:type="dxa"/>
          </w:tcPr>
          <w:p w14:paraId="1FE152DF"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8</w:t>
            </w:r>
          </w:p>
        </w:tc>
        <w:tc>
          <w:tcPr>
            <w:tcW w:w="2905" w:type="dxa"/>
          </w:tcPr>
          <w:p w14:paraId="2234FF31" w14:textId="568D11E5"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662ECDE5"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Nr.VICB/OG/998 din 20.02.2020</w:t>
            </w:r>
          </w:p>
        </w:tc>
        <w:tc>
          <w:tcPr>
            <w:tcW w:w="1010" w:type="dxa"/>
          </w:tcPr>
          <w:p w14:paraId="2C9DB4E4"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39315B7B"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p>
        </w:tc>
        <w:tc>
          <w:tcPr>
            <w:tcW w:w="1413" w:type="dxa"/>
          </w:tcPr>
          <w:p w14:paraId="358F508E"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123 202,33</w:t>
            </w:r>
          </w:p>
        </w:tc>
        <w:tc>
          <w:tcPr>
            <w:tcW w:w="1426" w:type="dxa"/>
          </w:tcPr>
          <w:p w14:paraId="56122D61"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123 202,33</w:t>
            </w:r>
          </w:p>
        </w:tc>
        <w:tc>
          <w:tcPr>
            <w:tcW w:w="1275" w:type="dxa"/>
          </w:tcPr>
          <w:p w14:paraId="1263BB42" w14:textId="77777777" w:rsidR="00E8109A" w:rsidRPr="000D19A7" w:rsidRDefault="00E8109A" w:rsidP="00C94C20">
            <w:pPr>
              <w:spacing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123 202,33</w:t>
            </w:r>
          </w:p>
        </w:tc>
      </w:tr>
      <w:tr w:rsidR="00E8109A" w:rsidRPr="000D19A7" w14:paraId="62563860" w14:textId="77777777" w:rsidTr="000A5F8C">
        <w:tc>
          <w:tcPr>
            <w:tcW w:w="498" w:type="dxa"/>
          </w:tcPr>
          <w:p w14:paraId="61E36FC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9</w:t>
            </w:r>
          </w:p>
        </w:tc>
        <w:tc>
          <w:tcPr>
            <w:tcW w:w="2905" w:type="dxa"/>
          </w:tcPr>
          <w:p w14:paraId="6D4415C2" w14:textId="134C9E43" w:rsidR="00E8109A" w:rsidRPr="000D19A7" w:rsidRDefault="0099050E"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6803A5F7" w14:textId="77777777" w:rsidR="00E8109A" w:rsidRPr="000D19A7" w:rsidRDefault="00E8109A" w:rsidP="00C94C20">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Nr.VICB/OG/1550 din 22.02.2020</w:t>
            </w:r>
          </w:p>
        </w:tc>
        <w:tc>
          <w:tcPr>
            <w:tcW w:w="1010" w:type="dxa"/>
          </w:tcPr>
          <w:p w14:paraId="6F02E38C"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5CE06480"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p>
        </w:tc>
        <w:tc>
          <w:tcPr>
            <w:tcW w:w="1413" w:type="dxa"/>
          </w:tcPr>
          <w:p w14:paraId="277C590B"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209 255,52</w:t>
            </w:r>
          </w:p>
        </w:tc>
        <w:tc>
          <w:tcPr>
            <w:tcW w:w="1426" w:type="dxa"/>
          </w:tcPr>
          <w:p w14:paraId="6870CCF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209 255,52</w:t>
            </w:r>
          </w:p>
        </w:tc>
        <w:tc>
          <w:tcPr>
            <w:tcW w:w="1275" w:type="dxa"/>
          </w:tcPr>
          <w:p w14:paraId="4A7414FE"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209 255,52</w:t>
            </w:r>
          </w:p>
        </w:tc>
      </w:tr>
      <w:tr w:rsidR="00E8109A" w:rsidRPr="000D19A7" w14:paraId="14337DF8" w14:textId="77777777" w:rsidTr="000A5F8C">
        <w:tc>
          <w:tcPr>
            <w:tcW w:w="498" w:type="dxa"/>
          </w:tcPr>
          <w:p w14:paraId="20BDAE7E"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10</w:t>
            </w:r>
          </w:p>
        </w:tc>
        <w:tc>
          <w:tcPr>
            <w:tcW w:w="2905" w:type="dxa"/>
          </w:tcPr>
          <w:p w14:paraId="27DBD5AA" w14:textId="609B8D67" w:rsidR="00E8109A" w:rsidRPr="000D19A7" w:rsidRDefault="0099050E" w:rsidP="000A5F8C">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Persoană fizică (Programul de s</w:t>
            </w:r>
            <w:r w:rsidR="00E8109A" w:rsidRPr="000D19A7">
              <w:rPr>
                <w:rFonts w:ascii="Times New Roman" w:eastAsiaTheme="minorHAnsi" w:hAnsi="Times New Roman" w:cs="Times New Roman"/>
                <w:color w:val="000000" w:themeColor="text1"/>
                <w:sz w:val="18"/>
                <w:szCs w:val="18"/>
                <w:lang w:val="ro-MD"/>
              </w:rPr>
              <w:t>tat „Prima casă”)</w:t>
            </w:r>
          </w:p>
          <w:p w14:paraId="37A0B5F2" w14:textId="77777777" w:rsidR="00E8109A" w:rsidRPr="000D19A7" w:rsidRDefault="00E8109A" w:rsidP="000A5F8C">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Nr.MOLD/2761 din 21.12.2021</w:t>
            </w:r>
          </w:p>
        </w:tc>
        <w:tc>
          <w:tcPr>
            <w:tcW w:w="1010" w:type="dxa"/>
          </w:tcPr>
          <w:p w14:paraId="2B70E0E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lei</w:t>
            </w:r>
          </w:p>
        </w:tc>
        <w:tc>
          <w:tcPr>
            <w:tcW w:w="1414" w:type="dxa"/>
          </w:tcPr>
          <w:p w14:paraId="2471C00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p>
        </w:tc>
        <w:tc>
          <w:tcPr>
            <w:tcW w:w="1413" w:type="dxa"/>
          </w:tcPr>
          <w:p w14:paraId="3AE0EE3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110 988,61</w:t>
            </w:r>
          </w:p>
        </w:tc>
        <w:tc>
          <w:tcPr>
            <w:tcW w:w="1426" w:type="dxa"/>
          </w:tcPr>
          <w:p w14:paraId="62207340"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110 988,61</w:t>
            </w:r>
          </w:p>
        </w:tc>
        <w:tc>
          <w:tcPr>
            <w:tcW w:w="1275" w:type="dxa"/>
          </w:tcPr>
          <w:p w14:paraId="11F236F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110 988,61</w:t>
            </w:r>
          </w:p>
        </w:tc>
      </w:tr>
      <w:tr w:rsidR="000A5F8C" w:rsidRPr="000D19A7" w14:paraId="7C66F8BD" w14:textId="77777777" w:rsidTr="00AA7CE4">
        <w:tc>
          <w:tcPr>
            <w:tcW w:w="498" w:type="dxa"/>
          </w:tcPr>
          <w:p w14:paraId="5A6EDBFE" w14:textId="14E52DC8" w:rsidR="000A5F8C" w:rsidRPr="000D19A7" w:rsidRDefault="000A5F8C" w:rsidP="00E8109A">
            <w:pPr>
              <w:rPr>
                <w:rFonts w:ascii="Times New Roman" w:hAnsi="Times New Roman" w:cs="Times New Roman"/>
                <w:sz w:val="18"/>
                <w:szCs w:val="18"/>
                <w:lang w:val="ro-MD"/>
              </w:rPr>
            </w:pPr>
            <w:r w:rsidRPr="000D19A7">
              <w:rPr>
                <w:rFonts w:ascii="Times New Roman" w:hAnsi="Times New Roman" w:cs="Times New Roman"/>
                <w:sz w:val="18"/>
                <w:szCs w:val="18"/>
                <w:lang w:val="ro-MD"/>
              </w:rPr>
              <w:t>11</w:t>
            </w:r>
          </w:p>
        </w:tc>
        <w:tc>
          <w:tcPr>
            <w:tcW w:w="2905" w:type="dxa"/>
          </w:tcPr>
          <w:p w14:paraId="185B4333" w14:textId="3E9219CA" w:rsidR="000A5F8C" w:rsidRPr="000D19A7" w:rsidRDefault="000A5F8C" w:rsidP="00E8109A">
            <w:pPr>
              <w:rPr>
                <w:rFonts w:ascii="Times New Roman" w:hAnsi="Times New Roman" w:cs="Times New Roman"/>
                <w:color w:val="000000" w:themeColor="text1"/>
                <w:sz w:val="18"/>
                <w:szCs w:val="18"/>
                <w:lang w:val="ro-MD"/>
              </w:rPr>
            </w:pPr>
            <w:r w:rsidRPr="000D19A7">
              <w:rPr>
                <w:rFonts w:ascii="Times New Roman" w:hAnsi="Times New Roman" w:cs="Times New Roman"/>
                <w:color w:val="000000" w:themeColor="text1"/>
                <w:sz w:val="18"/>
                <w:szCs w:val="18"/>
                <w:lang w:val="ro-MD"/>
              </w:rPr>
              <w:t xml:space="preserve">Persoană fizică (Programul de </w:t>
            </w:r>
            <w:r w:rsidR="0099050E" w:rsidRPr="000D19A7">
              <w:rPr>
                <w:rFonts w:ascii="Times New Roman" w:hAnsi="Times New Roman" w:cs="Times New Roman"/>
                <w:color w:val="000000" w:themeColor="text1"/>
                <w:sz w:val="18"/>
                <w:szCs w:val="18"/>
                <w:lang w:val="ro-MD"/>
              </w:rPr>
              <w:t>stat</w:t>
            </w:r>
            <w:r w:rsidRPr="000D19A7">
              <w:rPr>
                <w:rFonts w:ascii="Times New Roman" w:hAnsi="Times New Roman" w:cs="Times New Roman"/>
                <w:color w:val="000000" w:themeColor="text1"/>
                <w:sz w:val="18"/>
                <w:szCs w:val="18"/>
                <w:lang w:val="ro-MD"/>
              </w:rPr>
              <w:t xml:space="preserve"> „Prima casă”</w:t>
            </w:r>
          </w:p>
          <w:p w14:paraId="69FA7F41" w14:textId="4E14A506" w:rsidR="000A5F8C" w:rsidRPr="000D19A7" w:rsidRDefault="000A5F8C" w:rsidP="00E8109A">
            <w:pPr>
              <w:rPr>
                <w:rFonts w:ascii="Times New Roman" w:hAnsi="Times New Roman" w:cs="Times New Roman"/>
                <w:color w:val="000000" w:themeColor="text1"/>
                <w:sz w:val="18"/>
                <w:szCs w:val="18"/>
                <w:lang w:val="ro-MD"/>
              </w:rPr>
            </w:pPr>
            <w:r w:rsidRPr="000D19A7">
              <w:rPr>
                <w:rFonts w:ascii="Times New Roman" w:hAnsi="Times New Roman" w:cs="Times New Roman"/>
                <w:color w:val="000000" w:themeColor="text1"/>
                <w:sz w:val="18"/>
                <w:szCs w:val="18"/>
                <w:lang w:val="ro-MD"/>
              </w:rPr>
              <w:t>Nr. MOLD/OG/1117 din 07.08.2019</w:t>
            </w:r>
          </w:p>
        </w:tc>
        <w:tc>
          <w:tcPr>
            <w:tcW w:w="1010" w:type="dxa"/>
          </w:tcPr>
          <w:p w14:paraId="49F0D49A" w14:textId="288A67BD" w:rsidR="000A5F8C" w:rsidRPr="000D19A7" w:rsidRDefault="000A5F8C" w:rsidP="00E8109A">
            <w:pPr>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lei</w:t>
            </w:r>
          </w:p>
        </w:tc>
        <w:tc>
          <w:tcPr>
            <w:tcW w:w="5528" w:type="dxa"/>
            <w:gridSpan w:val="4"/>
          </w:tcPr>
          <w:p w14:paraId="4AA6CF2E" w14:textId="7DE6EB8C" w:rsidR="000A5F8C" w:rsidRPr="000D19A7" w:rsidRDefault="000A5F8C" w:rsidP="00E8109A">
            <w:pPr>
              <w:jc w:val="center"/>
              <w:rPr>
                <w:rFonts w:ascii="Times New Roman" w:hAnsi="Times New Roman" w:cs="Times New Roman"/>
                <w:sz w:val="18"/>
                <w:szCs w:val="18"/>
                <w:lang w:val="ro-MD"/>
              </w:rPr>
            </w:pPr>
            <w:r w:rsidRPr="000D19A7">
              <w:rPr>
                <w:rFonts w:ascii="Times New Roman" w:hAnsi="Times New Roman" w:cs="Times New Roman"/>
                <w:sz w:val="18"/>
                <w:szCs w:val="18"/>
                <w:lang w:val="ro-MD"/>
              </w:rPr>
              <w:t>Garanția a fost executată la data de 29.03.2023 în sumă de 302,5 mii lei și a fost restabilită în bugetul de stat la data de 28.12.2023 în sumă de 302,5 mii lei</w:t>
            </w:r>
          </w:p>
        </w:tc>
      </w:tr>
      <w:tr w:rsidR="00E8109A" w:rsidRPr="000D19A7" w14:paraId="7240FBFE" w14:textId="77777777" w:rsidTr="000A5F8C">
        <w:tc>
          <w:tcPr>
            <w:tcW w:w="3403" w:type="dxa"/>
            <w:gridSpan w:val="2"/>
          </w:tcPr>
          <w:p w14:paraId="16745D93" w14:textId="77777777" w:rsidR="00E8109A" w:rsidRPr="000D19A7" w:rsidRDefault="00E8109A" w:rsidP="00E8109A">
            <w:pPr>
              <w:spacing w:after="160" w:line="259" w:lineRule="auto"/>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Total pentru  împrumuturi interne garantate</w:t>
            </w:r>
          </w:p>
        </w:tc>
        <w:tc>
          <w:tcPr>
            <w:tcW w:w="1010" w:type="dxa"/>
          </w:tcPr>
          <w:p w14:paraId="09369903"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lei</w:t>
            </w:r>
          </w:p>
        </w:tc>
        <w:tc>
          <w:tcPr>
            <w:tcW w:w="1414" w:type="dxa"/>
          </w:tcPr>
          <w:p w14:paraId="0E98BBF2"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2 874 206,38</w:t>
            </w:r>
          </w:p>
        </w:tc>
        <w:tc>
          <w:tcPr>
            <w:tcW w:w="1413" w:type="dxa"/>
          </w:tcPr>
          <w:p w14:paraId="146EDAB4"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1 474 990,93</w:t>
            </w:r>
          </w:p>
        </w:tc>
        <w:tc>
          <w:tcPr>
            <w:tcW w:w="1426" w:type="dxa"/>
          </w:tcPr>
          <w:p w14:paraId="7BC8F02C"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4 349 197,31</w:t>
            </w:r>
          </w:p>
        </w:tc>
        <w:tc>
          <w:tcPr>
            <w:tcW w:w="1275" w:type="dxa"/>
          </w:tcPr>
          <w:p w14:paraId="66B2BE72"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4 349 197,31</w:t>
            </w:r>
          </w:p>
        </w:tc>
      </w:tr>
      <w:tr w:rsidR="00E8109A" w:rsidRPr="000D19A7" w14:paraId="068BFA18" w14:textId="77777777" w:rsidTr="000A5F8C">
        <w:tc>
          <w:tcPr>
            <w:tcW w:w="498" w:type="dxa"/>
            <w:vMerge w:val="restart"/>
          </w:tcPr>
          <w:p w14:paraId="421044A5"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w:t>
            </w:r>
          </w:p>
        </w:tc>
        <w:tc>
          <w:tcPr>
            <w:tcW w:w="2905" w:type="dxa"/>
            <w:vMerge w:val="restart"/>
          </w:tcPr>
          <w:p w14:paraId="05265413" w14:textId="77777777" w:rsidR="00E8109A" w:rsidRPr="000D19A7" w:rsidRDefault="00E8109A" w:rsidP="00C10E13">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„Vininvest” SRL</w:t>
            </w:r>
          </w:p>
          <w:p w14:paraId="2A74001F" w14:textId="77777777" w:rsidR="00E8109A" w:rsidRPr="000D19A7" w:rsidRDefault="00E8109A" w:rsidP="00C10E13">
            <w:pPr>
              <w:spacing w:line="259" w:lineRule="auto"/>
              <w:rPr>
                <w:rFonts w:ascii="Times New Roman" w:eastAsiaTheme="minorHAnsi" w:hAnsi="Times New Roman" w:cs="Times New Roman"/>
                <w:i/>
                <w:color w:val="000000" w:themeColor="text1"/>
                <w:sz w:val="18"/>
                <w:szCs w:val="18"/>
                <w:lang w:val="ro-MD"/>
              </w:rPr>
            </w:pPr>
            <w:r w:rsidRPr="000D19A7">
              <w:rPr>
                <w:rFonts w:ascii="Times New Roman" w:eastAsiaTheme="minorHAnsi" w:hAnsi="Times New Roman" w:cs="Times New Roman"/>
                <w:i/>
                <w:color w:val="000000" w:themeColor="text1"/>
                <w:sz w:val="18"/>
                <w:szCs w:val="18"/>
                <w:lang w:val="ro-MD"/>
              </w:rPr>
              <w:t>Nr.235 din 03.10.1994</w:t>
            </w:r>
          </w:p>
        </w:tc>
        <w:tc>
          <w:tcPr>
            <w:tcW w:w="1010" w:type="dxa"/>
          </w:tcPr>
          <w:p w14:paraId="3F3566F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dol. SUA</w:t>
            </w:r>
          </w:p>
        </w:tc>
        <w:tc>
          <w:tcPr>
            <w:tcW w:w="1414" w:type="dxa"/>
          </w:tcPr>
          <w:p w14:paraId="7EBC43C2"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1 381 683,86</w:t>
            </w:r>
          </w:p>
        </w:tc>
        <w:tc>
          <w:tcPr>
            <w:tcW w:w="1413" w:type="dxa"/>
          </w:tcPr>
          <w:p w14:paraId="1780597F"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31F625E5"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1 381 683,86</w:t>
            </w:r>
          </w:p>
        </w:tc>
        <w:tc>
          <w:tcPr>
            <w:tcW w:w="1275" w:type="dxa"/>
          </w:tcPr>
          <w:p w14:paraId="4B1883FA"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1 381 683,86</w:t>
            </w:r>
          </w:p>
        </w:tc>
      </w:tr>
      <w:tr w:rsidR="00E8109A" w:rsidRPr="000D19A7" w14:paraId="0183DFFB" w14:textId="77777777" w:rsidTr="000A5F8C">
        <w:tc>
          <w:tcPr>
            <w:tcW w:w="498" w:type="dxa"/>
            <w:vMerge/>
          </w:tcPr>
          <w:p w14:paraId="43063041"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p>
        </w:tc>
        <w:tc>
          <w:tcPr>
            <w:tcW w:w="2905" w:type="dxa"/>
            <w:vMerge/>
          </w:tcPr>
          <w:p w14:paraId="5F75F6AB"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p>
        </w:tc>
        <w:tc>
          <w:tcPr>
            <w:tcW w:w="1010" w:type="dxa"/>
          </w:tcPr>
          <w:p w14:paraId="4B84DBC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euro</w:t>
            </w:r>
          </w:p>
        </w:tc>
        <w:tc>
          <w:tcPr>
            <w:tcW w:w="1414" w:type="dxa"/>
          </w:tcPr>
          <w:p w14:paraId="42F06372"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1 232 728,10</w:t>
            </w:r>
          </w:p>
        </w:tc>
        <w:tc>
          <w:tcPr>
            <w:tcW w:w="1413" w:type="dxa"/>
          </w:tcPr>
          <w:p w14:paraId="1B23D373"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48739DBF"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1 232 728,10</w:t>
            </w:r>
          </w:p>
        </w:tc>
        <w:tc>
          <w:tcPr>
            <w:tcW w:w="1275" w:type="dxa"/>
          </w:tcPr>
          <w:p w14:paraId="1677805B"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1 232 728,10</w:t>
            </w:r>
          </w:p>
        </w:tc>
      </w:tr>
      <w:tr w:rsidR="00E8109A" w:rsidRPr="000D19A7" w14:paraId="0817E91C" w14:textId="77777777" w:rsidTr="000A5F8C">
        <w:tc>
          <w:tcPr>
            <w:tcW w:w="498" w:type="dxa"/>
            <w:vMerge w:val="restart"/>
            <w:shd w:val="clear" w:color="auto" w:fill="auto"/>
          </w:tcPr>
          <w:p w14:paraId="3B344726"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2.</w:t>
            </w:r>
          </w:p>
        </w:tc>
        <w:tc>
          <w:tcPr>
            <w:tcW w:w="2905" w:type="dxa"/>
            <w:vMerge w:val="restart"/>
            <w:shd w:val="clear" w:color="auto" w:fill="auto"/>
          </w:tcPr>
          <w:p w14:paraId="5F9A41AA" w14:textId="77777777" w:rsidR="00E8109A" w:rsidRPr="000D19A7" w:rsidRDefault="00E8109A" w:rsidP="00C10E13">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SA „Termocom”</w:t>
            </w:r>
          </w:p>
          <w:p w14:paraId="3BD5F94A" w14:textId="77777777" w:rsidR="00E8109A" w:rsidRPr="000D19A7" w:rsidRDefault="00E8109A" w:rsidP="00C10E13">
            <w:pPr>
              <w:spacing w:line="259" w:lineRule="auto"/>
              <w:rPr>
                <w:rFonts w:ascii="Times New Roman" w:eastAsiaTheme="minorHAnsi" w:hAnsi="Times New Roman" w:cs="Times New Roman"/>
                <w:i/>
                <w:color w:val="000000" w:themeColor="text1"/>
                <w:sz w:val="18"/>
                <w:szCs w:val="18"/>
                <w:lang w:val="ro-MD"/>
              </w:rPr>
            </w:pPr>
            <w:r w:rsidRPr="000D19A7">
              <w:rPr>
                <w:rFonts w:ascii="Times New Roman" w:eastAsiaTheme="minorHAnsi" w:hAnsi="Times New Roman" w:cs="Times New Roman"/>
                <w:i/>
                <w:color w:val="000000" w:themeColor="text1"/>
                <w:sz w:val="18"/>
                <w:szCs w:val="18"/>
                <w:lang w:val="ro-MD"/>
              </w:rPr>
              <w:t>Nr.315 din 19.05.1995</w:t>
            </w:r>
          </w:p>
        </w:tc>
        <w:tc>
          <w:tcPr>
            <w:tcW w:w="1010" w:type="dxa"/>
            <w:shd w:val="clear" w:color="auto" w:fill="auto"/>
          </w:tcPr>
          <w:p w14:paraId="1AC96041"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dol. SUA</w:t>
            </w:r>
          </w:p>
        </w:tc>
        <w:tc>
          <w:tcPr>
            <w:tcW w:w="1414" w:type="dxa"/>
            <w:shd w:val="clear" w:color="auto" w:fill="auto"/>
          </w:tcPr>
          <w:p w14:paraId="3A7E6552"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64 013,26</w:t>
            </w:r>
          </w:p>
        </w:tc>
        <w:tc>
          <w:tcPr>
            <w:tcW w:w="1413" w:type="dxa"/>
            <w:shd w:val="clear" w:color="auto" w:fill="auto"/>
          </w:tcPr>
          <w:p w14:paraId="1E01CE1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shd w:val="clear" w:color="auto" w:fill="auto"/>
          </w:tcPr>
          <w:p w14:paraId="464CE16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64 013,26</w:t>
            </w:r>
          </w:p>
        </w:tc>
        <w:tc>
          <w:tcPr>
            <w:tcW w:w="1275" w:type="dxa"/>
            <w:shd w:val="clear" w:color="auto" w:fill="auto"/>
          </w:tcPr>
          <w:p w14:paraId="0E705FC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64 013,26</w:t>
            </w:r>
          </w:p>
        </w:tc>
      </w:tr>
      <w:tr w:rsidR="00E8109A" w:rsidRPr="000D19A7" w14:paraId="49E4EEE3" w14:textId="77777777" w:rsidTr="000A5F8C">
        <w:tc>
          <w:tcPr>
            <w:tcW w:w="498" w:type="dxa"/>
            <w:vMerge/>
          </w:tcPr>
          <w:p w14:paraId="18567C0A"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p>
        </w:tc>
        <w:tc>
          <w:tcPr>
            <w:tcW w:w="2905" w:type="dxa"/>
            <w:vMerge/>
          </w:tcPr>
          <w:p w14:paraId="48E14D32"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p>
        </w:tc>
        <w:tc>
          <w:tcPr>
            <w:tcW w:w="1010" w:type="dxa"/>
          </w:tcPr>
          <w:p w14:paraId="065B4E8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euro</w:t>
            </w:r>
          </w:p>
        </w:tc>
        <w:tc>
          <w:tcPr>
            <w:tcW w:w="1414" w:type="dxa"/>
          </w:tcPr>
          <w:p w14:paraId="77E0894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325 977,75</w:t>
            </w:r>
          </w:p>
        </w:tc>
        <w:tc>
          <w:tcPr>
            <w:tcW w:w="1413" w:type="dxa"/>
          </w:tcPr>
          <w:p w14:paraId="7C003D44"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303B41EE"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325 977,75</w:t>
            </w:r>
          </w:p>
        </w:tc>
        <w:tc>
          <w:tcPr>
            <w:tcW w:w="1275" w:type="dxa"/>
          </w:tcPr>
          <w:p w14:paraId="6C5D146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325 977,75</w:t>
            </w:r>
          </w:p>
        </w:tc>
      </w:tr>
      <w:tr w:rsidR="00E8109A" w:rsidRPr="000D19A7" w14:paraId="1EE1DB72" w14:textId="77777777" w:rsidTr="000A5F8C">
        <w:tc>
          <w:tcPr>
            <w:tcW w:w="498" w:type="dxa"/>
          </w:tcPr>
          <w:p w14:paraId="6EAD6649"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3.</w:t>
            </w:r>
          </w:p>
        </w:tc>
        <w:tc>
          <w:tcPr>
            <w:tcW w:w="2905" w:type="dxa"/>
          </w:tcPr>
          <w:p w14:paraId="0D39E6F9" w14:textId="77777777" w:rsidR="00E8109A" w:rsidRPr="000D19A7" w:rsidRDefault="00E8109A" w:rsidP="00E8109A">
            <w:pPr>
              <w:spacing w:after="160"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ÎS „Moldtranselectro”</w:t>
            </w:r>
          </w:p>
        </w:tc>
        <w:tc>
          <w:tcPr>
            <w:tcW w:w="1010" w:type="dxa"/>
          </w:tcPr>
          <w:p w14:paraId="015E9A0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dol. SUA</w:t>
            </w:r>
          </w:p>
        </w:tc>
        <w:tc>
          <w:tcPr>
            <w:tcW w:w="1414" w:type="dxa"/>
          </w:tcPr>
          <w:p w14:paraId="2547C18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863 174,00</w:t>
            </w:r>
          </w:p>
        </w:tc>
        <w:tc>
          <w:tcPr>
            <w:tcW w:w="1413" w:type="dxa"/>
          </w:tcPr>
          <w:p w14:paraId="4CD840B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426" w:type="dxa"/>
          </w:tcPr>
          <w:p w14:paraId="1F37AEAC"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863 174,00</w:t>
            </w:r>
          </w:p>
        </w:tc>
        <w:tc>
          <w:tcPr>
            <w:tcW w:w="1275" w:type="dxa"/>
          </w:tcPr>
          <w:p w14:paraId="3634B3C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863 174,00</w:t>
            </w:r>
          </w:p>
        </w:tc>
      </w:tr>
      <w:tr w:rsidR="00E8109A" w:rsidRPr="000D19A7" w14:paraId="45318B6B" w14:textId="77777777" w:rsidTr="000A5F8C">
        <w:tc>
          <w:tcPr>
            <w:tcW w:w="498" w:type="dxa"/>
          </w:tcPr>
          <w:p w14:paraId="59AC6B72" w14:textId="77777777" w:rsidR="00E8109A" w:rsidRPr="000D19A7" w:rsidRDefault="00E8109A" w:rsidP="00E8109A">
            <w:pPr>
              <w:spacing w:after="160" w:line="259" w:lineRule="auto"/>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 xml:space="preserve">4. </w:t>
            </w:r>
          </w:p>
        </w:tc>
        <w:tc>
          <w:tcPr>
            <w:tcW w:w="2905" w:type="dxa"/>
          </w:tcPr>
          <w:p w14:paraId="46A2D5BF" w14:textId="77777777" w:rsidR="00E8109A" w:rsidRPr="000D19A7" w:rsidRDefault="00E8109A" w:rsidP="00C10E13">
            <w:pPr>
              <w:spacing w:line="259" w:lineRule="auto"/>
              <w:rPr>
                <w:rFonts w:ascii="Times New Roman" w:eastAsiaTheme="minorHAnsi" w:hAnsi="Times New Roman" w:cs="Times New Roman"/>
                <w:color w:val="000000" w:themeColor="text1"/>
                <w:sz w:val="18"/>
                <w:szCs w:val="18"/>
                <w:lang w:val="ro-MD"/>
              </w:rPr>
            </w:pPr>
            <w:r w:rsidRPr="000D19A7">
              <w:rPr>
                <w:rFonts w:ascii="Times New Roman" w:eastAsiaTheme="minorHAnsi" w:hAnsi="Times New Roman" w:cs="Times New Roman"/>
                <w:color w:val="000000" w:themeColor="text1"/>
                <w:sz w:val="18"/>
                <w:szCs w:val="18"/>
                <w:lang w:val="ro-MD"/>
              </w:rPr>
              <w:t>SA „Santek”</w:t>
            </w:r>
          </w:p>
          <w:p w14:paraId="6FEED85A" w14:textId="77777777" w:rsidR="00E8109A" w:rsidRPr="000D19A7" w:rsidRDefault="00E8109A" w:rsidP="00C10E13">
            <w:pPr>
              <w:spacing w:line="259" w:lineRule="auto"/>
              <w:rPr>
                <w:rFonts w:ascii="Times New Roman" w:eastAsiaTheme="minorHAnsi" w:hAnsi="Times New Roman" w:cs="Times New Roman"/>
                <w:i/>
                <w:color w:val="000000" w:themeColor="text1"/>
                <w:sz w:val="18"/>
                <w:szCs w:val="18"/>
                <w:lang w:val="ro-MD"/>
              </w:rPr>
            </w:pPr>
            <w:r w:rsidRPr="000D19A7">
              <w:rPr>
                <w:rFonts w:ascii="Times New Roman" w:eastAsiaTheme="minorHAnsi" w:hAnsi="Times New Roman" w:cs="Times New Roman"/>
                <w:i/>
                <w:color w:val="000000" w:themeColor="text1"/>
                <w:sz w:val="18"/>
                <w:szCs w:val="18"/>
                <w:lang w:val="ro-MD"/>
              </w:rPr>
              <w:t>Nr.03/04-2/7-161 din 16.03.1998</w:t>
            </w:r>
          </w:p>
        </w:tc>
        <w:tc>
          <w:tcPr>
            <w:tcW w:w="1010" w:type="dxa"/>
          </w:tcPr>
          <w:p w14:paraId="38EED7FA"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euro</w:t>
            </w:r>
          </w:p>
        </w:tc>
        <w:tc>
          <w:tcPr>
            <w:tcW w:w="1414" w:type="dxa"/>
          </w:tcPr>
          <w:p w14:paraId="3DE05F39"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19 733 367,09</w:t>
            </w:r>
          </w:p>
        </w:tc>
        <w:tc>
          <w:tcPr>
            <w:tcW w:w="1413" w:type="dxa"/>
          </w:tcPr>
          <w:p w14:paraId="63B1D988"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-19 733 367,09</w:t>
            </w:r>
          </w:p>
        </w:tc>
        <w:tc>
          <w:tcPr>
            <w:tcW w:w="1426" w:type="dxa"/>
          </w:tcPr>
          <w:p w14:paraId="38F32FB7"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c>
          <w:tcPr>
            <w:tcW w:w="1275" w:type="dxa"/>
          </w:tcPr>
          <w:p w14:paraId="647A5C3D" w14:textId="77777777" w:rsidR="00E8109A" w:rsidRPr="000D19A7" w:rsidRDefault="00E8109A" w:rsidP="00E8109A">
            <w:pPr>
              <w:spacing w:after="160" w:line="259" w:lineRule="auto"/>
              <w:jc w:val="center"/>
              <w:rPr>
                <w:rFonts w:ascii="Times New Roman" w:eastAsiaTheme="minorHAnsi" w:hAnsi="Times New Roman" w:cs="Times New Roman"/>
                <w:sz w:val="18"/>
                <w:szCs w:val="18"/>
                <w:lang w:val="ro-MD"/>
              </w:rPr>
            </w:pPr>
            <w:r w:rsidRPr="000D19A7">
              <w:rPr>
                <w:rFonts w:ascii="Times New Roman" w:eastAsiaTheme="minorHAnsi" w:hAnsi="Times New Roman" w:cs="Times New Roman"/>
                <w:sz w:val="18"/>
                <w:szCs w:val="18"/>
                <w:lang w:val="ro-MD"/>
              </w:rPr>
              <w:t>-</w:t>
            </w:r>
          </w:p>
        </w:tc>
      </w:tr>
      <w:tr w:rsidR="00E8109A" w:rsidRPr="000D19A7" w14:paraId="0C03231D" w14:textId="77777777" w:rsidTr="000A5F8C">
        <w:tc>
          <w:tcPr>
            <w:tcW w:w="3403" w:type="dxa"/>
            <w:gridSpan w:val="2"/>
            <w:vMerge w:val="restart"/>
          </w:tcPr>
          <w:p w14:paraId="18BE59FF" w14:textId="77777777" w:rsidR="00E8109A" w:rsidRPr="000D19A7" w:rsidRDefault="00E8109A" w:rsidP="00E8109A">
            <w:pPr>
              <w:spacing w:after="160" w:line="259" w:lineRule="auto"/>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 xml:space="preserve">Total pentru împrumuturi externe garantate </w:t>
            </w:r>
          </w:p>
        </w:tc>
        <w:tc>
          <w:tcPr>
            <w:tcW w:w="1010" w:type="dxa"/>
          </w:tcPr>
          <w:p w14:paraId="598F421C"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dol. SUA</w:t>
            </w:r>
          </w:p>
        </w:tc>
        <w:tc>
          <w:tcPr>
            <w:tcW w:w="1414" w:type="dxa"/>
          </w:tcPr>
          <w:p w14:paraId="67E80808"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24 958 295,79</w:t>
            </w:r>
          </w:p>
        </w:tc>
        <w:tc>
          <w:tcPr>
            <w:tcW w:w="1413" w:type="dxa"/>
          </w:tcPr>
          <w:p w14:paraId="4B890F45"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-20 915 991,03</w:t>
            </w:r>
          </w:p>
        </w:tc>
        <w:tc>
          <w:tcPr>
            <w:tcW w:w="1426" w:type="dxa"/>
          </w:tcPr>
          <w:p w14:paraId="641BA746"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4 042 304,76</w:t>
            </w:r>
          </w:p>
        </w:tc>
        <w:tc>
          <w:tcPr>
            <w:tcW w:w="1275" w:type="dxa"/>
          </w:tcPr>
          <w:p w14:paraId="13ED2723"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4 042 304,76</w:t>
            </w:r>
          </w:p>
        </w:tc>
      </w:tr>
      <w:tr w:rsidR="00E8109A" w:rsidRPr="000D19A7" w14:paraId="678A0E59" w14:textId="77777777" w:rsidTr="000A5F8C">
        <w:tc>
          <w:tcPr>
            <w:tcW w:w="3403" w:type="dxa"/>
            <w:gridSpan w:val="2"/>
            <w:vMerge/>
          </w:tcPr>
          <w:p w14:paraId="6F66C841" w14:textId="77777777" w:rsidR="00E8109A" w:rsidRPr="000D19A7" w:rsidRDefault="00E8109A" w:rsidP="00E8109A">
            <w:pPr>
              <w:spacing w:after="160" w:line="259" w:lineRule="auto"/>
              <w:rPr>
                <w:rFonts w:ascii="Times New Roman" w:eastAsiaTheme="minorHAnsi" w:hAnsi="Times New Roman" w:cs="Times New Roman"/>
                <w:b/>
                <w:i/>
                <w:sz w:val="18"/>
                <w:szCs w:val="18"/>
                <w:lang w:val="ro-MD"/>
              </w:rPr>
            </w:pPr>
          </w:p>
        </w:tc>
        <w:tc>
          <w:tcPr>
            <w:tcW w:w="1010" w:type="dxa"/>
          </w:tcPr>
          <w:p w14:paraId="551D52B5"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lei</w:t>
            </w:r>
          </w:p>
        </w:tc>
        <w:tc>
          <w:tcPr>
            <w:tcW w:w="1414" w:type="dxa"/>
          </w:tcPr>
          <w:p w14:paraId="60FAD593"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478 148 534,89</w:t>
            </w:r>
          </w:p>
        </w:tc>
        <w:tc>
          <w:tcPr>
            <w:tcW w:w="1413" w:type="dxa"/>
          </w:tcPr>
          <w:p w14:paraId="11E050DB"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-407 787 369,78</w:t>
            </w:r>
          </w:p>
        </w:tc>
        <w:tc>
          <w:tcPr>
            <w:tcW w:w="1426" w:type="dxa"/>
          </w:tcPr>
          <w:p w14:paraId="658A9CFA"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70 361 165,11</w:t>
            </w:r>
          </w:p>
        </w:tc>
        <w:tc>
          <w:tcPr>
            <w:tcW w:w="1275" w:type="dxa"/>
          </w:tcPr>
          <w:p w14:paraId="11B4FE3C" w14:textId="77777777" w:rsidR="00E8109A" w:rsidRPr="000D19A7" w:rsidRDefault="00E8109A" w:rsidP="00E8109A">
            <w:pPr>
              <w:spacing w:after="160" w:line="259" w:lineRule="auto"/>
              <w:jc w:val="center"/>
              <w:rPr>
                <w:rFonts w:ascii="Times New Roman" w:eastAsiaTheme="minorHAnsi" w:hAnsi="Times New Roman" w:cs="Times New Roman"/>
                <w:b/>
                <w:i/>
                <w:sz w:val="18"/>
                <w:szCs w:val="18"/>
                <w:lang w:val="ro-MD"/>
              </w:rPr>
            </w:pPr>
            <w:r w:rsidRPr="000D19A7">
              <w:rPr>
                <w:rFonts w:ascii="Times New Roman" w:eastAsiaTheme="minorHAnsi" w:hAnsi="Times New Roman" w:cs="Times New Roman"/>
                <w:b/>
                <w:i/>
                <w:sz w:val="18"/>
                <w:szCs w:val="18"/>
                <w:lang w:val="ro-MD"/>
              </w:rPr>
              <w:t>70 361 165,11</w:t>
            </w:r>
          </w:p>
        </w:tc>
      </w:tr>
      <w:tr w:rsidR="00E8109A" w:rsidRPr="000D19A7" w14:paraId="136C1C8B" w14:textId="77777777" w:rsidTr="000A5F8C">
        <w:tc>
          <w:tcPr>
            <w:tcW w:w="3403" w:type="dxa"/>
            <w:gridSpan w:val="2"/>
            <w:shd w:val="clear" w:color="auto" w:fill="D5DCE4" w:themeFill="text2" w:themeFillTint="33"/>
          </w:tcPr>
          <w:p w14:paraId="36556245" w14:textId="77777777" w:rsidR="00E8109A" w:rsidRPr="000D19A7" w:rsidRDefault="00E8109A" w:rsidP="00E8109A">
            <w:pPr>
              <w:spacing w:after="160" w:line="259" w:lineRule="auto"/>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TOTAL</w:t>
            </w:r>
          </w:p>
        </w:tc>
        <w:tc>
          <w:tcPr>
            <w:tcW w:w="1010" w:type="dxa"/>
            <w:shd w:val="clear" w:color="auto" w:fill="D5DCE4" w:themeFill="text2" w:themeFillTint="33"/>
          </w:tcPr>
          <w:p w14:paraId="04A7C72A" w14:textId="77777777" w:rsidR="00E8109A" w:rsidRPr="000D19A7" w:rsidRDefault="00E8109A" w:rsidP="00E8109A">
            <w:pPr>
              <w:spacing w:after="160" w:line="259" w:lineRule="auto"/>
              <w:jc w:val="center"/>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lei</w:t>
            </w:r>
          </w:p>
        </w:tc>
        <w:tc>
          <w:tcPr>
            <w:tcW w:w="1414" w:type="dxa"/>
            <w:shd w:val="clear" w:color="auto" w:fill="D5DCE4" w:themeFill="text2" w:themeFillTint="33"/>
          </w:tcPr>
          <w:p w14:paraId="33903E6C" w14:textId="77777777" w:rsidR="00E8109A" w:rsidRPr="000D19A7" w:rsidRDefault="00E8109A" w:rsidP="00E8109A">
            <w:pPr>
              <w:spacing w:after="160" w:line="259" w:lineRule="auto"/>
              <w:jc w:val="center"/>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481 022 741,27</w:t>
            </w:r>
          </w:p>
        </w:tc>
        <w:tc>
          <w:tcPr>
            <w:tcW w:w="1413" w:type="dxa"/>
            <w:shd w:val="clear" w:color="auto" w:fill="D5DCE4" w:themeFill="text2" w:themeFillTint="33"/>
          </w:tcPr>
          <w:p w14:paraId="3FB7767F" w14:textId="77777777" w:rsidR="00E8109A" w:rsidRPr="000D19A7" w:rsidRDefault="00E8109A" w:rsidP="00E8109A">
            <w:pPr>
              <w:spacing w:after="160" w:line="259" w:lineRule="auto"/>
              <w:jc w:val="center"/>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-406 312 378,85</w:t>
            </w:r>
          </w:p>
        </w:tc>
        <w:tc>
          <w:tcPr>
            <w:tcW w:w="1426" w:type="dxa"/>
            <w:shd w:val="clear" w:color="auto" w:fill="D5DCE4" w:themeFill="text2" w:themeFillTint="33"/>
          </w:tcPr>
          <w:p w14:paraId="7C49C7FD" w14:textId="77777777" w:rsidR="00E8109A" w:rsidRPr="000D19A7" w:rsidRDefault="00E8109A" w:rsidP="00E8109A">
            <w:pPr>
              <w:spacing w:after="160" w:line="259" w:lineRule="auto"/>
              <w:jc w:val="center"/>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74 710 362,42</w:t>
            </w:r>
          </w:p>
        </w:tc>
        <w:tc>
          <w:tcPr>
            <w:tcW w:w="1275" w:type="dxa"/>
            <w:shd w:val="clear" w:color="auto" w:fill="D5DCE4" w:themeFill="text2" w:themeFillTint="33"/>
          </w:tcPr>
          <w:p w14:paraId="358A3DA8" w14:textId="77777777" w:rsidR="00E8109A" w:rsidRPr="000D19A7" w:rsidRDefault="00E8109A" w:rsidP="00E8109A">
            <w:pPr>
              <w:spacing w:after="160" w:line="259" w:lineRule="auto"/>
              <w:jc w:val="center"/>
              <w:rPr>
                <w:rFonts w:ascii="Times New Roman" w:eastAsiaTheme="minorHAnsi" w:hAnsi="Times New Roman" w:cs="Times New Roman"/>
                <w:b/>
                <w:sz w:val="18"/>
                <w:szCs w:val="18"/>
                <w:lang w:val="ro-MD"/>
              </w:rPr>
            </w:pPr>
            <w:r w:rsidRPr="000D19A7">
              <w:rPr>
                <w:rFonts w:ascii="Times New Roman" w:eastAsiaTheme="minorHAnsi" w:hAnsi="Times New Roman" w:cs="Times New Roman"/>
                <w:b/>
                <w:sz w:val="18"/>
                <w:szCs w:val="18"/>
                <w:lang w:val="ro-MD"/>
              </w:rPr>
              <w:t>74 710 362,42</w:t>
            </w:r>
          </w:p>
        </w:tc>
      </w:tr>
    </w:tbl>
    <w:p w14:paraId="358FB10D" w14:textId="77777777" w:rsidR="00E8109A" w:rsidRPr="000D19A7" w:rsidRDefault="00E8109A" w:rsidP="00E8109A">
      <w:pPr>
        <w:spacing w:after="240" w:line="240" w:lineRule="auto"/>
        <w:rPr>
          <w:rFonts w:ascii="Times New Roman" w:eastAsia="Calibri" w:hAnsi="Times New Roman" w:cs="Times New Roman"/>
          <w:i/>
          <w:sz w:val="16"/>
          <w:szCs w:val="16"/>
          <w:lang w:val="ro-MD"/>
        </w:rPr>
      </w:pPr>
      <w:r w:rsidRPr="000D19A7">
        <w:rPr>
          <w:rFonts w:ascii="Times New Roman" w:eastAsia="Calibri" w:hAnsi="Times New Roman" w:cs="Times New Roman"/>
          <w:b/>
          <w:i/>
          <w:sz w:val="16"/>
          <w:szCs w:val="16"/>
          <w:lang w:val="ro-MD"/>
        </w:rPr>
        <w:t>Sursa:</w:t>
      </w:r>
      <w:r w:rsidRPr="000D19A7">
        <w:rPr>
          <w:rFonts w:ascii="Times New Roman" w:eastAsia="Calibri" w:hAnsi="Times New Roman" w:cs="Times New Roman"/>
          <w:i/>
          <w:sz w:val="16"/>
          <w:szCs w:val="16"/>
          <w:lang w:val="ro-MD"/>
        </w:rPr>
        <w:t xml:space="preserve"> Raportul privind datoriile debitorilor garantați față de MF pe anul 2023.</w:t>
      </w:r>
    </w:p>
    <w:p w14:paraId="003A3D2D" w14:textId="622E77F5" w:rsidR="00E8109A" w:rsidRPr="000D19A7" w:rsidRDefault="00E8109A" w:rsidP="00E8109A">
      <w:pPr>
        <w:spacing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 xml:space="preserve">Deși MF informează </w:t>
      </w:r>
      <w:r w:rsidR="0064578E" w:rsidRPr="000D19A7">
        <w:rPr>
          <w:rFonts w:ascii="Times New Roman" w:hAnsi="Times New Roman" w:cs="Times New Roman"/>
          <w:szCs w:val="24"/>
          <w:lang w:val="ro-MD"/>
        </w:rPr>
        <w:t xml:space="preserve">trimestrial </w:t>
      </w:r>
      <w:r w:rsidRPr="000D19A7">
        <w:rPr>
          <w:rFonts w:ascii="Times New Roman" w:hAnsi="Times New Roman" w:cs="Times New Roman"/>
          <w:szCs w:val="24"/>
          <w:lang w:val="ro-MD"/>
        </w:rPr>
        <w:t xml:space="preserve">SFS despre datoria acumulată a debitorilor garantați, pentru  întreprinderea măsurilor de recuperare </w:t>
      </w:r>
      <w:r w:rsidR="0036398F" w:rsidRPr="000D19A7">
        <w:rPr>
          <w:rFonts w:ascii="Times New Roman" w:hAnsi="Times New Roman" w:cs="Times New Roman"/>
          <w:szCs w:val="24"/>
          <w:lang w:val="ro-MD"/>
        </w:rPr>
        <w:t xml:space="preserve">a acestora </w:t>
      </w:r>
      <w:r w:rsidRPr="000D19A7">
        <w:rPr>
          <w:rFonts w:ascii="Times New Roman" w:hAnsi="Times New Roman" w:cs="Times New Roman"/>
          <w:szCs w:val="24"/>
          <w:lang w:val="ro-MD"/>
        </w:rPr>
        <w:t>în conformitate cu cadrul normativ, în anul 2023 nu au fost recuperate mijloace financiare în bugetul de stat, astfel aceste datorii rămân</w:t>
      </w:r>
      <w:r w:rsidR="0064578E" w:rsidRPr="000D19A7">
        <w:rPr>
          <w:rFonts w:ascii="Times New Roman" w:hAnsi="Times New Roman" w:cs="Times New Roman"/>
          <w:szCs w:val="24"/>
          <w:lang w:val="ro-MD"/>
        </w:rPr>
        <w:t>ând</w:t>
      </w:r>
      <w:r w:rsidR="0036398F" w:rsidRPr="000D19A7">
        <w:rPr>
          <w:rFonts w:ascii="Times New Roman" w:hAnsi="Times New Roman" w:cs="Times New Roman"/>
          <w:szCs w:val="24"/>
          <w:lang w:val="ro-MD"/>
        </w:rPr>
        <w:t xml:space="preserve"> în continuare </w:t>
      </w:r>
      <w:r w:rsidRPr="000D19A7">
        <w:rPr>
          <w:rFonts w:ascii="Times New Roman" w:hAnsi="Times New Roman" w:cs="Times New Roman"/>
          <w:szCs w:val="24"/>
          <w:lang w:val="ro-MD"/>
        </w:rPr>
        <w:t>nerecuperabile.</w:t>
      </w:r>
    </w:p>
    <w:p w14:paraId="44109AAD" w14:textId="0C04B47D" w:rsidR="006A6D1D" w:rsidRPr="000D19A7" w:rsidRDefault="00D913FA" w:rsidP="00D913FA">
      <w:pPr>
        <w:spacing w:line="276" w:lineRule="auto"/>
        <w:jc w:val="both"/>
        <w:rPr>
          <w:rFonts w:ascii="Times New Roman" w:eastAsia="Calibri" w:hAnsi="Times New Roman" w:cs="Times New Roman"/>
          <w:szCs w:val="24"/>
          <w:lang w:val="ro-MD"/>
        </w:rPr>
      </w:pPr>
      <w:r w:rsidRPr="000D19A7">
        <w:rPr>
          <w:rFonts w:ascii="Times New Roman" w:eastAsia="Calibri" w:hAnsi="Times New Roman" w:cs="Times New Roman"/>
          <w:szCs w:val="24"/>
          <w:lang w:val="ro-MD"/>
        </w:rPr>
        <w:t>În comparație cu fi</w:t>
      </w:r>
      <w:r w:rsidR="0036398F" w:rsidRPr="000D19A7">
        <w:rPr>
          <w:rFonts w:ascii="Times New Roman" w:eastAsia="Calibri" w:hAnsi="Times New Roman" w:cs="Times New Roman"/>
          <w:szCs w:val="24"/>
          <w:lang w:val="ro-MD"/>
        </w:rPr>
        <w:t>nele anului 2022, datoria debito</w:t>
      </w:r>
      <w:r w:rsidRPr="000D19A7">
        <w:rPr>
          <w:rFonts w:ascii="Times New Roman" w:eastAsia="Calibri" w:hAnsi="Times New Roman" w:cs="Times New Roman"/>
          <w:szCs w:val="24"/>
          <w:lang w:val="ro-MD"/>
        </w:rPr>
        <w:t xml:space="preserve">rilor garantați la finele anului 2023 a scăzut cu 406,31 mil.lei. </w:t>
      </w:r>
      <w:r w:rsidR="006A6D1D" w:rsidRPr="000D19A7">
        <w:rPr>
          <w:rFonts w:ascii="Times New Roman" w:hAnsi="Times New Roman" w:cs="Times New Roman"/>
          <w:color w:val="000000"/>
          <w:szCs w:val="24"/>
          <w:lang w:val="ro-MD"/>
        </w:rPr>
        <w:t>Astfel, potrivit datelor raportate și informației prezentate de MF, în anul 2023, urmare deciziilor organelor de resort</w:t>
      </w:r>
      <w:r w:rsidR="006A6D1D" w:rsidRPr="000D19A7">
        <w:rPr>
          <w:rStyle w:val="a6"/>
          <w:rFonts w:ascii="Times New Roman" w:hAnsi="Times New Roman" w:cs="Times New Roman"/>
          <w:color w:val="000000"/>
          <w:szCs w:val="24"/>
          <w:lang w:val="ro-MD"/>
        </w:rPr>
        <w:footnoteReference w:id="24"/>
      </w:r>
      <w:r w:rsidR="006A6D1D" w:rsidRPr="000D19A7">
        <w:rPr>
          <w:rFonts w:ascii="Times New Roman" w:hAnsi="Times New Roman" w:cs="Times New Roman"/>
          <w:color w:val="000000"/>
          <w:szCs w:val="24"/>
          <w:lang w:val="ro-MD"/>
        </w:rPr>
        <w:t xml:space="preserve">, din Registrul persoanelor juridice </w:t>
      </w:r>
      <w:r w:rsidR="00F86989" w:rsidRPr="000D19A7">
        <w:rPr>
          <w:rFonts w:ascii="Times New Roman" w:hAnsi="Times New Roman" w:cs="Times New Roman"/>
          <w:color w:val="000000"/>
          <w:szCs w:val="24"/>
          <w:lang w:val="ro-MD"/>
        </w:rPr>
        <w:t>a fost radiat un agent economic</w:t>
      </w:r>
      <w:r w:rsidR="00F86989" w:rsidRPr="000D19A7">
        <w:rPr>
          <w:rStyle w:val="a6"/>
          <w:rFonts w:ascii="Times New Roman" w:hAnsi="Times New Roman" w:cs="Times New Roman"/>
          <w:color w:val="000000"/>
          <w:szCs w:val="24"/>
          <w:lang w:val="ro-MD"/>
        </w:rPr>
        <w:footnoteReference w:id="25"/>
      </w:r>
      <w:r w:rsidR="00F86989" w:rsidRPr="000D19A7">
        <w:rPr>
          <w:rFonts w:ascii="Times New Roman" w:hAnsi="Times New Roman" w:cs="Times New Roman"/>
          <w:color w:val="000000"/>
          <w:szCs w:val="24"/>
          <w:lang w:val="ro-MD"/>
        </w:rPr>
        <w:t xml:space="preserve"> </w:t>
      </w:r>
      <w:r w:rsidR="006A6D1D" w:rsidRPr="000D19A7">
        <w:rPr>
          <w:rFonts w:ascii="Times New Roman" w:hAnsi="Times New Roman" w:cs="Times New Roman"/>
          <w:color w:val="000000"/>
          <w:szCs w:val="24"/>
          <w:lang w:val="ro-MD"/>
        </w:rPr>
        <w:t>și</w:t>
      </w:r>
      <w:r w:rsidR="0064578E" w:rsidRPr="000D19A7">
        <w:rPr>
          <w:rFonts w:ascii="Times New Roman" w:hAnsi="Times New Roman" w:cs="Times New Roman"/>
          <w:color w:val="000000"/>
          <w:szCs w:val="24"/>
          <w:lang w:val="ro-MD"/>
        </w:rPr>
        <w:t>,</w:t>
      </w:r>
      <w:r w:rsidR="006A6D1D" w:rsidRPr="000D19A7">
        <w:rPr>
          <w:rFonts w:ascii="Times New Roman" w:hAnsi="Times New Roman" w:cs="Times New Roman"/>
          <w:color w:val="000000"/>
          <w:szCs w:val="24"/>
          <w:lang w:val="ro-MD"/>
        </w:rPr>
        <w:t xml:space="preserve"> ulterior</w:t>
      </w:r>
      <w:r w:rsidR="0064578E" w:rsidRPr="000D19A7">
        <w:rPr>
          <w:rFonts w:ascii="Times New Roman" w:hAnsi="Times New Roman" w:cs="Times New Roman"/>
          <w:color w:val="000000"/>
          <w:szCs w:val="24"/>
          <w:lang w:val="ro-MD"/>
        </w:rPr>
        <w:t>,</w:t>
      </w:r>
      <w:r w:rsidR="006A6D1D" w:rsidRPr="000D19A7">
        <w:rPr>
          <w:rFonts w:ascii="Times New Roman" w:hAnsi="Times New Roman" w:cs="Times New Roman"/>
          <w:color w:val="000000"/>
          <w:szCs w:val="24"/>
          <w:lang w:val="ro-MD"/>
        </w:rPr>
        <w:t xml:space="preserve"> </w:t>
      </w:r>
      <w:r w:rsidR="0064578E" w:rsidRPr="000D19A7">
        <w:rPr>
          <w:rFonts w:ascii="Times New Roman" w:hAnsi="Times New Roman" w:cs="Times New Roman"/>
          <w:color w:val="000000"/>
          <w:szCs w:val="24"/>
          <w:lang w:val="ro-MD"/>
        </w:rPr>
        <w:t>a</w:t>
      </w:r>
      <w:r w:rsidR="00AF0207" w:rsidRPr="000D19A7">
        <w:rPr>
          <w:rFonts w:ascii="Times New Roman" w:hAnsi="Times New Roman" w:cs="Times New Roman"/>
          <w:color w:val="000000"/>
          <w:szCs w:val="24"/>
          <w:lang w:val="ro-MD"/>
        </w:rPr>
        <w:t>nulată</w:t>
      </w:r>
      <w:r w:rsidR="006A6D1D" w:rsidRPr="000D19A7">
        <w:rPr>
          <w:rFonts w:ascii="Times New Roman" w:hAnsi="Times New Roman" w:cs="Times New Roman"/>
          <w:color w:val="000000"/>
          <w:szCs w:val="24"/>
          <w:lang w:val="ro-MD"/>
        </w:rPr>
        <w:t xml:space="preserve"> datoria </w:t>
      </w:r>
      <w:r w:rsidR="00F86989" w:rsidRPr="000D19A7">
        <w:rPr>
          <w:rFonts w:ascii="Times New Roman" w:hAnsi="Times New Roman" w:cs="Times New Roman"/>
          <w:color w:val="000000"/>
          <w:szCs w:val="24"/>
          <w:lang w:val="ro-MD"/>
        </w:rPr>
        <w:t>acestuia</w:t>
      </w:r>
      <w:r w:rsidR="006A6D1D" w:rsidRPr="000D19A7">
        <w:rPr>
          <w:rFonts w:ascii="Times New Roman" w:hAnsi="Times New Roman" w:cs="Times New Roman"/>
          <w:color w:val="000000"/>
          <w:szCs w:val="24"/>
          <w:lang w:val="ro-MD"/>
        </w:rPr>
        <w:t xml:space="preserve"> în sumă totală de </w:t>
      </w:r>
      <w:r w:rsidR="00B974AD" w:rsidRPr="000D19A7">
        <w:rPr>
          <w:rFonts w:ascii="Times New Roman" w:hAnsi="Times New Roman" w:cs="Times New Roman"/>
          <w:color w:val="000000"/>
          <w:szCs w:val="24"/>
          <w:lang w:val="ro-MD"/>
        </w:rPr>
        <w:t>407,78</w:t>
      </w:r>
      <w:r w:rsidR="00190D68" w:rsidRPr="000D19A7">
        <w:rPr>
          <w:rFonts w:ascii="Times New Roman" w:hAnsi="Times New Roman" w:cs="Times New Roman"/>
          <w:color w:val="000000"/>
          <w:szCs w:val="24"/>
          <w:lang w:val="ro-MD"/>
        </w:rPr>
        <w:t xml:space="preserve"> mil. lei, </w:t>
      </w:r>
      <w:r w:rsidR="0064578E" w:rsidRPr="000D19A7">
        <w:rPr>
          <w:rFonts w:ascii="Times New Roman" w:hAnsi="Times New Roman" w:cs="Times New Roman"/>
          <w:color w:val="000000"/>
          <w:szCs w:val="24"/>
          <w:lang w:val="ro-MD"/>
        </w:rPr>
        <w:t>care, constituie pierderi la bu</w:t>
      </w:r>
      <w:r w:rsidR="00190D68" w:rsidRPr="000D19A7">
        <w:rPr>
          <w:rFonts w:ascii="Times New Roman" w:hAnsi="Times New Roman" w:cs="Times New Roman"/>
          <w:color w:val="000000"/>
          <w:szCs w:val="24"/>
          <w:lang w:val="ro-MD"/>
        </w:rPr>
        <w:t xml:space="preserve">getul de stat. </w:t>
      </w:r>
      <w:r w:rsidR="006A6D1D" w:rsidRPr="000D19A7">
        <w:rPr>
          <w:rFonts w:ascii="Times New Roman" w:hAnsi="Times New Roman" w:cs="Times New Roman"/>
          <w:color w:val="000000"/>
          <w:szCs w:val="24"/>
          <w:lang w:val="ro-MD"/>
        </w:rPr>
        <w:t xml:space="preserve">Totodată, în anul 2023, în bugetul de stat a </w:t>
      </w:r>
      <w:r w:rsidR="007604AF" w:rsidRPr="000D19A7">
        <w:rPr>
          <w:rFonts w:ascii="Times New Roman" w:hAnsi="Times New Roman" w:cs="Times New Roman"/>
          <w:color w:val="000000"/>
          <w:szCs w:val="24"/>
          <w:lang w:val="ro-MD"/>
        </w:rPr>
        <w:t>fost restituită datoria aferentă,</w:t>
      </w:r>
      <w:r w:rsidR="006A6D1D" w:rsidRPr="000D19A7">
        <w:rPr>
          <w:rFonts w:ascii="Times New Roman" w:hAnsi="Times New Roman" w:cs="Times New Roman"/>
          <w:color w:val="000000"/>
          <w:szCs w:val="24"/>
          <w:lang w:val="ro-MD"/>
        </w:rPr>
        <w:t xml:space="preserve"> </w:t>
      </w:r>
      <w:r w:rsidR="007604AF" w:rsidRPr="000D19A7">
        <w:rPr>
          <w:rFonts w:ascii="Times New Roman" w:hAnsi="Times New Roman" w:cs="Times New Roman"/>
          <w:color w:val="000000"/>
          <w:szCs w:val="24"/>
          <w:lang w:val="ro-MD"/>
        </w:rPr>
        <w:t>de către</w:t>
      </w:r>
      <w:r w:rsidR="006A6D1D" w:rsidRPr="000D19A7">
        <w:rPr>
          <w:rFonts w:ascii="Times New Roman" w:hAnsi="Times New Roman" w:cs="Times New Roman"/>
          <w:color w:val="000000"/>
          <w:szCs w:val="24"/>
          <w:lang w:val="ro-MD"/>
        </w:rPr>
        <w:t xml:space="preserve"> doi beneficiari garantați din </w:t>
      </w:r>
      <w:r w:rsidR="007604AF" w:rsidRPr="000D19A7">
        <w:rPr>
          <w:rFonts w:ascii="Times New Roman" w:hAnsi="Times New Roman" w:cs="Times New Roman"/>
          <w:color w:val="000000"/>
          <w:szCs w:val="24"/>
          <w:lang w:val="ro-MD"/>
        </w:rPr>
        <w:t xml:space="preserve">cadrul Programului </w:t>
      </w:r>
      <w:r w:rsidR="0064578E" w:rsidRPr="000D19A7">
        <w:rPr>
          <w:rFonts w:ascii="Times New Roman" w:hAnsi="Times New Roman" w:cs="Times New Roman"/>
          <w:color w:val="000000"/>
          <w:szCs w:val="24"/>
          <w:lang w:val="ro-MD"/>
        </w:rPr>
        <w:t xml:space="preserve">de stat </w:t>
      </w:r>
      <w:r w:rsidR="007604AF" w:rsidRPr="000D19A7">
        <w:rPr>
          <w:rFonts w:ascii="Times New Roman" w:hAnsi="Times New Roman" w:cs="Times New Roman"/>
          <w:color w:val="000000"/>
          <w:szCs w:val="24"/>
          <w:lang w:val="ro-MD"/>
        </w:rPr>
        <w:t xml:space="preserve">„Prima casă”, inclusiv </w:t>
      </w:r>
      <w:r w:rsidRPr="000D19A7">
        <w:rPr>
          <w:rFonts w:ascii="Times New Roman" w:hAnsi="Times New Roman" w:cs="Times New Roman"/>
          <w:color w:val="000000"/>
          <w:szCs w:val="24"/>
          <w:lang w:val="ro-MD"/>
        </w:rPr>
        <w:t>0,15</w:t>
      </w:r>
      <w:r w:rsidR="00F045DE" w:rsidRPr="000D19A7">
        <w:rPr>
          <w:rFonts w:ascii="Times New Roman" w:hAnsi="Times New Roman" w:cs="Times New Roman"/>
          <w:color w:val="000000"/>
          <w:szCs w:val="24"/>
          <w:lang w:val="ro-MD"/>
        </w:rPr>
        <w:t xml:space="preserve"> mil. lei</w:t>
      </w:r>
      <w:r w:rsidR="00B974AD" w:rsidRPr="000D19A7">
        <w:rPr>
          <w:rStyle w:val="a6"/>
          <w:rFonts w:ascii="Times New Roman" w:hAnsi="Times New Roman" w:cs="Times New Roman"/>
          <w:color w:val="000000"/>
          <w:szCs w:val="24"/>
          <w:lang w:val="ro-MD"/>
        </w:rPr>
        <w:footnoteReference w:id="26"/>
      </w:r>
      <w:r w:rsidR="007604AF" w:rsidRPr="000D19A7">
        <w:rPr>
          <w:rFonts w:ascii="Times New Roman" w:hAnsi="Times New Roman" w:cs="Times New Roman"/>
          <w:color w:val="000000"/>
          <w:szCs w:val="24"/>
          <w:lang w:val="ro-MD"/>
        </w:rPr>
        <w:t xml:space="preserve">  pentru garanția executată în anul</w:t>
      </w:r>
      <w:r w:rsidR="0064578E" w:rsidRPr="000D19A7">
        <w:rPr>
          <w:rFonts w:ascii="Times New Roman" w:hAnsi="Times New Roman" w:cs="Times New Roman"/>
          <w:color w:val="000000"/>
          <w:szCs w:val="24"/>
          <w:lang w:val="ro-MD"/>
        </w:rPr>
        <w:t xml:space="preserve"> 2022</w:t>
      </w:r>
      <w:r w:rsidR="007604AF" w:rsidRPr="000D19A7">
        <w:rPr>
          <w:rFonts w:ascii="Times New Roman" w:hAnsi="Times New Roman" w:cs="Times New Roman"/>
          <w:color w:val="000000"/>
          <w:szCs w:val="24"/>
          <w:lang w:val="ro-MD"/>
        </w:rPr>
        <w:t xml:space="preserve"> și 0,3 mil. lei pentru garanța executată în anul 2023</w:t>
      </w:r>
      <w:r w:rsidR="007604AF" w:rsidRPr="000D19A7">
        <w:rPr>
          <w:rStyle w:val="a6"/>
          <w:rFonts w:ascii="Times New Roman" w:hAnsi="Times New Roman" w:cs="Times New Roman"/>
          <w:color w:val="000000"/>
          <w:szCs w:val="24"/>
          <w:lang w:val="ro-MD"/>
        </w:rPr>
        <w:footnoteReference w:id="27"/>
      </w:r>
      <w:r w:rsidR="00F045DE" w:rsidRPr="000D19A7">
        <w:rPr>
          <w:rFonts w:ascii="Times New Roman" w:hAnsi="Times New Roman" w:cs="Times New Roman"/>
          <w:color w:val="000000"/>
          <w:szCs w:val="24"/>
          <w:lang w:val="ro-MD"/>
        </w:rPr>
        <w:t xml:space="preserve">. </w:t>
      </w:r>
    </w:p>
    <w:p w14:paraId="4EAC4A7F" w14:textId="3161E51F" w:rsidR="00A55664" w:rsidRPr="000D19A7" w:rsidRDefault="0064578E" w:rsidP="00A71984">
      <w:pPr>
        <w:tabs>
          <w:tab w:val="left" w:pos="284"/>
          <w:tab w:val="left" w:pos="851"/>
        </w:tabs>
        <w:autoSpaceDE w:val="0"/>
        <w:autoSpaceDN w:val="0"/>
        <w:adjustRightInd w:val="0"/>
        <w:spacing w:line="276" w:lineRule="auto"/>
        <w:jc w:val="both"/>
        <w:rPr>
          <w:rFonts w:ascii="Times New Roman" w:hAnsi="Times New Roman" w:cs="Times New Roman"/>
          <w:color w:val="000000"/>
          <w:szCs w:val="24"/>
          <w:lang w:val="ro-MD"/>
        </w:rPr>
      </w:pPr>
      <w:r w:rsidRPr="000D19A7">
        <w:rPr>
          <w:rFonts w:ascii="Times New Roman" w:hAnsi="Times New Roman" w:cs="Times New Roman"/>
          <w:color w:val="000000"/>
          <w:szCs w:val="24"/>
          <w:lang w:val="ro-MD"/>
        </w:rPr>
        <w:t>Menționăm</w:t>
      </w:r>
      <w:r w:rsidR="00D913FA" w:rsidRPr="000D19A7">
        <w:rPr>
          <w:rFonts w:ascii="Times New Roman" w:hAnsi="Times New Roman" w:cs="Times New Roman"/>
          <w:color w:val="000000"/>
          <w:szCs w:val="24"/>
          <w:lang w:val="ro-MD"/>
        </w:rPr>
        <w:t xml:space="preserve"> că</w:t>
      </w:r>
      <w:r w:rsidRPr="000D19A7">
        <w:rPr>
          <w:rFonts w:ascii="Times New Roman" w:hAnsi="Times New Roman" w:cs="Times New Roman"/>
          <w:color w:val="000000"/>
          <w:szCs w:val="24"/>
          <w:lang w:val="ro-MD"/>
        </w:rPr>
        <w:t>,</w:t>
      </w:r>
      <w:r w:rsidR="00D913FA" w:rsidRPr="000D19A7">
        <w:rPr>
          <w:rFonts w:ascii="Times New Roman" w:hAnsi="Times New Roman" w:cs="Times New Roman"/>
          <w:color w:val="000000"/>
          <w:szCs w:val="24"/>
          <w:lang w:val="ro-MD"/>
        </w:rPr>
        <w:t xml:space="preserve"> potrivit prevederilor cadrului normativ aferent</w:t>
      </w:r>
      <w:r w:rsidR="00D913FA" w:rsidRPr="000D19A7">
        <w:rPr>
          <w:rFonts w:ascii="Times New Roman" w:hAnsi="Times New Roman" w:cs="Times New Roman"/>
          <w:color w:val="000000"/>
          <w:szCs w:val="24"/>
          <w:vertAlign w:val="superscript"/>
          <w:lang w:val="ro-MD"/>
        </w:rPr>
        <w:footnoteReference w:id="28"/>
      </w:r>
      <w:r w:rsidR="00D913FA" w:rsidRPr="000D19A7">
        <w:rPr>
          <w:rFonts w:ascii="Times New Roman" w:hAnsi="Times New Roman" w:cs="Times New Roman"/>
          <w:color w:val="000000"/>
          <w:szCs w:val="24"/>
          <w:lang w:val="ro-MD"/>
        </w:rPr>
        <w:t>, radierea/casarea datoriilor debitorilor garantați din Raportul privind datoriile debitorilor garantați față de MF se efectuează în baza ordinului ministrului finanțelor, întocmit în temeiul hotărârilor judecătorești respective și/sau al deciziei ASP privind radierea persoanei juridice din Registrul de stat al persoanelor juridice.</w:t>
      </w:r>
      <w:r w:rsidR="00FF19BC" w:rsidRPr="000D19A7">
        <w:rPr>
          <w:rFonts w:ascii="Times New Roman" w:hAnsi="Times New Roman" w:cs="Times New Roman"/>
          <w:color w:val="000000"/>
          <w:szCs w:val="24"/>
          <w:lang w:val="ro-MD"/>
        </w:rPr>
        <w:t xml:space="preserve"> Verificările de audit în acest sens nu au </w:t>
      </w:r>
      <w:r w:rsidRPr="000D19A7">
        <w:rPr>
          <w:rFonts w:ascii="Times New Roman" w:hAnsi="Times New Roman" w:cs="Times New Roman"/>
          <w:color w:val="000000"/>
          <w:szCs w:val="24"/>
          <w:lang w:val="ro-MD"/>
        </w:rPr>
        <w:t>relevat</w:t>
      </w:r>
      <w:r w:rsidR="00FF19BC" w:rsidRPr="000D19A7">
        <w:rPr>
          <w:rFonts w:ascii="Times New Roman" w:hAnsi="Times New Roman" w:cs="Times New Roman"/>
          <w:color w:val="000000"/>
          <w:szCs w:val="24"/>
          <w:lang w:val="ro-MD"/>
        </w:rPr>
        <w:t xml:space="preserve"> careva neconformități, MF asigurând stingerea și radierea datoriei respective în conformitate cu cadrul normativ aplicabil în vigoare. </w:t>
      </w:r>
    </w:p>
    <w:p w14:paraId="2413134C" w14:textId="14F3BD62" w:rsidR="00946032" w:rsidRPr="00A71984" w:rsidRDefault="0064578E" w:rsidP="00A71984">
      <w:pPr>
        <w:tabs>
          <w:tab w:val="left" w:pos="284"/>
          <w:tab w:val="left" w:pos="851"/>
        </w:tabs>
        <w:autoSpaceDE w:val="0"/>
        <w:autoSpaceDN w:val="0"/>
        <w:adjustRightInd w:val="0"/>
        <w:spacing w:line="276" w:lineRule="auto"/>
        <w:jc w:val="both"/>
        <w:rPr>
          <w:rFonts w:ascii="Times New Roman" w:hAnsi="Times New Roman" w:cs="Times New Roman"/>
          <w:color w:val="000000"/>
          <w:szCs w:val="24"/>
          <w:lang w:val="ro-MD"/>
        </w:rPr>
      </w:pPr>
      <w:r w:rsidRPr="000D19A7">
        <w:rPr>
          <w:rFonts w:ascii="Times New Roman" w:hAnsi="Times New Roman" w:cs="Times New Roman"/>
          <w:color w:val="000000"/>
          <w:szCs w:val="24"/>
          <w:lang w:val="ro-MD"/>
        </w:rPr>
        <w:t>D</w:t>
      </w:r>
      <w:r w:rsidR="00A55664" w:rsidRPr="000D19A7">
        <w:rPr>
          <w:rFonts w:ascii="Times New Roman" w:hAnsi="Times New Roman" w:cs="Times New Roman"/>
          <w:color w:val="000000"/>
          <w:szCs w:val="24"/>
          <w:lang w:val="ro-MD"/>
        </w:rPr>
        <w:t xml:space="preserve">eși auditul precedent a </w:t>
      </w:r>
      <w:r w:rsidRPr="000D19A7">
        <w:rPr>
          <w:rFonts w:ascii="Times New Roman" w:hAnsi="Times New Roman" w:cs="Times New Roman"/>
          <w:color w:val="000000"/>
          <w:szCs w:val="24"/>
          <w:lang w:val="ro-MD"/>
        </w:rPr>
        <w:t>înaintat</w:t>
      </w:r>
      <w:r w:rsidR="00A55664" w:rsidRPr="000D19A7">
        <w:rPr>
          <w:rFonts w:ascii="Times New Roman" w:hAnsi="Times New Roman" w:cs="Times New Roman"/>
          <w:color w:val="000000"/>
          <w:szCs w:val="24"/>
          <w:lang w:val="ro-MD"/>
        </w:rPr>
        <w:t xml:space="preserve"> recomandare</w:t>
      </w:r>
      <w:r w:rsidRPr="000D19A7">
        <w:rPr>
          <w:rFonts w:ascii="Times New Roman" w:hAnsi="Times New Roman" w:cs="Times New Roman"/>
          <w:color w:val="000000"/>
          <w:szCs w:val="24"/>
          <w:lang w:val="ro-MD"/>
        </w:rPr>
        <w:t>a</w:t>
      </w:r>
      <w:r w:rsidR="00A55664" w:rsidRPr="000D19A7">
        <w:rPr>
          <w:rFonts w:ascii="Times New Roman" w:hAnsi="Times New Roman" w:cs="Times New Roman"/>
          <w:color w:val="000000"/>
          <w:szCs w:val="24"/>
          <w:lang w:val="ro-MD"/>
        </w:rPr>
        <w:t xml:space="preserve"> </w:t>
      </w:r>
      <w:r w:rsidR="00B672D5" w:rsidRPr="000D19A7">
        <w:rPr>
          <w:rFonts w:ascii="Times New Roman" w:hAnsi="Times New Roman" w:cs="Times New Roman"/>
          <w:color w:val="000000"/>
          <w:szCs w:val="24"/>
          <w:lang w:val="ro-MD"/>
        </w:rPr>
        <w:t>privind</w:t>
      </w:r>
      <w:r w:rsidR="00A55664" w:rsidRPr="000D19A7">
        <w:rPr>
          <w:rFonts w:ascii="Times New Roman" w:hAnsi="Times New Roman" w:cs="Times New Roman"/>
          <w:color w:val="000000"/>
          <w:szCs w:val="24"/>
          <w:lang w:val="ro-MD"/>
        </w:rPr>
        <w:t xml:space="preserve"> intensific</w:t>
      </w:r>
      <w:r w:rsidRPr="000D19A7">
        <w:rPr>
          <w:rFonts w:ascii="Times New Roman" w:hAnsi="Times New Roman" w:cs="Times New Roman"/>
          <w:color w:val="000000"/>
          <w:szCs w:val="24"/>
          <w:lang w:val="ro-MD"/>
        </w:rPr>
        <w:t>area</w:t>
      </w:r>
      <w:r w:rsidR="00A55664" w:rsidRPr="000D19A7">
        <w:rPr>
          <w:rFonts w:ascii="Times New Roman" w:hAnsi="Times New Roman" w:cs="Times New Roman"/>
          <w:color w:val="000000"/>
          <w:szCs w:val="24"/>
          <w:lang w:val="ro-MD"/>
        </w:rPr>
        <w:t xml:space="preserve"> măsurilor r</w:t>
      </w:r>
      <w:r w:rsidRPr="000D19A7">
        <w:rPr>
          <w:rFonts w:ascii="Times New Roman" w:hAnsi="Times New Roman" w:cs="Times New Roman"/>
          <w:color w:val="000000"/>
          <w:szCs w:val="24"/>
          <w:lang w:val="ro-MD"/>
        </w:rPr>
        <w:t>e</w:t>
      </w:r>
      <w:r w:rsidR="00A55664" w:rsidRPr="000D19A7">
        <w:rPr>
          <w:rFonts w:ascii="Times New Roman" w:hAnsi="Times New Roman" w:cs="Times New Roman"/>
          <w:color w:val="000000"/>
          <w:szCs w:val="24"/>
          <w:lang w:val="ro-MD"/>
        </w:rPr>
        <w:t>zultative de responsabili</w:t>
      </w:r>
      <w:r w:rsidR="00B672D5" w:rsidRPr="000D19A7">
        <w:rPr>
          <w:rFonts w:ascii="Times New Roman" w:hAnsi="Times New Roman" w:cs="Times New Roman"/>
          <w:color w:val="000000"/>
          <w:szCs w:val="24"/>
          <w:lang w:val="ro-MD"/>
        </w:rPr>
        <w:t>zare a beneficiarilor garantați,</w:t>
      </w:r>
      <w:r w:rsidR="00A55664" w:rsidRPr="000D19A7">
        <w:rPr>
          <w:rFonts w:ascii="Times New Roman" w:hAnsi="Times New Roman" w:cs="Times New Roman"/>
          <w:color w:val="000000"/>
          <w:szCs w:val="24"/>
          <w:lang w:val="ro-MD"/>
        </w:rPr>
        <w:t xml:space="preserve"> în vederea recuperării la bugetul de stat a datoriilor, în special a datoriilor cu termenul de achitare expirat, situația similară se atestă și în anul 2023. Reeșind din contextul expus, auditul consideră recomandarea ca implementată parțial, </w:t>
      </w:r>
      <w:r w:rsidR="00B672D5" w:rsidRPr="000D19A7">
        <w:rPr>
          <w:rFonts w:ascii="Times New Roman" w:hAnsi="Times New Roman" w:cs="Times New Roman"/>
          <w:color w:val="000000"/>
          <w:szCs w:val="24"/>
          <w:lang w:val="ro-MD"/>
        </w:rPr>
        <w:t>deoarece ține de un proces perma</w:t>
      </w:r>
      <w:r w:rsidR="00A55664" w:rsidRPr="000D19A7">
        <w:rPr>
          <w:rFonts w:ascii="Times New Roman" w:hAnsi="Times New Roman" w:cs="Times New Roman"/>
          <w:color w:val="000000"/>
          <w:szCs w:val="24"/>
          <w:lang w:val="ro-MD"/>
        </w:rPr>
        <w:t>nent și continuu, care nu depinde doar de MF, urmare cărui fapt</w:t>
      </w:r>
      <w:r w:rsidR="00B672D5" w:rsidRPr="000D19A7">
        <w:rPr>
          <w:rFonts w:ascii="Times New Roman" w:hAnsi="Times New Roman" w:cs="Times New Roman"/>
          <w:color w:val="000000"/>
          <w:szCs w:val="24"/>
          <w:lang w:val="ro-MD"/>
        </w:rPr>
        <w:t>,</w:t>
      </w:r>
      <w:r w:rsidR="00A55664" w:rsidRPr="000D19A7">
        <w:rPr>
          <w:rFonts w:ascii="Times New Roman" w:hAnsi="Times New Roman" w:cs="Times New Roman"/>
          <w:color w:val="000000"/>
          <w:szCs w:val="24"/>
          <w:lang w:val="ro-MD"/>
        </w:rPr>
        <w:t xml:space="preserve"> se va reitera în prezentul raport de audit.</w:t>
      </w:r>
    </w:p>
    <w:p w14:paraId="765964C7" w14:textId="77777777" w:rsidR="00B672D5" w:rsidRPr="000D19A7" w:rsidRDefault="00DE053C" w:rsidP="00B672D5">
      <w:pPr>
        <w:pStyle w:val="2"/>
        <w:numPr>
          <w:ilvl w:val="1"/>
          <w:numId w:val="31"/>
        </w:numPr>
        <w:tabs>
          <w:tab w:val="left" w:pos="851"/>
        </w:tabs>
        <w:spacing w:line="276" w:lineRule="auto"/>
        <w:ind w:left="0" w:firstLine="0"/>
        <w:jc w:val="both"/>
        <w:rPr>
          <w:rFonts w:ascii="Times New Roman" w:hAnsi="Times New Roman" w:cs="Times New Roman"/>
          <w:i w:val="0"/>
          <w:lang w:val="ro-MD"/>
        </w:rPr>
      </w:pPr>
      <w:bookmarkStart w:id="19" w:name="_Toc168321553"/>
      <w:r w:rsidRPr="000D19A7">
        <w:rPr>
          <w:rFonts w:ascii="Times New Roman" w:hAnsi="Times New Roman" w:cs="Times New Roman"/>
          <w:i w:val="0"/>
          <w:lang w:val="ro-MD"/>
        </w:rPr>
        <w:t xml:space="preserve">Ministerul Finanțelor a asigurat conformitatea </w:t>
      </w:r>
      <w:r w:rsidR="00875FDF" w:rsidRPr="000D19A7">
        <w:rPr>
          <w:rFonts w:ascii="Times New Roman" w:hAnsi="Times New Roman" w:cs="Times New Roman"/>
          <w:i w:val="0"/>
          <w:lang w:val="ro-MD"/>
        </w:rPr>
        <w:t>recreditării de</w:t>
      </w:r>
      <w:r w:rsidRPr="000D19A7">
        <w:rPr>
          <w:rFonts w:ascii="Times New Roman" w:hAnsi="Times New Roman" w:cs="Times New Roman"/>
          <w:i w:val="0"/>
          <w:lang w:val="ro-MD"/>
        </w:rPr>
        <w:t xml:space="preserve"> stat în raport cu prevederile cadrului normativ aplicabil?</w:t>
      </w:r>
      <w:bookmarkEnd w:id="19"/>
    </w:p>
    <w:p w14:paraId="59F5E378" w14:textId="0D110E7C" w:rsidR="00491240" w:rsidRPr="000D19A7" w:rsidRDefault="002B6CFB" w:rsidP="000D359E">
      <w:pPr>
        <w:spacing w:after="0"/>
        <w:jc w:val="both"/>
        <w:rPr>
          <w:rFonts w:ascii="Times New Roman" w:hAnsi="Times New Roman" w:cs="Times New Roman"/>
          <w:i/>
          <w:lang w:val="ro-MD"/>
        </w:rPr>
      </w:pPr>
      <w:r w:rsidRPr="000D19A7">
        <w:rPr>
          <w:rFonts w:ascii="Times New Roman" w:hAnsi="Times New Roman" w:cs="Times New Roman"/>
          <w:i/>
          <w:lang w:val="ro-MD" w:eastAsia="ru-RU"/>
        </w:rPr>
        <w:t>Rămâne în continuare incertă situația aferentă datoriilor cu termen</w:t>
      </w:r>
      <w:r w:rsidR="00220E95" w:rsidRPr="000D19A7">
        <w:rPr>
          <w:rFonts w:ascii="Times New Roman" w:hAnsi="Times New Roman" w:cs="Times New Roman"/>
          <w:i/>
          <w:lang w:val="ro-MD" w:eastAsia="ru-RU"/>
        </w:rPr>
        <w:t>ul</w:t>
      </w:r>
      <w:r w:rsidRPr="000D19A7">
        <w:rPr>
          <w:rFonts w:ascii="Times New Roman" w:hAnsi="Times New Roman" w:cs="Times New Roman"/>
          <w:i/>
          <w:lang w:val="ro-MD" w:eastAsia="ru-RU"/>
        </w:rPr>
        <w:t xml:space="preserve"> expirat înregistrate de întreprinderile în proces de insolvabilitate, </w:t>
      </w:r>
      <w:r w:rsidR="00876F9E" w:rsidRPr="000D19A7">
        <w:rPr>
          <w:rFonts w:ascii="Times New Roman" w:hAnsi="Times New Roman" w:cs="Times New Roman"/>
          <w:i/>
          <w:lang w:val="ro-MD" w:eastAsia="ru-RU"/>
        </w:rPr>
        <w:t>o parte din aceste</w:t>
      </w:r>
      <w:r w:rsidR="00220E95" w:rsidRPr="000D19A7">
        <w:rPr>
          <w:rFonts w:ascii="Times New Roman" w:hAnsi="Times New Roman" w:cs="Times New Roman"/>
          <w:i/>
          <w:lang w:val="ro-MD" w:eastAsia="ru-RU"/>
        </w:rPr>
        <w:t>a</w:t>
      </w:r>
      <w:r w:rsidR="00876F9E" w:rsidRPr="000D19A7">
        <w:rPr>
          <w:rFonts w:ascii="Times New Roman" w:hAnsi="Times New Roman" w:cs="Times New Roman"/>
          <w:i/>
          <w:lang w:val="ro-MD" w:eastAsia="ru-RU"/>
        </w:rPr>
        <w:t xml:space="preserve"> </w:t>
      </w:r>
      <w:r w:rsidR="003939FC" w:rsidRPr="000D19A7">
        <w:rPr>
          <w:rFonts w:ascii="Times New Roman" w:hAnsi="Times New Roman" w:cs="Times New Roman"/>
          <w:i/>
          <w:lang w:val="ro-MD" w:eastAsia="ru-RU"/>
        </w:rPr>
        <w:t xml:space="preserve">fiind </w:t>
      </w:r>
      <w:r w:rsidR="00623834" w:rsidRPr="000D19A7">
        <w:rPr>
          <w:rFonts w:ascii="Times New Roman" w:hAnsi="Times New Roman" w:cs="Times New Roman"/>
          <w:i/>
          <w:lang w:val="ro-MD" w:eastAsia="ru-RU"/>
        </w:rPr>
        <w:t>anulate prin deci</w:t>
      </w:r>
      <w:r w:rsidRPr="000D19A7">
        <w:rPr>
          <w:rFonts w:ascii="Times New Roman" w:hAnsi="Times New Roman" w:cs="Times New Roman"/>
          <w:i/>
          <w:lang w:val="ro-MD" w:eastAsia="ru-RU"/>
        </w:rPr>
        <w:t>z</w:t>
      </w:r>
      <w:r w:rsidR="00623834" w:rsidRPr="000D19A7">
        <w:rPr>
          <w:rFonts w:ascii="Times New Roman" w:hAnsi="Times New Roman" w:cs="Times New Roman"/>
          <w:i/>
          <w:lang w:val="ro-MD" w:eastAsia="ru-RU"/>
        </w:rPr>
        <w:t>i</w:t>
      </w:r>
      <w:r w:rsidR="00220E95" w:rsidRPr="000D19A7">
        <w:rPr>
          <w:rFonts w:ascii="Times New Roman" w:hAnsi="Times New Roman" w:cs="Times New Roman"/>
          <w:i/>
          <w:lang w:val="ro-MD" w:eastAsia="ru-RU"/>
        </w:rPr>
        <w:t>ile</w:t>
      </w:r>
      <w:r w:rsidR="00623834" w:rsidRPr="000D19A7">
        <w:rPr>
          <w:rFonts w:ascii="Times New Roman" w:hAnsi="Times New Roman" w:cs="Times New Roman"/>
          <w:i/>
          <w:lang w:val="ro-MD" w:eastAsia="ru-RU"/>
        </w:rPr>
        <w:t xml:space="preserve"> organelor de resor</w:t>
      </w:r>
      <w:r w:rsidR="002A68D0" w:rsidRPr="000D19A7">
        <w:rPr>
          <w:rFonts w:ascii="Times New Roman" w:hAnsi="Times New Roman" w:cs="Times New Roman"/>
          <w:i/>
          <w:lang w:val="ro-MD" w:eastAsia="ru-RU"/>
        </w:rPr>
        <w:t>t</w:t>
      </w:r>
      <w:r w:rsidR="00876F9E" w:rsidRPr="000D19A7">
        <w:rPr>
          <w:rFonts w:ascii="Times New Roman" w:hAnsi="Times New Roman" w:cs="Times New Roman"/>
          <w:i/>
          <w:lang w:val="ro-MD" w:eastAsia="ru-RU"/>
        </w:rPr>
        <w:t xml:space="preserve">, </w:t>
      </w:r>
      <w:r w:rsidR="003939FC" w:rsidRPr="000D19A7">
        <w:rPr>
          <w:rFonts w:ascii="Times New Roman" w:hAnsi="Times New Roman" w:cs="Times New Roman"/>
          <w:i/>
          <w:lang w:val="ro-MD" w:eastAsia="ru-RU"/>
        </w:rPr>
        <w:t>care</w:t>
      </w:r>
      <w:r w:rsidR="00220E95" w:rsidRPr="000D19A7">
        <w:rPr>
          <w:rFonts w:ascii="Times New Roman" w:hAnsi="Times New Roman" w:cs="Times New Roman"/>
          <w:i/>
          <w:lang w:val="ro-MD" w:eastAsia="ru-RU"/>
        </w:rPr>
        <w:t>,</w:t>
      </w:r>
      <w:r w:rsidR="003939FC" w:rsidRPr="000D19A7">
        <w:rPr>
          <w:rFonts w:ascii="Times New Roman" w:hAnsi="Times New Roman" w:cs="Times New Roman"/>
          <w:i/>
          <w:lang w:val="ro-MD" w:eastAsia="ru-RU"/>
        </w:rPr>
        <w:t xml:space="preserve"> la fel</w:t>
      </w:r>
      <w:r w:rsidR="00220E95" w:rsidRPr="000D19A7">
        <w:rPr>
          <w:rFonts w:ascii="Times New Roman" w:hAnsi="Times New Roman" w:cs="Times New Roman"/>
          <w:i/>
          <w:lang w:val="ro-MD" w:eastAsia="ru-RU"/>
        </w:rPr>
        <w:t>,</w:t>
      </w:r>
      <w:r w:rsidR="003939FC" w:rsidRPr="000D19A7">
        <w:rPr>
          <w:rFonts w:ascii="Times New Roman" w:hAnsi="Times New Roman" w:cs="Times New Roman"/>
          <w:i/>
          <w:lang w:val="ro-MD" w:eastAsia="ru-RU"/>
        </w:rPr>
        <w:t xml:space="preserve"> </w:t>
      </w:r>
      <w:r w:rsidR="00220E95" w:rsidRPr="000D19A7">
        <w:rPr>
          <w:rFonts w:ascii="Times New Roman" w:hAnsi="Times New Roman" w:cs="Times New Roman"/>
          <w:i/>
          <w:lang w:val="ro-MD" w:eastAsia="ru-RU"/>
        </w:rPr>
        <w:t>reprezi</w:t>
      </w:r>
      <w:r w:rsidR="00876F9E" w:rsidRPr="000D19A7">
        <w:rPr>
          <w:rFonts w:ascii="Times New Roman" w:hAnsi="Times New Roman" w:cs="Times New Roman"/>
          <w:i/>
          <w:lang w:val="ro-MD" w:eastAsia="ru-RU"/>
        </w:rPr>
        <w:t>nt</w:t>
      </w:r>
      <w:r w:rsidR="003939FC" w:rsidRPr="000D19A7">
        <w:rPr>
          <w:rFonts w:ascii="Times New Roman" w:hAnsi="Times New Roman" w:cs="Times New Roman"/>
          <w:i/>
          <w:lang w:val="ro-MD" w:eastAsia="ru-RU"/>
        </w:rPr>
        <w:t>ă</w:t>
      </w:r>
      <w:r w:rsidR="00876F9E" w:rsidRPr="000D19A7">
        <w:rPr>
          <w:rFonts w:ascii="Times New Roman" w:hAnsi="Times New Roman" w:cs="Times New Roman"/>
          <w:i/>
          <w:lang w:val="ro-MD" w:eastAsia="ru-RU"/>
        </w:rPr>
        <w:t xml:space="preserve"> pierderi pentru bugetul de stat</w:t>
      </w:r>
      <w:r w:rsidR="00220E95" w:rsidRPr="000D19A7">
        <w:rPr>
          <w:rFonts w:ascii="Times New Roman" w:hAnsi="Times New Roman" w:cs="Times New Roman"/>
          <w:i/>
          <w:lang w:val="ro-MD"/>
        </w:rPr>
        <w:t>.</w:t>
      </w:r>
    </w:p>
    <w:p w14:paraId="4871919F" w14:textId="6E050AC2" w:rsidR="00F56455" w:rsidRPr="000D19A7" w:rsidRDefault="00950462" w:rsidP="000D359E">
      <w:pPr>
        <w:spacing w:after="0"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În conformitate cu cadrul normativ, în cazul </w:t>
      </w:r>
      <w:r w:rsidR="00F56455" w:rsidRPr="000D19A7">
        <w:rPr>
          <w:rFonts w:ascii="Times New Roman" w:hAnsi="Times New Roman" w:cs="Times New Roman"/>
          <w:szCs w:val="24"/>
          <w:lang w:val="ro-MD" w:eastAsia="ru-RU"/>
        </w:rPr>
        <w:t>neexecutării obligațiilor contractuale</w:t>
      </w:r>
      <w:r w:rsidRPr="000D19A7">
        <w:rPr>
          <w:rFonts w:ascii="Times New Roman" w:hAnsi="Times New Roman" w:cs="Times New Roman"/>
          <w:szCs w:val="24"/>
          <w:lang w:val="ro-MD" w:eastAsia="ru-RU"/>
        </w:rPr>
        <w:t xml:space="preserve"> de către băncile şi/sau organizaţiile de creditare nebancare şi/sau asoc</w:t>
      </w:r>
      <w:r w:rsidR="00F56455" w:rsidRPr="000D19A7">
        <w:rPr>
          <w:rFonts w:ascii="Times New Roman" w:hAnsi="Times New Roman" w:cs="Times New Roman"/>
          <w:szCs w:val="24"/>
          <w:lang w:val="ro-MD" w:eastAsia="ru-RU"/>
        </w:rPr>
        <w:t>iaţiile de economii şi împrumut, precum și de către beneficiarii recreditați și debitorii garantați</w:t>
      </w:r>
      <w:r w:rsidR="00220E95" w:rsidRPr="000D19A7">
        <w:rPr>
          <w:rFonts w:ascii="Times New Roman" w:hAnsi="Times New Roman" w:cs="Times New Roman"/>
          <w:szCs w:val="24"/>
          <w:lang w:val="ro-MD" w:eastAsia="ru-RU"/>
        </w:rPr>
        <w:t>,</w:t>
      </w:r>
      <w:r w:rsidR="00F56455" w:rsidRPr="000D19A7">
        <w:rPr>
          <w:rFonts w:ascii="Times New Roman" w:hAnsi="Times New Roman" w:cs="Times New Roman"/>
          <w:szCs w:val="24"/>
          <w:lang w:val="ro-MD" w:eastAsia="ru-RU"/>
        </w:rPr>
        <w:t xml:space="preserve"> organele abilitate cu drept de suspendare a operațiunilor din conturile bancare (serviciile fiscale de stat) prezintă dispoziții de suspendare a operațiunilor bancare și ordine incaso și percep forțat datoriile conform legislației în vigoare a RM.</w:t>
      </w:r>
    </w:p>
    <w:p w14:paraId="6A9CA2A0" w14:textId="2D7E0CDE" w:rsidR="000F6E0B" w:rsidRPr="000D19A7" w:rsidRDefault="00F56455"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lang w:val="ro-MD" w:eastAsia="ru-RU"/>
        </w:rPr>
        <w:t>P</w:t>
      </w:r>
      <w:r w:rsidR="002D5DC1" w:rsidRPr="000D19A7">
        <w:rPr>
          <w:rFonts w:ascii="Times New Roman" w:hAnsi="Times New Roman" w:cs="Times New Roman"/>
          <w:lang w:val="ro-MD" w:eastAsia="ru-RU"/>
        </w:rPr>
        <w:t xml:space="preserve">otrivit datelor raportate de MF, </w:t>
      </w:r>
      <w:r w:rsidR="00347873" w:rsidRPr="000D19A7">
        <w:rPr>
          <w:rFonts w:ascii="Times New Roman" w:hAnsi="Times New Roman" w:cs="Times New Roman"/>
          <w:szCs w:val="24"/>
          <w:lang w:val="ro-MD" w:eastAsia="ru-RU"/>
        </w:rPr>
        <w:t>soldul datori</w:t>
      </w:r>
      <w:r w:rsidR="005D13A6" w:rsidRPr="000D19A7">
        <w:rPr>
          <w:rFonts w:ascii="Times New Roman" w:hAnsi="Times New Roman" w:cs="Times New Roman"/>
          <w:szCs w:val="24"/>
          <w:lang w:val="ro-MD" w:eastAsia="ru-RU"/>
        </w:rPr>
        <w:t>ilor</w:t>
      </w:r>
      <w:r w:rsidR="00347873" w:rsidRPr="000D19A7">
        <w:rPr>
          <w:rFonts w:ascii="Times New Roman" w:hAnsi="Times New Roman" w:cs="Times New Roman"/>
          <w:szCs w:val="24"/>
          <w:lang w:val="ro-MD" w:eastAsia="ru-RU"/>
        </w:rPr>
        <w:t xml:space="preserve"> beneficiarilor recreditați</w:t>
      </w:r>
      <w:r w:rsidR="005D13A6" w:rsidRPr="000D19A7">
        <w:rPr>
          <w:rFonts w:ascii="Times New Roman" w:hAnsi="Times New Roman" w:cs="Times New Roman"/>
          <w:szCs w:val="24"/>
          <w:lang w:val="ro-MD" w:eastAsia="ru-RU"/>
        </w:rPr>
        <w:t xml:space="preserve"> </w:t>
      </w:r>
      <w:r w:rsidR="00F86989" w:rsidRPr="000D19A7">
        <w:rPr>
          <w:rFonts w:ascii="Times New Roman" w:hAnsi="Times New Roman" w:cs="Times New Roman"/>
          <w:szCs w:val="24"/>
          <w:lang w:val="ro-MD" w:eastAsia="ru-RU"/>
        </w:rPr>
        <w:t xml:space="preserve">la finele anului 2023, </w:t>
      </w:r>
      <w:r w:rsidR="005D13A6" w:rsidRPr="000D19A7">
        <w:rPr>
          <w:rFonts w:ascii="Times New Roman" w:hAnsi="Times New Roman" w:cs="Times New Roman"/>
          <w:szCs w:val="24"/>
          <w:lang w:val="ro-MD" w:eastAsia="ru-RU"/>
        </w:rPr>
        <w:t>a</w:t>
      </w:r>
      <w:r w:rsidR="00347873" w:rsidRPr="000D19A7">
        <w:rPr>
          <w:rFonts w:ascii="Times New Roman" w:hAnsi="Times New Roman" w:cs="Times New Roman"/>
          <w:szCs w:val="24"/>
          <w:lang w:val="ro-MD" w:eastAsia="ru-RU"/>
        </w:rPr>
        <w:t xml:space="preserve"> constitui</w:t>
      </w:r>
      <w:r w:rsidR="005D13A6" w:rsidRPr="000D19A7">
        <w:rPr>
          <w:rFonts w:ascii="Times New Roman" w:hAnsi="Times New Roman" w:cs="Times New Roman"/>
          <w:szCs w:val="24"/>
          <w:lang w:val="ro-MD" w:eastAsia="ru-RU"/>
        </w:rPr>
        <w:t>t</w:t>
      </w:r>
      <w:r w:rsidR="00347873" w:rsidRPr="000D19A7">
        <w:rPr>
          <w:rFonts w:ascii="Times New Roman" w:hAnsi="Times New Roman" w:cs="Times New Roman"/>
          <w:szCs w:val="24"/>
          <w:lang w:val="ro-MD" w:eastAsia="ru-RU"/>
        </w:rPr>
        <w:t xml:space="preserve"> </w:t>
      </w:r>
      <w:r w:rsidR="00F86989" w:rsidRPr="000D19A7">
        <w:rPr>
          <w:rFonts w:ascii="Times New Roman" w:hAnsi="Times New Roman" w:cs="Times New Roman"/>
          <w:szCs w:val="24"/>
          <w:lang w:val="ro-MD" w:eastAsia="ru-RU"/>
        </w:rPr>
        <w:t xml:space="preserve">circa 10 291,7 mil. lei, din care 159,2 mil. lei </w:t>
      </w:r>
      <w:r w:rsidR="00220E95" w:rsidRPr="000D19A7">
        <w:rPr>
          <w:rFonts w:ascii="Times New Roman" w:hAnsi="Times New Roman" w:cs="Times New Roman"/>
          <w:szCs w:val="24"/>
          <w:lang w:val="ro-MD" w:eastAsia="ru-RU"/>
        </w:rPr>
        <w:t xml:space="preserve">- </w:t>
      </w:r>
      <w:r w:rsidR="00F86989" w:rsidRPr="000D19A7">
        <w:rPr>
          <w:rFonts w:ascii="Times New Roman" w:hAnsi="Times New Roman" w:cs="Times New Roman"/>
          <w:szCs w:val="24"/>
          <w:lang w:val="ro-MD" w:eastAsia="ru-RU"/>
        </w:rPr>
        <w:t>datorie cu termenul de achitare expirat. În comparație cu finele anului precedent, datoria beneficiarilor recreditați s-a micșorat cu 1 208,1 mil. lei</w:t>
      </w:r>
      <w:r w:rsidR="00C54B72" w:rsidRPr="000D19A7">
        <w:rPr>
          <w:rFonts w:ascii="Times New Roman" w:hAnsi="Times New Roman" w:cs="Times New Roman"/>
          <w:szCs w:val="24"/>
          <w:lang w:val="ro-MD" w:eastAsia="ru-RU"/>
        </w:rPr>
        <w:t xml:space="preserve">, </w:t>
      </w:r>
      <w:r w:rsidR="001E1199" w:rsidRPr="000D19A7">
        <w:rPr>
          <w:rFonts w:ascii="Times New Roman" w:hAnsi="Times New Roman" w:cs="Times New Roman"/>
          <w:szCs w:val="24"/>
          <w:lang w:val="ro-MD" w:eastAsia="ru-RU"/>
        </w:rPr>
        <w:t>inclusiv</w:t>
      </w:r>
      <w:r w:rsidR="00220E95" w:rsidRPr="000D19A7">
        <w:rPr>
          <w:rFonts w:ascii="Times New Roman" w:hAnsi="Times New Roman" w:cs="Times New Roman"/>
          <w:szCs w:val="24"/>
          <w:lang w:val="ro-MD" w:eastAsia="ru-RU"/>
        </w:rPr>
        <w:t xml:space="preserve"> urmare anulării, prin deciziile</w:t>
      </w:r>
      <w:r w:rsidR="00C54B72" w:rsidRPr="000D19A7">
        <w:rPr>
          <w:rFonts w:ascii="Times New Roman" w:hAnsi="Times New Roman" w:cs="Times New Roman"/>
          <w:szCs w:val="24"/>
          <w:lang w:val="ro-MD" w:eastAsia="ru-RU"/>
        </w:rPr>
        <w:t xml:space="preserve"> organelor de resort</w:t>
      </w:r>
      <w:r w:rsidR="00220E95" w:rsidRPr="000D19A7">
        <w:rPr>
          <w:rFonts w:ascii="Times New Roman" w:hAnsi="Times New Roman" w:cs="Times New Roman"/>
          <w:szCs w:val="24"/>
          <w:lang w:val="ro-MD" w:eastAsia="ru-RU"/>
        </w:rPr>
        <w:t>, a datoriei admise</w:t>
      </w:r>
      <w:r w:rsidR="00C54B72" w:rsidRPr="000D19A7">
        <w:rPr>
          <w:rFonts w:ascii="Times New Roman" w:hAnsi="Times New Roman" w:cs="Times New Roman"/>
          <w:szCs w:val="24"/>
          <w:lang w:val="ro-MD" w:eastAsia="ru-RU"/>
        </w:rPr>
        <w:t xml:space="preserve"> de </w:t>
      </w:r>
      <w:r w:rsidR="00D747CD">
        <w:rPr>
          <w:rFonts w:ascii="Times New Roman" w:hAnsi="Times New Roman" w:cs="Times New Roman"/>
          <w:szCs w:val="24"/>
          <w:lang w:val="ro-MD" w:eastAsia="ru-RU"/>
        </w:rPr>
        <w:t xml:space="preserve">                       </w:t>
      </w:r>
      <w:r w:rsidR="00C54B72" w:rsidRPr="000D19A7">
        <w:rPr>
          <w:rFonts w:ascii="Times New Roman" w:hAnsi="Times New Roman" w:cs="Times New Roman"/>
          <w:szCs w:val="24"/>
          <w:lang w:val="ro-MD" w:eastAsia="ru-RU"/>
        </w:rPr>
        <w:t>2 beneficiari recreditați</w:t>
      </w:r>
      <w:r w:rsidR="00AB0049" w:rsidRPr="000D19A7">
        <w:rPr>
          <w:rStyle w:val="a6"/>
          <w:rFonts w:ascii="Times New Roman" w:hAnsi="Times New Roman" w:cs="Times New Roman"/>
          <w:szCs w:val="24"/>
          <w:lang w:val="ro-MD" w:eastAsia="ru-RU"/>
        </w:rPr>
        <w:footnoteReference w:id="29"/>
      </w:r>
      <w:r w:rsidR="00C54B72" w:rsidRPr="000D19A7">
        <w:rPr>
          <w:rFonts w:ascii="Times New Roman" w:hAnsi="Times New Roman" w:cs="Times New Roman"/>
          <w:szCs w:val="24"/>
          <w:lang w:val="ro-MD" w:eastAsia="ru-RU"/>
        </w:rPr>
        <w:t>, în sumă totală de circa 1</w:t>
      </w:r>
      <w:r w:rsidR="00E36848" w:rsidRPr="000D19A7">
        <w:rPr>
          <w:rFonts w:ascii="Times New Roman" w:hAnsi="Times New Roman" w:cs="Times New Roman"/>
          <w:szCs w:val="24"/>
          <w:lang w:val="ro-MD" w:eastAsia="ru-RU"/>
        </w:rPr>
        <w:t xml:space="preserve">11,0 </w:t>
      </w:r>
      <w:r w:rsidR="00C54B72" w:rsidRPr="000D19A7">
        <w:rPr>
          <w:rFonts w:ascii="Times New Roman" w:hAnsi="Times New Roman" w:cs="Times New Roman"/>
          <w:szCs w:val="24"/>
          <w:lang w:val="ro-MD" w:eastAsia="ru-RU"/>
        </w:rPr>
        <w:t xml:space="preserve">mil. lei.  Totodată, </w:t>
      </w:r>
      <w:r w:rsidR="006A1B64" w:rsidRPr="000D19A7">
        <w:rPr>
          <w:rFonts w:ascii="Times New Roman" w:hAnsi="Times New Roman" w:cs="Times New Roman"/>
          <w:szCs w:val="24"/>
          <w:lang w:val="ro-MD" w:eastAsia="ru-RU"/>
        </w:rPr>
        <w:t>în pofida faptului, că datoria cu termenul de achitare expirat s-a micșorat la finele anului 2023</w:t>
      </w:r>
      <w:r w:rsidR="00220E95" w:rsidRPr="000D19A7">
        <w:rPr>
          <w:rFonts w:ascii="Times New Roman" w:hAnsi="Times New Roman" w:cs="Times New Roman"/>
          <w:szCs w:val="24"/>
          <w:lang w:val="ro-MD" w:eastAsia="ru-RU"/>
        </w:rPr>
        <w:t>,</w:t>
      </w:r>
      <w:r w:rsidR="006A1B64" w:rsidRPr="000D19A7">
        <w:rPr>
          <w:rFonts w:ascii="Times New Roman" w:hAnsi="Times New Roman" w:cs="Times New Roman"/>
          <w:szCs w:val="24"/>
          <w:lang w:val="ro-MD" w:eastAsia="ru-RU"/>
        </w:rPr>
        <w:t xml:space="preserve"> comparativ cu finele anului 2022, </w:t>
      </w:r>
      <w:r w:rsidR="00C54B72" w:rsidRPr="000D19A7">
        <w:rPr>
          <w:rFonts w:ascii="Times New Roman" w:hAnsi="Times New Roman" w:cs="Times New Roman"/>
          <w:szCs w:val="24"/>
          <w:lang w:val="ro-MD" w:eastAsia="ru-RU"/>
        </w:rPr>
        <w:t>au</w:t>
      </w:r>
      <w:r w:rsidR="000F6E0B" w:rsidRPr="000D19A7">
        <w:rPr>
          <w:rFonts w:ascii="Times New Roman" w:hAnsi="Times New Roman" w:cs="Times New Roman"/>
          <w:szCs w:val="24"/>
          <w:lang w:val="ro-MD" w:eastAsia="ru-RU"/>
        </w:rPr>
        <w:t>ditul atestă major</w:t>
      </w:r>
      <w:r w:rsidR="003939FC" w:rsidRPr="000D19A7">
        <w:rPr>
          <w:rFonts w:ascii="Times New Roman" w:hAnsi="Times New Roman" w:cs="Times New Roman"/>
          <w:szCs w:val="24"/>
          <w:lang w:val="ro-MD" w:eastAsia="ru-RU"/>
        </w:rPr>
        <w:t xml:space="preserve">area </w:t>
      </w:r>
      <w:r w:rsidR="00220E95" w:rsidRPr="000D19A7">
        <w:rPr>
          <w:rFonts w:ascii="Times New Roman" w:hAnsi="Times New Roman" w:cs="Times New Roman"/>
          <w:szCs w:val="24"/>
          <w:lang w:val="ro-MD" w:eastAsia="ru-RU"/>
        </w:rPr>
        <w:t>cu circa 8,4 mil. lei</w:t>
      </w:r>
      <w:r w:rsidR="00220E95" w:rsidRPr="000D19A7">
        <w:rPr>
          <w:rStyle w:val="a6"/>
          <w:rFonts w:ascii="Times New Roman" w:hAnsi="Times New Roman" w:cs="Times New Roman"/>
          <w:szCs w:val="24"/>
          <w:lang w:val="ro-MD" w:eastAsia="ru-RU"/>
        </w:rPr>
        <w:footnoteReference w:id="30"/>
      </w:r>
      <w:r w:rsidR="00220E95" w:rsidRPr="000D19A7">
        <w:rPr>
          <w:rFonts w:ascii="Times New Roman" w:hAnsi="Times New Roman" w:cs="Times New Roman"/>
          <w:szCs w:val="24"/>
          <w:lang w:val="ro-MD" w:eastAsia="ru-RU"/>
        </w:rPr>
        <w:t xml:space="preserve"> a </w:t>
      </w:r>
      <w:r w:rsidR="000F6E0B" w:rsidRPr="000D19A7">
        <w:rPr>
          <w:rFonts w:ascii="Times New Roman" w:hAnsi="Times New Roman" w:cs="Times New Roman"/>
          <w:szCs w:val="24"/>
          <w:lang w:val="ro-MD" w:eastAsia="ru-RU"/>
        </w:rPr>
        <w:t>datoriilor cu termenul de achitare expirat</w:t>
      </w:r>
      <w:r w:rsidR="009E4007" w:rsidRPr="000D19A7">
        <w:rPr>
          <w:rFonts w:ascii="Times New Roman" w:hAnsi="Times New Roman" w:cs="Times New Roman"/>
          <w:szCs w:val="24"/>
          <w:lang w:val="ro-MD" w:eastAsia="ru-RU"/>
        </w:rPr>
        <w:t xml:space="preserve"> înregistrate de </w:t>
      </w:r>
      <w:r w:rsidR="006A1B64" w:rsidRPr="000D19A7">
        <w:rPr>
          <w:rFonts w:ascii="Times New Roman" w:hAnsi="Times New Roman" w:cs="Times New Roman"/>
          <w:szCs w:val="24"/>
          <w:lang w:val="ro-MD" w:eastAsia="ru-RU"/>
        </w:rPr>
        <w:t xml:space="preserve">unii </w:t>
      </w:r>
      <w:r w:rsidR="009E4007" w:rsidRPr="000D19A7">
        <w:rPr>
          <w:rFonts w:ascii="Times New Roman" w:hAnsi="Times New Roman" w:cs="Times New Roman"/>
          <w:szCs w:val="24"/>
          <w:lang w:val="ro-MD" w:eastAsia="ru-RU"/>
        </w:rPr>
        <w:t xml:space="preserve">beneficiari recreditați, </w:t>
      </w:r>
      <w:r w:rsidR="00220E95" w:rsidRPr="000D19A7">
        <w:rPr>
          <w:rFonts w:ascii="Times New Roman" w:hAnsi="Times New Roman" w:cs="Times New Roman"/>
          <w:szCs w:val="24"/>
          <w:lang w:val="ro-MD" w:eastAsia="ru-RU"/>
        </w:rPr>
        <w:t>condiționată</w:t>
      </w:r>
      <w:r w:rsidR="003939FC" w:rsidRPr="000D19A7">
        <w:rPr>
          <w:rFonts w:ascii="Times New Roman" w:hAnsi="Times New Roman" w:cs="Times New Roman"/>
          <w:szCs w:val="24"/>
          <w:lang w:val="ro-MD" w:eastAsia="ru-RU"/>
        </w:rPr>
        <w:t xml:space="preserve"> de nerespectarea graficelor de rambursare a împrumuturilor recreditate</w:t>
      </w:r>
      <w:r w:rsidR="00EA7A57" w:rsidRPr="000D19A7">
        <w:rPr>
          <w:rFonts w:ascii="Times New Roman" w:hAnsi="Times New Roman" w:cs="Times New Roman"/>
          <w:szCs w:val="24"/>
          <w:lang w:val="ro-MD" w:eastAsia="ru-RU"/>
        </w:rPr>
        <w:t xml:space="preserve">, din care </w:t>
      </w:r>
      <w:r w:rsidR="00220E95" w:rsidRPr="000D19A7">
        <w:rPr>
          <w:rFonts w:ascii="Times New Roman" w:hAnsi="Times New Roman" w:cs="Times New Roman"/>
          <w:szCs w:val="24"/>
          <w:lang w:val="ro-MD" w:eastAsia="ru-RU"/>
        </w:rPr>
        <w:t>2,92 mil. lei reprezintă datoria</w:t>
      </w:r>
      <w:r w:rsidR="00EA7A57" w:rsidRPr="000D19A7">
        <w:rPr>
          <w:rFonts w:ascii="Times New Roman" w:hAnsi="Times New Roman" w:cs="Times New Roman"/>
          <w:szCs w:val="24"/>
          <w:lang w:val="ro-MD" w:eastAsia="ru-RU"/>
        </w:rPr>
        <w:t xml:space="preserve"> cu risc de nerecuperare </w:t>
      </w:r>
      <w:r w:rsidR="00220E95" w:rsidRPr="000D19A7">
        <w:rPr>
          <w:rFonts w:ascii="Times New Roman" w:hAnsi="Times New Roman" w:cs="Times New Roman"/>
          <w:szCs w:val="24"/>
          <w:lang w:val="ro-MD" w:eastAsia="ru-RU"/>
        </w:rPr>
        <w:t xml:space="preserve">a </w:t>
      </w:r>
      <w:r w:rsidR="00EA7A57" w:rsidRPr="000D19A7">
        <w:rPr>
          <w:rFonts w:ascii="Times New Roman" w:hAnsi="Times New Roman" w:cs="Times New Roman"/>
          <w:szCs w:val="24"/>
          <w:lang w:val="ro-MD" w:eastAsia="ru-RU"/>
        </w:rPr>
        <w:t>2 întreprinderi care se află în proces de insolvabilitate</w:t>
      </w:r>
      <w:r w:rsidR="00EA7A57" w:rsidRPr="000D19A7">
        <w:rPr>
          <w:rStyle w:val="a6"/>
          <w:rFonts w:ascii="Times New Roman" w:hAnsi="Times New Roman" w:cs="Times New Roman"/>
          <w:szCs w:val="24"/>
          <w:lang w:val="ro-MD" w:eastAsia="ru-RU"/>
        </w:rPr>
        <w:footnoteReference w:id="31"/>
      </w:r>
      <w:r w:rsidR="00EA7A57" w:rsidRPr="000D19A7">
        <w:rPr>
          <w:rFonts w:ascii="Times New Roman" w:hAnsi="Times New Roman" w:cs="Times New Roman"/>
          <w:szCs w:val="24"/>
          <w:lang w:val="ro-MD" w:eastAsia="ru-RU"/>
        </w:rPr>
        <w:t>.</w:t>
      </w:r>
    </w:p>
    <w:p w14:paraId="0D2C6308" w14:textId="2CA75FA3" w:rsidR="00F86989" w:rsidRPr="00A240E8" w:rsidRDefault="00220E95"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O s</w:t>
      </w:r>
      <w:r w:rsidR="00B81934" w:rsidRPr="000D19A7">
        <w:rPr>
          <w:rFonts w:ascii="Times New Roman" w:hAnsi="Times New Roman" w:cs="Times New Roman"/>
          <w:szCs w:val="24"/>
          <w:lang w:val="ro-MD" w:eastAsia="ru-RU"/>
        </w:rPr>
        <w:t xml:space="preserve">ituație incertă se atestă și în cazul </w:t>
      </w:r>
      <w:r w:rsidR="00FA2CD1" w:rsidRPr="000D19A7">
        <w:rPr>
          <w:rFonts w:ascii="Times New Roman" w:hAnsi="Times New Roman" w:cs="Times New Roman"/>
          <w:szCs w:val="24"/>
          <w:lang w:val="ro-MD" w:eastAsia="ru-RU"/>
        </w:rPr>
        <w:t>altor 4</w:t>
      </w:r>
      <w:r w:rsidR="00B81934" w:rsidRPr="000D19A7">
        <w:rPr>
          <w:rFonts w:ascii="Times New Roman" w:hAnsi="Times New Roman" w:cs="Times New Roman"/>
          <w:szCs w:val="24"/>
          <w:lang w:val="ro-MD" w:eastAsia="ru-RU"/>
        </w:rPr>
        <w:t xml:space="preserve"> întreprinderi în proces de insolvabilitate, </w:t>
      </w:r>
      <w:r w:rsidRPr="000D19A7">
        <w:rPr>
          <w:rFonts w:ascii="Times New Roman" w:hAnsi="Times New Roman" w:cs="Times New Roman"/>
          <w:szCs w:val="24"/>
          <w:lang w:val="ro-MD" w:eastAsia="ru-RU"/>
        </w:rPr>
        <w:t xml:space="preserve">ale căror </w:t>
      </w:r>
      <w:r w:rsidR="00B81934" w:rsidRPr="000D19A7">
        <w:rPr>
          <w:rFonts w:ascii="Times New Roman" w:hAnsi="Times New Roman" w:cs="Times New Roman"/>
          <w:szCs w:val="24"/>
          <w:lang w:val="ro-MD" w:eastAsia="ru-RU"/>
        </w:rPr>
        <w:t>datorii</w:t>
      </w:r>
      <w:r w:rsidRPr="000D19A7">
        <w:rPr>
          <w:rFonts w:ascii="Times New Roman" w:hAnsi="Times New Roman" w:cs="Times New Roman"/>
          <w:szCs w:val="24"/>
          <w:lang w:val="ro-MD" w:eastAsia="ru-RU"/>
        </w:rPr>
        <w:t xml:space="preserve"> </w:t>
      </w:r>
      <w:r w:rsidR="00B81934" w:rsidRPr="000D19A7">
        <w:rPr>
          <w:rFonts w:ascii="Times New Roman" w:hAnsi="Times New Roman" w:cs="Times New Roman"/>
          <w:szCs w:val="24"/>
          <w:lang w:val="ro-MD" w:eastAsia="ru-RU"/>
        </w:rPr>
        <w:t>aferente mijloacelor recreditate</w:t>
      </w:r>
      <w:r w:rsidRPr="000D19A7">
        <w:rPr>
          <w:rFonts w:ascii="Times New Roman" w:hAnsi="Times New Roman" w:cs="Times New Roman"/>
          <w:szCs w:val="24"/>
          <w:lang w:val="ro-MD" w:eastAsia="ru-RU"/>
        </w:rPr>
        <w:t xml:space="preserve"> </w:t>
      </w:r>
      <w:r w:rsidR="00FA2CD1" w:rsidRPr="000D19A7">
        <w:rPr>
          <w:rFonts w:ascii="Times New Roman" w:hAnsi="Times New Roman" w:cs="Times New Roman"/>
          <w:szCs w:val="24"/>
          <w:lang w:val="ro-MD" w:eastAsia="ru-RU"/>
        </w:rPr>
        <w:t>constitui</w:t>
      </w:r>
      <w:r w:rsidRPr="000D19A7">
        <w:rPr>
          <w:rFonts w:ascii="Times New Roman" w:hAnsi="Times New Roman" w:cs="Times New Roman"/>
          <w:szCs w:val="24"/>
          <w:lang w:val="ro-MD" w:eastAsia="ru-RU"/>
        </w:rPr>
        <w:t>e, în total</w:t>
      </w:r>
      <w:r w:rsidR="00FA2CD1" w:rsidRPr="000D19A7">
        <w:rPr>
          <w:rFonts w:ascii="Times New Roman" w:hAnsi="Times New Roman" w:cs="Times New Roman"/>
          <w:szCs w:val="24"/>
          <w:lang w:val="ro-MD" w:eastAsia="ru-RU"/>
        </w:rPr>
        <w:t xml:space="preserve"> </w:t>
      </w:r>
      <w:r w:rsidR="00396AD0" w:rsidRPr="000D19A7">
        <w:rPr>
          <w:rFonts w:ascii="Times New Roman" w:hAnsi="Times New Roman" w:cs="Times New Roman"/>
          <w:szCs w:val="24"/>
          <w:lang w:val="ro-MD" w:eastAsia="ru-RU"/>
        </w:rPr>
        <w:t>9,13 mil. lei</w:t>
      </w:r>
      <w:r w:rsidR="00FA2CD1" w:rsidRPr="000D19A7">
        <w:rPr>
          <w:rFonts w:ascii="Times New Roman" w:hAnsi="Times New Roman" w:cs="Times New Roman"/>
          <w:szCs w:val="24"/>
          <w:lang w:val="ro-MD" w:eastAsia="ru-RU"/>
        </w:rPr>
        <w:t>. Aceste datorii</w:t>
      </w:r>
      <w:r w:rsidRPr="000D19A7">
        <w:rPr>
          <w:rFonts w:ascii="Times New Roman" w:hAnsi="Times New Roman" w:cs="Times New Roman"/>
          <w:szCs w:val="24"/>
          <w:lang w:val="ro-MD" w:eastAsia="ru-RU"/>
        </w:rPr>
        <w:t>,</w:t>
      </w:r>
      <w:r w:rsidR="00FA2CD1" w:rsidRPr="000D19A7">
        <w:rPr>
          <w:rFonts w:ascii="Times New Roman" w:hAnsi="Times New Roman" w:cs="Times New Roman"/>
          <w:szCs w:val="24"/>
          <w:lang w:val="ro-MD" w:eastAsia="ru-RU"/>
        </w:rPr>
        <w:t xml:space="preserve"> la fel</w:t>
      </w:r>
      <w:r w:rsidRPr="000D19A7">
        <w:rPr>
          <w:rFonts w:ascii="Times New Roman" w:hAnsi="Times New Roman" w:cs="Times New Roman"/>
          <w:szCs w:val="24"/>
          <w:lang w:val="ro-MD" w:eastAsia="ru-RU"/>
        </w:rPr>
        <w:t>,</w:t>
      </w:r>
      <w:r w:rsidR="00B81934" w:rsidRPr="000D19A7">
        <w:rPr>
          <w:rFonts w:ascii="Times New Roman" w:hAnsi="Times New Roman" w:cs="Times New Roman"/>
          <w:szCs w:val="24"/>
          <w:lang w:val="ro-MD" w:eastAsia="ru-RU"/>
        </w:rPr>
        <w:t xml:space="preserve"> </w:t>
      </w:r>
      <w:r w:rsidRPr="000D19A7">
        <w:rPr>
          <w:rFonts w:ascii="Times New Roman" w:hAnsi="Times New Roman" w:cs="Times New Roman"/>
          <w:szCs w:val="24"/>
          <w:lang w:val="ro-MD" w:eastAsia="ru-RU"/>
        </w:rPr>
        <w:t xml:space="preserve">sunt </w:t>
      </w:r>
      <w:r w:rsidR="00B81934" w:rsidRPr="000D19A7">
        <w:rPr>
          <w:rFonts w:ascii="Times New Roman" w:hAnsi="Times New Roman" w:cs="Times New Roman"/>
          <w:szCs w:val="24"/>
          <w:lang w:val="ro-MD" w:eastAsia="ru-RU"/>
        </w:rPr>
        <w:t>cu termenul de achitare expirat</w:t>
      </w:r>
      <w:r w:rsidR="00FA2CD1" w:rsidRPr="000D19A7">
        <w:rPr>
          <w:rFonts w:ascii="Times New Roman" w:hAnsi="Times New Roman" w:cs="Times New Roman"/>
          <w:szCs w:val="24"/>
          <w:lang w:val="ro-MD" w:eastAsia="ru-RU"/>
        </w:rPr>
        <w:t>,</w:t>
      </w:r>
      <w:r w:rsidR="00B81934" w:rsidRPr="000D19A7">
        <w:rPr>
          <w:rFonts w:ascii="Times New Roman" w:hAnsi="Times New Roman" w:cs="Times New Roman"/>
          <w:szCs w:val="24"/>
          <w:lang w:val="ro-MD" w:eastAsia="ru-RU"/>
        </w:rPr>
        <w:t xml:space="preserve"> mențin</w:t>
      </w:r>
      <w:r w:rsidR="00FA2CD1" w:rsidRPr="000D19A7">
        <w:rPr>
          <w:rFonts w:ascii="Times New Roman" w:hAnsi="Times New Roman" w:cs="Times New Roman"/>
          <w:szCs w:val="24"/>
          <w:lang w:val="ro-MD" w:eastAsia="ru-RU"/>
        </w:rPr>
        <w:t>ându-se</w:t>
      </w:r>
      <w:r w:rsidR="00B81934" w:rsidRPr="000D19A7">
        <w:rPr>
          <w:rFonts w:ascii="Times New Roman" w:hAnsi="Times New Roman" w:cs="Times New Roman"/>
          <w:szCs w:val="24"/>
          <w:lang w:val="ro-MD" w:eastAsia="ru-RU"/>
        </w:rPr>
        <w:t xml:space="preserve"> pe parcursul ultimilor 3 ani</w:t>
      </w:r>
      <w:r w:rsidR="00396AD0" w:rsidRPr="000D19A7">
        <w:rPr>
          <w:rStyle w:val="a6"/>
          <w:rFonts w:ascii="Times New Roman" w:hAnsi="Times New Roman" w:cs="Times New Roman"/>
          <w:szCs w:val="24"/>
          <w:lang w:val="ro-MD" w:eastAsia="ru-RU"/>
        </w:rPr>
        <w:footnoteReference w:id="32"/>
      </w:r>
      <w:r w:rsidR="00B81934" w:rsidRPr="000D19A7">
        <w:rPr>
          <w:rFonts w:ascii="Times New Roman" w:hAnsi="Times New Roman" w:cs="Times New Roman"/>
          <w:szCs w:val="24"/>
          <w:lang w:val="ro-MD" w:eastAsia="ru-RU"/>
        </w:rPr>
        <w:t xml:space="preserve">. </w:t>
      </w:r>
      <w:r w:rsidR="00396AD0" w:rsidRPr="000D19A7">
        <w:rPr>
          <w:rFonts w:ascii="Times New Roman" w:hAnsi="Times New Roman" w:cs="Times New Roman"/>
          <w:szCs w:val="24"/>
          <w:lang w:val="ro-MD" w:eastAsia="ru-RU"/>
        </w:rPr>
        <w:t>În opinia auditului, datori</w:t>
      </w:r>
      <w:r w:rsidRPr="000D19A7">
        <w:rPr>
          <w:rFonts w:ascii="Times New Roman" w:hAnsi="Times New Roman" w:cs="Times New Roman"/>
          <w:szCs w:val="24"/>
          <w:lang w:val="ro-MD" w:eastAsia="ru-RU"/>
        </w:rPr>
        <w:t>ile</w:t>
      </w:r>
      <w:r w:rsidR="00396AD0" w:rsidRPr="000D19A7">
        <w:rPr>
          <w:rFonts w:ascii="Times New Roman" w:hAnsi="Times New Roman" w:cs="Times New Roman"/>
          <w:szCs w:val="24"/>
          <w:lang w:val="ro-MD" w:eastAsia="ru-RU"/>
        </w:rPr>
        <w:t xml:space="preserve"> cu termen</w:t>
      </w:r>
      <w:r w:rsidRPr="000D19A7">
        <w:rPr>
          <w:rFonts w:ascii="Times New Roman" w:hAnsi="Times New Roman" w:cs="Times New Roman"/>
          <w:szCs w:val="24"/>
          <w:lang w:val="ro-MD" w:eastAsia="ru-RU"/>
        </w:rPr>
        <w:t>ul de achitare expirat</w:t>
      </w:r>
      <w:r w:rsidR="00396AD0" w:rsidRPr="000D19A7">
        <w:rPr>
          <w:rFonts w:ascii="Times New Roman" w:hAnsi="Times New Roman" w:cs="Times New Roman"/>
          <w:szCs w:val="24"/>
          <w:lang w:val="ro-MD" w:eastAsia="ru-RU"/>
        </w:rPr>
        <w:t xml:space="preserve"> înregistrate de întreprinderile care</w:t>
      </w:r>
      <w:r w:rsidRPr="000D19A7">
        <w:rPr>
          <w:rFonts w:ascii="Times New Roman" w:hAnsi="Times New Roman" w:cs="Times New Roman"/>
          <w:szCs w:val="24"/>
          <w:lang w:val="ro-MD" w:eastAsia="ru-RU"/>
        </w:rPr>
        <w:t xml:space="preserve"> se</w:t>
      </w:r>
      <w:r w:rsidR="00396AD0" w:rsidRPr="000D19A7">
        <w:rPr>
          <w:rFonts w:ascii="Times New Roman" w:hAnsi="Times New Roman" w:cs="Times New Roman"/>
          <w:szCs w:val="24"/>
          <w:lang w:val="ro-MD" w:eastAsia="ru-RU"/>
        </w:rPr>
        <w:t xml:space="preserve"> află în proces de insolvabilitate, prezintă un ri</w:t>
      </w:r>
      <w:r w:rsidR="00950462" w:rsidRPr="000D19A7">
        <w:rPr>
          <w:rFonts w:ascii="Times New Roman" w:hAnsi="Times New Roman" w:cs="Times New Roman"/>
          <w:szCs w:val="24"/>
          <w:lang w:val="ro-MD" w:eastAsia="ru-RU"/>
        </w:rPr>
        <w:t>sc semnifi</w:t>
      </w:r>
      <w:r w:rsidRPr="000D19A7">
        <w:rPr>
          <w:rFonts w:ascii="Times New Roman" w:hAnsi="Times New Roman" w:cs="Times New Roman"/>
          <w:szCs w:val="24"/>
          <w:lang w:val="ro-MD" w:eastAsia="ru-RU"/>
        </w:rPr>
        <w:t>cativ de nerecuperare</w:t>
      </w:r>
      <w:r w:rsidR="00950462" w:rsidRPr="000D19A7">
        <w:rPr>
          <w:rFonts w:ascii="Times New Roman" w:hAnsi="Times New Roman" w:cs="Times New Roman"/>
          <w:szCs w:val="24"/>
          <w:lang w:val="ro-MD" w:eastAsia="ru-RU"/>
        </w:rPr>
        <w:t>.</w:t>
      </w:r>
      <w:r w:rsidR="00A240E8">
        <w:rPr>
          <w:rFonts w:ascii="Times New Roman" w:hAnsi="Times New Roman" w:cs="Times New Roman"/>
          <w:szCs w:val="24"/>
          <w:lang w:val="ro-MD" w:eastAsia="ru-RU"/>
        </w:rPr>
        <w:t xml:space="preserve"> </w:t>
      </w:r>
      <w:r w:rsidR="00D60474" w:rsidRPr="000D19A7">
        <w:rPr>
          <w:rFonts w:ascii="Times New Roman" w:hAnsi="Times New Roman" w:cs="Times New Roman"/>
          <w:i/>
          <w:szCs w:val="24"/>
          <w:lang w:val="ro-MD" w:eastAsia="ru-RU"/>
        </w:rPr>
        <w:t xml:space="preserve">Soldul datoriilor beneficiarilor recreditați, inclusiv cu termenul de achitare expirat, se prezintă în </w:t>
      </w:r>
      <w:r w:rsidR="00D60474" w:rsidRPr="000D19A7">
        <w:rPr>
          <w:rFonts w:ascii="Times New Roman" w:hAnsi="Times New Roman" w:cs="Times New Roman"/>
          <w:b/>
          <w:i/>
          <w:szCs w:val="24"/>
          <w:lang w:val="ro-MD" w:eastAsia="ru-RU"/>
        </w:rPr>
        <w:t>Anexa nr.</w:t>
      </w:r>
      <w:r w:rsidR="00AF7DE2" w:rsidRPr="000D19A7">
        <w:rPr>
          <w:rFonts w:ascii="Times New Roman" w:hAnsi="Times New Roman" w:cs="Times New Roman"/>
          <w:b/>
          <w:i/>
          <w:szCs w:val="24"/>
          <w:lang w:val="ro-MD" w:eastAsia="ru-RU"/>
        </w:rPr>
        <w:t>5</w:t>
      </w:r>
      <w:r w:rsidR="00D60474" w:rsidRPr="000D19A7">
        <w:rPr>
          <w:rFonts w:ascii="Times New Roman" w:hAnsi="Times New Roman" w:cs="Times New Roman"/>
          <w:i/>
          <w:szCs w:val="24"/>
          <w:lang w:val="ro-MD" w:eastAsia="ru-RU"/>
        </w:rPr>
        <w:t xml:space="preserve"> la prezentul Raport de audit.</w:t>
      </w:r>
    </w:p>
    <w:p w14:paraId="3A00B931" w14:textId="498866A2" w:rsidR="00F86989" w:rsidRPr="000D19A7" w:rsidRDefault="00F86989" w:rsidP="00F86989">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 xml:space="preserve">Auditul menționează că, pentru recuperarea datoriilor expirate, MF, prin intermediul SFS, </w:t>
      </w:r>
      <w:r w:rsidR="0011786B" w:rsidRPr="000D19A7">
        <w:rPr>
          <w:rFonts w:ascii="Times New Roman" w:hAnsi="Times New Roman" w:cs="Times New Roman"/>
          <w:szCs w:val="24"/>
          <w:lang w:val="ro-MD" w:eastAsia="ru-RU"/>
        </w:rPr>
        <w:t xml:space="preserve">a </w:t>
      </w:r>
      <w:r w:rsidRPr="000D19A7">
        <w:rPr>
          <w:rFonts w:ascii="Times New Roman" w:hAnsi="Times New Roman" w:cs="Times New Roman"/>
          <w:szCs w:val="24"/>
          <w:lang w:val="ro-MD" w:eastAsia="ru-RU"/>
        </w:rPr>
        <w:t>aplic</w:t>
      </w:r>
      <w:r w:rsidR="0011786B" w:rsidRPr="000D19A7">
        <w:rPr>
          <w:rFonts w:ascii="Times New Roman" w:hAnsi="Times New Roman" w:cs="Times New Roman"/>
          <w:szCs w:val="24"/>
          <w:lang w:val="ro-MD" w:eastAsia="ru-RU"/>
        </w:rPr>
        <w:t>at</w:t>
      </w:r>
      <w:r w:rsidRPr="000D19A7">
        <w:rPr>
          <w:rFonts w:ascii="Times New Roman" w:hAnsi="Times New Roman" w:cs="Times New Roman"/>
          <w:szCs w:val="24"/>
          <w:lang w:val="ro-MD" w:eastAsia="ru-RU"/>
        </w:rPr>
        <w:t xml:space="preserve"> măsuri de executare silită față de beneficiarii recreditați care dețin arierate pe împrumuturile recred</w:t>
      </w:r>
      <w:r w:rsidR="00220E95" w:rsidRPr="000D19A7">
        <w:rPr>
          <w:rFonts w:ascii="Times New Roman" w:hAnsi="Times New Roman" w:cs="Times New Roman"/>
          <w:szCs w:val="24"/>
          <w:lang w:val="ro-MD" w:eastAsia="ru-RU"/>
        </w:rPr>
        <w:t>itate, C</w:t>
      </w:r>
      <w:r w:rsidRPr="000D19A7">
        <w:rPr>
          <w:rFonts w:ascii="Times New Roman" w:hAnsi="Times New Roman" w:cs="Times New Roman"/>
          <w:szCs w:val="24"/>
          <w:lang w:val="ro-MD" w:eastAsia="ru-RU"/>
        </w:rPr>
        <w:t xml:space="preserve">a rezultat, în anul 2023 </w:t>
      </w:r>
      <w:r w:rsidR="00220E95" w:rsidRPr="000D19A7">
        <w:rPr>
          <w:rFonts w:ascii="Times New Roman" w:hAnsi="Times New Roman" w:cs="Times New Roman"/>
          <w:szCs w:val="24"/>
          <w:lang w:val="ro-MD" w:eastAsia="ru-RU"/>
        </w:rPr>
        <w:t xml:space="preserve">au fost </w:t>
      </w:r>
      <w:r w:rsidRPr="000D19A7">
        <w:rPr>
          <w:rFonts w:ascii="Times New Roman" w:hAnsi="Times New Roman" w:cs="Times New Roman"/>
          <w:szCs w:val="24"/>
          <w:lang w:val="ro-MD" w:eastAsia="ru-RU"/>
        </w:rPr>
        <w:t xml:space="preserve">recuperate la bugetul de stat circa </w:t>
      </w:r>
      <w:r w:rsidR="00623834" w:rsidRPr="000D19A7">
        <w:rPr>
          <w:rFonts w:ascii="Times New Roman" w:hAnsi="Times New Roman" w:cs="Times New Roman"/>
          <w:szCs w:val="24"/>
          <w:lang w:val="ro-MD" w:eastAsia="ru-RU"/>
        </w:rPr>
        <w:t>17,5</w:t>
      </w:r>
      <w:r w:rsidRPr="000D19A7">
        <w:rPr>
          <w:rFonts w:ascii="Times New Roman" w:hAnsi="Times New Roman" w:cs="Times New Roman"/>
          <w:szCs w:val="24"/>
          <w:lang w:val="ro-MD" w:eastAsia="ru-RU"/>
        </w:rPr>
        <w:t xml:space="preserve"> mil. lei, ceea ce constituie doar 0,</w:t>
      </w:r>
      <w:r w:rsidR="00623834" w:rsidRPr="000D19A7">
        <w:rPr>
          <w:rFonts w:ascii="Times New Roman" w:hAnsi="Times New Roman" w:cs="Times New Roman"/>
          <w:szCs w:val="24"/>
          <w:lang w:val="ro-MD" w:eastAsia="ru-RU"/>
        </w:rPr>
        <w:t>2</w:t>
      </w:r>
      <w:r w:rsidRPr="000D19A7">
        <w:rPr>
          <w:rFonts w:ascii="Times New Roman" w:hAnsi="Times New Roman" w:cs="Times New Roman"/>
          <w:szCs w:val="24"/>
          <w:lang w:val="ro-MD" w:eastAsia="ru-RU"/>
        </w:rPr>
        <w:t>% din suma totală rambursată în perioada de referință.</w:t>
      </w:r>
      <w:r w:rsidR="00623834" w:rsidRPr="000D19A7">
        <w:rPr>
          <w:rFonts w:ascii="Times New Roman" w:hAnsi="Times New Roman" w:cs="Times New Roman"/>
          <w:szCs w:val="24"/>
          <w:lang w:val="ro-MD" w:eastAsia="ru-RU"/>
        </w:rPr>
        <w:t xml:space="preserve"> Auditul menționează că, în comparație cu anul precedent, în bugetul de stat au fost recuperate mijloace aferente d</w:t>
      </w:r>
      <w:r w:rsidR="0013044B" w:rsidRPr="000D19A7">
        <w:rPr>
          <w:rFonts w:ascii="Times New Roman" w:hAnsi="Times New Roman" w:cs="Times New Roman"/>
          <w:szCs w:val="24"/>
          <w:lang w:val="ro-MD" w:eastAsia="ru-RU"/>
        </w:rPr>
        <w:t>atoriilor beneficiarilor recreditați mai mult cu circa 16,1 mil. lei.</w:t>
      </w:r>
    </w:p>
    <w:p w14:paraId="4B8B9238" w14:textId="56C1CEB2" w:rsidR="00374F2E" w:rsidRPr="00A71984" w:rsidRDefault="00C94274" w:rsidP="00A71984">
      <w:pPr>
        <w:spacing w:line="276" w:lineRule="auto"/>
        <w:jc w:val="both"/>
        <w:rPr>
          <w:rFonts w:ascii="Times New Roman" w:hAnsi="Times New Roman" w:cs="Times New Roman"/>
          <w:szCs w:val="24"/>
          <w:lang w:val="ro-MD" w:eastAsia="ru-RU"/>
        </w:rPr>
      </w:pPr>
      <w:r w:rsidRPr="000D19A7">
        <w:rPr>
          <w:rFonts w:ascii="Times New Roman" w:hAnsi="Times New Roman" w:cs="Times New Roman"/>
          <w:szCs w:val="24"/>
          <w:lang w:val="ro-MD" w:eastAsia="ru-RU"/>
        </w:rPr>
        <w:t>Deși auditul precedent a înaintat recomandare</w:t>
      </w:r>
      <w:r w:rsidR="00961038" w:rsidRPr="000D19A7">
        <w:rPr>
          <w:rFonts w:ascii="Times New Roman" w:hAnsi="Times New Roman" w:cs="Times New Roman"/>
          <w:szCs w:val="24"/>
          <w:lang w:val="ro-MD" w:eastAsia="ru-RU"/>
        </w:rPr>
        <w:t>a privind</w:t>
      </w:r>
      <w:r w:rsidRPr="000D19A7">
        <w:rPr>
          <w:rFonts w:ascii="Times New Roman" w:hAnsi="Times New Roman" w:cs="Times New Roman"/>
          <w:szCs w:val="24"/>
          <w:lang w:val="ro-MD" w:eastAsia="ru-RU"/>
        </w:rPr>
        <w:t xml:space="preserve"> intensific</w:t>
      </w:r>
      <w:r w:rsidR="00961038" w:rsidRPr="000D19A7">
        <w:rPr>
          <w:rFonts w:ascii="Times New Roman" w:hAnsi="Times New Roman" w:cs="Times New Roman"/>
          <w:szCs w:val="24"/>
          <w:lang w:val="ro-MD" w:eastAsia="ru-RU"/>
        </w:rPr>
        <w:t>area</w:t>
      </w:r>
      <w:r w:rsidRPr="000D19A7">
        <w:rPr>
          <w:rFonts w:ascii="Times New Roman" w:hAnsi="Times New Roman" w:cs="Times New Roman"/>
          <w:szCs w:val="24"/>
          <w:lang w:val="ro-MD" w:eastAsia="ru-RU"/>
        </w:rPr>
        <w:t xml:space="preserve"> măsurilor r</w:t>
      </w:r>
      <w:r w:rsidR="0084361E" w:rsidRPr="000D19A7">
        <w:rPr>
          <w:rFonts w:ascii="Times New Roman" w:hAnsi="Times New Roman" w:cs="Times New Roman"/>
          <w:szCs w:val="24"/>
          <w:lang w:val="ro-MD" w:eastAsia="ru-RU"/>
        </w:rPr>
        <w:t>e</w:t>
      </w:r>
      <w:r w:rsidRPr="000D19A7">
        <w:rPr>
          <w:rFonts w:ascii="Times New Roman" w:hAnsi="Times New Roman" w:cs="Times New Roman"/>
          <w:szCs w:val="24"/>
          <w:lang w:val="ro-MD" w:eastAsia="ru-RU"/>
        </w:rPr>
        <w:t>zultative de responsabilizare a beneficiarilor recreditați, în vederea recuperării la bugetul de stat a datoriilor, în special a datoriilor cu termen</w:t>
      </w:r>
      <w:r w:rsidR="00961038" w:rsidRPr="000D19A7">
        <w:rPr>
          <w:rFonts w:ascii="Times New Roman" w:hAnsi="Times New Roman" w:cs="Times New Roman"/>
          <w:szCs w:val="24"/>
          <w:lang w:val="ro-MD" w:eastAsia="ru-RU"/>
        </w:rPr>
        <w:t>ul de achitare expirat, situație</w:t>
      </w:r>
      <w:r w:rsidRPr="000D19A7">
        <w:rPr>
          <w:rFonts w:ascii="Times New Roman" w:hAnsi="Times New Roman" w:cs="Times New Roman"/>
          <w:szCs w:val="24"/>
          <w:lang w:val="ro-MD" w:eastAsia="ru-RU"/>
        </w:rPr>
        <w:t xml:space="preserve"> similară se atestă și în anul 2023. Reeșind din contextul expus, auditul consideră recomandarea ca implementată parțial, deoarece ține de un proces permenent și continuu, care nu depind</w:t>
      </w:r>
      <w:r w:rsidR="00961038" w:rsidRPr="000D19A7">
        <w:rPr>
          <w:rFonts w:ascii="Times New Roman" w:hAnsi="Times New Roman" w:cs="Times New Roman"/>
          <w:szCs w:val="24"/>
          <w:lang w:val="ro-MD" w:eastAsia="ru-RU"/>
        </w:rPr>
        <w:t xml:space="preserve">e doar de MF, urmare cărui fapt, </w:t>
      </w:r>
      <w:r w:rsidRPr="000D19A7">
        <w:rPr>
          <w:rFonts w:ascii="Times New Roman" w:hAnsi="Times New Roman" w:cs="Times New Roman"/>
          <w:szCs w:val="24"/>
          <w:lang w:val="ro-MD" w:eastAsia="ru-RU"/>
        </w:rPr>
        <w:t>se va reitera în prezentul</w:t>
      </w:r>
      <w:r w:rsidR="00961038" w:rsidRPr="000D19A7">
        <w:rPr>
          <w:rFonts w:ascii="Times New Roman" w:hAnsi="Times New Roman" w:cs="Times New Roman"/>
          <w:szCs w:val="24"/>
          <w:lang w:val="ro-MD" w:eastAsia="ru-RU"/>
        </w:rPr>
        <w:t xml:space="preserve"> R</w:t>
      </w:r>
      <w:r w:rsidRPr="000D19A7">
        <w:rPr>
          <w:rFonts w:ascii="Times New Roman" w:hAnsi="Times New Roman" w:cs="Times New Roman"/>
          <w:szCs w:val="24"/>
          <w:lang w:val="ro-MD" w:eastAsia="ru-RU"/>
        </w:rPr>
        <w:t>aport de audit.</w:t>
      </w:r>
      <w:bookmarkEnd w:id="18"/>
    </w:p>
    <w:p w14:paraId="2F229382" w14:textId="30ABCADD" w:rsidR="006023D2" w:rsidRPr="000D19A7" w:rsidRDefault="006023D2" w:rsidP="00D34E5B">
      <w:pPr>
        <w:pStyle w:val="1"/>
        <w:numPr>
          <w:ilvl w:val="0"/>
          <w:numId w:val="12"/>
        </w:numPr>
        <w:tabs>
          <w:tab w:val="left" w:pos="567"/>
        </w:tabs>
        <w:spacing w:before="0" w:line="276" w:lineRule="auto"/>
        <w:ind w:left="0" w:firstLine="0"/>
        <w:jc w:val="both"/>
        <w:rPr>
          <w:rFonts w:ascii="Times New Roman" w:hAnsi="Times New Roman" w:cs="Times New Roman"/>
          <w:color w:val="000000" w:themeColor="text1"/>
          <w:lang w:val="ro-MD"/>
        </w:rPr>
      </w:pPr>
      <w:bookmarkStart w:id="20" w:name="_Toc47012287"/>
      <w:bookmarkStart w:id="21" w:name="_Toc168321554"/>
      <w:r w:rsidRPr="000D19A7">
        <w:rPr>
          <w:rFonts w:ascii="Times New Roman" w:hAnsi="Times New Roman" w:cs="Times New Roman"/>
          <w:color w:val="000000" w:themeColor="text1"/>
          <w:lang w:val="ro-MD"/>
        </w:rPr>
        <w:t>C</w:t>
      </w:r>
      <w:r w:rsidR="00800BE7" w:rsidRPr="000D19A7">
        <w:rPr>
          <w:rFonts w:ascii="Times New Roman" w:hAnsi="Times New Roman" w:cs="Times New Roman"/>
          <w:color w:val="000000" w:themeColor="text1"/>
          <w:lang w:val="ro-MD"/>
        </w:rPr>
        <w:t>ONCLUZIA</w:t>
      </w:r>
      <w:r w:rsidRPr="000D19A7">
        <w:rPr>
          <w:rFonts w:ascii="Times New Roman" w:hAnsi="Times New Roman" w:cs="Times New Roman"/>
          <w:color w:val="000000" w:themeColor="text1"/>
          <w:lang w:val="ro-MD"/>
        </w:rPr>
        <w:t xml:space="preserve"> GENERALĂ</w:t>
      </w:r>
      <w:bookmarkEnd w:id="20"/>
      <w:bookmarkEnd w:id="21"/>
    </w:p>
    <w:p w14:paraId="074861E5" w14:textId="1237F188" w:rsidR="004B1B6A" w:rsidRPr="000D19A7" w:rsidRDefault="008E04F5" w:rsidP="00946026">
      <w:pPr>
        <w:spacing w:line="276" w:lineRule="auto"/>
        <w:jc w:val="both"/>
        <w:rPr>
          <w:rFonts w:ascii="Times New Roman" w:hAnsi="Times New Roman" w:cs="Times New Roman"/>
          <w:lang w:val="ro-MD"/>
        </w:rPr>
      </w:pPr>
      <w:r w:rsidRPr="000D19A7">
        <w:rPr>
          <w:rFonts w:ascii="Times New Roman" w:hAnsi="Times New Roman" w:cs="Times New Roman"/>
          <w:lang w:val="ro-MD"/>
        </w:rPr>
        <w:t>Generalizând observațiile de</w:t>
      </w:r>
      <w:r w:rsidR="00B62FC3" w:rsidRPr="000D19A7">
        <w:rPr>
          <w:rFonts w:ascii="Times New Roman" w:hAnsi="Times New Roman" w:cs="Times New Roman"/>
          <w:lang w:val="ro-MD"/>
        </w:rPr>
        <w:t xml:space="preserve"> audit, se menționează că MF a asigurat conformitatea managementului datoriei de stat, garanțiilor de stat și r</w:t>
      </w:r>
      <w:r w:rsidR="00BD0C06" w:rsidRPr="000D19A7">
        <w:rPr>
          <w:rFonts w:ascii="Times New Roman" w:hAnsi="Times New Roman" w:cs="Times New Roman"/>
          <w:lang w:val="ro-MD"/>
        </w:rPr>
        <w:t>ecreditării de stat în anul 2023</w:t>
      </w:r>
      <w:r w:rsidR="00B62FC3" w:rsidRPr="000D19A7">
        <w:rPr>
          <w:rFonts w:ascii="Times New Roman" w:hAnsi="Times New Roman" w:cs="Times New Roman"/>
          <w:lang w:val="ro-MD"/>
        </w:rPr>
        <w:t>, totodată fiind identificate și unele problematici,</w:t>
      </w:r>
      <w:r w:rsidR="00E44497" w:rsidRPr="000D19A7">
        <w:rPr>
          <w:rFonts w:ascii="Times New Roman" w:hAnsi="Times New Roman" w:cs="Times New Roman"/>
          <w:lang w:val="ro-MD"/>
        </w:rPr>
        <w:t xml:space="preserve"> </w:t>
      </w:r>
      <w:r w:rsidR="00BD0C06" w:rsidRPr="000D19A7">
        <w:rPr>
          <w:rFonts w:ascii="Times New Roman" w:hAnsi="Times New Roman" w:cs="Times New Roman"/>
          <w:lang w:val="ro-MD"/>
        </w:rPr>
        <w:t xml:space="preserve">care </w:t>
      </w:r>
      <w:r w:rsidR="00771F90" w:rsidRPr="000D19A7">
        <w:rPr>
          <w:rFonts w:ascii="Times New Roman" w:hAnsi="Times New Roman" w:cs="Times New Roman"/>
          <w:lang w:val="ro-MD"/>
        </w:rPr>
        <w:t xml:space="preserve">se referă la: </w:t>
      </w:r>
      <w:r w:rsidR="00DC507D" w:rsidRPr="000D19A7">
        <w:rPr>
          <w:rFonts w:ascii="Times New Roman" w:hAnsi="Times New Roman" w:cs="Times New Roman"/>
          <w:lang w:val="ro-MD"/>
        </w:rPr>
        <w:t>tergiversarea procesului de implementare a platformei de tranzacționare în mod direct a valorilor mobiliare de stat de către persoanele fizice; restituirea lentă a obligațiunilor față de bugetul de stat de către băncile aflate în proces de lichidare; creșterea soldurilor datoriei debitorilor garantați și beneficiarilor recreditați pentru împrumuturile interne și externe, care include și datoria cu termenul de achitare expirat și care, în mare parte, este nerecuperabilă; activarea deja a 8 garanții</w:t>
      </w:r>
      <w:r w:rsidR="00603D93" w:rsidRPr="000D19A7">
        <w:rPr>
          <w:rFonts w:ascii="Times New Roman" w:hAnsi="Times New Roman" w:cs="Times New Roman"/>
          <w:lang w:val="ro-MD"/>
        </w:rPr>
        <w:t xml:space="preserve"> de stat</w:t>
      </w:r>
      <w:r w:rsidR="00DC507D" w:rsidRPr="000D19A7">
        <w:rPr>
          <w:rFonts w:ascii="Times New Roman" w:hAnsi="Times New Roman" w:cs="Times New Roman"/>
          <w:lang w:val="ro-MD"/>
        </w:rPr>
        <w:t xml:space="preserve"> în cadrul Programului de stat „Prima casă”; imposibilitatea rambursării </w:t>
      </w:r>
      <w:r w:rsidR="00603D93" w:rsidRPr="000D19A7">
        <w:rPr>
          <w:rFonts w:ascii="Times New Roman" w:hAnsi="Times New Roman" w:cs="Times New Roman"/>
          <w:lang w:val="ro-MD"/>
        </w:rPr>
        <w:t xml:space="preserve">în termen a </w:t>
      </w:r>
      <w:r w:rsidR="00DC507D" w:rsidRPr="000D19A7">
        <w:rPr>
          <w:rFonts w:ascii="Times New Roman" w:hAnsi="Times New Roman" w:cs="Times New Roman"/>
          <w:lang w:val="ro-MD"/>
        </w:rPr>
        <w:t>unei datorii externe, ca urmare a unor factori obiectivi care nu au depins de Republica Moldova. În acest</w:t>
      </w:r>
      <w:r w:rsidR="00BD0C06" w:rsidRPr="000D19A7">
        <w:rPr>
          <w:rFonts w:ascii="Times New Roman" w:hAnsi="Times New Roman" w:cs="Times New Roman"/>
          <w:lang w:val="ro-MD"/>
        </w:rPr>
        <w:t xml:space="preserve"> </w:t>
      </w:r>
      <w:r w:rsidR="00E44497" w:rsidRPr="000D19A7">
        <w:rPr>
          <w:rFonts w:ascii="Times New Roman" w:hAnsi="Times New Roman" w:cs="Times New Roman"/>
          <w:color w:val="000000" w:themeColor="text1"/>
          <w:lang w:val="ro-MD"/>
        </w:rPr>
        <w:t>contex</w:t>
      </w:r>
      <w:r w:rsidR="00B62FC3" w:rsidRPr="000D19A7">
        <w:rPr>
          <w:rFonts w:ascii="Times New Roman" w:hAnsi="Times New Roman" w:cs="Times New Roman"/>
          <w:color w:val="000000" w:themeColor="text1"/>
          <w:lang w:val="ro-MD"/>
        </w:rPr>
        <w:t>t</w:t>
      </w:r>
      <w:r w:rsidR="00DC507D" w:rsidRPr="000D19A7">
        <w:rPr>
          <w:rFonts w:ascii="Times New Roman" w:hAnsi="Times New Roman" w:cs="Times New Roman"/>
          <w:color w:val="000000" w:themeColor="text1"/>
          <w:lang w:val="ro-MD"/>
        </w:rPr>
        <w:t>,</w:t>
      </w:r>
      <w:r w:rsidR="004810ED" w:rsidRPr="000D19A7">
        <w:rPr>
          <w:rFonts w:ascii="Times New Roman" w:hAnsi="Times New Roman" w:cs="Times New Roman"/>
          <w:color w:val="000000" w:themeColor="text1"/>
          <w:lang w:val="ro-MD"/>
        </w:rPr>
        <w:t xml:space="preserve"> auditul public extern</w:t>
      </w:r>
      <w:r w:rsidR="00B62FC3" w:rsidRPr="000D19A7">
        <w:rPr>
          <w:rFonts w:ascii="Times New Roman" w:hAnsi="Times New Roman" w:cs="Times New Roman"/>
          <w:color w:val="000000" w:themeColor="text1"/>
          <w:lang w:val="ro-MD"/>
        </w:rPr>
        <w:t xml:space="preserve"> menționează despre necesitatea consolidării </w:t>
      </w:r>
      <w:r w:rsidR="00BD0C06" w:rsidRPr="000D19A7">
        <w:rPr>
          <w:rFonts w:ascii="Times New Roman" w:hAnsi="Times New Roman" w:cs="Times New Roman"/>
          <w:color w:val="000000" w:themeColor="text1"/>
          <w:lang w:val="ro-MD"/>
        </w:rPr>
        <w:t xml:space="preserve">în continuare a </w:t>
      </w:r>
      <w:r w:rsidR="00B62FC3" w:rsidRPr="000D19A7">
        <w:rPr>
          <w:rFonts w:ascii="Times New Roman" w:hAnsi="Times New Roman" w:cs="Times New Roman"/>
          <w:color w:val="000000" w:themeColor="text1"/>
          <w:lang w:val="ro-MD"/>
        </w:rPr>
        <w:t xml:space="preserve">managementului de supraveghere și monitorizare a portofoliului </w:t>
      </w:r>
      <w:r w:rsidR="00E80A1F" w:rsidRPr="000D19A7">
        <w:rPr>
          <w:rFonts w:ascii="Times New Roman" w:hAnsi="Times New Roman" w:cs="Times New Roman"/>
          <w:color w:val="000000" w:themeColor="text1"/>
          <w:lang w:val="ro-MD"/>
        </w:rPr>
        <w:t>datoriei, riscului ratei de dobâ</w:t>
      </w:r>
      <w:r w:rsidR="00B62FC3" w:rsidRPr="000D19A7">
        <w:rPr>
          <w:rFonts w:ascii="Times New Roman" w:hAnsi="Times New Roman" w:cs="Times New Roman"/>
          <w:color w:val="000000" w:themeColor="text1"/>
          <w:lang w:val="ro-MD"/>
        </w:rPr>
        <w:t xml:space="preserve">ndă </w:t>
      </w:r>
      <w:r w:rsidR="00213C0B" w:rsidRPr="000D19A7">
        <w:rPr>
          <w:rFonts w:ascii="Times New Roman" w:hAnsi="Times New Roman" w:cs="Times New Roman"/>
          <w:color w:val="000000" w:themeColor="text1"/>
          <w:lang w:val="ro-MD"/>
        </w:rPr>
        <w:t xml:space="preserve">și </w:t>
      </w:r>
      <w:r w:rsidR="004B3E3B" w:rsidRPr="000D19A7">
        <w:rPr>
          <w:rFonts w:ascii="Times New Roman" w:hAnsi="Times New Roman" w:cs="Times New Roman"/>
          <w:color w:val="000000" w:themeColor="text1"/>
          <w:lang w:val="ro-MD"/>
        </w:rPr>
        <w:t xml:space="preserve">riscului </w:t>
      </w:r>
      <w:r w:rsidR="00213C0B" w:rsidRPr="000D19A7">
        <w:rPr>
          <w:rFonts w:ascii="Times New Roman" w:hAnsi="Times New Roman" w:cs="Times New Roman"/>
          <w:color w:val="000000" w:themeColor="text1"/>
          <w:lang w:val="ro-MD"/>
        </w:rPr>
        <w:t>valu</w:t>
      </w:r>
      <w:r w:rsidR="00E80A1F" w:rsidRPr="000D19A7">
        <w:rPr>
          <w:rFonts w:ascii="Times New Roman" w:hAnsi="Times New Roman" w:cs="Times New Roman"/>
          <w:color w:val="000000" w:themeColor="text1"/>
          <w:lang w:val="ro-MD"/>
        </w:rPr>
        <w:t>t</w:t>
      </w:r>
      <w:r w:rsidR="00213C0B" w:rsidRPr="000D19A7">
        <w:rPr>
          <w:rFonts w:ascii="Times New Roman" w:hAnsi="Times New Roman" w:cs="Times New Roman"/>
          <w:color w:val="000000" w:themeColor="text1"/>
          <w:lang w:val="ro-MD"/>
        </w:rPr>
        <w:t xml:space="preserve">ar, </w:t>
      </w:r>
      <w:r w:rsidR="00A70F3F" w:rsidRPr="000D19A7">
        <w:rPr>
          <w:rFonts w:ascii="Times New Roman" w:hAnsi="Times New Roman" w:cs="Times New Roman"/>
          <w:color w:val="000000" w:themeColor="text1"/>
          <w:lang w:val="ro-MD"/>
        </w:rPr>
        <w:t>pentru</w:t>
      </w:r>
      <w:r w:rsidR="00213C0B" w:rsidRPr="000D19A7">
        <w:rPr>
          <w:rFonts w:ascii="Times New Roman" w:hAnsi="Times New Roman" w:cs="Times New Roman"/>
          <w:color w:val="000000" w:themeColor="text1"/>
          <w:lang w:val="ro-MD"/>
        </w:rPr>
        <w:t xml:space="preserve"> evit</w:t>
      </w:r>
      <w:r w:rsidR="00A70F3F" w:rsidRPr="000D19A7">
        <w:rPr>
          <w:rFonts w:ascii="Times New Roman" w:hAnsi="Times New Roman" w:cs="Times New Roman"/>
          <w:color w:val="000000" w:themeColor="text1"/>
          <w:lang w:val="ro-MD"/>
        </w:rPr>
        <w:t>area</w:t>
      </w:r>
      <w:r w:rsidR="00213C0B" w:rsidRPr="000D19A7">
        <w:rPr>
          <w:rFonts w:ascii="Times New Roman" w:hAnsi="Times New Roman" w:cs="Times New Roman"/>
          <w:color w:val="000000" w:themeColor="text1"/>
          <w:lang w:val="ro-MD"/>
        </w:rPr>
        <w:t xml:space="preserve"> riscurilor financiare adiționale pentru bugetul de stat.</w:t>
      </w:r>
    </w:p>
    <w:p w14:paraId="37C16CA2" w14:textId="5ED887BB" w:rsidR="00610B65" w:rsidRPr="000D19A7" w:rsidRDefault="00610B65" w:rsidP="00946026">
      <w:pPr>
        <w:spacing w:line="276" w:lineRule="auto"/>
        <w:jc w:val="both"/>
        <w:rPr>
          <w:rFonts w:ascii="Times New Roman" w:hAnsi="Times New Roman" w:cs="Times New Roman"/>
          <w:lang w:val="ro-MD"/>
        </w:rPr>
      </w:pPr>
      <w:r w:rsidRPr="000D19A7">
        <w:rPr>
          <w:rFonts w:ascii="Times New Roman" w:hAnsi="Times New Roman" w:cs="Times New Roman"/>
          <w:lang w:val="ro-MD"/>
        </w:rPr>
        <w:t xml:space="preserve">Constatările </w:t>
      </w:r>
      <w:r w:rsidR="00603D93" w:rsidRPr="000D19A7">
        <w:rPr>
          <w:rFonts w:ascii="Times New Roman" w:hAnsi="Times New Roman" w:cs="Times New Roman"/>
          <w:lang w:val="ro-MD"/>
        </w:rPr>
        <w:t>consemnate în proiectul</w:t>
      </w:r>
      <w:r w:rsidRPr="000D19A7">
        <w:rPr>
          <w:rFonts w:ascii="Times New Roman" w:hAnsi="Times New Roman" w:cs="Times New Roman"/>
          <w:lang w:val="ro-MD"/>
        </w:rPr>
        <w:t xml:space="preserve"> </w:t>
      </w:r>
      <w:r w:rsidR="00603D93" w:rsidRPr="000D19A7">
        <w:rPr>
          <w:rFonts w:ascii="Times New Roman" w:hAnsi="Times New Roman" w:cs="Times New Roman"/>
          <w:lang w:val="ro-MD"/>
        </w:rPr>
        <w:t>R</w:t>
      </w:r>
      <w:r w:rsidR="00B94E6B" w:rsidRPr="000D19A7">
        <w:rPr>
          <w:rFonts w:ascii="Times New Roman" w:hAnsi="Times New Roman" w:cs="Times New Roman"/>
          <w:lang w:val="ro-MD"/>
        </w:rPr>
        <w:t>aport</w:t>
      </w:r>
      <w:r w:rsidR="00603D93" w:rsidRPr="000D19A7">
        <w:rPr>
          <w:rFonts w:ascii="Times New Roman" w:hAnsi="Times New Roman" w:cs="Times New Roman"/>
          <w:lang w:val="ro-MD"/>
        </w:rPr>
        <w:t>ului</w:t>
      </w:r>
      <w:r w:rsidR="00B94E6B" w:rsidRPr="000D19A7">
        <w:rPr>
          <w:rFonts w:ascii="Times New Roman" w:hAnsi="Times New Roman" w:cs="Times New Roman"/>
          <w:lang w:val="ro-MD"/>
        </w:rPr>
        <w:t xml:space="preserve"> de </w:t>
      </w:r>
      <w:r w:rsidRPr="000D19A7">
        <w:rPr>
          <w:rFonts w:ascii="Times New Roman" w:hAnsi="Times New Roman" w:cs="Times New Roman"/>
          <w:lang w:val="ro-MD"/>
        </w:rPr>
        <w:t xml:space="preserve">audit au fost aduse la cunoștința conducerii MF, </w:t>
      </w:r>
      <w:r w:rsidR="00603D93" w:rsidRPr="000D19A7">
        <w:rPr>
          <w:rFonts w:ascii="Times New Roman" w:hAnsi="Times New Roman" w:cs="Times New Roman"/>
          <w:lang w:val="ro-MD"/>
        </w:rPr>
        <w:t>care le-a acceptat</w:t>
      </w:r>
      <w:r w:rsidRPr="000D19A7">
        <w:rPr>
          <w:rFonts w:ascii="Times New Roman" w:hAnsi="Times New Roman" w:cs="Times New Roman"/>
          <w:lang w:val="ro-MD"/>
        </w:rPr>
        <w:t xml:space="preserve">, </w:t>
      </w:r>
      <w:r w:rsidR="00603D93" w:rsidRPr="000D19A7">
        <w:rPr>
          <w:rFonts w:ascii="Times New Roman" w:hAnsi="Times New Roman" w:cs="Times New Roman"/>
          <w:lang w:val="ro-MD"/>
        </w:rPr>
        <w:t xml:space="preserve">iar </w:t>
      </w:r>
      <w:r w:rsidRPr="000D19A7">
        <w:rPr>
          <w:rFonts w:ascii="Times New Roman" w:hAnsi="Times New Roman" w:cs="Times New Roman"/>
          <w:lang w:val="ro-MD"/>
        </w:rPr>
        <w:t>recomandările înaintate, menite să remedieze deficiențele enunțate în prezentul Raport de audit, au fost acceptate de către entitățile supuse audit</w:t>
      </w:r>
      <w:r w:rsidR="00603D93" w:rsidRPr="000D19A7">
        <w:rPr>
          <w:rFonts w:ascii="Times New Roman" w:hAnsi="Times New Roman" w:cs="Times New Roman"/>
          <w:lang w:val="ro-MD"/>
        </w:rPr>
        <w:t>ării</w:t>
      </w:r>
      <w:r w:rsidRPr="000D19A7">
        <w:rPr>
          <w:rFonts w:ascii="Times New Roman" w:hAnsi="Times New Roman" w:cs="Times New Roman"/>
          <w:lang w:val="ro-MD"/>
        </w:rPr>
        <w:t xml:space="preserve"> și recunoscute ca realizabile.</w:t>
      </w:r>
    </w:p>
    <w:p w14:paraId="4283D1AC" w14:textId="1531A89A" w:rsidR="00D32CAC" w:rsidRPr="000D19A7" w:rsidRDefault="00D32CAC" w:rsidP="00F63360">
      <w:pPr>
        <w:keepNext/>
        <w:keepLines/>
        <w:numPr>
          <w:ilvl w:val="0"/>
          <w:numId w:val="12"/>
        </w:numPr>
        <w:tabs>
          <w:tab w:val="left" w:pos="567"/>
          <w:tab w:val="left" w:pos="709"/>
        </w:tabs>
        <w:spacing w:before="240" w:after="0" w:line="276" w:lineRule="auto"/>
        <w:ind w:left="0" w:firstLine="0"/>
        <w:jc w:val="both"/>
        <w:outlineLvl w:val="0"/>
        <w:rPr>
          <w:rFonts w:ascii="Times New Roman" w:eastAsiaTheme="majorEastAsia" w:hAnsi="Times New Roman" w:cs="Times New Roman"/>
          <w:b/>
          <w:sz w:val="28"/>
          <w:szCs w:val="32"/>
          <w:lang w:val="ro-MD"/>
        </w:rPr>
      </w:pPr>
      <w:bookmarkStart w:id="22" w:name="_Toc47012288"/>
      <w:bookmarkStart w:id="23" w:name="_Toc103773627"/>
      <w:bookmarkStart w:id="24" w:name="_Toc168321555"/>
      <w:r w:rsidRPr="000D19A7">
        <w:rPr>
          <w:rFonts w:ascii="Times New Roman" w:eastAsiaTheme="majorEastAsia" w:hAnsi="Times New Roman" w:cs="Times New Roman"/>
          <w:b/>
          <w:sz w:val="28"/>
          <w:szCs w:val="32"/>
          <w:lang w:val="ro-MD"/>
        </w:rPr>
        <w:t>RECOMANDĂRI MINISTERULUI FINANȚELOR</w:t>
      </w:r>
      <w:bookmarkEnd w:id="22"/>
      <w:bookmarkEnd w:id="23"/>
      <w:bookmarkEnd w:id="24"/>
    </w:p>
    <w:p w14:paraId="561F1B06" w14:textId="698D775A" w:rsidR="00F63360" w:rsidRPr="000D19A7" w:rsidRDefault="00F63360" w:rsidP="00171FFB">
      <w:pPr>
        <w:pStyle w:val="a7"/>
        <w:numPr>
          <w:ilvl w:val="3"/>
          <w:numId w:val="12"/>
        </w:numPr>
        <w:ind w:left="0" w:firstLine="0"/>
        <w:jc w:val="both"/>
        <w:rPr>
          <w:rFonts w:ascii="Times New Roman" w:hAnsi="Times New Roman" w:cs="Times New Roman"/>
          <w:lang w:val="ro-MD"/>
        </w:rPr>
      </w:pPr>
      <w:r w:rsidRPr="000D19A7">
        <w:rPr>
          <w:rFonts w:ascii="Times New Roman" w:hAnsi="Times New Roman" w:cs="Times New Roman"/>
          <w:lang w:val="ro-MD"/>
        </w:rPr>
        <w:t>Să asigure în continuare, în comun cu organele de competență, intensificarea măsurilor rezultative de responsabilizare a beneficiarilor garantați și recreditați, în vederea recuperării la bugetul de stat a datoriilor, în special a datoriilor cu termenul de achitare expirat (reiterată) (pct. 4.2.2</w:t>
      </w:r>
      <w:r w:rsidR="00603D93" w:rsidRPr="000D19A7">
        <w:rPr>
          <w:rFonts w:ascii="Times New Roman" w:hAnsi="Times New Roman" w:cs="Times New Roman"/>
          <w:lang w:val="ro-MD"/>
        </w:rPr>
        <w:t>.</w:t>
      </w:r>
      <w:r w:rsidRPr="000D19A7">
        <w:rPr>
          <w:rFonts w:ascii="Times New Roman" w:hAnsi="Times New Roman" w:cs="Times New Roman"/>
          <w:lang w:val="ro-MD"/>
        </w:rPr>
        <w:t xml:space="preserve"> și pct. 4.3.1</w:t>
      </w:r>
      <w:r w:rsidR="00603D93" w:rsidRPr="000D19A7">
        <w:rPr>
          <w:rFonts w:ascii="Times New Roman" w:hAnsi="Times New Roman" w:cs="Times New Roman"/>
          <w:lang w:val="ro-MD"/>
        </w:rPr>
        <w:t>.</w:t>
      </w:r>
      <w:r w:rsidRPr="000D19A7">
        <w:rPr>
          <w:rFonts w:ascii="Times New Roman" w:hAnsi="Times New Roman" w:cs="Times New Roman"/>
          <w:lang w:val="ro-MD"/>
        </w:rPr>
        <w:t>);</w:t>
      </w:r>
    </w:p>
    <w:p w14:paraId="577E8D3A" w14:textId="06160CCD" w:rsidR="000D19A7" w:rsidRPr="00946032" w:rsidRDefault="00F63360" w:rsidP="00937185">
      <w:pPr>
        <w:pStyle w:val="a7"/>
        <w:numPr>
          <w:ilvl w:val="3"/>
          <w:numId w:val="12"/>
        </w:numPr>
        <w:tabs>
          <w:tab w:val="left" w:pos="709"/>
        </w:tabs>
        <w:ind w:left="0" w:firstLine="0"/>
        <w:jc w:val="both"/>
        <w:rPr>
          <w:lang w:val="ro-MD"/>
        </w:rPr>
      </w:pPr>
      <w:r w:rsidRPr="000D19A7">
        <w:rPr>
          <w:rFonts w:ascii="Times New Roman" w:hAnsi="Times New Roman" w:cs="Times New Roman"/>
          <w:lang w:val="ro-MD"/>
        </w:rPr>
        <w:t>Să asigure monitorizarea situației aferente datoriei de stat externe care în condițiile actuale este imposibil de achitat</w:t>
      </w:r>
      <w:r w:rsidR="00603D93" w:rsidRPr="000D19A7">
        <w:rPr>
          <w:rFonts w:ascii="Times New Roman" w:hAnsi="Times New Roman" w:cs="Times New Roman"/>
          <w:lang w:val="ro-MD"/>
        </w:rPr>
        <w:t>,</w:t>
      </w:r>
      <w:r w:rsidRPr="000D19A7">
        <w:rPr>
          <w:rFonts w:ascii="Times New Roman" w:hAnsi="Times New Roman" w:cs="Times New Roman"/>
          <w:lang w:val="ro-MD"/>
        </w:rPr>
        <w:t xml:space="preserve"> din motive ce nu depind de Republica Moldova (reiterată) (pct. 4.1.5</w:t>
      </w:r>
      <w:r w:rsidR="00603D93" w:rsidRPr="000D19A7">
        <w:rPr>
          <w:rFonts w:ascii="Times New Roman" w:hAnsi="Times New Roman" w:cs="Times New Roman"/>
          <w:lang w:val="ro-MD"/>
        </w:rPr>
        <w:t>.</w:t>
      </w:r>
      <w:r w:rsidR="00946032">
        <w:rPr>
          <w:rFonts w:ascii="Times New Roman" w:hAnsi="Times New Roman" w:cs="Times New Roman"/>
          <w:lang w:val="ro-MD"/>
        </w:rPr>
        <w:t>).</w:t>
      </w:r>
    </w:p>
    <w:p w14:paraId="11D043E8" w14:textId="49665E6E" w:rsidR="00946032" w:rsidRPr="00AF1D32" w:rsidRDefault="00946032" w:rsidP="00946032">
      <w:pPr>
        <w:tabs>
          <w:tab w:val="left" w:pos="709"/>
        </w:tabs>
        <w:jc w:val="both"/>
        <w:rPr>
          <w:sz w:val="16"/>
          <w:szCs w:val="16"/>
          <w:lang w:val="ro-MD"/>
        </w:rPr>
      </w:pPr>
    </w:p>
    <w:p w14:paraId="695C23BA" w14:textId="485FCBDF" w:rsidR="00D014CC" w:rsidRPr="000D19A7" w:rsidRDefault="00CB5311" w:rsidP="00EB6DDC">
      <w:pPr>
        <w:pStyle w:val="1"/>
        <w:numPr>
          <w:ilvl w:val="0"/>
          <w:numId w:val="0"/>
        </w:numPr>
        <w:spacing w:line="276" w:lineRule="auto"/>
        <w:jc w:val="both"/>
        <w:rPr>
          <w:rFonts w:ascii="Times New Roman" w:hAnsi="Times New Roman" w:cs="Times New Roman"/>
          <w:lang w:val="ro-MD" w:eastAsia="ru-RU"/>
        </w:rPr>
      </w:pPr>
      <w:bookmarkStart w:id="25" w:name="_Toc168321556"/>
      <w:r w:rsidRPr="000D19A7">
        <w:rPr>
          <w:rFonts w:ascii="Times New Roman" w:hAnsi="Times New Roman" w:cs="Times New Roman"/>
          <w:lang w:val="ro-MD" w:eastAsia="ru-RU"/>
        </w:rPr>
        <w:t xml:space="preserve">Semnăturile echipei </w:t>
      </w:r>
      <w:r w:rsidR="00D4004B" w:rsidRPr="000D19A7">
        <w:rPr>
          <w:rFonts w:ascii="Times New Roman" w:hAnsi="Times New Roman" w:cs="Times New Roman"/>
          <w:lang w:val="ro-MD" w:eastAsia="ru-RU"/>
        </w:rPr>
        <w:t>misiunii de audit</w:t>
      </w:r>
      <w:bookmarkEnd w:id="25"/>
    </w:p>
    <w:p w14:paraId="0F54CC1E" w14:textId="77777777" w:rsidR="009C7EEF" w:rsidRPr="000D19A7" w:rsidRDefault="009C7EEF" w:rsidP="00946026">
      <w:pPr>
        <w:spacing w:after="0" w:line="276" w:lineRule="auto"/>
        <w:jc w:val="both"/>
        <w:rPr>
          <w:rFonts w:ascii="Times New Roman" w:hAnsi="Times New Roman" w:cs="Times New Roman"/>
          <w:b/>
          <w:szCs w:val="24"/>
          <w:lang w:val="ro-MD" w:eastAsia="ru-RU"/>
        </w:rPr>
      </w:pPr>
    </w:p>
    <w:p w14:paraId="0ED3943A" w14:textId="4905318F" w:rsidR="00D014CC" w:rsidRPr="000D19A7" w:rsidRDefault="000C11DB" w:rsidP="00946026">
      <w:pPr>
        <w:spacing w:after="0" w:line="276" w:lineRule="auto"/>
        <w:jc w:val="both"/>
        <w:rPr>
          <w:rFonts w:ascii="Times New Roman" w:hAnsi="Times New Roman" w:cs="Times New Roman"/>
          <w:b/>
          <w:szCs w:val="24"/>
          <w:lang w:val="ro-MD" w:eastAsia="ru-RU"/>
        </w:rPr>
      </w:pPr>
      <w:r w:rsidRPr="000D19A7">
        <w:rPr>
          <w:rFonts w:ascii="Times New Roman" w:hAnsi="Times New Roman" w:cs="Times New Roman"/>
          <w:b/>
          <w:szCs w:val="24"/>
          <w:lang w:val="ro-MD" w:eastAsia="ru-RU"/>
        </w:rPr>
        <w:t>E</w:t>
      </w:r>
      <w:r w:rsidR="00D014CC" w:rsidRPr="000D19A7">
        <w:rPr>
          <w:rFonts w:ascii="Times New Roman" w:hAnsi="Times New Roman" w:cs="Times New Roman"/>
          <w:b/>
          <w:szCs w:val="24"/>
          <w:lang w:val="ro-MD" w:eastAsia="ru-RU"/>
        </w:rPr>
        <w:t>chip</w:t>
      </w:r>
      <w:r w:rsidRPr="000D19A7">
        <w:rPr>
          <w:rFonts w:ascii="Times New Roman" w:hAnsi="Times New Roman" w:cs="Times New Roman"/>
          <w:b/>
          <w:szCs w:val="24"/>
          <w:lang w:val="ro-MD" w:eastAsia="ru-RU"/>
        </w:rPr>
        <w:t>a de audit:</w:t>
      </w:r>
    </w:p>
    <w:p w14:paraId="65EA3FFF" w14:textId="18ABDEA3" w:rsidR="00D014CC" w:rsidRPr="000D19A7" w:rsidRDefault="00430585" w:rsidP="00946026">
      <w:pPr>
        <w:spacing w:line="276" w:lineRule="auto"/>
        <w:jc w:val="both"/>
        <w:rPr>
          <w:rFonts w:ascii="Times New Roman" w:hAnsi="Times New Roman" w:cs="Times New Roman"/>
          <w:szCs w:val="24"/>
          <w:lang w:val="ro-MD" w:eastAsia="ru-RU"/>
        </w:rPr>
      </w:pPr>
      <w:r w:rsidRPr="000D19A7">
        <w:rPr>
          <w:rFonts w:ascii="Times New Roman" w:hAnsi="Times New Roman" w:cs="Times New Roman"/>
          <w:i/>
          <w:szCs w:val="24"/>
          <w:lang w:val="ro-MD" w:eastAsia="ru-RU"/>
        </w:rPr>
        <w:t>A</w:t>
      </w:r>
      <w:r w:rsidR="00D014CC" w:rsidRPr="000D19A7">
        <w:rPr>
          <w:rFonts w:ascii="Times New Roman" w:hAnsi="Times New Roman" w:cs="Times New Roman"/>
          <w:i/>
          <w:szCs w:val="24"/>
          <w:lang w:val="ro-MD" w:eastAsia="ru-RU"/>
        </w:rPr>
        <w:t>udito</w:t>
      </w:r>
      <w:r w:rsidR="00171438" w:rsidRPr="000D19A7">
        <w:rPr>
          <w:rFonts w:ascii="Times New Roman" w:hAnsi="Times New Roman" w:cs="Times New Roman"/>
          <w:i/>
          <w:szCs w:val="24"/>
          <w:lang w:val="ro-MD" w:eastAsia="ru-RU"/>
        </w:rPr>
        <w:t>a</w:t>
      </w:r>
      <w:r w:rsidR="00D014CC" w:rsidRPr="000D19A7">
        <w:rPr>
          <w:rFonts w:ascii="Times New Roman" w:hAnsi="Times New Roman" w:cs="Times New Roman"/>
          <w:i/>
          <w:szCs w:val="24"/>
          <w:lang w:val="ro-MD" w:eastAsia="ru-RU"/>
        </w:rPr>
        <w:t>r</w:t>
      </w:r>
      <w:r w:rsidR="00171438" w:rsidRPr="000D19A7">
        <w:rPr>
          <w:rFonts w:ascii="Times New Roman" w:hAnsi="Times New Roman" w:cs="Times New Roman"/>
          <w:i/>
          <w:szCs w:val="24"/>
          <w:lang w:val="ro-MD" w:eastAsia="ru-RU"/>
        </w:rPr>
        <w:t>e</w:t>
      </w:r>
      <w:r w:rsidR="00D014CC" w:rsidRPr="000D19A7">
        <w:rPr>
          <w:rFonts w:ascii="Times New Roman" w:hAnsi="Times New Roman" w:cs="Times New Roman"/>
          <w:i/>
          <w:szCs w:val="24"/>
          <w:lang w:val="ro-MD" w:eastAsia="ru-RU"/>
        </w:rPr>
        <w:t xml:space="preserve"> public</w:t>
      </w:r>
      <w:r w:rsidR="00171438" w:rsidRPr="000D19A7">
        <w:rPr>
          <w:rFonts w:ascii="Times New Roman" w:hAnsi="Times New Roman" w:cs="Times New Roman"/>
          <w:i/>
          <w:szCs w:val="24"/>
          <w:lang w:val="ro-MD" w:eastAsia="ru-RU"/>
        </w:rPr>
        <w:t>ă</w:t>
      </w:r>
      <w:r w:rsidR="00D014CC" w:rsidRPr="000D19A7">
        <w:rPr>
          <w:rFonts w:ascii="Times New Roman" w:hAnsi="Times New Roman" w:cs="Times New Roman"/>
          <w:i/>
          <w:szCs w:val="24"/>
          <w:lang w:val="ro-MD" w:eastAsia="ru-RU"/>
        </w:rPr>
        <w:t xml:space="preserve"> principal</w:t>
      </w:r>
      <w:r w:rsidR="00171438" w:rsidRPr="000D19A7">
        <w:rPr>
          <w:rFonts w:ascii="Times New Roman" w:hAnsi="Times New Roman" w:cs="Times New Roman"/>
          <w:i/>
          <w:szCs w:val="24"/>
          <w:lang w:val="ro-MD" w:eastAsia="ru-RU"/>
        </w:rPr>
        <w:t>ă</w:t>
      </w:r>
      <w:r w:rsidR="00D014CC" w:rsidRPr="000D19A7">
        <w:rPr>
          <w:rFonts w:ascii="Times New Roman" w:hAnsi="Times New Roman" w:cs="Times New Roman"/>
          <w:szCs w:val="24"/>
          <w:lang w:val="ro-MD" w:eastAsia="ru-RU"/>
        </w:rPr>
        <w:t xml:space="preserve">, </w:t>
      </w:r>
      <w:r w:rsidR="000C11DB" w:rsidRPr="000D19A7">
        <w:rPr>
          <w:rFonts w:ascii="Times New Roman" w:hAnsi="Times New Roman" w:cs="Times New Roman"/>
          <w:i/>
          <w:szCs w:val="24"/>
          <w:lang w:val="ro-MD" w:eastAsia="ru-RU"/>
        </w:rPr>
        <w:t>șefa echipei de audit</w:t>
      </w:r>
      <w:r w:rsidR="00D014CC" w:rsidRPr="000D19A7">
        <w:rPr>
          <w:rFonts w:ascii="Times New Roman" w:hAnsi="Times New Roman" w:cs="Times New Roman"/>
          <w:i/>
          <w:szCs w:val="24"/>
          <w:lang w:val="ro-MD" w:eastAsia="ru-RU"/>
        </w:rPr>
        <w:t xml:space="preserve">                                           </w:t>
      </w:r>
      <w:r w:rsidR="000C11DB" w:rsidRPr="000D19A7">
        <w:rPr>
          <w:rFonts w:ascii="Times New Roman" w:hAnsi="Times New Roman" w:cs="Times New Roman"/>
          <w:i/>
          <w:szCs w:val="24"/>
          <w:lang w:val="ro-MD" w:eastAsia="ru-RU"/>
        </w:rPr>
        <w:t xml:space="preserve">  </w:t>
      </w:r>
      <w:r w:rsidR="00D014CC" w:rsidRPr="000D19A7">
        <w:rPr>
          <w:rFonts w:ascii="Times New Roman" w:hAnsi="Times New Roman" w:cs="Times New Roman"/>
          <w:b/>
          <w:i/>
          <w:szCs w:val="24"/>
          <w:lang w:val="ro-MD" w:eastAsia="ru-RU"/>
        </w:rPr>
        <w:t xml:space="preserve">  </w:t>
      </w:r>
      <w:r w:rsidR="0039709C" w:rsidRPr="000D19A7">
        <w:rPr>
          <w:rFonts w:ascii="Times New Roman" w:hAnsi="Times New Roman" w:cs="Times New Roman"/>
          <w:b/>
          <w:i/>
          <w:szCs w:val="24"/>
          <w:lang w:val="ro-MD" w:eastAsia="ru-RU"/>
        </w:rPr>
        <w:t>Tatiana Ailoi</w:t>
      </w:r>
    </w:p>
    <w:p w14:paraId="4397A70A" w14:textId="2300919C" w:rsidR="00430585" w:rsidRPr="000D19A7" w:rsidRDefault="00D014CC" w:rsidP="00946026">
      <w:pPr>
        <w:spacing w:line="276" w:lineRule="auto"/>
        <w:jc w:val="both"/>
        <w:rPr>
          <w:rFonts w:ascii="Times New Roman" w:hAnsi="Times New Roman" w:cs="Times New Roman"/>
          <w:b/>
          <w:i/>
          <w:szCs w:val="24"/>
          <w:lang w:val="ro-MD" w:eastAsia="ru-RU"/>
        </w:rPr>
      </w:pPr>
      <w:r w:rsidRPr="000D19A7">
        <w:rPr>
          <w:rFonts w:ascii="Times New Roman" w:hAnsi="Times New Roman" w:cs="Times New Roman"/>
          <w:i/>
          <w:szCs w:val="24"/>
          <w:lang w:val="ro-MD" w:eastAsia="ru-RU"/>
        </w:rPr>
        <w:t>Auditor public</w:t>
      </w:r>
      <w:r w:rsidR="000C11DB" w:rsidRPr="000D19A7">
        <w:rPr>
          <w:rFonts w:ascii="Times New Roman" w:hAnsi="Times New Roman" w:cs="Times New Roman"/>
          <w:szCs w:val="24"/>
          <w:lang w:val="ro-MD" w:eastAsia="ru-RU"/>
        </w:rPr>
        <w:t xml:space="preserve">  </w:t>
      </w:r>
      <w:r w:rsidRPr="000D19A7">
        <w:rPr>
          <w:rFonts w:ascii="Times New Roman" w:hAnsi="Times New Roman" w:cs="Times New Roman"/>
          <w:szCs w:val="24"/>
          <w:lang w:val="ro-MD" w:eastAsia="ru-RU"/>
        </w:rPr>
        <w:t xml:space="preserve">                                                                     </w:t>
      </w:r>
      <w:r w:rsidR="00BD0C06" w:rsidRPr="000D19A7">
        <w:rPr>
          <w:rFonts w:ascii="Times New Roman" w:hAnsi="Times New Roman" w:cs="Times New Roman"/>
          <w:szCs w:val="24"/>
          <w:lang w:val="ro-MD" w:eastAsia="ru-RU"/>
        </w:rPr>
        <w:t xml:space="preserve">           </w:t>
      </w:r>
      <w:r w:rsidRPr="000D19A7">
        <w:rPr>
          <w:rFonts w:ascii="Times New Roman" w:hAnsi="Times New Roman" w:cs="Times New Roman"/>
          <w:szCs w:val="24"/>
          <w:lang w:val="ro-MD" w:eastAsia="ru-RU"/>
        </w:rPr>
        <w:t xml:space="preserve">          </w:t>
      </w:r>
      <w:r w:rsidR="00171438" w:rsidRPr="000D19A7">
        <w:rPr>
          <w:rFonts w:ascii="Times New Roman" w:hAnsi="Times New Roman" w:cs="Times New Roman"/>
          <w:szCs w:val="24"/>
          <w:lang w:val="ro-MD" w:eastAsia="ru-RU"/>
        </w:rPr>
        <w:t xml:space="preserve">         </w:t>
      </w:r>
      <w:r w:rsidR="00BD0C06" w:rsidRPr="000D19A7">
        <w:rPr>
          <w:rFonts w:ascii="Times New Roman" w:hAnsi="Times New Roman" w:cs="Times New Roman"/>
          <w:b/>
          <w:i/>
          <w:szCs w:val="24"/>
          <w:lang w:val="ro-MD" w:eastAsia="ru-RU"/>
        </w:rPr>
        <w:t>Pavel Pisarenco</w:t>
      </w:r>
      <w:r w:rsidR="00430585" w:rsidRPr="000D19A7">
        <w:rPr>
          <w:rFonts w:ascii="Times New Roman" w:hAnsi="Times New Roman" w:cs="Times New Roman"/>
          <w:b/>
          <w:i/>
          <w:szCs w:val="24"/>
          <w:lang w:val="ro-MD" w:eastAsia="ru-RU"/>
        </w:rPr>
        <w:t xml:space="preserve">     </w:t>
      </w:r>
    </w:p>
    <w:p w14:paraId="54EEA5B4" w14:textId="0AA5002F" w:rsidR="00430585" w:rsidRPr="000D19A7" w:rsidRDefault="003B7242" w:rsidP="00946026">
      <w:pPr>
        <w:spacing w:after="0" w:line="276" w:lineRule="auto"/>
        <w:jc w:val="both"/>
        <w:rPr>
          <w:rFonts w:ascii="Times New Roman" w:hAnsi="Times New Roman" w:cs="Times New Roman"/>
          <w:b/>
          <w:szCs w:val="24"/>
          <w:lang w:val="ro-MD" w:eastAsia="ru-RU"/>
        </w:rPr>
      </w:pPr>
      <w:r w:rsidRPr="000D19A7">
        <w:rPr>
          <w:rFonts w:ascii="Times New Roman" w:hAnsi="Times New Roman" w:cs="Times New Roman"/>
          <w:b/>
          <w:szCs w:val="24"/>
          <w:lang w:val="ro-MD" w:eastAsia="ru-RU"/>
        </w:rPr>
        <w:t>Partenera misiunii</w:t>
      </w:r>
      <w:r w:rsidR="00D014CC" w:rsidRPr="000D19A7">
        <w:rPr>
          <w:rFonts w:ascii="Times New Roman" w:hAnsi="Times New Roman" w:cs="Times New Roman"/>
          <w:b/>
          <w:szCs w:val="24"/>
          <w:lang w:val="ro-MD" w:eastAsia="ru-RU"/>
        </w:rPr>
        <w:t>:</w:t>
      </w:r>
    </w:p>
    <w:p w14:paraId="21CC45D9" w14:textId="142D8085" w:rsidR="00B76817" w:rsidRPr="000D19A7" w:rsidRDefault="00D014CC" w:rsidP="00946026">
      <w:pPr>
        <w:spacing w:after="0" w:line="276" w:lineRule="auto"/>
        <w:jc w:val="both"/>
        <w:rPr>
          <w:rFonts w:ascii="Times New Roman" w:hAnsi="Times New Roman" w:cs="Times New Roman"/>
          <w:b/>
          <w:i/>
          <w:szCs w:val="24"/>
          <w:lang w:val="ro-MD" w:eastAsia="ru-RU"/>
        </w:rPr>
      </w:pPr>
      <w:r w:rsidRPr="000D19A7">
        <w:rPr>
          <w:rFonts w:ascii="Times New Roman" w:hAnsi="Times New Roman" w:cs="Times New Roman"/>
          <w:i/>
          <w:szCs w:val="24"/>
          <w:lang w:val="ro-MD" w:eastAsia="ru-RU"/>
        </w:rPr>
        <w:t>Șef</w:t>
      </w:r>
      <w:r w:rsidR="00171438" w:rsidRPr="000D19A7">
        <w:rPr>
          <w:rFonts w:ascii="Times New Roman" w:hAnsi="Times New Roman" w:cs="Times New Roman"/>
          <w:i/>
          <w:szCs w:val="24"/>
          <w:lang w:val="ro-MD" w:eastAsia="ru-RU"/>
        </w:rPr>
        <w:t>a</w:t>
      </w:r>
      <w:r w:rsidRPr="000D19A7">
        <w:rPr>
          <w:rFonts w:ascii="Times New Roman" w:hAnsi="Times New Roman" w:cs="Times New Roman"/>
          <w:i/>
          <w:szCs w:val="24"/>
          <w:lang w:val="ro-MD" w:eastAsia="ru-RU"/>
        </w:rPr>
        <w:t xml:space="preserve"> Direcției generale de audit I</w:t>
      </w:r>
      <w:r w:rsidR="00B8360C" w:rsidRPr="00B8360C">
        <w:rPr>
          <w:rFonts w:ascii="Times New Roman" w:hAnsi="Times New Roman" w:cs="Times New Roman"/>
          <w:i/>
          <w:szCs w:val="24"/>
          <w:lang w:val="ro-MD" w:eastAsia="ru-RU"/>
        </w:rPr>
        <w:t>: Buget</w:t>
      </w:r>
      <w:r w:rsidR="00C072E1">
        <w:rPr>
          <w:rFonts w:ascii="Times New Roman" w:hAnsi="Times New Roman" w:cs="Times New Roman"/>
          <w:i/>
          <w:szCs w:val="24"/>
          <w:lang w:val="ro-MD" w:eastAsia="ru-RU"/>
        </w:rPr>
        <w:t>ul</w:t>
      </w:r>
      <w:r w:rsidR="00B8360C" w:rsidRPr="00B8360C">
        <w:rPr>
          <w:rFonts w:ascii="Times New Roman" w:hAnsi="Times New Roman" w:cs="Times New Roman"/>
          <w:i/>
          <w:szCs w:val="24"/>
          <w:lang w:val="ro-MD" w:eastAsia="ru-RU"/>
        </w:rPr>
        <w:t xml:space="preserve"> de stat și APC</w:t>
      </w:r>
      <w:r w:rsidRPr="00B8360C">
        <w:rPr>
          <w:rFonts w:ascii="Times New Roman" w:hAnsi="Times New Roman" w:cs="Times New Roman"/>
          <w:i/>
          <w:szCs w:val="24"/>
          <w:lang w:val="ro-MD" w:eastAsia="ru-RU"/>
        </w:rPr>
        <w:t xml:space="preserve">                            </w:t>
      </w:r>
      <w:r w:rsidR="00C072E1">
        <w:rPr>
          <w:rFonts w:ascii="Times New Roman" w:hAnsi="Times New Roman" w:cs="Times New Roman"/>
          <w:i/>
          <w:szCs w:val="24"/>
          <w:lang w:val="ro-MD" w:eastAsia="ru-RU"/>
        </w:rPr>
        <w:t xml:space="preserve">     </w:t>
      </w:r>
      <w:r w:rsidR="00AC722B" w:rsidRPr="000D19A7">
        <w:rPr>
          <w:rFonts w:ascii="Times New Roman" w:hAnsi="Times New Roman" w:cs="Times New Roman"/>
          <w:b/>
          <w:i/>
          <w:szCs w:val="24"/>
          <w:lang w:val="ro-MD" w:eastAsia="ru-RU"/>
        </w:rPr>
        <w:t>Natalia Trofim</w:t>
      </w:r>
    </w:p>
    <w:p w14:paraId="72309279" w14:textId="7E835A4B" w:rsidR="00B76817" w:rsidRPr="000D19A7" w:rsidRDefault="00B76817" w:rsidP="00946026">
      <w:pPr>
        <w:spacing w:after="0" w:line="276" w:lineRule="auto"/>
        <w:jc w:val="both"/>
        <w:rPr>
          <w:rFonts w:ascii="Times New Roman" w:hAnsi="Times New Roman" w:cs="Times New Roman"/>
          <w:b/>
          <w:i/>
          <w:szCs w:val="24"/>
          <w:lang w:val="ro-MD" w:eastAsia="ru-RU"/>
        </w:rPr>
        <w:sectPr w:rsidR="00B76817" w:rsidRPr="000D19A7" w:rsidSect="00946026">
          <w:footerReference w:type="default" r:id="rId11"/>
          <w:pgSz w:w="11906" w:h="16838" w:code="9"/>
          <w:pgMar w:top="851" w:right="851" w:bottom="851" w:left="1701" w:header="720" w:footer="720" w:gutter="0"/>
          <w:cols w:space="720"/>
          <w:titlePg/>
          <w:docGrid w:linePitch="360"/>
        </w:sectPr>
      </w:pPr>
    </w:p>
    <w:p w14:paraId="4D1A1C54" w14:textId="6299D194" w:rsidR="006023D2" w:rsidRPr="000D19A7" w:rsidRDefault="006023D2" w:rsidP="00B76817">
      <w:pPr>
        <w:pStyle w:val="1"/>
        <w:numPr>
          <w:ilvl w:val="0"/>
          <w:numId w:val="0"/>
        </w:numPr>
        <w:spacing w:line="276" w:lineRule="auto"/>
        <w:jc w:val="right"/>
        <w:rPr>
          <w:rFonts w:ascii="Times New Roman" w:hAnsi="Times New Roman" w:cs="Times New Roman"/>
          <w:color w:val="000000" w:themeColor="text1"/>
          <w:lang w:val="ro-MD"/>
        </w:rPr>
      </w:pPr>
      <w:bookmarkStart w:id="26" w:name="_Toc47012289"/>
      <w:bookmarkStart w:id="27" w:name="_Toc168321557"/>
      <w:r w:rsidRPr="000D19A7">
        <w:rPr>
          <w:rFonts w:ascii="Times New Roman" w:hAnsi="Times New Roman" w:cs="Times New Roman"/>
          <w:color w:val="000000" w:themeColor="text1"/>
          <w:lang w:val="ro-MD"/>
        </w:rPr>
        <w:t>ANEXE</w:t>
      </w:r>
      <w:bookmarkEnd w:id="26"/>
      <w:bookmarkEnd w:id="27"/>
    </w:p>
    <w:p w14:paraId="4F223E68" w14:textId="11E9ED87" w:rsidR="00F640BF" w:rsidRPr="000D19A7" w:rsidRDefault="006023D2" w:rsidP="003127BB">
      <w:pPr>
        <w:pStyle w:val="3"/>
        <w:numPr>
          <w:ilvl w:val="0"/>
          <w:numId w:val="0"/>
        </w:numPr>
        <w:ind w:left="720" w:hanging="720"/>
        <w:jc w:val="right"/>
        <w:rPr>
          <w:rFonts w:ascii="Times New Roman" w:hAnsi="Times New Roman" w:cs="Times New Roman"/>
          <w:lang w:val="ro-MD"/>
          <w14:glow w14:rad="0">
            <w14:schemeClr w14:val="tx1"/>
          </w14:glow>
        </w:rPr>
      </w:pPr>
      <w:bookmarkStart w:id="28" w:name="_Toc168321558"/>
      <w:r w:rsidRPr="000D19A7">
        <w:rPr>
          <w:rFonts w:ascii="Times New Roman" w:hAnsi="Times New Roman" w:cs="Times New Roman"/>
          <w:lang w:val="ro-MD"/>
          <w14:glow w14:rad="0">
            <w14:schemeClr w14:val="tx1"/>
          </w14:glow>
        </w:rPr>
        <w:t>Anexa nr.1</w:t>
      </w:r>
      <w:bookmarkEnd w:id="28"/>
      <w:r w:rsidR="000E6486" w:rsidRPr="000D19A7">
        <w:rPr>
          <w:rFonts w:ascii="Times New Roman" w:hAnsi="Times New Roman" w:cs="Times New Roman"/>
          <w:lang w:val="ro-MD"/>
          <w14:glow w14:rad="0">
            <w14:schemeClr w14:val="tx1"/>
          </w14:glow>
        </w:rPr>
        <w:t xml:space="preserve"> </w:t>
      </w:r>
    </w:p>
    <w:tbl>
      <w:tblPr>
        <w:tblW w:w="15325" w:type="dxa"/>
        <w:tblLook w:val="04A0" w:firstRow="1" w:lastRow="0" w:firstColumn="1" w:lastColumn="0" w:noHBand="0" w:noVBand="1"/>
      </w:tblPr>
      <w:tblGrid>
        <w:gridCol w:w="3544"/>
        <w:gridCol w:w="1134"/>
        <w:gridCol w:w="1101"/>
        <w:gridCol w:w="955"/>
        <w:gridCol w:w="1058"/>
        <w:gridCol w:w="993"/>
        <w:gridCol w:w="992"/>
        <w:gridCol w:w="992"/>
        <w:gridCol w:w="1138"/>
        <w:gridCol w:w="993"/>
        <w:gridCol w:w="1132"/>
        <w:gridCol w:w="1258"/>
        <w:gridCol w:w="35"/>
      </w:tblGrid>
      <w:tr w:rsidR="00F640BF" w:rsidRPr="000D19A7" w14:paraId="7D40736F" w14:textId="77777777" w:rsidTr="00F15CE0">
        <w:trPr>
          <w:trHeight w:val="288"/>
        </w:trPr>
        <w:tc>
          <w:tcPr>
            <w:tcW w:w="15325" w:type="dxa"/>
            <w:gridSpan w:val="13"/>
            <w:tcBorders>
              <w:top w:val="nil"/>
              <w:left w:val="nil"/>
              <w:bottom w:val="nil"/>
              <w:right w:val="nil"/>
            </w:tcBorders>
            <w:shd w:val="clear" w:color="auto" w:fill="auto"/>
            <w:noWrap/>
            <w:vAlign w:val="bottom"/>
            <w:hideMark/>
          </w:tcPr>
          <w:p w14:paraId="5C928D38" w14:textId="77777777" w:rsidR="00F640BF" w:rsidRPr="000D19A7" w:rsidRDefault="00F640BF" w:rsidP="00F640BF">
            <w:pPr>
              <w:spacing w:after="0" w:line="240" w:lineRule="auto"/>
              <w:jc w:val="center"/>
              <w:rPr>
                <w:rFonts w:ascii="Times New Roman" w:eastAsia="Times New Roman" w:hAnsi="Times New Roman" w:cs="Times New Roman"/>
                <w:b/>
                <w:bCs/>
                <w:color w:val="000000"/>
                <w:szCs w:val="24"/>
              </w:rPr>
            </w:pPr>
            <w:r w:rsidRPr="000D19A7">
              <w:rPr>
                <w:rFonts w:ascii="Times New Roman" w:eastAsia="Times New Roman" w:hAnsi="Times New Roman" w:cs="Times New Roman"/>
                <w:b/>
                <w:bCs/>
                <w:color w:val="000000"/>
                <w:szCs w:val="24"/>
              </w:rPr>
              <w:t>Dinamica ratei anuale a dobânzii a valorilor mobiliare de stat</w:t>
            </w:r>
          </w:p>
        </w:tc>
      </w:tr>
      <w:tr w:rsidR="00F15CE0" w:rsidRPr="000D19A7" w14:paraId="00A33B63" w14:textId="77777777" w:rsidTr="00F15CE0">
        <w:trPr>
          <w:gridAfter w:val="1"/>
          <w:wAfter w:w="35" w:type="dxa"/>
          <w:trHeight w:val="288"/>
        </w:trPr>
        <w:tc>
          <w:tcPr>
            <w:tcW w:w="3544" w:type="dxa"/>
            <w:tcBorders>
              <w:top w:val="nil"/>
              <w:left w:val="nil"/>
              <w:bottom w:val="nil"/>
              <w:right w:val="nil"/>
            </w:tcBorders>
            <w:shd w:val="clear" w:color="auto" w:fill="auto"/>
            <w:noWrap/>
            <w:vAlign w:val="bottom"/>
            <w:hideMark/>
          </w:tcPr>
          <w:p w14:paraId="2C995E37"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12C0253F"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0619D61"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hideMark/>
          </w:tcPr>
          <w:p w14:paraId="6BDF749E"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14:paraId="7689BE44"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1D553410"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68BAF8F1"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67ED190E"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1138" w:type="dxa"/>
            <w:tcBorders>
              <w:top w:val="nil"/>
              <w:left w:val="nil"/>
              <w:bottom w:val="nil"/>
              <w:right w:val="nil"/>
            </w:tcBorders>
            <w:shd w:val="clear" w:color="auto" w:fill="auto"/>
            <w:noWrap/>
            <w:vAlign w:val="bottom"/>
            <w:hideMark/>
          </w:tcPr>
          <w:p w14:paraId="0DE71052"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7469D248"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14:paraId="1AB512B6" w14:textId="77777777" w:rsidR="00F640BF" w:rsidRPr="000D19A7" w:rsidRDefault="00F640BF" w:rsidP="00F640BF">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2F9BA204" w14:textId="77777777" w:rsidR="00F640BF" w:rsidRPr="000D19A7" w:rsidRDefault="00F640BF" w:rsidP="00F640BF">
            <w:pPr>
              <w:spacing w:after="0" w:line="240" w:lineRule="auto"/>
              <w:rPr>
                <w:rFonts w:ascii="Times New Roman" w:eastAsia="Times New Roman" w:hAnsi="Times New Roman" w:cs="Times New Roman"/>
                <w:sz w:val="20"/>
                <w:szCs w:val="20"/>
              </w:rPr>
            </w:pPr>
          </w:p>
        </w:tc>
      </w:tr>
      <w:tr w:rsidR="00F15CE0" w:rsidRPr="000D19A7" w14:paraId="286C36C9" w14:textId="77777777" w:rsidTr="00F15CE0">
        <w:trPr>
          <w:gridAfter w:val="1"/>
          <w:wAfter w:w="35" w:type="dxa"/>
          <w:trHeight w:val="288"/>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A06D4"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Perioada</w:t>
            </w:r>
          </w:p>
        </w:tc>
        <w:tc>
          <w:tcPr>
            <w:tcW w:w="31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54BFE5"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Bonuri de trezorerie</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252811C"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Obligațiuni de stat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FC0E4"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R.m.a.p</w:t>
            </w:r>
            <w:r w:rsidRPr="000D19A7">
              <w:rPr>
                <w:rFonts w:ascii="Times New Roman" w:eastAsia="Times New Roman" w:hAnsi="Times New Roman" w:cs="Times New Roman"/>
                <w:b/>
                <w:bCs/>
                <w:color w:val="000000"/>
                <w:sz w:val="20"/>
                <w:szCs w:val="20"/>
              </w:rPr>
              <w:br/>
              <w:t>lunară</w:t>
            </w:r>
          </w:p>
        </w:tc>
        <w:tc>
          <w:tcPr>
            <w:tcW w:w="23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079F03"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Rata de bază a BNM</w:t>
            </w:r>
          </w:p>
        </w:tc>
      </w:tr>
      <w:tr w:rsidR="00F640BF" w:rsidRPr="000D19A7" w14:paraId="44B91500" w14:textId="77777777" w:rsidTr="00F15CE0">
        <w:trPr>
          <w:gridAfter w:val="1"/>
          <w:wAfter w:w="35" w:type="dxa"/>
          <w:trHeight w:val="288"/>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A7E7331" w14:textId="77777777" w:rsidR="00F640BF" w:rsidRPr="000D19A7" w:rsidRDefault="00F640BF" w:rsidP="00F640BF">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40160527"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91 zile</w:t>
            </w:r>
          </w:p>
        </w:tc>
        <w:tc>
          <w:tcPr>
            <w:tcW w:w="1101" w:type="dxa"/>
            <w:tcBorders>
              <w:top w:val="nil"/>
              <w:left w:val="nil"/>
              <w:bottom w:val="single" w:sz="4" w:space="0" w:color="auto"/>
              <w:right w:val="single" w:sz="4" w:space="0" w:color="auto"/>
            </w:tcBorders>
            <w:shd w:val="clear" w:color="auto" w:fill="auto"/>
            <w:noWrap/>
            <w:vAlign w:val="bottom"/>
            <w:hideMark/>
          </w:tcPr>
          <w:p w14:paraId="27D087A8"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182 zile</w:t>
            </w:r>
          </w:p>
        </w:tc>
        <w:tc>
          <w:tcPr>
            <w:tcW w:w="955" w:type="dxa"/>
            <w:tcBorders>
              <w:top w:val="nil"/>
              <w:left w:val="nil"/>
              <w:bottom w:val="single" w:sz="4" w:space="0" w:color="auto"/>
              <w:right w:val="single" w:sz="4" w:space="0" w:color="auto"/>
            </w:tcBorders>
            <w:shd w:val="clear" w:color="auto" w:fill="auto"/>
            <w:noWrap/>
            <w:vAlign w:val="bottom"/>
            <w:hideMark/>
          </w:tcPr>
          <w:p w14:paraId="05F0ED62"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364 zile</w:t>
            </w:r>
          </w:p>
        </w:tc>
        <w:tc>
          <w:tcPr>
            <w:tcW w:w="1058" w:type="dxa"/>
            <w:tcBorders>
              <w:top w:val="nil"/>
              <w:left w:val="nil"/>
              <w:bottom w:val="single" w:sz="4" w:space="0" w:color="auto"/>
              <w:right w:val="single" w:sz="4" w:space="0" w:color="auto"/>
            </w:tcBorders>
            <w:shd w:val="clear" w:color="auto" w:fill="auto"/>
            <w:noWrap/>
            <w:vAlign w:val="bottom"/>
            <w:hideMark/>
          </w:tcPr>
          <w:p w14:paraId="06CF88AB"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 ani</w:t>
            </w:r>
          </w:p>
        </w:tc>
        <w:tc>
          <w:tcPr>
            <w:tcW w:w="993" w:type="dxa"/>
            <w:tcBorders>
              <w:top w:val="nil"/>
              <w:left w:val="nil"/>
              <w:bottom w:val="single" w:sz="4" w:space="0" w:color="auto"/>
              <w:right w:val="single" w:sz="4" w:space="0" w:color="auto"/>
            </w:tcBorders>
            <w:shd w:val="clear" w:color="auto" w:fill="auto"/>
            <w:noWrap/>
            <w:vAlign w:val="bottom"/>
            <w:hideMark/>
          </w:tcPr>
          <w:p w14:paraId="62BAC735"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3 ani</w:t>
            </w:r>
          </w:p>
        </w:tc>
        <w:tc>
          <w:tcPr>
            <w:tcW w:w="992" w:type="dxa"/>
            <w:tcBorders>
              <w:top w:val="nil"/>
              <w:left w:val="nil"/>
              <w:bottom w:val="single" w:sz="4" w:space="0" w:color="auto"/>
              <w:right w:val="single" w:sz="4" w:space="0" w:color="auto"/>
            </w:tcBorders>
            <w:shd w:val="clear" w:color="auto" w:fill="auto"/>
            <w:noWrap/>
            <w:vAlign w:val="bottom"/>
            <w:hideMark/>
          </w:tcPr>
          <w:p w14:paraId="32793A36"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 ani</w:t>
            </w:r>
          </w:p>
        </w:tc>
        <w:tc>
          <w:tcPr>
            <w:tcW w:w="992" w:type="dxa"/>
            <w:tcBorders>
              <w:top w:val="nil"/>
              <w:left w:val="nil"/>
              <w:bottom w:val="single" w:sz="4" w:space="0" w:color="auto"/>
              <w:right w:val="single" w:sz="4" w:space="0" w:color="auto"/>
            </w:tcBorders>
            <w:shd w:val="clear" w:color="auto" w:fill="auto"/>
            <w:noWrap/>
            <w:vAlign w:val="bottom"/>
            <w:hideMark/>
          </w:tcPr>
          <w:p w14:paraId="6FBAEA0E"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7 ani</w:t>
            </w:r>
          </w:p>
        </w:tc>
        <w:tc>
          <w:tcPr>
            <w:tcW w:w="1138" w:type="dxa"/>
            <w:tcBorders>
              <w:top w:val="nil"/>
              <w:left w:val="nil"/>
              <w:bottom w:val="single" w:sz="4" w:space="0" w:color="auto"/>
              <w:right w:val="single" w:sz="4" w:space="0" w:color="auto"/>
            </w:tcBorders>
            <w:shd w:val="clear" w:color="auto" w:fill="auto"/>
            <w:noWrap/>
            <w:vAlign w:val="bottom"/>
            <w:hideMark/>
          </w:tcPr>
          <w:p w14:paraId="70B1FD04"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10 ani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7446BE0" w14:textId="77777777" w:rsidR="00F640BF" w:rsidRPr="000D19A7" w:rsidRDefault="00F640BF" w:rsidP="00F640BF">
            <w:pPr>
              <w:spacing w:after="0" w:line="240" w:lineRule="auto"/>
              <w:rPr>
                <w:rFonts w:ascii="Times New Roman" w:eastAsia="Times New Roman" w:hAnsi="Times New Roman" w:cs="Times New Roman"/>
                <w:b/>
                <w:bCs/>
                <w:color w:val="000000"/>
                <w:sz w:val="20"/>
                <w:szCs w:val="20"/>
              </w:rPr>
            </w:pPr>
          </w:p>
        </w:tc>
        <w:tc>
          <w:tcPr>
            <w:tcW w:w="1132" w:type="dxa"/>
            <w:tcBorders>
              <w:top w:val="nil"/>
              <w:left w:val="nil"/>
              <w:bottom w:val="single" w:sz="4" w:space="0" w:color="auto"/>
              <w:right w:val="single" w:sz="4" w:space="0" w:color="auto"/>
            </w:tcBorders>
            <w:shd w:val="clear" w:color="auto" w:fill="auto"/>
            <w:noWrap/>
            <w:vAlign w:val="bottom"/>
            <w:hideMark/>
          </w:tcPr>
          <w:p w14:paraId="16EB6019"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w:t>
            </w:r>
          </w:p>
        </w:tc>
        <w:tc>
          <w:tcPr>
            <w:tcW w:w="1258" w:type="dxa"/>
            <w:tcBorders>
              <w:top w:val="nil"/>
              <w:left w:val="nil"/>
              <w:bottom w:val="single" w:sz="4" w:space="0" w:color="auto"/>
              <w:right w:val="single" w:sz="4" w:space="0" w:color="auto"/>
            </w:tcBorders>
            <w:shd w:val="clear" w:color="auto" w:fill="auto"/>
            <w:noWrap/>
            <w:vAlign w:val="bottom"/>
            <w:hideMark/>
          </w:tcPr>
          <w:p w14:paraId="5ED24BF6"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Data</w:t>
            </w:r>
          </w:p>
        </w:tc>
      </w:tr>
      <w:tr w:rsidR="00F15CE0" w:rsidRPr="000D19A7" w14:paraId="55FFB5A4"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B678BC7"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ianuarie</w:t>
            </w:r>
          </w:p>
        </w:tc>
        <w:tc>
          <w:tcPr>
            <w:tcW w:w="1134" w:type="dxa"/>
            <w:tcBorders>
              <w:top w:val="nil"/>
              <w:left w:val="nil"/>
              <w:bottom w:val="single" w:sz="4" w:space="0" w:color="auto"/>
              <w:right w:val="single" w:sz="4" w:space="0" w:color="auto"/>
            </w:tcBorders>
            <w:shd w:val="clear" w:color="auto" w:fill="auto"/>
            <w:noWrap/>
            <w:vAlign w:val="bottom"/>
            <w:hideMark/>
          </w:tcPr>
          <w:p w14:paraId="1E69FE8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17,42</w:t>
            </w:r>
          </w:p>
        </w:tc>
        <w:tc>
          <w:tcPr>
            <w:tcW w:w="1101" w:type="dxa"/>
            <w:tcBorders>
              <w:top w:val="nil"/>
              <w:left w:val="nil"/>
              <w:bottom w:val="single" w:sz="4" w:space="0" w:color="auto"/>
              <w:right w:val="single" w:sz="4" w:space="0" w:color="auto"/>
            </w:tcBorders>
            <w:shd w:val="clear" w:color="auto" w:fill="auto"/>
            <w:noWrap/>
            <w:vAlign w:val="bottom"/>
            <w:hideMark/>
          </w:tcPr>
          <w:p w14:paraId="635735F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16,38</w:t>
            </w:r>
          </w:p>
        </w:tc>
        <w:tc>
          <w:tcPr>
            <w:tcW w:w="955" w:type="dxa"/>
            <w:tcBorders>
              <w:top w:val="nil"/>
              <w:left w:val="nil"/>
              <w:bottom w:val="single" w:sz="4" w:space="0" w:color="auto"/>
              <w:right w:val="single" w:sz="4" w:space="0" w:color="auto"/>
            </w:tcBorders>
            <w:shd w:val="clear" w:color="auto" w:fill="auto"/>
            <w:noWrap/>
            <w:vAlign w:val="bottom"/>
            <w:hideMark/>
          </w:tcPr>
          <w:p w14:paraId="23BE67A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15,38</w:t>
            </w:r>
          </w:p>
        </w:tc>
        <w:tc>
          <w:tcPr>
            <w:tcW w:w="1058" w:type="dxa"/>
            <w:tcBorders>
              <w:top w:val="nil"/>
              <w:left w:val="nil"/>
              <w:bottom w:val="single" w:sz="4" w:space="0" w:color="auto"/>
              <w:right w:val="single" w:sz="4" w:space="0" w:color="auto"/>
            </w:tcBorders>
            <w:shd w:val="clear" w:color="auto" w:fill="auto"/>
            <w:noWrap/>
            <w:vAlign w:val="bottom"/>
            <w:hideMark/>
          </w:tcPr>
          <w:p w14:paraId="5A9A3A9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17,02</w:t>
            </w:r>
          </w:p>
        </w:tc>
        <w:tc>
          <w:tcPr>
            <w:tcW w:w="993" w:type="dxa"/>
            <w:tcBorders>
              <w:top w:val="nil"/>
              <w:left w:val="nil"/>
              <w:bottom w:val="single" w:sz="4" w:space="0" w:color="auto"/>
              <w:right w:val="single" w:sz="4" w:space="0" w:color="auto"/>
            </w:tcBorders>
            <w:shd w:val="clear" w:color="auto" w:fill="auto"/>
            <w:noWrap/>
            <w:vAlign w:val="bottom"/>
            <w:hideMark/>
          </w:tcPr>
          <w:p w14:paraId="69C7A2E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13,33</w:t>
            </w:r>
          </w:p>
        </w:tc>
        <w:tc>
          <w:tcPr>
            <w:tcW w:w="992" w:type="dxa"/>
            <w:tcBorders>
              <w:top w:val="nil"/>
              <w:left w:val="nil"/>
              <w:bottom w:val="single" w:sz="4" w:space="0" w:color="auto"/>
              <w:right w:val="single" w:sz="4" w:space="0" w:color="auto"/>
            </w:tcBorders>
            <w:shd w:val="clear" w:color="auto" w:fill="auto"/>
            <w:noWrap/>
            <w:vAlign w:val="bottom"/>
            <w:hideMark/>
          </w:tcPr>
          <w:p w14:paraId="2AC15A2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6AC42A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9864BF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01C7B1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16,10</w:t>
            </w:r>
          </w:p>
        </w:tc>
        <w:tc>
          <w:tcPr>
            <w:tcW w:w="1132" w:type="dxa"/>
            <w:tcBorders>
              <w:top w:val="nil"/>
              <w:left w:val="nil"/>
              <w:bottom w:val="single" w:sz="4" w:space="0" w:color="auto"/>
              <w:right w:val="single" w:sz="4" w:space="0" w:color="auto"/>
            </w:tcBorders>
            <w:shd w:val="clear" w:color="auto" w:fill="auto"/>
            <w:noWrap/>
            <w:vAlign w:val="bottom"/>
            <w:hideMark/>
          </w:tcPr>
          <w:p w14:paraId="7FAB556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20,00</w:t>
            </w:r>
          </w:p>
        </w:tc>
        <w:tc>
          <w:tcPr>
            <w:tcW w:w="1258" w:type="dxa"/>
            <w:tcBorders>
              <w:top w:val="nil"/>
              <w:left w:val="nil"/>
              <w:bottom w:val="single" w:sz="4" w:space="0" w:color="auto"/>
              <w:right w:val="single" w:sz="4" w:space="0" w:color="auto"/>
            </w:tcBorders>
            <w:shd w:val="clear" w:color="auto" w:fill="auto"/>
            <w:noWrap/>
            <w:vAlign w:val="bottom"/>
            <w:hideMark/>
          </w:tcPr>
          <w:p w14:paraId="6AF86320"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05.12.2022</w:t>
            </w:r>
          </w:p>
        </w:tc>
      </w:tr>
      <w:tr w:rsidR="00F15CE0" w:rsidRPr="000D19A7" w14:paraId="676EA3C5"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DE82786"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februarie</w:t>
            </w:r>
          </w:p>
        </w:tc>
        <w:tc>
          <w:tcPr>
            <w:tcW w:w="1134" w:type="dxa"/>
            <w:tcBorders>
              <w:top w:val="nil"/>
              <w:left w:val="nil"/>
              <w:bottom w:val="single" w:sz="4" w:space="0" w:color="auto"/>
              <w:right w:val="single" w:sz="4" w:space="0" w:color="auto"/>
            </w:tcBorders>
            <w:shd w:val="clear" w:color="auto" w:fill="auto"/>
            <w:noWrap/>
            <w:vAlign w:val="bottom"/>
            <w:hideMark/>
          </w:tcPr>
          <w:p w14:paraId="5E411C7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14,80</w:t>
            </w:r>
          </w:p>
        </w:tc>
        <w:tc>
          <w:tcPr>
            <w:tcW w:w="1101" w:type="dxa"/>
            <w:tcBorders>
              <w:top w:val="nil"/>
              <w:left w:val="nil"/>
              <w:bottom w:val="single" w:sz="4" w:space="0" w:color="auto"/>
              <w:right w:val="single" w:sz="4" w:space="0" w:color="auto"/>
            </w:tcBorders>
            <w:shd w:val="clear" w:color="auto" w:fill="auto"/>
            <w:noWrap/>
            <w:vAlign w:val="bottom"/>
            <w:hideMark/>
          </w:tcPr>
          <w:p w14:paraId="02ECEFF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13,17</w:t>
            </w:r>
          </w:p>
        </w:tc>
        <w:tc>
          <w:tcPr>
            <w:tcW w:w="955" w:type="dxa"/>
            <w:tcBorders>
              <w:top w:val="nil"/>
              <w:left w:val="nil"/>
              <w:bottom w:val="single" w:sz="4" w:space="0" w:color="auto"/>
              <w:right w:val="single" w:sz="4" w:space="0" w:color="auto"/>
            </w:tcBorders>
            <w:shd w:val="clear" w:color="auto" w:fill="auto"/>
            <w:noWrap/>
            <w:vAlign w:val="bottom"/>
            <w:hideMark/>
          </w:tcPr>
          <w:p w14:paraId="56BDE90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12,13</w:t>
            </w:r>
          </w:p>
        </w:tc>
        <w:tc>
          <w:tcPr>
            <w:tcW w:w="1058" w:type="dxa"/>
            <w:tcBorders>
              <w:top w:val="nil"/>
              <w:left w:val="nil"/>
              <w:bottom w:val="single" w:sz="4" w:space="0" w:color="auto"/>
              <w:right w:val="single" w:sz="4" w:space="0" w:color="auto"/>
            </w:tcBorders>
            <w:shd w:val="clear" w:color="auto" w:fill="auto"/>
            <w:noWrap/>
            <w:vAlign w:val="bottom"/>
            <w:hideMark/>
          </w:tcPr>
          <w:p w14:paraId="4EA1DB1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9,49</w:t>
            </w:r>
          </w:p>
        </w:tc>
        <w:tc>
          <w:tcPr>
            <w:tcW w:w="993" w:type="dxa"/>
            <w:tcBorders>
              <w:top w:val="nil"/>
              <w:left w:val="nil"/>
              <w:bottom w:val="single" w:sz="4" w:space="0" w:color="auto"/>
              <w:right w:val="single" w:sz="4" w:space="0" w:color="auto"/>
            </w:tcBorders>
            <w:shd w:val="clear" w:color="auto" w:fill="auto"/>
            <w:noWrap/>
            <w:vAlign w:val="bottom"/>
            <w:hideMark/>
          </w:tcPr>
          <w:p w14:paraId="325F8DA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14:paraId="16CAEAC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19DD8B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F8ED69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5CA517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12,92</w:t>
            </w:r>
          </w:p>
        </w:tc>
        <w:tc>
          <w:tcPr>
            <w:tcW w:w="1132" w:type="dxa"/>
            <w:tcBorders>
              <w:top w:val="nil"/>
              <w:left w:val="nil"/>
              <w:bottom w:val="single" w:sz="4" w:space="0" w:color="auto"/>
              <w:right w:val="single" w:sz="4" w:space="0" w:color="auto"/>
            </w:tcBorders>
            <w:shd w:val="clear" w:color="auto" w:fill="auto"/>
            <w:noWrap/>
            <w:vAlign w:val="bottom"/>
            <w:hideMark/>
          </w:tcPr>
          <w:p w14:paraId="7DA430E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17,00</w:t>
            </w:r>
          </w:p>
        </w:tc>
        <w:tc>
          <w:tcPr>
            <w:tcW w:w="1258" w:type="dxa"/>
            <w:tcBorders>
              <w:top w:val="nil"/>
              <w:left w:val="nil"/>
              <w:bottom w:val="single" w:sz="4" w:space="0" w:color="auto"/>
              <w:right w:val="single" w:sz="4" w:space="0" w:color="auto"/>
            </w:tcBorders>
            <w:shd w:val="clear" w:color="auto" w:fill="auto"/>
            <w:noWrap/>
            <w:vAlign w:val="bottom"/>
            <w:hideMark/>
          </w:tcPr>
          <w:p w14:paraId="1EF63C29"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07.02.2023</w:t>
            </w:r>
          </w:p>
        </w:tc>
      </w:tr>
      <w:tr w:rsidR="00F15CE0" w:rsidRPr="000D19A7" w14:paraId="17990C76"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A8DA339"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martie</w:t>
            </w:r>
          </w:p>
        </w:tc>
        <w:tc>
          <w:tcPr>
            <w:tcW w:w="1134" w:type="dxa"/>
            <w:tcBorders>
              <w:top w:val="nil"/>
              <w:left w:val="nil"/>
              <w:bottom w:val="single" w:sz="4" w:space="0" w:color="auto"/>
              <w:right w:val="single" w:sz="4" w:space="0" w:color="auto"/>
            </w:tcBorders>
            <w:shd w:val="clear" w:color="auto" w:fill="auto"/>
            <w:noWrap/>
            <w:vAlign w:val="bottom"/>
            <w:hideMark/>
          </w:tcPr>
          <w:p w14:paraId="46BB6F5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11,05</w:t>
            </w:r>
          </w:p>
        </w:tc>
        <w:tc>
          <w:tcPr>
            <w:tcW w:w="1101" w:type="dxa"/>
            <w:tcBorders>
              <w:top w:val="nil"/>
              <w:left w:val="nil"/>
              <w:bottom w:val="single" w:sz="4" w:space="0" w:color="auto"/>
              <w:right w:val="single" w:sz="4" w:space="0" w:color="auto"/>
            </w:tcBorders>
            <w:shd w:val="clear" w:color="auto" w:fill="auto"/>
            <w:noWrap/>
            <w:vAlign w:val="bottom"/>
            <w:hideMark/>
          </w:tcPr>
          <w:p w14:paraId="1FAB27D6"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10,54</w:t>
            </w:r>
          </w:p>
        </w:tc>
        <w:tc>
          <w:tcPr>
            <w:tcW w:w="955" w:type="dxa"/>
            <w:tcBorders>
              <w:top w:val="nil"/>
              <w:left w:val="nil"/>
              <w:bottom w:val="single" w:sz="4" w:space="0" w:color="auto"/>
              <w:right w:val="single" w:sz="4" w:space="0" w:color="auto"/>
            </w:tcBorders>
            <w:shd w:val="clear" w:color="auto" w:fill="auto"/>
            <w:noWrap/>
            <w:vAlign w:val="bottom"/>
            <w:hideMark/>
          </w:tcPr>
          <w:p w14:paraId="0423FE4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9,05</w:t>
            </w:r>
          </w:p>
        </w:tc>
        <w:tc>
          <w:tcPr>
            <w:tcW w:w="1058" w:type="dxa"/>
            <w:tcBorders>
              <w:top w:val="nil"/>
              <w:left w:val="nil"/>
              <w:bottom w:val="single" w:sz="4" w:space="0" w:color="auto"/>
              <w:right w:val="single" w:sz="4" w:space="0" w:color="auto"/>
            </w:tcBorders>
            <w:shd w:val="clear" w:color="auto" w:fill="auto"/>
            <w:noWrap/>
            <w:vAlign w:val="bottom"/>
            <w:hideMark/>
          </w:tcPr>
          <w:p w14:paraId="73DFCDB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w:t>
            </w:r>
          </w:p>
        </w:tc>
        <w:tc>
          <w:tcPr>
            <w:tcW w:w="993" w:type="dxa"/>
            <w:tcBorders>
              <w:top w:val="nil"/>
              <w:left w:val="nil"/>
              <w:bottom w:val="single" w:sz="4" w:space="0" w:color="auto"/>
              <w:right w:val="single" w:sz="4" w:space="0" w:color="auto"/>
            </w:tcBorders>
            <w:shd w:val="clear" w:color="auto" w:fill="auto"/>
            <w:noWrap/>
            <w:vAlign w:val="bottom"/>
            <w:hideMark/>
          </w:tcPr>
          <w:p w14:paraId="6BE3444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14:paraId="08BF92E5"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872FDB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E7CE506"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086AD4D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10,38</w:t>
            </w:r>
          </w:p>
        </w:tc>
        <w:tc>
          <w:tcPr>
            <w:tcW w:w="1132" w:type="dxa"/>
            <w:tcBorders>
              <w:top w:val="nil"/>
              <w:left w:val="nil"/>
              <w:bottom w:val="single" w:sz="4" w:space="0" w:color="auto"/>
              <w:right w:val="single" w:sz="4" w:space="0" w:color="auto"/>
            </w:tcBorders>
            <w:shd w:val="clear" w:color="auto" w:fill="auto"/>
            <w:noWrap/>
            <w:vAlign w:val="bottom"/>
            <w:hideMark/>
          </w:tcPr>
          <w:p w14:paraId="05744F1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14,00</w:t>
            </w:r>
          </w:p>
        </w:tc>
        <w:tc>
          <w:tcPr>
            <w:tcW w:w="1258" w:type="dxa"/>
            <w:tcBorders>
              <w:top w:val="nil"/>
              <w:left w:val="nil"/>
              <w:bottom w:val="single" w:sz="4" w:space="0" w:color="auto"/>
              <w:right w:val="single" w:sz="4" w:space="0" w:color="auto"/>
            </w:tcBorders>
            <w:shd w:val="clear" w:color="auto" w:fill="auto"/>
            <w:noWrap/>
            <w:vAlign w:val="bottom"/>
            <w:hideMark/>
          </w:tcPr>
          <w:p w14:paraId="5A0BF3E9"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20.03.2023</w:t>
            </w:r>
          </w:p>
        </w:tc>
      </w:tr>
      <w:tr w:rsidR="00F15CE0" w:rsidRPr="000D19A7" w14:paraId="08C2B161"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57FC409"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aprilie</w:t>
            </w:r>
          </w:p>
        </w:tc>
        <w:tc>
          <w:tcPr>
            <w:tcW w:w="1134" w:type="dxa"/>
            <w:tcBorders>
              <w:top w:val="nil"/>
              <w:left w:val="nil"/>
              <w:bottom w:val="single" w:sz="4" w:space="0" w:color="auto"/>
              <w:right w:val="single" w:sz="4" w:space="0" w:color="auto"/>
            </w:tcBorders>
            <w:shd w:val="clear" w:color="auto" w:fill="auto"/>
            <w:noWrap/>
            <w:vAlign w:val="bottom"/>
            <w:hideMark/>
          </w:tcPr>
          <w:p w14:paraId="71907DC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11,28</w:t>
            </w:r>
          </w:p>
        </w:tc>
        <w:tc>
          <w:tcPr>
            <w:tcW w:w="1101" w:type="dxa"/>
            <w:tcBorders>
              <w:top w:val="nil"/>
              <w:left w:val="nil"/>
              <w:bottom w:val="single" w:sz="4" w:space="0" w:color="auto"/>
              <w:right w:val="single" w:sz="4" w:space="0" w:color="auto"/>
            </w:tcBorders>
            <w:shd w:val="clear" w:color="auto" w:fill="auto"/>
            <w:noWrap/>
            <w:vAlign w:val="bottom"/>
            <w:hideMark/>
          </w:tcPr>
          <w:p w14:paraId="4F3767A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10,26</w:t>
            </w:r>
          </w:p>
        </w:tc>
        <w:tc>
          <w:tcPr>
            <w:tcW w:w="955" w:type="dxa"/>
            <w:tcBorders>
              <w:top w:val="nil"/>
              <w:left w:val="nil"/>
              <w:bottom w:val="single" w:sz="4" w:space="0" w:color="auto"/>
              <w:right w:val="single" w:sz="4" w:space="0" w:color="auto"/>
            </w:tcBorders>
            <w:shd w:val="clear" w:color="auto" w:fill="auto"/>
            <w:noWrap/>
            <w:vAlign w:val="bottom"/>
            <w:hideMark/>
          </w:tcPr>
          <w:p w14:paraId="1B9082C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9,45</w:t>
            </w:r>
          </w:p>
        </w:tc>
        <w:tc>
          <w:tcPr>
            <w:tcW w:w="1058" w:type="dxa"/>
            <w:tcBorders>
              <w:top w:val="nil"/>
              <w:left w:val="nil"/>
              <w:bottom w:val="single" w:sz="4" w:space="0" w:color="auto"/>
              <w:right w:val="single" w:sz="4" w:space="0" w:color="auto"/>
            </w:tcBorders>
            <w:shd w:val="clear" w:color="auto" w:fill="auto"/>
            <w:noWrap/>
            <w:vAlign w:val="bottom"/>
            <w:hideMark/>
          </w:tcPr>
          <w:p w14:paraId="11F6EC76"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8DA134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17AC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C70202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48E356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2D9C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10,24</w:t>
            </w:r>
          </w:p>
        </w:tc>
        <w:tc>
          <w:tcPr>
            <w:tcW w:w="1132" w:type="dxa"/>
            <w:tcBorders>
              <w:top w:val="nil"/>
              <w:left w:val="nil"/>
              <w:bottom w:val="single" w:sz="4" w:space="0" w:color="auto"/>
              <w:right w:val="single" w:sz="4" w:space="0" w:color="auto"/>
            </w:tcBorders>
            <w:shd w:val="clear" w:color="auto" w:fill="auto"/>
            <w:noWrap/>
            <w:vAlign w:val="bottom"/>
            <w:hideMark/>
          </w:tcPr>
          <w:p w14:paraId="088A683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14,00</w:t>
            </w:r>
          </w:p>
        </w:tc>
        <w:tc>
          <w:tcPr>
            <w:tcW w:w="1258" w:type="dxa"/>
            <w:tcBorders>
              <w:top w:val="nil"/>
              <w:left w:val="nil"/>
              <w:bottom w:val="single" w:sz="4" w:space="0" w:color="auto"/>
              <w:right w:val="single" w:sz="4" w:space="0" w:color="auto"/>
            </w:tcBorders>
            <w:shd w:val="clear" w:color="auto" w:fill="auto"/>
            <w:noWrap/>
            <w:vAlign w:val="bottom"/>
            <w:hideMark/>
          </w:tcPr>
          <w:p w14:paraId="40CCB82F"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20.03.2023</w:t>
            </w:r>
          </w:p>
        </w:tc>
      </w:tr>
      <w:tr w:rsidR="00F15CE0" w:rsidRPr="000D19A7" w14:paraId="6765E72F"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01B8299"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mai</w:t>
            </w:r>
          </w:p>
        </w:tc>
        <w:tc>
          <w:tcPr>
            <w:tcW w:w="1134" w:type="dxa"/>
            <w:tcBorders>
              <w:top w:val="nil"/>
              <w:left w:val="nil"/>
              <w:bottom w:val="single" w:sz="4" w:space="0" w:color="auto"/>
              <w:right w:val="single" w:sz="4" w:space="0" w:color="auto"/>
            </w:tcBorders>
            <w:shd w:val="clear" w:color="auto" w:fill="auto"/>
            <w:noWrap/>
            <w:vAlign w:val="bottom"/>
            <w:hideMark/>
          </w:tcPr>
          <w:p w14:paraId="2A6DEF7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10,72</w:t>
            </w:r>
          </w:p>
        </w:tc>
        <w:tc>
          <w:tcPr>
            <w:tcW w:w="1101" w:type="dxa"/>
            <w:tcBorders>
              <w:top w:val="nil"/>
              <w:left w:val="nil"/>
              <w:bottom w:val="single" w:sz="4" w:space="0" w:color="auto"/>
              <w:right w:val="single" w:sz="4" w:space="0" w:color="auto"/>
            </w:tcBorders>
            <w:shd w:val="clear" w:color="auto" w:fill="auto"/>
            <w:noWrap/>
            <w:vAlign w:val="bottom"/>
            <w:hideMark/>
          </w:tcPr>
          <w:p w14:paraId="56877CF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10,11</w:t>
            </w:r>
          </w:p>
        </w:tc>
        <w:tc>
          <w:tcPr>
            <w:tcW w:w="955" w:type="dxa"/>
            <w:tcBorders>
              <w:top w:val="nil"/>
              <w:left w:val="nil"/>
              <w:bottom w:val="single" w:sz="4" w:space="0" w:color="auto"/>
              <w:right w:val="single" w:sz="4" w:space="0" w:color="auto"/>
            </w:tcBorders>
            <w:shd w:val="clear" w:color="auto" w:fill="auto"/>
            <w:noWrap/>
            <w:vAlign w:val="bottom"/>
            <w:hideMark/>
          </w:tcPr>
          <w:p w14:paraId="26D120E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8,82</w:t>
            </w:r>
          </w:p>
        </w:tc>
        <w:tc>
          <w:tcPr>
            <w:tcW w:w="1058" w:type="dxa"/>
            <w:tcBorders>
              <w:top w:val="nil"/>
              <w:left w:val="nil"/>
              <w:bottom w:val="single" w:sz="4" w:space="0" w:color="auto"/>
              <w:right w:val="single" w:sz="4" w:space="0" w:color="auto"/>
            </w:tcBorders>
            <w:shd w:val="clear" w:color="auto" w:fill="auto"/>
            <w:noWrap/>
            <w:vAlign w:val="bottom"/>
            <w:hideMark/>
          </w:tcPr>
          <w:p w14:paraId="3FE8720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993" w:type="dxa"/>
            <w:tcBorders>
              <w:top w:val="nil"/>
              <w:left w:val="nil"/>
              <w:bottom w:val="single" w:sz="4" w:space="0" w:color="auto"/>
              <w:right w:val="single" w:sz="4" w:space="0" w:color="auto"/>
            </w:tcBorders>
            <w:shd w:val="clear" w:color="auto" w:fill="auto"/>
            <w:noWrap/>
            <w:vAlign w:val="bottom"/>
            <w:hideMark/>
          </w:tcPr>
          <w:p w14:paraId="536C034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8,25</w:t>
            </w:r>
          </w:p>
        </w:tc>
        <w:tc>
          <w:tcPr>
            <w:tcW w:w="992" w:type="dxa"/>
            <w:tcBorders>
              <w:top w:val="nil"/>
              <w:left w:val="nil"/>
              <w:bottom w:val="single" w:sz="4" w:space="0" w:color="auto"/>
              <w:right w:val="single" w:sz="4" w:space="0" w:color="auto"/>
            </w:tcBorders>
            <w:shd w:val="clear" w:color="auto" w:fill="auto"/>
            <w:noWrap/>
            <w:vAlign w:val="bottom"/>
            <w:hideMark/>
          </w:tcPr>
          <w:p w14:paraId="71C7DC7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single" w:sz="4" w:space="0" w:color="auto"/>
            </w:tcBorders>
            <w:shd w:val="clear" w:color="auto" w:fill="auto"/>
            <w:noWrap/>
            <w:vAlign w:val="bottom"/>
            <w:hideMark/>
          </w:tcPr>
          <w:p w14:paraId="1B60C6B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9,00</w:t>
            </w:r>
          </w:p>
        </w:tc>
        <w:tc>
          <w:tcPr>
            <w:tcW w:w="1138" w:type="dxa"/>
            <w:tcBorders>
              <w:top w:val="nil"/>
              <w:left w:val="nil"/>
              <w:bottom w:val="single" w:sz="4" w:space="0" w:color="auto"/>
              <w:right w:val="single" w:sz="4" w:space="0" w:color="auto"/>
            </w:tcBorders>
            <w:shd w:val="clear" w:color="auto" w:fill="auto"/>
            <w:noWrap/>
            <w:vAlign w:val="bottom"/>
            <w:hideMark/>
          </w:tcPr>
          <w:p w14:paraId="6AB481CB"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9E439B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9,75</w:t>
            </w:r>
          </w:p>
        </w:tc>
        <w:tc>
          <w:tcPr>
            <w:tcW w:w="1132" w:type="dxa"/>
            <w:tcBorders>
              <w:top w:val="nil"/>
              <w:left w:val="nil"/>
              <w:bottom w:val="single" w:sz="4" w:space="0" w:color="auto"/>
              <w:right w:val="single" w:sz="4" w:space="0" w:color="auto"/>
            </w:tcBorders>
            <w:shd w:val="clear" w:color="auto" w:fill="auto"/>
            <w:noWrap/>
            <w:vAlign w:val="bottom"/>
            <w:hideMark/>
          </w:tcPr>
          <w:p w14:paraId="3387DE34"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10,00</w:t>
            </w:r>
          </w:p>
        </w:tc>
        <w:tc>
          <w:tcPr>
            <w:tcW w:w="1258" w:type="dxa"/>
            <w:tcBorders>
              <w:top w:val="nil"/>
              <w:left w:val="nil"/>
              <w:bottom w:val="single" w:sz="4" w:space="0" w:color="auto"/>
              <w:right w:val="single" w:sz="4" w:space="0" w:color="auto"/>
            </w:tcBorders>
            <w:shd w:val="clear" w:color="auto" w:fill="auto"/>
            <w:noWrap/>
            <w:vAlign w:val="bottom"/>
            <w:hideMark/>
          </w:tcPr>
          <w:p w14:paraId="7E6442DC"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11.05.2023</w:t>
            </w:r>
          </w:p>
        </w:tc>
      </w:tr>
      <w:tr w:rsidR="00F15CE0" w:rsidRPr="000D19A7" w14:paraId="051F07AD"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B62DA41"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iunie</w:t>
            </w:r>
          </w:p>
        </w:tc>
        <w:tc>
          <w:tcPr>
            <w:tcW w:w="1134" w:type="dxa"/>
            <w:tcBorders>
              <w:top w:val="nil"/>
              <w:left w:val="nil"/>
              <w:bottom w:val="single" w:sz="4" w:space="0" w:color="auto"/>
              <w:right w:val="single" w:sz="4" w:space="0" w:color="auto"/>
            </w:tcBorders>
            <w:shd w:val="clear" w:color="auto" w:fill="auto"/>
            <w:noWrap/>
            <w:vAlign w:val="bottom"/>
            <w:hideMark/>
          </w:tcPr>
          <w:p w14:paraId="2A5BC3D6"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8,54</w:t>
            </w:r>
          </w:p>
        </w:tc>
        <w:tc>
          <w:tcPr>
            <w:tcW w:w="1101" w:type="dxa"/>
            <w:tcBorders>
              <w:top w:val="nil"/>
              <w:left w:val="nil"/>
              <w:bottom w:val="single" w:sz="4" w:space="0" w:color="auto"/>
              <w:right w:val="single" w:sz="4" w:space="0" w:color="auto"/>
            </w:tcBorders>
            <w:shd w:val="clear" w:color="auto" w:fill="auto"/>
            <w:noWrap/>
            <w:vAlign w:val="bottom"/>
            <w:hideMark/>
          </w:tcPr>
          <w:p w14:paraId="1D74A284"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9,22</w:t>
            </w:r>
          </w:p>
        </w:tc>
        <w:tc>
          <w:tcPr>
            <w:tcW w:w="955" w:type="dxa"/>
            <w:tcBorders>
              <w:top w:val="nil"/>
              <w:left w:val="nil"/>
              <w:bottom w:val="single" w:sz="4" w:space="0" w:color="auto"/>
              <w:right w:val="single" w:sz="4" w:space="0" w:color="auto"/>
            </w:tcBorders>
            <w:shd w:val="clear" w:color="auto" w:fill="auto"/>
            <w:noWrap/>
            <w:vAlign w:val="bottom"/>
            <w:hideMark/>
          </w:tcPr>
          <w:p w14:paraId="1E8B572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8,60</w:t>
            </w:r>
          </w:p>
        </w:tc>
        <w:tc>
          <w:tcPr>
            <w:tcW w:w="1058" w:type="dxa"/>
            <w:tcBorders>
              <w:top w:val="nil"/>
              <w:left w:val="nil"/>
              <w:bottom w:val="single" w:sz="4" w:space="0" w:color="auto"/>
              <w:right w:val="single" w:sz="4" w:space="0" w:color="auto"/>
            </w:tcBorders>
            <w:shd w:val="clear" w:color="auto" w:fill="auto"/>
            <w:noWrap/>
            <w:vAlign w:val="bottom"/>
            <w:hideMark/>
          </w:tcPr>
          <w:p w14:paraId="629B4BA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993" w:type="dxa"/>
            <w:tcBorders>
              <w:top w:val="nil"/>
              <w:left w:val="nil"/>
              <w:bottom w:val="single" w:sz="4" w:space="0" w:color="auto"/>
              <w:right w:val="single" w:sz="4" w:space="0" w:color="auto"/>
            </w:tcBorders>
            <w:shd w:val="clear" w:color="auto" w:fill="auto"/>
            <w:noWrap/>
            <w:vAlign w:val="bottom"/>
            <w:hideMark/>
          </w:tcPr>
          <w:p w14:paraId="7AB259B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8,25</w:t>
            </w:r>
          </w:p>
        </w:tc>
        <w:tc>
          <w:tcPr>
            <w:tcW w:w="992" w:type="dxa"/>
            <w:tcBorders>
              <w:top w:val="nil"/>
              <w:left w:val="nil"/>
              <w:bottom w:val="single" w:sz="4" w:space="0" w:color="auto"/>
              <w:right w:val="single" w:sz="4" w:space="0" w:color="auto"/>
            </w:tcBorders>
            <w:shd w:val="clear" w:color="auto" w:fill="auto"/>
            <w:noWrap/>
            <w:vAlign w:val="bottom"/>
            <w:hideMark/>
          </w:tcPr>
          <w:p w14:paraId="27290B6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single" w:sz="4" w:space="0" w:color="auto"/>
            </w:tcBorders>
            <w:shd w:val="clear" w:color="auto" w:fill="auto"/>
            <w:noWrap/>
            <w:vAlign w:val="bottom"/>
            <w:hideMark/>
          </w:tcPr>
          <w:p w14:paraId="6CA7A91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9,00</w:t>
            </w:r>
          </w:p>
        </w:tc>
        <w:tc>
          <w:tcPr>
            <w:tcW w:w="1138" w:type="dxa"/>
            <w:tcBorders>
              <w:top w:val="nil"/>
              <w:left w:val="nil"/>
              <w:bottom w:val="single" w:sz="4" w:space="0" w:color="auto"/>
              <w:right w:val="single" w:sz="4" w:space="0" w:color="auto"/>
            </w:tcBorders>
            <w:shd w:val="clear" w:color="auto" w:fill="auto"/>
            <w:noWrap/>
            <w:vAlign w:val="bottom"/>
            <w:hideMark/>
          </w:tcPr>
          <w:p w14:paraId="770DB68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64216D94"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8,87</w:t>
            </w:r>
          </w:p>
        </w:tc>
        <w:tc>
          <w:tcPr>
            <w:tcW w:w="1132" w:type="dxa"/>
            <w:tcBorders>
              <w:top w:val="nil"/>
              <w:left w:val="nil"/>
              <w:bottom w:val="single" w:sz="4" w:space="0" w:color="auto"/>
              <w:right w:val="single" w:sz="4" w:space="0" w:color="auto"/>
            </w:tcBorders>
            <w:shd w:val="clear" w:color="auto" w:fill="auto"/>
            <w:noWrap/>
            <w:vAlign w:val="bottom"/>
            <w:hideMark/>
          </w:tcPr>
          <w:p w14:paraId="7175BAA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1258" w:type="dxa"/>
            <w:tcBorders>
              <w:top w:val="nil"/>
              <w:left w:val="nil"/>
              <w:bottom w:val="single" w:sz="4" w:space="0" w:color="auto"/>
              <w:right w:val="single" w:sz="4" w:space="0" w:color="auto"/>
            </w:tcBorders>
            <w:shd w:val="clear" w:color="auto" w:fill="auto"/>
            <w:noWrap/>
            <w:vAlign w:val="bottom"/>
            <w:hideMark/>
          </w:tcPr>
          <w:p w14:paraId="4C877EF9"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20.06.2023</w:t>
            </w:r>
          </w:p>
        </w:tc>
      </w:tr>
      <w:tr w:rsidR="00F15CE0" w:rsidRPr="000D19A7" w14:paraId="6430B442"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2763CEF"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iulie</w:t>
            </w:r>
          </w:p>
        </w:tc>
        <w:tc>
          <w:tcPr>
            <w:tcW w:w="1134" w:type="dxa"/>
            <w:tcBorders>
              <w:top w:val="nil"/>
              <w:left w:val="nil"/>
              <w:bottom w:val="single" w:sz="4" w:space="0" w:color="auto"/>
              <w:right w:val="single" w:sz="4" w:space="0" w:color="auto"/>
            </w:tcBorders>
            <w:shd w:val="clear" w:color="auto" w:fill="auto"/>
            <w:noWrap/>
            <w:vAlign w:val="bottom"/>
            <w:hideMark/>
          </w:tcPr>
          <w:p w14:paraId="5D0C626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5,19</w:t>
            </w:r>
          </w:p>
        </w:tc>
        <w:tc>
          <w:tcPr>
            <w:tcW w:w="1101" w:type="dxa"/>
            <w:tcBorders>
              <w:top w:val="nil"/>
              <w:left w:val="nil"/>
              <w:bottom w:val="single" w:sz="4" w:space="0" w:color="auto"/>
              <w:right w:val="single" w:sz="4" w:space="0" w:color="auto"/>
            </w:tcBorders>
            <w:shd w:val="clear" w:color="auto" w:fill="auto"/>
            <w:noWrap/>
            <w:vAlign w:val="bottom"/>
            <w:hideMark/>
          </w:tcPr>
          <w:p w14:paraId="3F290C5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6,95</w:t>
            </w:r>
          </w:p>
        </w:tc>
        <w:tc>
          <w:tcPr>
            <w:tcW w:w="955" w:type="dxa"/>
            <w:tcBorders>
              <w:top w:val="nil"/>
              <w:left w:val="nil"/>
              <w:bottom w:val="single" w:sz="4" w:space="0" w:color="auto"/>
              <w:right w:val="single" w:sz="4" w:space="0" w:color="auto"/>
            </w:tcBorders>
            <w:shd w:val="clear" w:color="auto" w:fill="auto"/>
            <w:noWrap/>
            <w:vAlign w:val="bottom"/>
            <w:hideMark/>
          </w:tcPr>
          <w:p w14:paraId="24CB8BE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7,18</w:t>
            </w:r>
          </w:p>
        </w:tc>
        <w:tc>
          <w:tcPr>
            <w:tcW w:w="1058" w:type="dxa"/>
            <w:tcBorders>
              <w:top w:val="nil"/>
              <w:left w:val="nil"/>
              <w:bottom w:val="single" w:sz="4" w:space="0" w:color="auto"/>
              <w:right w:val="single" w:sz="4" w:space="0" w:color="auto"/>
            </w:tcBorders>
            <w:shd w:val="clear" w:color="auto" w:fill="auto"/>
            <w:noWrap/>
            <w:vAlign w:val="bottom"/>
            <w:hideMark/>
          </w:tcPr>
          <w:p w14:paraId="2FC1C62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w:t>
            </w:r>
          </w:p>
        </w:tc>
        <w:tc>
          <w:tcPr>
            <w:tcW w:w="993" w:type="dxa"/>
            <w:tcBorders>
              <w:top w:val="nil"/>
              <w:left w:val="nil"/>
              <w:bottom w:val="single" w:sz="4" w:space="0" w:color="auto"/>
              <w:right w:val="single" w:sz="4" w:space="0" w:color="auto"/>
            </w:tcBorders>
            <w:shd w:val="clear" w:color="auto" w:fill="auto"/>
            <w:noWrap/>
            <w:vAlign w:val="bottom"/>
            <w:hideMark/>
          </w:tcPr>
          <w:p w14:paraId="37DC6FD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7,25</w:t>
            </w:r>
          </w:p>
        </w:tc>
        <w:tc>
          <w:tcPr>
            <w:tcW w:w="992" w:type="dxa"/>
            <w:tcBorders>
              <w:top w:val="nil"/>
              <w:left w:val="nil"/>
              <w:bottom w:val="single" w:sz="4" w:space="0" w:color="auto"/>
              <w:right w:val="single" w:sz="4" w:space="0" w:color="auto"/>
            </w:tcBorders>
            <w:shd w:val="clear" w:color="auto" w:fill="auto"/>
            <w:noWrap/>
            <w:vAlign w:val="bottom"/>
            <w:hideMark/>
          </w:tcPr>
          <w:p w14:paraId="1EBC17A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auto" w:fill="auto"/>
            <w:noWrap/>
            <w:vAlign w:val="bottom"/>
            <w:hideMark/>
          </w:tcPr>
          <w:p w14:paraId="30E41525"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1138" w:type="dxa"/>
            <w:tcBorders>
              <w:top w:val="nil"/>
              <w:left w:val="nil"/>
              <w:bottom w:val="single" w:sz="4" w:space="0" w:color="auto"/>
              <w:right w:val="single" w:sz="4" w:space="0" w:color="auto"/>
            </w:tcBorders>
            <w:shd w:val="clear" w:color="auto" w:fill="auto"/>
            <w:noWrap/>
            <w:vAlign w:val="bottom"/>
            <w:hideMark/>
          </w:tcPr>
          <w:p w14:paraId="390BFE1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C2077E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6,99</w:t>
            </w:r>
          </w:p>
        </w:tc>
        <w:tc>
          <w:tcPr>
            <w:tcW w:w="1132" w:type="dxa"/>
            <w:tcBorders>
              <w:top w:val="nil"/>
              <w:left w:val="nil"/>
              <w:bottom w:val="single" w:sz="4" w:space="0" w:color="auto"/>
              <w:right w:val="single" w:sz="4" w:space="0" w:color="auto"/>
            </w:tcBorders>
            <w:shd w:val="clear" w:color="auto" w:fill="auto"/>
            <w:noWrap/>
            <w:vAlign w:val="bottom"/>
            <w:hideMark/>
          </w:tcPr>
          <w:p w14:paraId="24A58D5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1258" w:type="dxa"/>
            <w:tcBorders>
              <w:top w:val="nil"/>
              <w:left w:val="nil"/>
              <w:bottom w:val="single" w:sz="4" w:space="0" w:color="auto"/>
              <w:right w:val="single" w:sz="4" w:space="0" w:color="auto"/>
            </w:tcBorders>
            <w:shd w:val="clear" w:color="auto" w:fill="auto"/>
            <w:noWrap/>
            <w:vAlign w:val="bottom"/>
            <w:hideMark/>
          </w:tcPr>
          <w:p w14:paraId="7E2B74E7"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20.06.2023</w:t>
            </w:r>
          </w:p>
        </w:tc>
      </w:tr>
      <w:tr w:rsidR="00F15CE0" w:rsidRPr="000D19A7" w14:paraId="42AAA95E"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B802902"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august</w:t>
            </w:r>
          </w:p>
        </w:tc>
        <w:tc>
          <w:tcPr>
            <w:tcW w:w="1134" w:type="dxa"/>
            <w:tcBorders>
              <w:top w:val="nil"/>
              <w:left w:val="nil"/>
              <w:bottom w:val="single" w:sz="4" w:space="0" w:color="auto"/>
              <w:right w:val="single" w:sz="4" w:space="0" w:color="auto"/>
            </w:tcBorders>
            <w:shd w:val="clear" w:color="auto" w:fill="auto"/>
            <w:noWrap/>
            <w:vAlign w:val="bottom"/>
            <w:hideMark/>
          </w:tcPr>
          <w:p w14:paraId="3EB2142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4,22</w:t>
            </w:r>
          </w:p>
        </w:tc>
        <w:tc>
          <w:tcPr>
            <w:tcW w:w="1101" w:type="dxa"/>
            <w:tcBorders>
              <w:top w:val="nil"/>
              <w:left w:val="nil"/>
              <w:bottom w:val="single" w:sz="4" w:space="0" w:color="auto"/>
              <w:right w:val="single" w:sz="4" w:space="0" w:color="auto"/>
            </w:tcBorders>
            <w:shd w:val="clear" w:color="auto" w:fill="auto"/>
            <w:noWrap/>
            <w:vAlign w:val="bottom"/>
            <w:hideMark/>
          </w:tcPr>
          <w:p w14:paraId="50BD1C7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6,95</w:t>
            </w:r>
          </w:p>
        </w:tc>
        <w:tc>
          <w:tcPr>
            <w:tcW w:w="955" w:type="dxa"/>
            <w:tcBorders>
              <w:top w:val="nil"/>
              <w:left w:val="nil"/>
              <w:bottom w:val="single" w:sz="4" w:space="0" w:color="auto"/>
              <w:right w:val="single" w:sz="4" w:space="0" w:color="auto"/>
            </w:tcBorders>
            <w:shd w:val="clear" w:color="auto" w:fill="auto"/>
            <w:noWrap/>
            <w:vAlign w:val="bottom"/>
            <w:hideMark/>
          </w:tcPr>
          <w:p w14:paraId="01FA402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7,16</w:t>
            </w:r>
          </w:p>
        </w:tc>
        <w:tc>
          <w:tcPr>
            <w:tcW w:w="1058" w:type="dxa"/>
            <w:tcBorders>
              <w:top w:val="nil"/>
              <w:left w:val="nil"/>
              <w:bottom w:val="single" w:sz="4" w:space="0" w:color="auto"/>
              <w:right w:val="single" w:sz="4" w:space="0" w:color="auto"/>
            </w:tcBorders>
            <w:shd w:val="clear" w:color="auto" w:fill="auto"/>
            <w:noWrap/>
            <w:vAlign w:val="bottom"/>
            <w:hideMark/>
          </w:tcPr>
          <w:p w14:paraId="787BC4B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w:t>
            </w:r>
          </w:p>
        </w:tc>
        <w:tc>
          <w:tcPr>
            <w:tcW w:w="993" w:type="dxa"/>
            <w:tcBorders>
              <w:top w:val="nil"/>
              <w:left w:val="nil"/>
              <w:bottom w:val="single" w:sz="4" w:space="0" w:color="auto"/>
              <w:right w:val="single" w:sz="4" w:space="0" w:color="auto"/>
            </w:tcBorders>
            <w:shd w:val="clear" w:color="auto" w:fill="auto"/>
            <w:noWrap/>
            <w:vAlign w:val="bottom"/>
            <w:hideMark/>
          </w:tcPr>
          <w:p w14:paraId="3F37D684"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7,25</w:t>
            </w:r>
          </w:p>
        </w:tc>
        <w:tc>
          <w:tcPr>
            <w:tcW w:w="992" w:type="dxa"/>
            <w:tcBorders>
              <w:top w:val="nil"/>
              <w:left w:val="nil"/>
              <w:bottom w:val="single" w:sz="4" w:space="0" w:color="auto"/>
              <w:right w:val="single" w:sz="4" w:space="0" w:color="auto"/>
            </w:tcBorders>
            <w:shd w:val="clear" w:color="auto" w:fill="auto"/>
            <w:noWrap/>
            <w:vAlign w:val="bottom"/>
            <w:hideMark/>
          </w:tcPr>
          <w:p w14:paraId="5C2D4B8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auto" w:fill="auto"/>
            <w:noWrap/>
            <w:vAlign w:val="bottom"/>
            <w:hideMark/>
          </w:tcPr>
          <w:p w14:paraId="50B8A356"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8,00</w:t>
            </w:r>
          </w:p>
        </w:tc>
        <w:tc>
          <w:tcPr>
            <w:tcW w:w="1138" w:type="dxa"/>
            <w:tcBorders>
              <w:top w:val="nil"/>
              <w:left w:val="nil"/>
              <w:bottom w:val="single" w:sz="4" w:space="0" w:color="auto"/>
              <w:right w:val="single" w:sz="4" w:space="0" w:color="auto"/>
            </w:tcBorders>
            <w:shd w:val="clear" w:color="auto" w:fill="auto"/>
            <w:noWrap/>
            <w:vAlign w:val="bottom"/>
            <w:hideMark/>
          </w:tcPr>
          <w:p w14:paraId="565EF3C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3BB1BD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6,90</w:t>
            </w:r>
          </w:p>
        </w:tc>
        <w:tc>
          <w:tcPr>
            <w:tcW w:w="1132" w:type="dxa"/>
            <w:tcBorders>
              <w:top w:val="nil"/>
              <w:left w:val="nil"/>
              <w:bottom w:val="single" w:sz="4" w:space="0" w:color="auto"/>
              <w:right w:val="single" w:sz="4" w:space="0" w:color="auto"/>
            </w:tcBorders>
            <w:shd w:val="clear" w:color="auto" w:fill="auto"/>
            <w:noWrap/>
            <w:vAlign w:val="bottom"/>
            <w:hideMark/>
          </w:tcPr>
          <w:p w14:paraId="0C270AC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1258" w:type="dxa"/>
            <w:tcBorders>
              <w:top w:val="nil"/>
              <w:left w:val="nil"/>
              <w:bottom w:val="single" w:sz="4" w:space="0" w:color="auto"/>
              <w:right w:val="single" w:sz="4" w:space="0" w:color="auto"/>
            </w:tcBorders>
            <w:shd w:val="clear" w:color="auto" w:fill="auto"/>
            <w:noWrap/>
            <w:vAlign w:val="bottom"/>
            <w:hideMark/>
          </w:tcPr>
          <w:p w14:paraId="50D62733"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20.06.2023</w:t>
            </w:r>
          </w:p>
        </w:tc>
      </w:tr>
      <w:tr w:rsidR="00F15CE0" w:rsidRPr="000D19A7" w14:paraId="03601F05"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8304CD2"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septembrie</w:t>
            </w:r>
          </w:p>
        </w:tc>
        <w:tc>
          <w:tcPr>
            <w:tcW w:w="1134" w:type="dxa"/>
            <w:tcBorders>
              <w:top w:val="nil"/>
              <w:left w:val="nil"/>
              <w:bottom w:val="single" w:sz="4" w:space="0" w:color="auto"/>
              <w:right w:val="single" w:sz="4" w:space="0" w:color="auto"/>
            </w:tcBorders>
            <w:shd w:val="clear" w:color="auto" w:fill="auto"/>
            <w:noWrap/>
            <w:vAlign w:val="bottom"/>
            <w:hideMark/>
          </w:tcPr>
          <w:p w14:paraId="5FFFEDA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3,87</w:t>
            </w:r>
          </w:p>
        </w:tc>
        <w:tc>
          <w:tcPr>
            <w:tcW w:w="1101" w:type="dxa"/>
            <w:tcBorders>
              <w:top w:val="nil"/>
              <w:left w:val="nil"/>
              <w:bottom w:val="single" w:sz="4" w:space="0" w:color="auto"/>
              <w:right w:val="single" w:sz="4" w:space="0" w:color="auto"/>
            </w:tcBorders>
            <w:shd w:val="clear" w:color="auto" w:fill="auto"/>
            <w:noWrap/>
            <w:vAlign w:val="bottom"/>
            <w:hideMark/>
          </w:tcPr>
          <w:p w14:paraId="784DFA6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6,85</w:t>
            </w:r>
          </w:p>
        </w:tc>
        <w:tc>
          <w:tcPr>
            <w:tcW w:w="955" w:type="dxa"/>
            <w:tcBorders>
              <w:top w:val="nil"/>
              <w:left w:val="nil"/>
              <w:bottom w:val="single" w:sz="4" w:space="0" w:color="auto"/>
              <w:right w:val="single" w:sz="4" w:space="0" w:color="auto"/>
            </w:tcBorders>
            <w:shd w:val="clear" w:color="auto" w:fill="auto"/>
            <w:noWrap/>
            <w:vAlign w:val="bottom"/>
            <w:hideMark/>
          </w:tcPr>
          <w:p w14:paraId="628D667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7,08</w:t>
            </w:r>
          </w:p>
        </w:tc>
        <w:tc>
          <w:tcPr>
            <w:tcW w:w="1058" w:type="dxa"/>
            <w:tcBorders>
              <w:top w:val="nil"/>
              <w:left w:val="nil"/>
              <w:bottom w:val="single" w:sz="4" w:space="0" w:color="auto"/>
              <w:right w:val="single" w:sz="4" w:space="0" w:color="auto"/>
            </w:tcBorders>
            <w:shd w:val="clear" w:color="auto" w:fill="auto"/>
            <w:noWrap/>
            <w:vAlign w:val="bottom"/>
            <w:hideMark/>
          </w:tcPr>
          <w:p w14:paraId="659FC91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DF2D24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77A7E0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140E8B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22DAEF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8,25</w:t>
            </w:r>
          </w:p>
        </w:tc>
        <w:tc>
          <w:tcPr>
            <w:tcW w:w="993" w:type="dxa"/>
            <w:tcBorders>
              <w:top w:val="nil"/>
              <w:left w:val="nil"/>
              <w:bottom w:val="single" w:sz="4" w:space="0" w:color="auto"/>
              <w:right w:val="single" w:sz="4" w:space="0" w:color="auto"/>
            </w:tcBorders>
            <w:shd w:val="clear" w:color="auto" w:fill="auto"/>
            <w:noWrap/>
            <w:vAlign w:val="bottom"/>
            <w:hideMark/>
          </w:tcPr>
          <w:p w14:paraId="3D9D3F4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6,92</w:t>
            </w:r>
          </w:p>
        </w:tc>
        <w:tc>
          <w:tcPr>
            <w:tcW w:w="1132" w:type="dxa"/>
            <w:tcBorders>
              <w:top w:val="nil"/>
              <w:left w:val="nil"/>
              <w:bottom w:val="single" w:sz="4" w:space="0" w:color="auto"/>
              <w:right w:val="single" w:sz="4" w:space="0" w:color="auto"/>
            </w:tcBorders>
            <w:shd w:val="clear" w:color="auto" w:fill="auto"/>
            <w:noWrap/>
            <w:vAlign w:val="bottom"/>
            <w:hideMark/>
          </w:tcPr>
          <w:p w14:paraId="5492281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1258" w:type="dxa"/>
            <w:tcBorders>
              <w:top w:val="nil"/>
              <w:left w:val="nil"/>
              <w:bottom w:val="single" w:sz="4" w:space="0" w:color="auto"/>
              <w:right w:val="single" w:sz="4" w:space="0" w:color="auto"/>
            </w:tcBorders>
            <w:shd w:val="clear" w:color="auto" w:fill="auto"/>
            <w:noWrap/>
            <w:vAlign w:val="bottom"/>
            <w:hideMark/>
          </w:tcPr>
          <w:p w14:paraId="0618E043"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20.06.2023</w:t>
            </w:r>
          </w:p>
        </w:tc>
      </w:tr>
      <w:tr w:rsidR="00F15CE0" w:rsidRPr="000D19A7" w14:paraId="177B9DF4"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992AA88"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octombrie</w:t>
            </w:r>
          </w:p>
        </w:tc>
        <w:tc>
          <w:tcPr>
            <w:tcW w:w="1134" w:type="dxa"/>
            <w:tcBorders>
              <w:top w:val="nil"/>
              <w:left w:val="nil"/>
              <w:bottom w:val="single" w:sz="4" w:space="0" w:color="auto"/>
              <w:right w:val="single" w:sz="4" w:space="0" w:color="auto"/>
            </w:tcBorders>
            <w:shd w:val="clear" w:color="auto" w:fill="auto"/>
            <w:noWrap/>
            <w:vAlign w:val="bottom"/>
            <w:hideMark/>
          </w:tcPr>
          <w:p w14:paraId="2AA4E13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3,66</w:t>
            </w:r>
          </w:p>
        </w:tc>
        <w:tc>
          <w:tcPr>
            <w:tcW w:w="1101" w:type="dxa"/>
            <w:tcBorders>
              <w:top w:val="nil"/>
              <w:left w:val="nil"/>
              <w:bottom w:val="single" w:sz="4" w:space="0" w:color="auto"/>
              <w:right w:val="single" w:sz="4" w:space="0" w:color="auto"/>
            </w:tcBorders>
            <w:shd w:val="clear" w:color="auto" w:fill="auto"/>
            <w:noWrap/>
            <w:vAlign w:val="bottom"/>
            <w:hideMark/>
          </w:tcPr>
          <w:p w14:paraId="12611BE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6,78</w:t>
            </w:r>
          </w:p>
        </w:tc>
        <w:tc>
          <w:tcPr>
            <w:tcW w:w="955" w:type="dxa"/>
            <w:tcBorders>
              <w:top w:val="nil"/>
              <w:left w:val="nil"/>
              <w:bottom w:val="single" w:sz="4" w:space="0" w:color="auto"/>
              <w:right w:val="single" w:sz="4" w:space="0" w:color="auto"/>
            </w:tcBorders>
            <w:shd w:val="clear" w:color="auto" w:fill="auto"/>
            <w:noWrap/>
            <w:vAlign w:val="bottom"/>
            <w:hideMark/>
          </w:tcPr>
          <w:p w14:paraId="3279333B"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7,02</w:t>
            </w:r>
          </w:p>
        </w:tc>
        <w:tc>
          <w:tcPr>
            <w:tcW w:w="1058" w:type="dxa"/>
            <w:tcBorders>
              <w:top w:val="nil"/>
              <w:left w:val="nil"/>
              <w:bottom w:val="single" w:sz="4" w:space="0" w:color="auto"/>
              <w:right w:val="single" w:sz="4" w:space="0" w:color="auto"/>
            </w:tcBorders>
            <w:shd w:val="clear" w:color="auto" w:fill="auto"/>
            <w:noWrap/>
            <w:vAlign w:val="bottom"/>
            <w:hideMark/>
          </w:tcPr>
          <w:p w14:paraId="6EAF39F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w:t>
            </w:r>
          </w:p>
        </w:tc>
        <w:tc>
          <w:tcPr>
            <w:tcW w:w="993" w:type="dxa"/>
            <w:tcBorders>
              <w:top w:val="nil"/>
              <w:left w:val="nil"/>
              <w:bottom w:val="single" w:sz="4" w:space="0" w:color="auto"/>
              <w:right w:val="single" w:sz="4" w:space="0" w:color="auto"/>
            </w:tcBorders>
            <w:shd w:val="clear" w:color="auto" w:fill="auto"/>
            <w:noWrap/>
            <w:vAlign w:val="bottom"/>
            <w:hideMark/>
          </w:tcPr>
          <w:p w14:paraId="5350C42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7,25</w:t>
            </w:r>
          </w:p>
        </w:tc>
        <w:tc>
          <w:tcPr>
            <w:tcW w:w="992" w:type="dxa"/>
            <w:tcBorders>
              <w:top w:val="nil"/>
              <w:left w:val="nil"/>
              <w:bottom w:val="single" w:sz="4" w:space="0" w:color="auto"/>
              <w:right w:val="single" w:sz="4" w:space="0" w:color="auto"/>
            </w:tcBorders>
            <w:shd w:val="clear" w:color="auto" w:fill="auto"/>
            <w:noWrap/>
            <w:vAlign w:val="bottom"/>
            <w:hideMark/>
          </w:tcPr>
          <w:p w14:paraId="5C80ED65"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920198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F7F2D39"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0CF6C8D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6,57</w:t>
            </w:r>
          </w:p>
        </w:tc>
        <w:tc>
          <w:tcPr>
            <w:tcW w:w="1132" w:type="dxa"/>
            <w:tcBorders>
              <w:top w:val="nil"/>
              <w:left w:val="nil"/>
              <w:bottom w:val="single" w:sz="4" w:space="0" w:color="auto"/>
              <w:right w:val="single" w:sz="4" w:space="0" w:color="auto"/>
            </w:tcBorders>
            <w:shd w:val="clear" w:color="auto" w:fill="auto"/>
            <w:noWrap/>
            <w:vAlign w:val="bottom"/>
            <w:hideMark/>
          </w:tcPr>
          <w:p w14:paraId="72848200"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1258" w:type="dxa"/>
            <w:tcBorders>
              <w:top w:val="nil"/>
              <w:left w:val="nil"/>
              <w:bottom w:val="single" w:sz="4" w:space="0" w:color="auto"/>
              <w:right w:val="single" w:sz="4" w:space="0" w:color="auto"/>
            </w:tcBorders>
            <w:shd w:val="clear" w:color="auto" w:fill="auto"/>
            <w:noWrap/>
            <w:vAlign w:val="bottom"/>
            <w:hideMark/>
          </w:tcPr>
          <w:p w14:paraId="607C3149"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20.06.2023</w:t>
            </w:r>
          </w:p>
        </w:tc>
      </w:tr>
      <w:tr w:rsidR="00F15CE0" w:rsidRPr="000D19A7" w14:paraId="2C3D7D02"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C676AB6"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noiembrie</w:t>
            </w:r>
          </w:p>
        </w:tc>
        <w:tc>
          <w:tcPr>
            <w:tcW w:w="1134" w:type="dxa"/>
            <w:tcBorders>
              <w:top w:val="nil"/>
              <w:left w:val="nil"/>
              <w:bottom w:val="single" w:sz="4" w:space="0" w:color="auto"/>
              <w:right w:val="single" w:sz="4" w:space="0" w:color="auto"/>
            </w:tcBorders>
            <w:shd w:val="clear" w:color="auto" w:fill="auto"/>
            <w:noWrap/>
            <w:vAlign w:val="bottom"/>
            <w:hideMark/>
          </w:tcPr>
          <w:p w14:paraId="2675B67D"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3,52</w:t>
            </w:r>
          </w:p>
        </w:tc>
        <w:tc>
          <w:tcPr>
            <w:tcW w:w="1101" w:type="dxa"/>
            <w:tcBorders>
              <w:top w:val="nil"/>
              <w:left w:val="nil"/>
              <w:bottom w:val="single" w:sz="4" w:space="0" w:color="auto"/>
              <w:right w:val="single" w:sz="4" w:space="0" w:color="auto"/>
            </w:tcBorders>
            <w:shd w:val="clear" w:color="auto" w:fill="auto"/>
            <w:noWrap/>
            <w:vAlign w:val="bottom"/>
            <w:hideMark/>
          </w:tcPr>
          <w:p w14:paraId="0CE6A252"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6,44</w:t>
            </w:r>
          </w:p>
        </w:tc>
        <w:tc>
          <w:tcPr>
            <w:tcW w:w="955" w:type="dxa"/>
            <w:tcBorders>
              <w:top w:val="nil"/>
              <w:left w:val="nil"/>
              <w:bottom w:val="single" w:sz="4" w:space="0" w:color="auto"/>
              <w:right w:val="single" w:sz="4" w:space="0" w:color="auto"/>
            </w:tcBorders>
            <w:shd w:val="clear" w:color="auto" w:fill="auto"/>
            <w:noWrap/>
            <w:vAlign w:val="bottom"/>
            <w:hideMark/>
          </w:tcPr>
          <w:p w14:paraId="06EDCD2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6,82</w:t>
            </w:r>
          </w:p>
        </w:tc>
        <w:tc>
          <w:tcPr>
            <w:tcW w:w="1058" w:type="dxa"/>
            <w:tcBorders>
              <w:top w:val="nil"/>
              <w:left w:val="nil"/>
              <w:bottom w:val="single" w:sz="4" w:space="0" w:color="auto"/>
              <w:right w:val="single" w:sz="4" w:space="0" w:color="auto"/>
            </w:tcBorders>
            <w:shd w:val="clear" w:color="auto" w:fill="auto"/>
            <w:noWrap/>
            <w:vAlign w:val="bottom"/>
            <w:hideMark/>
          </w:tcPr>
          <w:p w14:paraId="6BE40ED5"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6,75</w:t>
            </w:r>
          </w:p>
        </w:tc>
        <w:tc>
          <w:tcPr>
            <w:tcW w:w="993" w:type="dxa"/>
            <w:tcBorders>
              <w:top w:val="nil"/>
              <w:left w:val="nil"/>
              <w:bottom w:val="single" w:sz="4" w:space="0" w:color="auto"/>
              <w:right w:val="single" w:sz="4" w:space="0" w:color="auto"/>
            </w:tcBorders>
            <w:shd w:val="clear" w:color="auto" w:fill="auto"/>
            <w:noWrap/>
            <w:vAlign w:val="bottom"/>
            <w:hideMark/>
          </w:tcPr>
          <w:p w14:paraId="2719EE0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7,00</w:t>
            </w:r>
          </w:p>
        </w:tc>
        <w:tc>
          <w:tcPr>
            <w:tcW w:w="992" w:type="dxa"/>
            <w:tcBorders>
              <w:top w:val="nil"/>
              <w:left w:val="nil"/>
              <w:bottom w:val="single" w:sz="4" w:space="0" w:color="auto"/>
              <w:right w:val="single" w:sz="4" w:space="0" w:color="auto"/>
            </w:tcBorders>
            <w:shd w:val="clear" w:color="auto" w:fill="auto"/>
            <w:noWrap/>
            <w:vAlign w:val="bottom"/>
            <w:hideMark/>
          </w:tcPr>
          <w:p w14:paraId="28CD44B5"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7,25</w:t>
            </w:r>
          </w:p>
        </w:tc>
        <w:tc>
          <w:tcPr>
            <w:tcW w:w="992" w:type="dxa"/>
            <w:tcBorders>
              <w:top w:val="nil"/>
              <w:left w:val="nil"/>
              <w:bottom w:val="single" w:sz="4" w:space="0" w:color="auto"/>
              <w:right w:val="single" w:sz="4" w:space="0" w:color="auto"/>
            </w:tcBorders>
            <w:shd w:val="clear" w:color="auto" w:fill="auto"/>
            <w:noWrap/>
            <w:vAlign w:val="bottom"/>
            <w:hideMark/>
          </w:tcPr>
          <w:p w14:paraId="65D1962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7,50</w:t>
            </w:r>
          </w:p>
        </w:tc>
        <w:tc>
          <w:tcPr>
            <w:tcW w:w="1138" w:type="dxa"/>
            <w:tcBorders>
              <w:top w:val="nil"/>
              <w:left w:val="nil"/>
              <w:bottom w:val="single" w:sz="4" w:space="0" w:color="auto"/>
              <w:right w:val="single" w:sz="4" w:space="0" w:color="auto"/>
            </w:tcBorders>
            <w:shd w:val="clear" w:color="auto" w:fill="auto"/>
            <w:noWrap/>
            <w:vAlign w:val="bottom"/>
            <w:hideMark/>
          </w:tcPr>
          <w:p w14:paraId="3479BA5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CEF997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6,52</w:t>
            </w:r>
          </w:p>
        </w:tc>
        <w:tc>
          <w:tcPr>
            <w:tcW w:w="1132" w:type="dxa"/>
            <w:tcBorders>
              <w:top w:val="nil"/>
              <w:left w:val="nil"/>
              <w:bottom w:val="single" w:sz="4" w:space="0" w:color="auto"/>
              <w:right w:val="single" w:sz="4" w:space="0" w:color="auto"/>
            </w:tcBorders>
            <w:shd w:val="clear" w:color="auto" w:fill="auto"/>
            <w:noWrap/>
            <w:vAlign w:val="bottom"/>
            <w:hideMark/>
          </w:tcPr>
          <w:p w14:paraId="4EDE501A"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4,75</w:t>
            </w:r>
          </w:p>
        </w:tc>
        <w:tc>
          <w:tcPr>
            <w:tcW w:w="1258" w:type="dxa"/>
            <w:tcBorders>
              <w:top w:val="nil"/>
              <w:left w:val="nil"/>
              <w:bottom w:val="single" w:sz="4" w:space="0" w:color="auto"/>
              <w:right w:val="single" w:sz="4" w:space="0" w:color="auto"/>
            </w:tcBorders>
            <w:shd w:val="clear" w:color="auto" w:fill="auto"/>
            <w:noWrap/>
            <w:vAlign w:val="bottom"/>
            <w:hideMark/>
          </w:tcPr>
          <w:p w14:paraId="41B3DD4C"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07.11.2023</w:t>
            </w:r>
          </w:p>
        </w:tc>
      </w:tr>
      <w:tr w:rsidR="00F15CE0" w:rsidRPr="000D19A7" w14:paraId="7EB3A079"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DF18BBE" w14:textId="77777777" w:rsidR="00F640BF" w:rsidRPr="000D19A7" w:rsidRDefault="00F640BF" w:rsidP="00F640B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decembrie</w:t>
            </w:r>
          </w:p>
        </w:tc>
        <w:tc>
          <w:tcPr>
            <w:tcW w:w="1134" w:type="dxa"/>
            <w:tcBorders>
              <w:top w:val="nil"/>
              <w:left w:val="nil"/>
              <w:bottom w:val="single" w:sz="4" w:space="0" w:color="auto"/>
              <w:right w:val="single" w:sz="4" w:space="0" w:color="auto"/>
            </w:tcBorders>
            <w:shd w:val="clear" w:color="auto" w:fill="auto"/>
            <w:noWrap/>
            <w:vAlign w:val="bottom"/>
            <w:hideMark/>
          </w:tcPr>
          <w:p w14:paraId="468AE5F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2,90</w:t>
            </w:r>
          </w:p>
        </w:tc>
        <w:tc>
          <w:tcPr>
            <w:tcW w:w="1101" w:type="dxa"/>
            <w:tcBorders>
              <w:top w:val="nil"/>
              <w:left w:val="nil"/>
              <w:bottom w:val="single" w:sz="4" w:space="0" w:color="auto"/>
              <w:right w:val="single" w:sz="4" w:space="0" w:color="auto"/>
            </w:tcBorders>
            <w:shd w:val="clear" w:color="auto" w:fill="auto"/>
            <w:noWrap/>
            <w:vAlign w:val="bottom"/>
            <w:hideMark/>
          </w:tcPr>
          <w:p w14:paraId="59A43A4C"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5,71</w:t>
            </w:r>
          </w:p>
        </w:tc>
        <w:tc>
          <w:tcPr>
            <w:tcW w:w="955" w:type="dxa"/>
            <w:tcBorders>
              <w:top w:val="nil"/>
              <w:left w:val="nil"/>
              <w:bottom w:val="single" w:sz="4" w:space="0" w:color="auto"/>
              <w:right w:val="single" w:sz="4" w:space="0" w:color="auto"/>
            </w:tcBorders>
            <w:shd w:val="clear" w:color="auto" w:fill="auto"/>
            <w:noWrap/>
            <w:vAlign w:val="bottom"/>
            <w:hideMark/>
          </w:tcPr>
          <w:p w14:paraId="0C5D5718"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6,36</w:t>
            </w:r>
          </w:p>
        </w:tc>
        <w:tc>
          <w:tcPr>
            <w:tcW w:w="1058" w:type="dxa"/>
            <w:tcBorders>
              <w:top w:val="nil"/>
              <w:left w:val="nil"/>
              <w:bottom w:val="single" w:sz="4" w:space="0" w:color="auto"/>
              <w:right w:val="single" w:sz="4" w:space="0" w:color="auto"/>
            </w:tcBorders>
            <w:shd w:val="clear" w:color="auto" w:fill="auto"/>
            <w:noWrap/>
            <w:vAlign w:val="bottom"/>
            <w:hideMark/>
          </w:tcPr>
          <w:p w14:paraId="73E2F34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6,00</w:t>
            </w:r>
          </w:p>
        </w:tc>
        <w:tc>
          <w:tcPr>
            <w:tcW w:w="993" w:type="dxa"/>
            <w:tcBorders>
              <w:top w:val="nil"/>
              <w:left w:val="nil"/>
              <w:bottom w:val="single" w:sz="4" w:space="0" w:color="auto"/>
              <w:right w:val="single" w:sz="4" w:space="0" w:color="auto"/>
            </w:tcBorders>
            <w:shd w:val="clear" w:color="auto" w:fill="auto"/>
            <w:noWrap/>
            <w:vAlign w:val="bottom"/>
            <w:hideMark/>
          </w:tcPr>
          <w:p w14:paraId="649B0603"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6,25</w:t>
            </w:r>
          </w:p>
        </w:tc>
        <w:tc>
          <w:tcPr>
            <w:tcW w:w="992" w:type="dxa"/>
            <w:tcBorders>
              <w:top w:val="nil"/>
              <w:left w:val="nil"/>
              <w:bottom w:val="single" w:sz="4" w:space="0" w:color="auto"/>
              <w:right w:val="single" w:sz="4" w:space="0" w:color="auto"/>
            </w:tcBorders>
            <w:shd w:val="clear" w:color="auto" w:fill="auto"/>
            <w:noWrap/>
            <w:vAlign w:val="bottom"/>
            <w:hideMark/>
          </w:tcPr>
          <w:p w14:paraId="2A42959B"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6,50</w:t>
            </w:r>
          </w:p>
        </w:tc>
        <w:tc>
          <w:tcPr>
            <w:tcW w:w="992" w:type="dxa"/>
            <w:tcBorders>
              <w:top w:val="nil"/>
              <w:left w:val="nil"/>
              <w:bottom w:val="single" w:sz="4" w:space="0" w:color="auto"/>
              <w:right w:val="single" w:sz="4" w:space="0" w:color="auto"/>
            </w:tcBorders>
            <w:shd w:val="clear" w:color="auto" w:fill="auto"/>
            <w:noWrap/>
            <w:vAlign w:val="bottom"/>
            <w:hideMark/>
          </w:tcPr>
          <w:p w14:paraId="57722017"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6,80</w:t>
            </w:r>
          </w:p>
        </w:tc>
        <w:tc>
          <w:tcPr>
            <w:tcW w:w="1138" w:type="dxa"/>
            <w:tcBorders>
              <w:top w:val="nil"/>
              <w:left w:val="nil"/>
              <w:bottom w:val="single" w:sz="4" w:space="0" w:color="auto"/>
              <w:right w:val="single" w:sz="4" w:space="0" w:color="auto"/>
            </w:tcBorders>
            <w:shd w:val="clear" w:color="auto" w:fill="auto"/>
            <w:noWrap/>
            <w:vAlign w:val="bottom"/>
            <w:hideMark/>
          </w:tcPr>
          <w:p w14:paraId="504608D1"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9CD1A6F"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5,91</w:t>
            </w:r>
          </w:p>
        </w:tc>
        <w:tc>
          <w:tcPr>
            <w:tcW w:w="1132" w:type="dxa"/>
            <w:tcBorders>
              <w:top w:val="nil"/>
              <w:left w:val="nil"/>
              <w:bottom w:val="single" w:sz="4" w:space="0" w:color="auto"/>
              <w:right w:val="single" w:sz="4" w:space="0" w:color="auto"/>
            </w:tcBorders>
            <w:shd w:val="clear" w:color="auto" w:fill="auto"/>
            <w:noWrap/>
            <w:vAlign w:val="bottom"/>
            <w:hideMark/>
          </w:tcPr>
          <w:p w14:paraId="3C7BEC5E" w14:textId="77777777" w:rsidR="00F640BF" w:rsidRPr="000D19A7" w:rsidRDefault="00F640BF" w:rsidP="00F640B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4,75</w:t>
            </w:r>
          </w:p>
        </w:tc>
        <w:tc>
          <w:tcPr>
            <w:tcW w:w="1258" w:type="dxa"/>
            <w:tcBorders>
              <w:top w:val="nil"/>
              <w:left w:val="nil"/>
              <w:bottom w:val="single" w:sz="4" w:space="0" w:color="auto"/>
              <w:right w:val="single" w:sz="4" w:space="0" w:color="auto"/>
            </w:tcBorders>
            <w:shd w:val="clear" w:color="auto" w:fill="auto"/>
            <w:noWrap/>
            <w:vAlign w:val="bottom"/>
            <w:hideMark/>
          </w:tcPr>
          <w:p w14:paraId="79279608" w14:textId="77777777" w:rsidR="00F640BF" w:rsidRPr="000D19A7" w:rsidRDefault="00F640BF" w:rsidP="00F640BF">
            <w:pPr>
              <w:spacing w:after="0" w:line="240" w:lineRule="auto"/>
              <w:jc w:val="right"/>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07.11.2023</w:t>
            </w:r>
          </w:p>
        </w:tc>
      </w:tr>
      <w:tr w:rsidR="00F15CE0" w:rsidRPr="000D19A7" w14:paraId="727F87BC" w14:textId="77777777" w:rsidTr="00F15CE0">
        <w:trPr>
          <w:gridAfter w:val="1"/>
          <w:wAfter w:w="35" w:type="dxa"/>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C202DA1"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09835415"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9,28</w:t>
            </w:r>
          </w:p>
        </w:tc>
        <w:tc>
          <w:tcPr>
            <w:tcW w:w="1101" w:type="dxa"/>
            <w:tcBorders>
              <w:top w:val="nil"/>
              <w:left w:val="nil"/>
              <w:bottom w:val="single" w:sz="4" w:space="0" w:color="auto"/>
              <w:right w:val="single" w:sz="4" w:space="0" w:color="auto"/>
            </w:tcBorders>
            <w:shd w:val="clear" w:color="auto" w:fill="auto"/>
            <w:noWrap/>
            <w:vAlign w:val="bottom"/>
            <w:hideMark/>
          </w:tcPr>
          <w:p w14:paraId="0E3D4DE6"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8,87</w:t>
            </w:r>
          </w:p>
        </w:tc>
        <w:tc>
          <w:tcPr>
            <w:tcW w:w="955" w:type="dxa"/>
            <w:tcBorders>
              <w:top w:val="nil"/>
              <w:left w:val="nil"/>
              <w:bottom w:val="single" w:sz="4" w:space="0" w:color="auto"/>
              <w:right w:val="single" w:sz="4" w:space="0" w:color="auto"/>
            </w:tcBorders>
            <w:shd w:val="clear" w:color="auto" w:fill="auto"/>
            <w:noWrap/>
            <w:vAlign w:val="bottom"/>
            <w:hideMark/>
          </w:tcPr>
          <w:p w14:paraId="60E220BB"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8,20</w:t>
            </w:r>
          </w:p>
        </w:tc>
        <w:tc>
          <w:tcPr>
            <w:tcW w:w="1058" w:type="dxa"/>
            <w:tcBorders>
              <w:top w:val="nil"/>
              <w:left w:val="nil"/>
              <w:bottom w:val="single" w:sz="4" w:space="0" w:color="auto"/>
              <w:right w:val="single" w:sz="4" w:space="0" w:color="auto"/>
            </w:tcBorders>
            <w:shd w:val="clear" w:color="auto" w:fill="auto"/>
            <w:noWrap/>
            <w:vAlign w:val="bottom"/>
            <w:hideMark/>
          </w:tcPr>
          <w:p w14:paraId="5E0E9E44"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9,12</w:t>
            </w:r>
          </w:p>
        </w:tc>
        <w:tc>
          <w:tcPr>
            <w:tcW w:w="993" w:type="dxa"/>
            <w:tcBorders>
              <w:top w:val="nil"/>
              <w:left w:val="nil"/>
              <w:bottom w:val="single" w:sz="4" w:space="0" w:color="auto"/>
              <w:right w:val="single" w:sz="4" w:space="0" w:color="auto"/>
            </w:tcBorders>
            <w:shd w:val="clear" w:color="auto" w:fill="auto"/>
            <w:noWrap/>
            <w:vAlign w:val="bottom"/>
            <w:hideMark/>
          </w:tcPr>
          <w:p w14:paraId="71DA8BF7"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8,37</w:t>
            </w:r>
          </w:p>
        </w:tc>
        <w:tc>
          <w:tcPr>
            <w:tcW w:w="992" w:type="dxa"/>
            <w:tcBorders>
              <w:top w:val="nil"/>
              <w:left w:val="nil"/>
              <w:bottom w:val="single" w:sz="4" w:space="0" w:color="auto"/>
              <w:right w:val="single" w:sz="4" w:space="0" w:color="auto"/>
            </w:tcBorders>
            <w:shd w:val="clear" w:color="auto" w:fill="auto"/>
            <w:noWrap/>
            <w:vAlign w:val="bottom"/>
            <w:hideMark/>
          </w:tcPr>
          <w:p w14:paraId="683866D5"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7,23</w:t>
            </w:r>
          </w:p>
        </w:tc>
        <w:tc>
          <w:tcPr>
            <w:tcW w:w="992" w:type="dxa"/>
            <w:tcBorders>
              <w:top w:val="nil"/>
              <w:left w:val="nil"/>
              <w:bottom w:val="single" w:sz="4" w:space="0" w:color="auto"/>
              <w:right w:val="single" w:sz="4" w:space="0" w:color="auto"/>
            </w:tcBorders>
            <w:shd w:val="clear" w:color="auto" w:fill="auto"/>
            <w:noWrap/>
            <w:vAlign w:val="bottom"/>
            <w:hideMark/>
          </w:tcPr>
          <w:p w14:paraId="56CDECFE"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8,42</w:t>
            </w:r>
          </w:p>
        </w:tc>
        <w:tc>
          <w:tcPr>
            <w:tcW w:w="1138" w:type="dxa"/>
            <w:tcBorders>
              <w:top w:val="nil"/>
              <w:left w:val="nil"/>
              <w:bottom w:val="single" w:sz="4" w:space="0" w:color="auto"/>
              <w:right w:val="single" w:sz="4" w:space="0" w:color="auto"/>
            </w:tcBorders>
            <w:shd w:val="clear" w:color="auto" w:fill="auto"/>
            <w:noWrap/>
            <w:vAlign w:val="bottom"/>
            <w:hideMark/>
          </w:tcPr>
          <w:p w14:paraId="3509B087"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8,25</w:t>
            </w:r>
          </w:p>
        </w:tc>
        <w:tc>
          <w:tcPr>
            <w:tcW w:w="993" w:type="dxa"/>
            <w:tcBorders>
              <w:top w:val="nil"/>
              <w:left w:val="nil"/>
              <w:bottom w:val="single" w:sz="4" w:space="0" w:color="auto"/>
              <w:right w:val="single" w:sz="4" w:space="0" w:color="auto"/>
            </w:tcBorders>
            <w:shd w:val="clear" w:color="auto" w:fill="auto"/>
            <w:noWrap/>
            <w:vAlign w:val="bottom"/>
            <w:hideMark/>
          </w:tcPr>
          <w:p w14:paraId="4FC6063B"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8,62</w:t>
            </w:r>
          </w:p>
        </w:tc>
        <w:tc>
          <w:tcPr>
            <w:tcW w:w="1132" w:type="dxa"/>
            <w:tcBorders>
              <w:top w:val="nil"/>
              <w:left w:val="nil"/>
              <w:bottom w:val="single" w:sz="4" w:space="0" w:color="auto"/>
              <w:right w:val="single" w:sz="4" w:space="0" w:color="auto"/>
            </w:tcBorders>
            <w:shd w:val="clear" w:color="auto" w:fill="auto"/>
            <w:noWrap/>
            <w:vAlign w:val="bottom"/>
            <w:hideMark/>
          </w:tcPr>
          <w:p w14:paraId="7AE9E171"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x</w:t>
            </w:r>
          </w:p>
        </w:tc>
        <w:tc>
          <w:tcPr>
            <w:tcW w:w="1258" w:type="dxa"/>
            <w:tcBorders>
              <w:top w:val="nil"/>
              <w:left w:val="nil"/>
              <w:bottom w:val="single" w:sz="4" w:space="0" w:color="auto"/>
              <w:right w:val="single" w:sz="4" w:space="0" w:color="auto"/>
            </w:tcBorders>
            <w:shd w:val="clear" w:color="auto" w:fill="auto"/>
            <w:noWrap/>
            <w:vAlign w:val="bottom"/>
            <w:hideMark/>
          </w:tcPr>
          <w:p w14:paraId="797AAE59" w14:textId="77777777" w:rsidR="00F640BF" w:rsidRPr="000D19A7" w:rsidRDefault="00F640BF" w:rsidP="00F640B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x</w:t>
            </w:r>
          </w:p>
        </w:tc>
      </w:tr>
    </w:tbl>
    <w:p w14:paraId="564A165A" w14:textId="7B0C2810" w:rsidR="00F640BF" w:rsidRDefault="00F640BF" w:rsidP="00F640BF">
      <w:pPr>
        <w:rPr>
          <w:lang w:val="ro-MD"/>
        </w:rPr>
      </w:pPr>
    </w:p>
    <w:p w14:paraId="1C69E4E0" w14:textId="174BD6D6" w:rsidR="00A319E7" w:rsidRDefault="00A319E7" w:rsidP="00F640BF">
      <w:pPr>
        <w:rPr>
          <w:lang w:val="ro-MD"/>
        </w:rPr>
      </w:pPr>
    </w:p>
    <w:p w14:paraId="537D8BE9" w14:textId="12553726" w:rsidR="00A319E7" w:rsidRDefault="00A319E7" w:rsidP="00F640BF">
      <w:pPr>
        <w:rPr>
          <w:lang w:val="ro-MD"/>
        </w:rPr>
      </w:pPr>
    </w:p>
    <w:p w14:paraId="6A315A36" w14:textId="21C3E313" w:rsidR="00A319E7" w:rsidRDefault="00A319E7" w:rsidP="00F640BF">
      <w:pPr>
        <w:rPr>
          <w:lang w:val="ro-MD"/>
        </w:rPr>
      </w:pPr>
    </w:p>
    <w:p w14:paraId="72EB0639" w14:textId="77777777" w:rsidR="00A319E7" w:rsidRPr="000D19A7" w:rsidRDefault="00A319E7" w:rsidP="00F640BF">
      <w:pPr>
        <w:rPr>
          <w:lang w:val="ro-MD"/>
        </w:rPr>
      </w:pPr>
    </w:p>
    <w:p w14:paraId="4397C08D" w14:textId="1C27C33D" w:rsidR="003127BB" w:rsidRPr="000D19A7" w:rsidRDefault="00F640BF" w:rsidP="003127BB">
      <w:pPr>
        <w:pStyle w:val="3"/>
        <w:numPr>
          <w:ilvl w:val="0"/>
          <w:numId w:val="0"/>
        </w:numPr>
        <w:ind w:left="720" w:hanging="720"/>
        <w:jc w:val="right"/>
        <w:rPr>
          <w:rFonts w:ascii="Times New Roman" w:hAnsi="Times New Roman" w:cs="Times New Roman"/>
          <w:lang w:val="ro-MD"/>
          <w14:glow w14:rad="0">
            <w14:schemeClr w14:val="tx1"/>
          </w14:glow>
        </w:rPr>
      </w:pPr>
      <w:bookmarkStart w:id="29" w:name="_Toc168321559"/>
      <w:r w:rsidRPr="000D19A7">
        <w:rPr>
          <w:rFonts w:ascii="Times New Roman" w:hAnsi="Times New Roman" w:cs="Times New Roman"/>
          <w:lang w:val="ro-MD"/>
          <w14:glow w14:rad="0">
            <w14:schemeClr w14:val="tx1"/>
          </w14:glow>
        </w:rPr>
        <w:t>Anexa nr.2</w:t>
      </w:r>
      <w:bookmarkEnd w:id="29"/>
      <w:r w:rsidR="000E6486" w:rsidRPr="000D19A7">
        <w:rPr>
          <w:rFonts w:ascii="Times New Roman" w:hAnsi="Times New Roman" w:cs="Times New Roman"/>
          <w:lang w:val="ro-MD"/>
          <w14:glow w14:rad="0">
            <w14:schemeClr w14:val="tx1"/>
          </w14:glow>
        </w:rPr>
        <w:t xml:space="preserve">                                                                                                                                                                                                       </w:t>
      </w:r>
    </w:p>
    <w:p w14:paraId="03036C8F" w14:textId="788C90B1" w:rsidR="00631083" w:rsidRPr="000D19A7" w:rsidRDefault="00741BE7" w:rsidP="003127BB">
      <w:pPr>
        <w:jc w:val="center"/>
        <w:rPr>
          <w:rFonts w:ascii="Times New Roman" w:hAnsi="Times New Roman" w:cs="Times New Roman"/>
          <w:b/>
          <w:lang w:val="ro-MD"/>
          <w14:glow w14:rad="0">
            <w14:schemeClr w14:val="tx1"/>
          </w14:glow>
        </w:rPr>
      </w:pPr>
      <w:r w:rsidRPr="000D19A7">
        <w:rPr>
          <w:rFonts w:ascii="Times New Roman" w:hAnsi="Times New Roman" w:cs="Times New Roman"/>
          <w:b/>
          <w:lang w:val="ro-MD"/>
          <w14:glow w14:rad="0">
            <w14:schemeClr w14:val="tx1"/>
          </w14:glow>
        </w:rPr>
        <w:t>Sinteza acordurilor aferente împrumuturilor externe  noi încheiate pe parcursul anului 2023</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314"/>
        <w:gridCol w:w="1127"/>
        <w:gridCol w:w="1600"/>
        <w:gridCol w:w="1428"/>
        <w:gridCol w:w="1276"/>
        <w:gridCol w:w="1147"/>
        <w:gridCol w:w="1253"/>
        <w:gridCol w:w="1228"/>
        <w:gridCol w:w="1316"/>
        <w:gridCol w:w="41"/>
      </w:tblGrid>
      <w:tr w:rsidR="00B76817" w:rsidRPr="000D19A7" w14:paraId="7257B537" w14:textId="77777777" w:rsidTr="00690D21">
        <w:trPr>
          <w:gridAfter w:val="1"/>
          <w:wAfter w:w="42" w:type="dxa"/>
          <w:trHeight w:val="540"/>
        </w:trPr>
        <w:tc>
          <w:tcPr>
            <w:tcW w:w="613" w:type="dxa"/>
            <w:shd w:val="clear" w:color="auto" w:fill="auto"/>
            <w:vAlign w:val="center"/>
            <w:hideMark/>
          </w:tcPr>
          <w:p w14:paraId="236649A3"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Nr. crt</w:t>
            </w:r>
          </w:p>
        </w:tc>
        <w:tc>
          <w:tcPr>
            <w:tcW w:w="4351" w:type="dxa"/>
            <w:shd w:val="clear" w:color="auto" w:fill="auto"/>
            <w:vAlign w:val="center"/>
            <w:hideMark/>
          </w:tcPr>
          <w:p w14:paraId="2623A94A"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Denumirea proiectului/programului</w:t>
            </w:r>
          </w:p>
        </w:tc>
        <w:tc>
          <w:tcPr>
            <w:tcW w:w="1127" w:type="dxa"/>
            <w:shd w:val="clear" w:color="auto" w:fill="auto"/>
            <w:noWrap/>
            <w:vAlign w:val="center"/>
            <w:hideMark/>
          </w:tcPr>
          <w:p w14:paraId="412242C4"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Creditorul</w:t>
            </w:r>
          </w:p>
        </w:tc>
        <w:tc>
          <w:tcPr>
            <w:tcW w:w="1600" w:type="dxa"/>
            <w:shd w:val="clear" w:color="auto" w:fill="auto"/>
            <w:vAlign w:val="center"/>
            <w:hideMark/>
          </w:tcPr>
          <w:p w14:paraId="5A682C99"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Data semnării acordului</w:t>
            </w:r>
          </w:p>
        </w:tc>
        <w:tc>
          <w:tcPr>
            <w:tcW w:w="1428" w:type="dxa"/>
            <w:shd w:val="clear" w:color="auto" w:fill="auto"/>
            <w:vAlign w:val="center"/>
            <w:hideMark/>
          </w:tcPr>
          <w:p w14:paraId="6983C9CA"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Suma împrumutului</w:t>
            </w:r>
          </w:p>
        </w:tc>
        <w:tc>
          <w:tcPr>
            <w:tcW w:w="1276" w:type="dxa"/>
            <w:shd w:val="clear" w:color="auto" w:fill="auto"/>
            <w:noWrap/>
            <w:vAlign w:val="center"/>
            <w:hideMark/>
          </w:tcPr>
          <w:p w14:paraId="7FE12CE9"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Maturitatea</w:t>
            </w:r>
          </w:p>
        </w:tc>
        <w:tc>
          <w:tcPr>
            <w:tcW w:w="1150" w:type="dxa"/>
            <w:shd w:val="clear" w:color="auto" w:fill="auto"/>
            <w:vAlign w:val="center"/>
            <w:hideMark/>
          </w:tcPr>
          <w:p w14:paraId="7C84E160"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Perioada de grație</w:t>
            </w:r>
          </w:p>
        </w:tc>
        <w:tc>
          <w:tcPr>
            <w:tcW w:w="1253" w:type="dxa"/>
            <w:shd w:val="clear" w:color="auto" w:fill="auto"/>
            <w:noWrap/>
            <w:vAlign w:val="center"/>
            <w:hideMark/>
          </w:tcPr>
          <w:p w14:paraId="10C70E19"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Rata dobânzii</w:t>
            </w:r>
          </w:p>
        </w:tc>
        <w:tc>
          <w:tcPr>
            <w:tcW w:w="1228" w:type="dxa"/>
            <w:shd w:val="clear" w:color="auto" w:fill="auto"/>
            <w:vAlign w:val="center"/>
            <w:hideMark/>
          </w:tcPr>
          <w:p w14:paraId="3F74900D"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Comision de angajament</w:t>
            </w:r>
          </w:p>
        </w:tc>
        <w:tc>
          <w:tcPr>
            <w:tcW w:w="1273" w:type="dxa"/>
            <w:shd w:val="clear" w:color="auto" w:fill="auto"/>
            <w:noWrap/>
            <w:vAlign w:val="center"/>
            <w:hideMark/>
          </w:tcPr>
          <w:p w14:paraId="75C71AAF" w14:textId="77777777" w:rsidR="00B76817" w:rsidRPr="000D19A7" w:rsidRDefault="00B76817"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Comision unic</w:t>
            </w:r>
          </w:p>
        </w:tc>
      </w:tr>
      <w:tr w:rsidR="00B76817" w:rsidRPr="000D19A7" w14:paraId="58712D62" w14:textId="77777777" w:rsidTr="00690D21">
        <w:trPr>
          <w:gridAfter w:val="1"/>
          <w:wAfter w:w="42" w:type="dxa"/>
          <w:trHeight w:val="540"/>
        </w:trPr>
        <w:tc>
          <w:tcPr>
            <w:tcW w:w="613" w:type="dxa"/>
            <w:shd w:val="clear" w:color="auto" w:fill="auto"/>
            <w:hideMark/>
          </w:tcPr>
          <w:p w14:paraId="29CFF2B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w:t>
            </w:r>
          </w:p>
        </w:tc>
        <w:tc>
          <w:tcPr>
            <w:tcW w:w="4351" w:type="dxa"/>
            <w:shd w:val="clear" w:color="auto" w:fill="auto"/>
            <w:hideMark/>
          </w:tcPr>
          <w:p w14:paraId="29A0554A"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„Deșeuri solide în Republica Moldova”</w:t>
            </w:r>
          </w:p>
        </w:tc>
        <w:tc>
          <w:tcPr>
            <w:tcW w:w="1127" w:type="dxa"/>
            <w:shd w:val="clear" w:color="auto" w:fill="auto"/>
            <w:noWrap/>
            <w:hideMark/>
          </w:tcPr>
          <w:p w14:paraId="06F4D1C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BERD</w:t>
            </w:r>
          </w:p>
        </w:tc>
        <w:tc>
          <w:tcPr>
            <w:tcW w:w="1600" w:type="dxa"/>
            <w:shd w:val="clear" w:color="auto" w:fill="auto"/>
            <w:noWrap/>
            <w:hideMark/>
          </w:tcPr>
          <w:p w14:paraId="792157B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04.01.2023</w:t>
            </w:r>
          </w:p>
        </w:tc>
        <w:tc>
          <w:tcPr>
            <w:tcW w:w="1428" w:type="dxa"/>
            <w:shd w:val="clear" w:color="auto" w:fill="auto"/>
            <w:hideMark/>
          </w:tcPr>
          <w:p w14:paraId="0F30360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25,0 mil. euro</w:t>
            </w:r>
          </w:p>
        </w:tc>
        <w:tc>
          <w:tcPr>
            <w:tcW w:w="1276" w:type="dxa"/>
            <w:shd w:val="clear" w:color="auto" w:fill="auto"/>
            <w:noWrap/>
            <w:hideMark/>
          </w:tcPr>
          <w:p w14:paraId="47952C9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150" w:type="dxa"/>
            <w:shd w:val="clear" w:color="auto" w:fill="auto"/>
            <w:hideMark/>
          </w:tcPr>
          <w:p w14:paraId="40DB8CD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 ani</w:t>
            </w:r>
          </w:p>
        </w:tc>
        <w:tc>
          <w:tcPr>
            <w:tcW w:w="1253" w:type="dxa"/>
            <w:shd w:val="clear" w:color="auto" w:fill="auto"/>
            <w:hideMark/>
          </w:tcPr>
          <w:p w14:paraId="41B70FF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r w:rsidRPr="000D19A7">
              <w:rPr>
                <w:rFonts w:ascii="Times New Roman" w:eastAsia="Times New Roman" w:hAnsi="Times New Roman" w:cs="Times New Roman"/>
                <w:color w:val="000000"/>
                <w:sz w:val="20"/>
                <w:szCs w:val="20"/>
              </w:rPr>
              <w:br/>
            </w:r>
            <w:r w:rsidRPr="000D19A7">
              <w:rPr>
                <w:rFonts w:ascii="Times New Roman" w:eastAsia="Times New Roman" w:hAnsi="Times New Roman" w:cs="Times New Roman"/>
                <w:color w:val="000000"/>
                <w:sz w:val="18"/>
                <w:szCs w:val="18"/>
              </w:rPr>
              <w:t>(Euribor 6m + 1,0 p.p.)</w:t>
            </w:r>
          </w:p>
        </w:tc>
        <w:tc>
          <w:tcPr>
            <w:tcW w:w="1228" w:type="dxa"/>
            <w:shd w:val="clear" w:color="auto" w:fill="auto"/>
            <w:hideMark/>
          </w:tcPr>
          <w:p w14:paraId="26EC33E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w:t>
            </w:r>
          </w:p>
        </w:tc>
        <w:tc>
          <w:tcPr>
            <w:tcW w:w="1273" w:type="dxa"/>
            <w:shd w:val="clear" w:color="auto" w:fill="auto"/>
            <w:noWrap/>
            <w:hideMark/>
          </w:tcPr>
          <w:p w14:paraId="4E8ED43E"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7E1F485B" w14:textId="77777777" w:rsidTr="00690D21">
        <w:trPr>
          <w:gridAfter w:val="1"/>
          <w:wAfter w:w="42" w:type="dxa"/>
          <w:trHeight w:val="804"/>
        </w:trPr>
        <w:tc>
          <w:tcPr>
            <w:tcW w:w="613" w:type="dxa"/>
            <w:shd w:val="clear" w:color="auto" w:fill="auto"/>
            <w:hideMark/>
          </w:tcPr>
          <w:p w14:paraId="08E6E0C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w:t>
            </w:r>
          </w:p>
        </w:tc>
        <w:tc>
          <w:tcPr>
            <w:tcW w:w="4351" w:type="dxa"/>
            <w:shd w:val="clear" w:color="auto" w:fill="auto"/>
            <w:hideMark/>
          </w:tcPr>
          <w:p w14:paraId="1C4A9D92"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„Investiții pentru Guvernanță, Creștere și Reziliență în Agricultură (AGGRI)</w:t>
            </w:r>
          </w:p>
        </w:tc>
        <w:tc>
          <w:tcPr>
            <w:tcW w:w="1127" w:type="dxa"/>
            <w:shd w:val="clear" w:color="auto" w:fill="auto"/>
            <w:noWrap/>
            <w:hideMark/>
          </w:tcPr>
          <w:p w14:paraId="758BAB0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BIRD</w:t>
            </w:r>
          </w:p>
        </w:tc>
        <w:tc>
          <w:tcPr>
            <w:tcW w:w="1600" w:type="dxa"/>
            <w:shd w:val="clear" w:color="auto" w:fill="auto"/>
            <w:noWrap/>
            <w:hideMark/>
          </w:tcPr>
          <w:p w14:paraId="0A2C0B5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05.06.2023</w:t>
            </w:r>
          </w:p>
        </w:tc>
        <w:tc>
          <w:tcPr>
            <w:tcW w:w="1428" w:type="dxa"/>
            <w:shd w:val="clear" w:color="auto" w:fill="auto"/>
            <w:hideMark/>
          </w:tcPr>
          <w:p w14:paraId="56BC21F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50,1 mil. euro</w:t>
            </w:r>
          </w:p>
        </w:tc>
        <w:tc>
          <w:tcPr>
            <w:tcW w:w="1276" w:type="dxa"/>
            <w:shd w:val="clear" w:color="auto" w:fill="auto"/>
            <w:noWrap/>
            <w:hideMark/>
          </w:tcPr>
          <w:p w14:paraId="0A70936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 ani</w:t>
            </w:r>
          </w:p>
        </w:tc>
        <w:tc>
          <w:tcPr>
            <w:tcW w:w="1150" w:type="dxa"/>
            <w:shd w:val="clear" w:color="auto" w:fill="auto"/>
            <w:hideMark/>
          </w:tcPr>
          <w:p w14:paraId="1BD445A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 ani</w:t>
            </w:r>
          </w:p>
        </w:tc>
        <w:tc>
          <w:tcPr>
            <w:tcW w:w="1253" w:type="dxa"/>
            <w:shd w:val="clear" w:color="auto" w:fill="auto"/>
            <w:noWrap/>
            <w:hideMark/>
          </w:tcPr>
          <w:p w14:paraId="398163C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p>
        </w:tc>
        <w:tc>
          <w:tcPr>
            <w:tcW w:w="1228" w:type="dxa"/>
            <w:shd w:val="clear" w:color="auto" w:fill="auto"/>
            <w:hideMark/>
          </w:tcPr>
          <w:p w14:paraId="33DD74A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nedebursată</w:t>
            </w:r>
          </w:p>
        </w:tc>
        <w:tc>
          <w:tcPr>
            <w:tcW w:w="1273" w:type="dxa"/>
            <w:shd w:val="clear" w:color="auto" w:fill="auto"/>
            <w:hideMark/>
          </w:tcPr>
          <w:p w14:paraId="51D1F13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împrumutului</w:t>
            </w:r>
          </w:p>
        </w:tc>
      </w:tr>
      <w:tr w:rsidR="00B76817" w:rsidRPr="000D19A7" w14:paraId="3AF9A232" w14:textId="77777777" w:rsidTr="00690D21">
        <w:trPr>
          <w:gridAfter w:val="1"/>
          <w:wAfter w:w="42" w:type="dxa"/>
          <w:trHeight w:val="1068"/>
        </w:trPr>
        <w:tc>
          <w:tcPr>
            <w:tcW w:w="613" w:type="dxa"/>
            <w:shd w:val="clear" w:color="auto" w:fill="auto"/>
            <w:hideMark/>
          </w:tcPr>
          <w:p w14:paraId="1127BD8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w:t>
            </w:r>
          </w:p>
        </w:tc>
        <w:tc>
          <w:tcPr>
            <w:tcW w:w="4351" w:type="dxa"/>
            <w:shd w:val="clear" w:color="auto" w:fill="auto"/>
            <w:hideMark/>
          </w:tcPr>
          <w:p w14:paraId="3C9F92AE"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finanțare pentru realizarea Programului „Moldova, măsuri în situație de urgență, reziliență și competitivitate. Operațiunea de politici de dezvoltare 2”</w:t>
            </w:r>
          </w:p>
        </w:tc>
        <w:tc>
          <w:tcPr>
            <w:tcW w:w="1127" w:type="dxa"/>
            <w:shd w:val="clear" w:color="auto" w:fill="auto"/>
            <w:noWrap/>
            <w:hideMark/>
          </w:tcPr>
          <w:p w14:paraId="50CAE97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BIRD</w:t>
            </w:r>
          </w:p>
        </w:tc>
        <w:tc>
          <w:tcPr>
            <w:tcW w:w="1600" w:type="dxa"/>
            <w:shd w:val="clear" w:color="auto" w:fill="auto"/>
            <w:noWrap/>
            <w:hideMark/>
          </w:tcPr>
          <w:p w14:paraId="136C36C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09.06.2023</w:t>
            </w:r>
          </w:p>
        </w:tc>
        <w:tc>
          <w:tcPr>
            <w:tcW w:w="1428" w:type="dxa"/>
            <w:shd w:val="clear" w:color="auto" w:fill="auto"/>
            <w:hideMark/>
          </w:tcPr>
          <w:p w14:paraId="397F40D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92,1 mil. euro</w:t>
            </w:r>
          </w:p>
        </w:tc>
        <w:tc>
          <w:tcPr>
            <w:tcW w:w="1276" w:type="dxa"/>
            <w:shd w:val="clear" w:color="auto" w:fill="auto"/>
            <w:noWrap/>
            <w:hideMark/>
          </w:tcPr>
          <w:p w14:paraId="61E8822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21 ani</w:t>
            </w:r>
          </w:p>
        </w:tc>
        <w:tc>
          <w:tcPr>
            <w:tcW w:w="1150" w:type="dxa"/>
            <w:shd w:val="clear" w:color="auto" w:fill="auto"/>
            <w:hideMark/>
          </w:tcPr>
          <w:p w14:paraId="2FD5F58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 ani</w:t>
            </w:r>
          </w:p>
        </w:tc>
        <w:tc>
          <w:tcPr>
            <w:tcW w:w="1253" w:type="dxa"/>
            <w:shd w:val="clear" w:color="auto" w:fill="auto"/>
            <w:noWrap/>
            <w:hideMark/>
          </w:tcPr>
          <w:p w14:paraId="3E38E9F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p>
        </w:tc>
        <w:tc>
          <w:tcPr>
            <w:tcW w:w="1228" w:type="dxa"/>
            <w:shd w:val="clear" w:color="auto" w:fill="auto"/>
            <w:hideMark/>
          </w:tcPr>
          <w:p w14:paraId="2874DC8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nedebursată</w:t>
            </w:r>
          </w:p>
        </w:tc>
        <w:tc>
          <w:tcPr>
            <w:tcW w:w="1273" w:type="dxa"/>
            <w:shd w:val="clear" w:color="auto" w:fill="auto"/>
            <w:hideMark/>
          </w:tcPr>
          <w:p w14:paraId="263E316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împrumutului</w:t>
            </w:r>
          </w:p>
        </w:tc>
      </w:tr>
      <w:tr w:rsidR="00B76817" w:rsidRPr="000D19A7" w14:paraId="261B5CF0" w14:textId="77777777" w:rsidTr="00690D21">
        <w:trPr>
          <w:gridAfter w:val="1"/>
          <w:wAfter w:w="42" w:type="dxa"/>
          <w:trHeight w:val="804"/>
        </w:trPr>
        <w:tc>
          <w:tcPr>
            <w:tcW w:w="613" w:type="dxa"/>
            <w:shd w:val="clear" w:color="auto" w:fill="auto"/>
            <w:hideMark/>
          </w:tcPr>
          <w:p w14:paraId="15D01BF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w:t>
            </w:r>
          </w:p>
        </w:tc>
        <w:tc>
          <w:tcPr>
            <w:tcW w:w="4351" w:type="dxa"/>
            <w:shd w:val="clear" w:color="auto" w:fill="auto"/>
            <w:hideMark/>
          </w:tcPr>
          <w:p w14:paraId="6BCE080E"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„RLF - Răspuns de urgență - Căile Ferate din Moldova”</w:t>
            </w:r>
          </w:p>
        </w:tc>
        <w:tc>
          <w:tcPr>
            <w:tcW w:w="1127" w:type="dxa"/>
            <w:shd w:val="clear" w:color="auto" w:fill="auto"/>
            <w:noWrap/>
            <w:hideMark/>
          </w:tcPr>
          <w:p w14:paraId="5A17F0C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BIRD</w:t>
            </w:r>
          </w:p>
        </w:tc>
        <w:tc>
          <w:tcPr>
            <w:tcW w:w="1600" w:type="dxa"/>
            <w:shd w:val="clear" w:color="auto" w:fill="auto"/>
            <w:noWrap/>
            <w:hideMark/>
          </w:tcPr>
          <w:p w14:paraId="637DE21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27.06.2023</w:t>
            </w:r>
          </w:p>
        </w:tc>
        <w:tc>
          <w:tcPr>
            <w:tcW w:w="1428" w:type="dxa"/>
            <w:shd w:val="clear" w:color="auto" w:fill="auto"/>
            <w:hideMark/>
          </w:tcPr>
          <w:p w14:paraId="6F5711E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23,0 mil. euro</w:t>
            </w:r>
          </w:p>
        </w:tc>
        <w:tc>
          <w:tcPr>
            <w:tcW w:w="1276" w:type="dxa"/>
            <w:shd w:val="clear" w:color="auto" w:fill="auto"/>
            <w:noWrap/>
            <w:hideMark/>
          </w:tcPr>
          <w:p w14:paraId="7A568F5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150" w:type="dxa"/>
            <w:shd w:val="clear" w:color="auto" w:fill="auto"/>
            <w:hideMark/>
          </w:tcPr>
          <w:p w14:paraId="65C55D3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 ani</w:t>
            </w:r>
          </w:p>
        </w:tc>
        <w:tc>
          <w:tcPr>
            <w:tcW w:w="1253" w:type="dxa"/>
            <w:shd w:val="clear" w:color="auto" w:fill="auto"/>
            <w:hideMark/>
          </w:tcPr>
          <w:p w14:paraId="5F95B66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r w:rsidRPr="000D19A7">
              <w:rPr>
                <w:rFonts w:ascii="Times New Roman" w:eastAsia="Times New Roman" w:hAnsi="Times New Roman" w:cs="Times New Roman"/>
                <w:color w:val="000000"/>
                <w:sz w:val="20"/>
                <w:szCs w:val="20"/>
              </w:rPr>
              <w:br/>
            </w:r>
            <w:r w:rsidRPr="000D19A7">
              <w:rPr>
                <w:rFonts w:ascii="Times New Roman" w:eastAsia="Times New Roman" w:hAnsi="Times New Roman" w:cs="Times New Roman"/>
                <w:color w:val="000000"/>
                <w:sz w:val="18"/>
                <w:szCs w:val="18"/>
              </w:rPr>
              <w:t>(Euribor 6m + 1,0 p.p.)</w:t>
            </w:r>
          </w:p>
        </w:tc>
        <w:tc>
          <w:tcPr>
            <w:tcW w:w="1228" w:type="dxa"/>
            <w:shd w:val="clear" w:color="auto" w:fill="auto"/>
            <w:hideMark/>
          </w:tcPr>
          <w:p w14:paraId="0D83B32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0,50%</w:t>
            </w:r>
          </w:p>
        </w:tc>
        <w:tc>
          <w:tcPr>
            <w:tcW w:w="1273" w:type="dxa"/>
            <w:shd w:val="clear" w:color="auto" w:fill="auto"/>
            <w:hideMark/>
          </w:tcPr>
          <w:p w14:paraId="107CFDA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 din suma împrumutului</w:t>
            </w:r>
          </w:p>
        </w:tc>
      </w:tr>
      <w:tr w:rsidR="00B76817" w:rsidRPr="000D19A7" w14:paraId="1EF053D0" w14:textId="77777777" w:rsidTr="00690D21">
        <w:trPr>
          <w:gridAfter w:val="1"/>
          <w:wAfter w:w="42" w:type="dxa"/>
          <w:trHeight w:val="540"/>
        </w:trPr>
        <w:tc>
          <w:tcPr>
            <w:tcW w:w="613" w:type="dxa"/>
            <w:shd w:val="clear" w:color="auto" w:fill="auto"/>
            <w:hideMark/>
          </w:tcPr>
          <w:p w14:paraId="02C92D4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w:t>
            </w:r>
          </w:p>
        </w:tc>
        <w:tc>
          <w:tcPr>
            <w:tcW w:w="4351" w:type="dxa"/>
            <w:shd w:val="clear" w:color="auto" w:fill="auto"/>
            <w:hideMark/>
          </w:tcPr>
          <w:p w14:paraId="7ADB625F"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„Îmbunătățirea calității educației”</w:t>
            </w:r>
          </w:p>
        </w:tc>
        <w:tc>
          <w:tcPr>
            <w:tcW w:w="1127" w:type="dxa"/>
            <w:shd w:val="clear" w:color="auto" w:fill="auto"/>
            <w:noWrap/>
            <w:hideMark/>
          </w:tcPr>
          <w:p w14:paraId="4D59C55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BIRD</w:t>
            </w:r>
          </w:p>
        </w:tc>
        <w:tc>
          <w:tcPr>
            <w:tcW w:w="1600" w:type="dxa"/>
            <w:shd w:val="clear" w:color="auto" w:fill="auto"/>
            <w:noWrap/>
            <w:hideMark/>
          </w:tcPr>
          <w:p w14:paraId="07F4312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30.06.2023</w:t>
            </w:r>
          </w:p>
        </w:tc>
        <w:tc>
          <w:tcPr>
            <w:tcW w:w="1428" w:type="dxa"/>
            <w:shd w:val="clear" w:color="auto" w:fill="auto"/>
            <w:hideMark/>
          </w:tcPr>
          <w:p w14:paraId="3E0EBF3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36,5 mil. euro</w:t>
            </w:r>
          </w:p>
        </w:tc>
        <w:tc>
          <w:tcPr>
            <w:tcW w:w="1276" w:type="dxa"/>
            <w:shd w:val="clear" w:color="auto" w:fill="auto"/>
            <w:noWrap/>
            <w:hideMark/>
          </w:tcPr>
          <w:p w14:paraId="56CAB29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25 ani</w:t>
            </w:r>
          </w:p>
        </w:tc>
        <w:tc>
          <w:tcPr>
            <w:tcW w:w="1150" w:type="dxa"/>
            <w:shd w:val="clear" w:color="auto" w:fill="auto"/>
            <w:hideMark/>
          </w:tcPr>
          <w:p w14:paraId="39313BB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253" w:type="dxa"/>
            <w:shd w:val="clear" w:color="auto" w:fill="auto"/>
            <w:noWrap/>
            <w:hideMark/>
          </w:tcPr>
          <w:p w14:paraId="30CDC46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p>
        </w:tc>
        <w:tc>
          <w:tcPr>
            <w:tcW w:w="1228" w:type="dxa"/>
            <w:shd w:val="clear" w:color="auto" w:fill="auto"/>
            <w:hideMark/>
          </w:tcPr>
          <w:p w14:paraId="60F4C88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nedebursată</w:t>
            </w:r>
          </w:p>
        </w:tc>
        <w:tc>
          <w:tcPr>
            <w:tcW w:w="1273" w:type="dxa"/>
            <w:shd w:val="clear" w:color="auto" w:fill="auto"/>
            <w:hideMark/>
          </w:tcPr>
          <w:p w14:paraId="29BEFCA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 din suma împrumutului</w:t>
            </w:r>
          </w:p>
        </w:tc>
      </w:tr>
      <w:tr w:rsidR="00B76817" w:rsidRPr="000D19A7" w14:paraId="35172E54" w14:textId="77777777" w:rsidTr="00690D21">
        <w:trPr>
          <w:gridAfter w:val="1"/>
          <w:wAfter w:w="42" w:type="dxa"/>
          <w:trHeight w:val="1032"/>
        </w:trPr>
        <w:tc>
          <w:tcPr>
            <w:tcW w:w="613" w:type="dxa"/>
            <w:shd w:val="clear" w:color="auto" w:fill="auto"/>
            <w:hideMark/>
          </w:tcPr>
          <w:p w14:paraId="04CC19A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w:t>
            </w:r>
          </w:p>
        </w:tc>
        <w:tc>
          <w:tcPr>
            <w:tcW w:w="4351" w:type="dxa"/>
            <w:shd w:val="clear" w:color="auto" w:fill="auto"/>
            <w:hideMark/>
          </w:tcPr>
          <w:p w14:paraId="25019D6C"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„Politici de dezvoltare întru redresarea economică”</w:t>
            </w:r>
          </w:p>
        </w:tc>
        <w:tc>
          <w:tcPr>
            <w:tcW w:w="1127" w:type="dxa"/>
            <w:shd w:val="clear" w:color="auto" w:fill="auto"/>
            <w:noWrap/>
            <w:hideMark/>
          </w:tcPr>
          <w:p w14:paraId="4A010C1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JICA</w:t>
            </w:r>
          </w:p>
        </w:tc>
        <w:tc>
          <w:tcPr>
            <w:tcW w:w="1600" w:type="dxa"/>
            <w:shd w:val="clear" w:color="auto" w:fill="auto"/>
            <w:noWrap/>
            <w:hideMark/>
          </w:tcPr>
          <w:p w14:paraId="25393EE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10.07.2023</w:t>
            </w:r>
          </w:p>
        </w:tc>
        <w:tc>
          <w:tcPr>
            <w:tcW w:w="1428" w:type="dxa"/>
            <w:shd w:val="clear" w:color="auto" w:fill="auto"/>
            <w:hideMark/>
          </w:tcPr>
          <w:p w14:paraId="202FAD8A" w14:textId="7A622E33" w:rsidR="00B76817" w:rsidRPr="000D19A7" w:rsidRDefault="000708D4"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13 500,0 mil. y</w:t>
            </w:r>
            <w:r w:rsidR="00B76817" w:rsidRPr="000D19A7">
              <w:rPr>
                <w:rFonts w:ascii="Times New Roman" w:eastAsia="Times New Roman" w:hAnsi="Times New Roman" w:cs="Times New Roman"/>
                <w:color w:val="000000"/>
                <w:sz w:val="20"/>
                <w:szCs w:val="20"/>
              </w:rPr>
              <w:t>eni japonezi</w:t>
            </w:r>
          </w:p>
        </w:tc>
        <w:tc>
          <w:tcPr>
            <w:tcW w:w="1276" w:type="dxa"/>
            <w:shd w:val="clear" w:color="auto" w:fill="auto"/>
            <w:noWrap/>
            <w:hideMark/>
          </w:tcPr>
          <w:p w14:paraId="60215DC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40 ani</w:t>
            </w:r>
          </w:p>
        </w:tc>
        <w:tc>
          <w:tcPr>
            <w:tcW w:w="1150" w:type="dxa"/>
            <w:shd w:val="clear" w:color="auto" w:fill="auto"/>
            <w:hideMark/>
          </w:tcPr>
          <w:p w14:paraId="7B1667B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 ani</w:t>
            </w:r>
          </w:p>
        </w:tc>
        <w:tc>
          <w:tcPr>
            <w:tcW w:w="1253" w:type="dxa"/>
            <w:shd w:val="clear" w:color="auto" w:fill="auto"/>
            <w:hideMark/>
          </w:tcPr>
          <w:p w14:paraId="2594BC15" w14:textId="77777777" w:rsidR="00B76817" w:rsidRPr="000D19A7" w:rsidRDefault="00B76817" w:rsidP="00B76817">
            <w:pPr>
              <w:spacing w:after="0" w:line="240" w:lineRule="auto"/>
              <w:jc w:val="center"/>
              <w:rPr>
                <w:rFonts w:ascii="Times New Roman" w:eastAsia="Times New Roman" w:hAnsi="Times New Roman" w:cs="Times New Roman"/>
                <w:color w:val="000000"/>
                <w:sz w:val="16"/>
                <w:szCs w:val="16"/>
              </w:rPr>
            </w:pPr>
            <w:r w:rsidRPr="000D19A7">
              <w:rPr>
                <w:rFonts w:ascii="Times New Roman" w:eastAsia="Times New Roman" w:hAnsi="Times New Roman" w:cs="Times New Roman"/>
                <w:color w:val="000000"/>
                <w:sz w:val="16"/>
                <w:szCs w:val="16"/>
              </w:rPr>
              <w:t>variabilă</w:t>
            </w:r>
            <w:r w:rsidRPr="000D19A7">
              <w:rPr>
                <w:rFonts w:ascii="Times New Roman" w:eastAsia="Times New Roman" w:hAnsi="Times New Roman" w:cs="Times New Roman"/>
                <w:color w:val="000000"/>
                <w:sz w:val="16"/>
                <w:szCs w:val="16"/>
              </w:rPr>
              <w:br/>
              <w:t>(rata de referință Tokyo Term Risk Free Rate pentru 6 luni + marja de 1,3 p.p. anual)</w:t>
            </w:r>
          </w:p>
        </w:tc>
        <w:tc>
          <w:tcPr>
            <w:tcW w:w="1228" w:type="dxa"/>
            <w:shd w:val="clear" w:color="auto" w:fill="auto"/>
            <w:hideMark/>
          </w:tcPr>
          <w:p w14:paraId="56002FE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hideMark/>
          </w:tcPr>
          <w:p w14:paraId="603A3BD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0,1% din suma împrumutului</w:t>
            </w:r>
          </w:p>
        </w:tc>
      </w:tr>
      <w:tr w:rsidR="00B76817" w:rsidRPr="000D19A7" w14:paraId="2CB6D0EC" w14:textId="77777777" w:rsidTr="00690D21">
        <w:trPr>
          <w:gridAfter w:val="1"/>
          <w:wAfter w:w="42" w:type="dxa"/>
          <w:trHeight w:val="1032"/>
        </w:trPr>
        <w:tc>
          <w:tcPr>
            <w:tcW w:w="613" w:type="dxa"/>
            <w:shd w:val="clear" w:color="auto" w:fill="auto"/>
            <w:hideMark/>
          </w:tcPr>
          <w:p w14:paraId="55592A5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w:t>
            </w:r>
          </w:p>
        </w:tc>
        <w:tc>
          <w:tcPr>
            <w:tcW w:w="4351" w:type="dxa"/>
            <w:shd w:val="clear" w:color="auto" w:fill="auto"/>
            <w:hideMark/>
          </w:tcPr>
          <w:p w14:paraId="58B99BE0"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Addendumul la Acordul de facilitate de împrumut pentru asistență macrofinanciară</w:t>
            </w:r>
          </w:p>
        </w:tc>
        <w:tc>
          <w:tcPr>
            <w:tcW w:w="1127" w:type="dxa"/>
            <w:shd w:val="clear" w:color="auto" w:fill="auto"/>
            <w:noWrap/>
            <w:hideMark/>
          </w:tcPr>
          <w:p w14:paraId="639DC58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UE</w:t>
            </w:r>
          </w:p>
        </w:tc>
        <w:tc>
          <w:tcPr>
            <w:tcW w:w="1600" w:type="dxa"/>
            <w:shd w:val="clear" w:color="auto" w:fill="auto"/>
            <w:noWrap/>
            <w:hideMark/>
          </w:tcPr>
          <w:p w14:paraId="36AFAE2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20.07.2023</w:t>
            </w:r>
          </w:p>
        </w:tc>
        <w:tc>
          <w:tcPr>
            <w:tcW w:w="1428" w:type="dxa"/>
            <w:shd w:val="clear" w:color="auto" w:fill="auto"/>
            <w:hideMark/>
          </w:tcPr>
          <w:p w14:paraId="0CB7D28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100,0 mil. euro</w:t>
            </w:r>
          </w:p>
        </w:tc>
        <w:tc>
          <w:tcPr>
            <w:tcW w:w="1276" w:type="dxa"/>
            <w:shd w:val="clear" w:color="auto" w:fill="auto"/>
            <w:noWrap/>
            <w:hideMark/>
          </w:tcPr>
          <w:p w14:paraId="0315254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150" w:type="dxa"/>
            <w:shd w:val="clear" w:color="auto" w:fill="auto"/>
            <w:hideMark/>
          </w:tcPr>
          <w:p w14:paraId="5D447F5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253" w:type="dxa"/>
            <w:shd w:val="clear" w:color="auto" w:fill="auto"/>
            <w:hideMark/>
          </w:tcPr>
          <w:p w14:paraId="27D534CD" w14:textId="77777777" w:rsidR="00B76817" w:rsidRPr="000D19A7" w:rsidRDefault="00B76817" w:rsidP="00B76817">
            <w:pPr>
              <w:spacing w:after="0" w:line="240" w:lineRule="auto"/>
              <w:jc w:val="center"/>
              <w:rPr>
                <w:rFonts w:ascii="Times New Roman" w:eastAsia="Times New Roman" w:hAnsi="Times New Roman" w:cs="Times New Roman"/>
                <w:color w:val="000000"/>
                <w:sz w:val="16"/>
                <w:szCs w:val="16"/>
              </w:rPr>
            </w:pPr>
            <w:r w:rsidRPr="000D19A7">
              <w:rPr>
                <w:rFonts w:ascii="Times New Roman" w:eastAsia="Times New Roman" w:hAnsi="Times New Roman" w:cs="Times New Roman"/>
                <w:color w:val="000000"/>
                <w:sz w:val="16"/>
                <w:szCs w:val="16"/>
              </w:rPr>
              <w:t>va depinde de costul la care se va împrumuta Comisia Europeană pe piața financiară internațională</w:t>
            </w:r>
          </w:p>
        </w:tc>
        <w:tc>
          <w:tcPr>
            <w:tcW w:w="1228" w:type="dxa"/>
            <w:shd w:val="clear" w:color="auto" w:fill="auto"/>
            <w:hideMark/>
          </w:tcPr>
          <w:p w14:paraId="395755F2"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6688E49A"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0B8EBCBA" w14:textId="77777777" w:rsidTr="00690D21">
        <w:trPr>
          <w:gridAfter w:val="1"/>
          <w:wAfter w:w="42" w:type="dxa"/>
          <w:trHeight w:val="804"/>
        </w:trPr>
        <w:tc>
          <w:tcPr>
            <w:tcW w:w="613" w:type="dxa"/>
            <w:shd w:val="clear" w:color="auto" w:fill="auto"/>
            <w:hideMark/>
          </w:tcPr>
          <w:p w14:paraId="7C79B39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w:t>
            </w:r>
          </w:p>
        </w:tc>
        <w:tc>
          <w:tcPr>
            <w:tcW w:w="4351" w:type="dxa"/>
            <w:shd w:val="clear" w:color="auto" w:fill="auto"/>
            <w:hideMark/>
          </w:tcPr>
          <w:p w14:paraId="63EAA69A"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modificare nr. 1 la Acordul de împrumut pentru realizarea Proiectului „Securitatea furnizării gazelor naturale”</w:t>
            </w:r>
          </w:p>
        </w:tc>
        <w:tc>
          <w:tcPr>
            <w:tcW w:w="1127" w:type="dxa"/>
            <w:shd w:val="clear" w:color="auto" w:fill="auto"/>
            <w:noWrap/>
            <w:hideMark/>
          </w:tcPr>
          <w:p w14:paraId="3C06558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BERD</w:t>
            </w:r>
          </w:p>
        </w:tc>
        <w:tc>
          <w:tcPr>
            <w:tcW w:w="1600" w:type="dxa"/>
            <w:shd w:val="clear" w:color="auto" w:fill="auto"/>
            <w:noWrap/>
            <w:hideMark/>
          </w:tcPr>
          <w:p w14:paraId="5A0D333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13.10.2023</w:t>
            </w:r>
          </w:p>
        </w:tc>
        <w:tc>
          <w:tcPr>
            <w:tcW w:w="1428" w:type="dxa"/>
            <w:shd w:val="clear" w:color="auto" w:fill="auto"/>
            <w:hideMark/>
          </w:tcPr>
          <w:p w14:paraId="47722D1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165,0 mil. euro</w:t>
            </w:r>
          </w:p>
        </w:tc>
        <w:tc>
          <w:tcPr>
            <w:tcW w:w="1276" w:type="dxa"/>
            <w:shd w:val="clear" w:color="auto" w:fill="auto"/>
            <w:noWrap/>
            <w:hideMark/>
          </w:tcPr>
          <w:p w14:paraId="0238344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 ani</w:t>
            </w:r>
          </w:p>
        </w:tc>
        <w:tc>
          <w:tcPr>
            <w:tcW w:w="1150" w:type="dxa"/>
            <w:shd w:val="clear" w:color="auto" w:fill="auto"/>
            <w:hideMark/>
          </w:tcPr>
          <w:p w14:paraId="413A63B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53" w:type="dxa"/>
            <w:shd w:val="clear" w:color="auto" w:fill="auto"/>
            <w:hideMark/>
          </w:tcPr>
          <w:p w14:paraId="7810D1E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r w:rsidRPr="000D19A7">
              <w:rPr>
                <w:rFonts w:ascii="Times New Roman" w:eastAsia="Times New Roman" w:hAnsi="Times New Roman" w:cs="Times New Roman"/>
                <w:color w:val="000000"/>
                <w:sz w:val="20"/>
                <w:szCs w:val="20"/>
              </w:rPr>
              <w:br/>
            </w:r>
            <w:r w:rsidRPr="000D19A7">
              <w:rPr>
                <w:rFonts w:ascii="Times New Roman" w:eastAsia="Times New Roman" w:hAnsi="Times New Roman" w:cs="Times New Roman"/>
                <w:color w:val="000000"/>
                <w:sz w:val="18"/>
                <w:szCs w:val="18"/>
              </w:rPr>
              <w:t>(Euribor 6m + 1,0 p.p.)</w:t>
            </w:r>
          </w:p>
        </w:tc>
        <w:tc>
          <w:tcPr>
            <w:tcW w:w="1228" w:type="dxa"/>
            <w:shd w:val="clear" w:color="auto" w:fill="auto"/>
            <w:hideMark/>
          </w:tcPr>
          <w:p w14:paraId="38517B0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 din soldul nedebursat</w:t>
            </w:r>
          </w:p>
        </w:tc>
        <w:tc>
          <w:tcPr>
            <w:tcW w:w="1273" w:type="dxa"/>
            <w:shd w:val="clear" w:color="auto" w:fill="auto"/>
            <w:hideMark/>
          </w:tcPr>
          <w:p w14:paraId="28E8F1B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 din suma împrumutului</w:t>
            </w:r>
          </w:p>
        </w:tc>
      </w:tr>
      <w:tr w:rsidR="00B76817" w:rsidRPr="000D19A7" w14:paraId="61432203" w14:textId="77777777" w:rsidTr="00690D21">
        <w:trPr>
          <w:gridAfter w:val="1"/>
          <w:wAfter w:w="42" w:type="dxa"/>
          <w:trHeight w:val="540"/>
        </w:trPr>
        <w:tc>
          <w:tcPr>
            <w:tcW w:w="613" w:type="dxa"/>
            <w:shd w:val="clear" w:color="auto" w:fill="auto"/>
            <w:hideMark/>
          </w:tcPr>
          <w:p w14:paraId="7DEACF9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w:t>
            </w:r>
          </w:p>
        </w:tc>
        <w:tc>
          <w:tcPr>
            <w:tcW w:w="4351" w:type="dxa"/>
            <w:shd w:val="clear" w:color="auto" w:fill="auto"/>
            <w:hideMark/>
          </w:tcPr>
          <w:p w14:paraId="342B7BAC"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Acordul-cadru de împrumut pentru realizarea Proiectului „Construcția Spitalului Regional Bălți”</w:t>
            </w:r>
          </w:p>
        </w:tc>
        <w:tc>
          <w:tcPr>
            <w:tcW w:w="1127" w:type="dxa"/>
            <w:shd w:val="clear" w:color="auto" w:fill="auto"/>
            <w:noWrap/>
            <w:hideMark/>
          </w:tcPr>
          <w:p w14:paraId="033453D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BDCE</w:t>
            </w:r>
          </w:p>
        </w:tc>
        <w:tc>
          <w:tcPr>
            <w:tcW w:w="1600" w:type="dxa"/>
            <w:shd w:val="clear" w:color="auto" w:fill="auto"/>
            <w:noWrap/>
            <w:hideMark/>
          </w:tcPr>
          <w:p w14:paraId="09806D1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16.10.2023</w:t>
            </w:r>
          </w:p>
        </w:tc>
        <w:tc>
          <w:tcPr>
            <w:tcW w:w="1428" w:type="dxa"/>
            <w:shd w:val="clear" w:color="auto" w:fill="auto"/>
            <w:hideMark/>
          </w:tcPr>
          <w:p w14:paraId="1EE4ED7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86,0 mil. euro</w:t>
            </w:r>
          </w:p>
        </w:tc>
        <w:tc>
          <w:tcPr>
            <w:tcW w:w="1276" w:type="dxa"/>
            <w:shd w:val="clear" w:color="auto" w:fill="auto"/>
            <w:noWrap/>
            <w:hideMark/>
          </w:tcPr>
          <w:p w14:paraId="4F77836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20 ani</w:t>
            </w:r>
          </w:p>
        </w:tc>
        <w:tc>
          <w:tcPr>
            <w:tcW w:w="1150" w:type="dxa"/>
            <w:shd w:val="clear" w:color="auto" w:fill="auto"/>
            <w:hideMark/>
          </w:tcPr>
          <w:p w14:paraId="36F80CE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 ani</w:t>
            </w:r>
          </w:p>
        </w:tc>
        <w:tc>
          <w:tcPr>
            <w:tcW w:w="3754" w:type="dxa"/>
            <w:gridSpan w:val="3"/>
            <w:shd w:val="clear" w:color="auto" w:fill="auto"/>
            <w:noWrap/>
            <w:hideMark/>
          </w:tcPr>
          <w:p w14:paraId="6514927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se vor stabili la momentul debursării fiecărei tranșe</w:t>
            </w:r>
          </w:p>
        </w:tc>
      </w:tr>
      <w:tr w:rsidR="00B76817" w:rsidRPr="000D19A7" w14:paraId="7A808F8E" w14:textId="77777777" w:rsidTr="00690D21">
        <w:trPr>
          <w:gridAfter w:val="1"/>
          <w:wAfter w:w="42" w:type="dxa"/>
          <w:trHeight w:val="1332"/>
        </w:trPr>
        <w:tc>
          <w:tcPr>
            <w:tcW w:w="613" w:type="dxa"/>
            <w:shd w:val="clear" w:color="auto" w:fill="auto"/>
            <w:hideMark/>
          </w:tcPr>
          <w:p w14:paraId="677CBDE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w:t>
            </w:r>
          </w:p>
        </w:tc>
        <w:tc>
          <w:tcPr>
            <w:tcW w:w="4351" w:type="dxa"/>
            <w:shd w:val="clear" w:color="auto" w:fill="auto"/>
            <w:hideMark/>
          </w:tcPr>
          <w:p w14:paraId="378F426E"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Acordul de facilitate de credit </w:t>
            </w:r>
          </w:p>
        </w:tc>
        <w:tc>
          <w:tcPr>
            <w:tcW w:w="1127" w:type="dxa"/>
            <w:shd w:val="clear" w:color="auto" w:fill="auto"/>
            <w:noWrap/>
            <w:hideMark/>
          </w:tcPr>
          <w:p w14:paraId="0DF4502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AFD</w:t>
            </w:r>
          </w:p>
        </w:tc>
        <w:tc>
          <w:tcPr>
            <w:tcW w:w="1600" w:type="dxa"/>
            <w:shd w:val="clear" w:color="auto" w:fill="auto"/>
            <w:noWrap/>
            <w:hideMark/>
          </w:tcPr>
          <w:p w14:paraId="70B49C7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17.10.2023</w:t>
            </w:r>
          </w:p>
        </w:tc>
        <w:tc>
          <w:tcPr>
            <w:tcW w:w="1428" w:type="dxa"/>
            <w:shd w:val="clear" w:color="auto" w:fill="auto"/>
            <w:hideMark/>
          </w:tcPr>
          <w:p w14:paraId="5BE49F4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40,0 mil. euro</w:t>
            </w:r>
          </w:p>
        </w:tc>
        <w:tc>
          <w:tcPr>
            <w:tcW w:w="1276" w:type="dxa"/>
            <w:shd w:val="clear" w:color="auto" w:fill="auto"/>
            <w:noWrap/>
            <w:hideMark/>
          </w:tcPr>
          <w:p w14:paraId="6CBF83C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 ani</w:t>
            </w:r>
          </w:p>
        </w:tc>
        <w:tc>
          <w:tcPr>
            <w:tcW w:w="1150" w:type="dxa"/>
            <w:shd w:val="clear" w:color="auto" w:fill="auto"/>
            <w:hideMark/>
          </w:tcPr>
          <w:p w14:paraId="0A2EE4A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 ani</w:t>
            </w:r>
          </w:p>
        </w:tc>
        <w:tc>
          <w:tcPr>
            <w:tcW w:w="1253" w:type="dxa"/>
            <w:shd w:val="clear" w:color="auto" w:fill="auto"/>
            <w:hideMark/>
          </w:tcPr>
          <w:p w14:paraId="4406844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variabilă</w:t>
            </w:r>
            <w:r w:rsidRPr="000D19A7">
              <w:rPr>
                <w:rFonts w:ascii="Times New Roman" w:eastAsia="Times New Roman" w:hAnsi="Times New Roman" w:cs="Times New Roman"/>
                <w:color w:val="000000"/>
                <w:sz w:val="20"/>
                <w:szCs w:val="20"/>
              </w:rPr>
              <w:br/>
            </w:r>
            <w:r w:rsidRPr="000D19A7">
              <w:rPr>
                <w:rFonts w:ascii="Times New Roman" w:eastAsia="Times New Roman" w:hAnsi="Times New Roman" w:cs="Times New Roman"/>
                <w:color w:val="000000"/>
                <w:sz w:val="18"/>
                <w:szCs w:val="18"/>
              </w:rPr>
              <w:t>(Euribor 6m + 0,9 p.p.)</w:t>
            </w:r>
          </w:p>
        </w:tc>
        <w:tc>
          <w:tcPr>
            <w:tcW w:w="1228" w:type="dxa"/>
            <w:shd w:val="clear" w:color="auto" w:fill="auto"/>
            <w:hideMark/>
          </w:tcPr>
          <w:p w14:paraId="490C842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0,5 % din suma nedebursată începând cu data semnării acordului</w:t>
            </w:r>
          </w:p>
        </w:tc>
        <w:tc>
          <w:tcPr>
            <w:tcW w:w="1273" w:type="dxa"/>
            <w:shd w:val="clear" w:color="auto" w:fill="auto"/>
            <w:hideMark/>
          </w:tcPr>
          <w:p w14:paraId="0037DF5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 din suma împrumutului</w:t>
            </w:r>
          </w:p>
        </w:tc>
      </w:tr>
      <w:tr w:rsidR="00B76817" w:rsidRPr="000D19A7" w14:paraId="4E43FB70" w14:textId="77777777" w:rsidTr="00690D21">
        <w:trPr>
          <w:gridAfter w:val="1"/>
          <w:wAfter w:w="42" w:type="dxa"/>
          <w:trHeight w:val="540"/>
        </w:trPr>
        <w:tc>
          <w:tcPr>
            <w:tcW w:w="613" w:type="dxa"/>
            <w:shd w:val="clear" w:color="auto" w:fill="auto"/>
            <w:hideMark/>
          </w:tcPr>
          <w:p w14:paraId="3110313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w:t>
            </w:r>
          </w:p>
        </w:tc>
        <w:tc>
          <w:tcPr>
            <w:tcW w:w="4351" w:type="dxa"/>
            <w:shd w:val="clear" w:color="auto" w:fill="auto"/>
            <w:hideMark/>
          </w:tcPr>
          <w:p w14:paraId="553C4812"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Contractul de finanțare „EFSD + Fereastra Dedicată Investiției 1”</w:t>
            </w:r>
          </w:p>
        </w:tc>
        <w:tc>
          <w:tcPr>
            <w:tcW w:w="1127" w:type="dxa"/>
            <w:shd w:val="clear" w:color="auto" w:fill="auto"/>
            <w:noWrap/>
            <w:hideMark/>
          </w:tcPr>
          <w:p w14:paraId="04A5AC8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BEI</w:t>
            </w:r>
          </w:p>
        </w:tc>
        <w:tc>
          <w:tcPr>
            <w:tcW w:w="1600" w:type="dxa"/>
            <w:shd w:val="clear" w:color="auto" w:fill="auto"/>
            <w:noWrap/>
            <w:hideMark/>
          </w:tcPr>
          <w:p w14:paraId="62D7EC7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15.12.2023</w:t>
            </w:r>
          </w:p>
        </w:tc>
        <w:tc>
          <w:tcPr>
            <w:tcW w:w="1428" w:type="dxa"/>
            <w:shd w:val="clear" w:color="auto" w:fill="auto"/>
            <w:hideMark/>
          </w:tcPr>
          <w:p w14:paraId="10985B8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41,2 mil. euro</w:t>
            </w:r>
          </w:p>
        </w:tc>
        <w:tc>
          <w:tcPr>
            <w:tcW w:w="1276" w:type="dxa"/>
            <w:shd w:val="clear" w:color="auto" w:fill="auto"/>
            <w:noWrap/>
            <w:hideMark/>
          </w:tcPr>
          <w:p w14:paraId="3FFBA43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 ani</w:t>
            </w:r>
          </w:p>
        </w:tc>
        <w:tc>
          <w:tcPr>
            <w:tcW w:w="1150" w:type="dxa"/>
            <w:shd w:val="clear" w:color="auto" w:fill="auto"/>
            <w:hideMark/>
          </w:tcPr>
          <w:p w14:paraId="33D7432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 ani</w:t>
            </w:r>
          </w:p>
        </w:tc>
        <w:tc>
          <w:tcPr>
            <w:tcW w:w="2481" w:type="dxa"/>
            <w:gridSpan w:val="2"/>
            <w:shd w:val="clear" w:color="auto" w:fill="auto"/>
            <w:hideMark/>
          </w:tcPr>
          <w:p w14:paraId="6437BDA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se vor stabili la momentul debursării fiecărei tranșe</w:t>
            </w:r>
          </w:p>
        </w:tc>
        <w:tc>
          <w:tcPr>
            <w:tcW w:w="1273" w:type="dxa"/>
            <w:shd w:val="clear" w:color="auto" w:fill="auto"/>
            <w:noWrap/>
            <w:hideMark/>
          </w:tcPr>
          <w:p w14:paraId="4972A580"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0,05 mil. euro</w:t>
            </w:r>
          </w:p>
        </w:tc>
      </w:tr>
      <w:tr w:rsidR="00B76817" w:rsidRPr="000D19A7" w14:paraId="470886F6" w14:textId="77777777" w:rsidTr="00690D21">
        <w:trPr>
          <w:gridAfter w:val="1"/>
          <w:wAfter w:w="42" w:type="dxa"/>
          <w:trHeight w:val="540"/>
        </w:trPr>
        <w:tc>
          <w:tcPr>
            <w:tcW w:w="613" w:type="dxa"/>
            <w:shd w:val="clear" w:color="auto" w:fill="auto"/>
            <w:hideMark/>
          </w:tcPr>
          <w:p w14:paraId="2111CCA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w:t>
            </w:r>
          </w:p>
        </w:tc>
        <w:tc>
          <w:tcPr>
            <w:tcW w:w="4351" w:type="dxa"/>
            <w:shd w:val="clear" w:color="auto" w:fill="auto"/>
            <w:hideMark/>
          </w:tcPr>
          <w:p w14:paraId="42E5221F"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susținerea dezvoltării ÎMM prin intermediul IP ODA</w:t>
            </w:r>
          </w:p>
        </w:tc>
        <w:tc>
          <w:tcPr>
            <w:tcW w:w="1127" w:type="dxa"/>
            <w:shd w:val="clear" w:color="auto" w:fill="auto"/>
            <w:hideMark/>
          </w:tcPr>
          <w:p w14:paraId="6B5AD7F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Banca Poloneză</w:t>
            </w:r>
          </w:p>
        </w:tc>
        <w:tc>
          <w:tcPr>
            <w:tcW w:w="1600" w:type="dxa"/>
            <w:shd w:val="clear" w:color="auto" w:fill="auto"/>
            <w:noWrap/>
            <w:hideMark/>
          </w:tcPr>
          <w:p w14:paraId="171C6E0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19.12.2023</w:t>
            </w:r>
          </w:p>
        </w:tc>
        <w:tc>
          <w:tcPr>
            <w:tcW w:w="1428" w:type="dxa"/>
            <w:shd w:val="clear" w:color="auto" w:fill="auto"/>
            <w:hideMark/>
          </w:tcPr>
          <w:p w14:paraId="38B7000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5,0 mil. euro</w:t>
            </w:r>
          </w:p>
        </w:tc>
        <w:tc>
          <w:tcPr>
            <w:tcW w:w="1276" w:type="dxa"/>
            <w:shd w:val="clear" w:color="auto" w:fill="auto"/>
            <w:noWrap/>
            <w:hideMark/>
          </w:tcPr>
          <w:p w14:paraId="5F87F5E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 ani</w:t>
            </w:r>
          </w:p>
        </w:tc>
        <w:tc>
          <w:tcPr>
            <w:tcW w:w="1150" w:type="dxa"/>
            <w:shd w:val="clear" w:color="auto" w:fill="auto"/>
            <w:hideMark/>
          </w:tcPr>
          <w:p w14:paraId="7DF2CE4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 an</w:t>
            </w:r>
          </w:p>
        </w:tc>
        <w:tc>
          <w:tcPr>
            <w:tcW w:w="1253" w:type="dxa"/>
            <w:shd w:val="clear" w:color="auto" w:fill="auto"/>
            <w:noWrap/>
            <w:hideMark/>
          </w:tcPr>
          <w:p w14:paraId="66E06EA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0,50%</w:t>
            </w:r>
          </w:p>
        </w:tc>
        <w:tc>
          <w:tcPr>
            <w:tcW w:w="1228" w:type="dxa"/>
            <w:shd w:val="clear" w:color="auto" w:fill="auto"/>
            <w:hideMark/>
          </w:tcPr>
          <w:p w14:paraId="4B02F0D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4ADE2399"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4B699C09" w14:textId="77777777" w:rsidTr="00690D21">
        <w:trPr>
          <w:gridAfter w:val="1"/>
          <w:wAfter w:w="42" w:type="dxa"/>
          <w:trHeight w:val="804"/>
        </w:trPr>
        <w:tc>
          <w:tcPr>
            <w:tcW w:w="4964" w:type="dxa"/>
            <w:gridSpan w:val="2"/>
            <w:shd w:val="clear" w:color="auto" w:fill="auto"/>
            <w:vAlign w:val="center"/>
            <w:hideMark/>
          </w:tcPr>
          <w:p w14:paraId="2D2E782A"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Total</w:t>
            </w:r>
          </w:p>
        </w:tc>
        <w:tc>
          <w:tcPr>
            <w:tcW w:w="1127" w:type="dxa"/>
            <w:shd w:val="clear" w:color="auto" w:fill="auto"/>
            <w:hideMark/>
          </w:tcPr>
          <w:p w14:paraId="6AC4B334"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600" w:type="dxa"/>
            <w:shd w:val="clear" w:color="auto" w:fill="auto"/>
            <w:noWrap/>
            <w:hideMark/>
          </w:tcPr>
          <w:p w14:paraId="171BCAD4"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428" w:type="dxa"/>
            <w:shd w:val="clear" w:color="auto" w:fill="auto"/>
            <w:hideMark/>
          </w:tcPr>
          <w:p w14:paraId="2040E0F0" w14:textId="5F37A9B9" w:rsidR="00B76817" w:rsidRPr="000D19A7" w:rsidRDefault="00CD32EA"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663,9 mil. euro</w:t>
            </w:r>
            <w:r w:rsidRPr="000D19A7">
              <w:rPr>
                <w:rFonts w:ascii="Times New Roman" w:eastAsia="Times New Roman" w:hAnsi="Times New Roman" w:cs="Times New Roman"/>
                <w:b/>
                <w:bCs/>
                <w:color w:val="000000"/>
                <w:sz w:val="20"/>
                <w:szCs w:val="20"/>
              </w:rPr>
              <w:br/>
              <w:t>13 500,0 mil. y</w:t>
            </w:r>
            <w:r w:rsidR="00B76817" w:rsidRPr="000D19A7">
              <w:rPr>
                <w:rFonts w:ascii="Times New Roman" w:eastAsia="Times New Roman" w:hAnsi="Times New Roman" w:cs="Times New Roman"/>
                <w:b/>
                <w:bCs/>
                <w:color w:val="000000"/>
                <w:sz w:val="20"/>
                <w:szCs w:val="20"/>
              </w:rPr>
              <w:t>eni japonezi</w:t>
            </w:r>
          </w:p>
        </w:tc>
        <w:tc>
          <w:tcPr>
            <w:tcW w:w="1276" w:type="dxa"/>
            <w:shd w:val="clear" w:color="auto" w:fill="auto"/>
            <w:noWrap/>
            <w:hideMark/>
          </w:tcPr>
          <w:p w14:paraId="74021A52"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150" w:type="dxa"/>
            <w:shd w:val="clear" w:color="auto" w:fill="auto"/>
            <w:hideMark/>
          </w:tcPr>
          <w:p w14:paraId="0FB8B267"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53" w:type="dxa"/>
            <w:shd w:val="clear" w:color="auto" w:fill="auto"/>
            <w:noWrap/>
            <w:hideMark/>
          </w:tcPr>
          <w:p w14:paraId="3BA0E193"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28" w:type="dxa"/>
            <w:shd w:val="clear" w:color="auto" w:fill="auto"/>
            <w:hideMark/>
          </w:tcPr>
          <w:p w14:paraId="25FA9B2C"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73" w:type="dxa"/>
            <w:shd w:val="clear" w:color="auto" w:fill="auto"/>
            <w:noWrap/>
            <w:hideMark/>
          </w:tcPr>
          <w:p w14:paraId="1A1FA780" w14:textId="77777777" w:rsidR="00B76817" w:rsidRPr="000D19A7" w:rsidRDefault="00B76817" w:rsidP="00B7681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r>
      <w:tr w:rsidR="00B76817" w:rsidRPr="000D19A7" w14:paraId="1E97F330" w14:textId="77777777" w:rsidTr="00690D21">
        <w:trPr>
          <w:trHeight w:val="288"/>
        </w:trPr>
        <w:tc>
          <w:tcPr>
            <w:tcW w:w="15341" w:type="dxa"/>
            <w:gridSpan w:val="11"/>
            <w:shd w:val="clear" w:color="auto" w:fill="auto"/>
            <w:hideMark/>
          </w:tcPr>
          <w:p w14:paraId="2D93EA80"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Acorduri în proces de negociere la situația din 31.12.2023</w:t>
            </w:r>
          </w:p>
        </w:tc>
      </w:tr>
      <w:tr w:rsidR="00B76817" w:rsidRPr="000D19A7" w14:paraId="76A0EFE3" w14:textId="77777777" w:rsidTr="00690D21">
        <w:trPr>
          <w:gridAfter w:val="1"/>
          <w:wAfter w:w="42" w:type="dxa"/>
          <w:trHeight w:val="288"/>
        </w:trPr>
        <w:tc>
          <w:tcPr>
            <w:tcW w:w="613" w:type="dxa"/>
            <w:shd w:val="clear" w:color="auto" w:fill="auto"/>
            <w:hideMark/>
          </w:tcPr>
          <w:p w14:paraId="4659453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w:t>
            </w:r>
          </w:p>
        </w:tc>
        <w:tc>
          <w:tcPr>
            <w:tcW w:w="4351" w:type="dxa"/>
            <w:shd w:val="clear" w:color="auto" w:fill="auto"/>
            <w:hideMark/>
          </w:tcPr>
          <w:p w14:paraId="69C215F7"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facilitate de credit nr. CMD 1009 01 J</w:t>
            </w:r>
          </w:p>
        </w:tc>
        <w:tc>
          <w:tcPr>
            <w:tcW w:w="1127" w:type="dxa"/>
            <w:shd w:val="clear" w:color="auto" w:fill="auto"/>
            <w:noWrap/>
            <w:hideMark/>
          </w:tcPr>
          <w:p w14:paraId="55D198A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AFD</w:t>
            </w:r>
          </w:p>
        </w:tc>
        <w:tc>
          <w:tcPr>
            <w:tcW w:w="1600" w:type="dxa"/>
            <w:shd w:val="clear" w:color="auto" w:fill="auto"/>
            <w:noWrap/>
            <w:hideMark/>
          </w:tcPr>
          <w:p w14:paraId="64D9CBB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428" w:type="dxa"/>
            <w:shd w:val="clear" w:color="auto" w:fill="auto"/>
            <w:hideMark/>
          </w:tcPr>
          <w:p w14:paraId="1268A976"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40,0 mil. euro</w:t>
            </w:r>
          </w:p>
        </w:tc>
        <w:tc>
          <w:tcPr>
            <w:tcW w:w="1276" w:type="dxa"/>
            <w:shd w:val="clear" w:color="auto" w:fill="auto"/>
            <w:noWrap/>
            <w:hideMark/>
          </w:tcPr>
          <w:p w14:paraId="5439CB03"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50" w:type="dxa"/>
            <w:shd w:val="clear" w:color="auto" w:fill="auto"/>
            <w:hideMark/>
          </w:tcPr>
          <w:p w14:paraId="482E264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53" w:type="dxa"/>
            <w:shd w:val="clear" w:color="auto" w:fill="auto"/>
            <w:noWrap/>
            <w:hideMark/>
          </w:tcPr>
          <w:p w14:paraId="2D804D9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28" w:type="dxa"/>
            <w:shd w:val="clear" w:color="auto" w:fill="auto"/>
            <w:hideMark/>
          </w:tcPr>
          <w:p w14:paraId="2E2E3A41"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3E7DAE9F"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21EE32A2" w14:textId="77777777" w:rsidTr="00690D21">
        <w:trPr>
          <w:gridAfter w:val="1"/>
          <w:wAfter w:w="42" w:type="dxa"/>
          <w:trHeight w:val="804"/>
        </w:trPr>
        <w:tc>
          <w:tcPr>
            <w:tcW w:w="613" w:type="dxa"/>
            <w:shd w:val="clear" w:color="auto" w:fill="auto"/>
            <w:hideMark/>
          </w:tcPr>
          <w:p w14:paraId="171FC76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w:t>
            </w:r>
          </w:p>
        </w:tc>
        <w:tc>
          <w:tcPr>
            <w:tcW w:w="4351" w:type="dxa"/>
            <w:shd w:val="clear" w:color="auto" w:fill="auto"/>
            <w:hideMark/>
          </w:tcPr>
          <w:p w14:paraId="3931C902"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„Interconectarea rețelelor de energie electrică dintre RM și România, Faza II”</w:t>
            </w:r>
          </w:p>
        </w:tc>
        <w:tc>
          <w:tcPr>
            <w:tcW w:w="1127" w:type="dxa"/>
            <w:shd w:val="clear" w:color="auto" w:fill="auto"/>
            <w:noWrap/>
            <w:hideMark/>
          </w:tcPr>
          <w:p w14:paraId="45F91E9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BERD</w:t>
            </w:r>
          </w:p>
        </w:tc>
        <w:tc>
          <w:tcPr>
            <w:tcW w:w="1600" w:type="dxa"/>
            <w:shd w:val="clear" w:color="auto" w:fill="auto"/>
            <w:noWrap/>
            <w:hideMark/>
          </w:tcPr>
          <w:p w14:paraId="0117E1B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428" w:type="dxa"/>
            <w:shd w:val="clear" w:color="auto" w:fill="auto"/>
            <w:hideMark/>
          </w:tcPr>
          <w:p w14:paraId="0C3B3FA4"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30,8 mil. euro</w:t>
            </w:r>
          </w:p>
        </w:tc>
        <w:tc>
          <w:tcPr>
            <w:tcW w:w="1276" w:type="dxa"/>
            <w:shd w:val="clear" w:color="auto" w:fill="auto"/>
            <w:noWrap/>
            <w:hideMark/>
          </w:tcPr>
          <w:p w14:paraId="58052A5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50" w:type="dxa"/>
            <w:shd w:val="clear" w:color="auto" w:fill="auto"/>
            <w:hideMark/>
          </w:tcPr>
          <w:p w14:paraId="5936B7B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53" w:type="dxa"/>
            <w:shd w:val="clear" w:color="auto" w:fill="auto"/>
            <w:noWrap/>
            <w:hideMark/>
          </w:tcPr>
          <w:p w14:paraId="2333CB8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28" w:type="dxa"/>
            <w:shd w:val="clear" w:color="auto" w:fill="auto"/>
            <w:hideMark/>
          </w:tcPr>
          <w:p w14:paraId="15144CF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46D985C8"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2EB985B0" w14:textId="77777777" w:rsidTr="00690D21">
        <w:trPr>
          <w:gridAfter w:val="1"/>
          <w:wAfter w:w="42" w:type="dxa"/>
          <w:trHeight w:val="540"/>
        </w:trPr>
        <w:tc>
          <w:tcPr>
            <w:tcW w:w="613" w:type="dxa"/>
            <w:shd w:val="clear" w:color="auto" w:fill="auto"/>
            <w:hideMark/>
          </w:tcPr>
          <w:p w14:paraId="4A1936AF"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w:t>
            </w:r>
          </w:p>
        </w:tc>
        <w:tc>
          <w:tcPr>
            <w:tcW w:w="4351" w:type="dxa"/>
            <w:shd w:val="clear" w:color="auto" w:fill="auto"/>
            <w:hideMark/>
          </w:tcPr>
          <w:p w14:paraId="4453BC81"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V de reabilitare a drumurilor</w:t>
            </w:r>
          </w:p>
        </w:tc>
        <w:tc>
          <w:tcPr>
            <w:tcW w:w="1127" w:type="dxa"/>
            <w:shd w:val="clear" w:color="auto" w:fill="auto"/>
            <w:noWrap/>
            <w:hideMark/>
          </w:tcPr>
          <w:p w14:paraId="5B736E0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BERD</w:t>
            </w:r>
          </w:p>
        </w:tc>
        <w:tc>
          <w:tcPr>
            <w:tcW w:w="1600" w:type="dxa"/>
            <w:shd w:val="clear" w:color="auto" w:fill="auto"/>
            <w:noWrap/>
            <w:hideMark/>
          </w:tcPr>
          <w:p w14:paraId="765152E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428" w:type="dxa"/>
            <w:shd w:val="clear" w:color="auto" w:fill="auto"/>
            <w:hideMark/>
          </w:tcPr>
          <w:p w14:paraId="28E6E0AE"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150,0 mil. euro</w:t>
            </w:r>
          </w:p>
        </w:tc>
        <w:tc>
          <w:tcPr>
            <w:tcW w:w="1276" w:type="dxa"/>
            <w:shd w:val="clear" w:color="auto" w:fill="auto"/>
            <w:noWrap/>
            <w:hideMark/>
          </w:tcPr>
          <w:p w14:paraId="3C464ED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50" w:type="dxa"/>
            <w:shd w:val="clear" w:color="auto" w:fill="auto"/>
            <w:hideMark/>
          </w:tcPr>
          <w:p w14:paraId="704BBA4A"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53" w:type="dxa"/>
            <w:shd w:val="clear" w:color="auto" w:fill="auto"/>
            <w:noWrap/>
            <w:hideMark/>
          </w:tcPr>
          <w:p w14:paraId="2436927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28" w:type="dxa"/>
            <w:shd w:val="clear" w:color="auto" w:fill="auto"/>
            <w:hideMark/>
          </w:tcPr>
          <w:p w14:paraId="5C9D69CB"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1DF0820A"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6DE91C76" w14:textId="77777777" w:rsidTr="00690D21">
        <w:trPr>
          <w:gridAfter w:val="1"/>
          <w:wAfter w:w="42" w:type="dxa"/>
          <w:trHeight w:val="804"/>
        </w:trPr>
        <w:tc>
          <w:tcPr>
            <w:tcW w:w="613" w:type="dxa"/>
            <w:shd w:val="clear" w:color="auto" w:fill="auto"/>
            <w:hideMark/>
          </w:tcPr>
          <w:p w14:paraId="1E4A726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w:t>
            </w:r>
          </w:p>
        </w:tc>
        <w:tc>
          <w:tcPr>
            <w:tcW w:w="4351" w:type="dxa"/>
            <w:shd w:val="clear" w:color="auto" w:fill="auto"/>
            <w:hideMark/>
          </w:tcPr>
          <w:p w14:paraId="29148FFF"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Acordul de împrumut pentru realizarea Proiectului „Modernizarea și îmbunătățirea serviciilor de reabilitare”</w:t>
            </w:r>
          </w:p>
        </w:tc>
        <w:tc>
          <w:tcPr>
            <w:tcW w:w="1127" w:type="dxa"/>
            <w:shd w:val="clear" w:color="auto" w:fill="auto"/>
            <w:noWrap/>
            <w:hideMark/>
          </w:tcPr>
          <w:p w14:paraId="14E4FFA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BIRD</w:t>
            </w:r>
          </w:p>
        </w:tc>
        <w:tc>
          <w:tcPr>
            <w:tcW w:w="1600" w:type="dxa"/>
            <w:shd w:val="clear" w:color="auto" w:fill="auto"/>
            <w:noWrap/>
            <w:hideMark/>
          </w:tcPr>
          <w:p w14:paraId="30309797"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428" w:type="dxa"/>
            <w:shd w:val="clear" w:color="auto" w:fill="auto"/>
            <w:hideMark/>
          </w:tcPr>
          <w:p w14:paraId="5334413D"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6" w:type="dxa"/>
            <w:shd w:val="clear" w:color="auto" w:fill="auto"/>
            <w:noWrap/>
            <w:hideMark/>
          </w:tcPr>
          <w:p w14:paraId="16B7A2A5"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150" w:type="dxa"/>
            <w:shd w:val="clear" w:color="auto" w:fill="auto"/>
            <w:hideMark/>
          </w:tcPr>
          <w:p w14:paraId="1DE7537C"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53" w:type="dxa"/>
            <w:shd w:val="clear" w:color="auto" w:fill="auto"/>
            <w:noWrap/>
            <w:hideMark/>
          </w:tcPr>
          <w:p w14:paraId="4E7A70B9"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28" w:type="dxa"/>
            <w:shd w:val="clear" w:color="auto" w:fill="auto"/>
            <w:hideMark/>
          </w:tcPr>
          <w:p w14:paraId="4A433748" w14:textId="77777777" w:rsidR="00B76817" w:rsidRPr="000D19A7" w:rsidRDefault="00B76817" w:rsidP="00B76817">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273" w:type="dxa"/>
            <w:shd w:val="clear" w:color="auto" w:fill="auto"/>
            <w:noWrap/>
            <w:hideMark/>
          </w:tcPr>
          <w:p w14:paraId="0FACA957" w14:textId="77777777" w:rsidR="00B76817" w:rsidRPr="000D19A7" w:rsidRDefault="00B76817" w:rsidP="00B76817">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B76817" w:rsidRPr="000D19A7" w14:paraId="18661DDE" w14:textId="77777777" w:rsidTr="00690D21">
        <w:trPr>
          <w:gridAfter w:val="1"/>
          <w:wAfter w:w="42" w:type="dxa"/>
          <w:trHeight w:val="300"/>
        </w:trPr>
        <w:tc>
          <w:tcPr>
            <w:tcW w:w="4964" w:type="dxa"/>
            <w:gridSpan w:val="2"/>
            <w:shd w:val="clear" w:color="auto" w:fill="auto"/>
            <w:hideMark/>
          </w:tcPr>
          <w:p w14:paraId="22F5BB01"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Total</w:t>
            </w:r>
          </w:p>
        </w:tc>
        <w:tc>
          <w:tcPr>
            <w:tcW w:w="1127" w:type="dxa"/>
            <w:shd w:val="clear" w:color="auto" w:fill="auto"/>
            <w:noWrap/>
            <w:hideMark/>
          </w:tcPr>
          <w:p w14:paraId="4813CAA3"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600" w:type="dxa"/>
            <w:shd w:val="clear" w:color="auto" w:fill="auto"/>
            <w:noWrap/>
            <w:hideMark/>
          </w:tcPr>
          <w:p w14:paraId="3A51AEAD"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428" w:type="dxa"/>
            <w:shd w:val="clear" w:color="auto" w:fill="auto"/>
            <w:hideMark/>
          </w:tcPr>
          <w:p w14:paraId="6AA6E60E"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220,8 mil. euro</w:t>
            </w:r>
          </w:p>
        </w:tc>
        <w:tc>
          <w:tcPr>
            <w:tcW w:w="1276" w:type="dxa"/>
            <w:shd w:val="clear" w:color="auto" w:fill="auto"/>
            <w:noWrap/>
            <w:hideMark/>
          </w:tcPr>
          <w:p w14:paraId="1FD4A4AB"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150" w:type="dxa"/>
            <w:shd w:val="clear" w:color="auto" w:fill="auto"/>
            <w:hideMark/>
          </w:tcPr>
          <w:p w14:paraId="3BBDF815"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53" w:type="dxa"/>
            <w:shd w:val="clear" w:color="auto" w:fill="auto"/>
            <w:noWrap/>
            <w:hideMark/>
          </w:tcPr>
          <w:p w14:paraId="01E30DCE"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28" w:type="dxa"/>
            <w:shd w:val="clear" w:color="auto" w:fill="auto"/>
            <w:hideMark/>
          </w:tcPr>
          <w:p w14:paraId="7E9558F2" w14:textId="77777777" w:rsidR="00B76817" w:rsidRPr="000D19A7" w:rsidRDefault="00B76817" w:rsidP="00B76817">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c>
          <w:tcPr>
            <w:tcW w:w="1273" w:type="dxa"/>
            <w:shd w:val="clear" w:color="auto" w:fill="auto"/>
            <w:noWrap/>
            <w:hideMark/>
          </w:tcPr>
          <w:p w14:paraId="42823633" w14:textId="77777777" w:rsidR="00B76817" w:rsidRPr="000D19A7" w:rsidRDefault="00B76817" w:rsidP="00B76817">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w:t>
            </w:r>
          </w:p>
        </w:tc>
      </w:tr>
    </w:tbl>
    <w:p w14:paraId="5940B279" w14:textId="11DE9340" w:rsidR="0053515C" w:rsidRPr="000D19A7" w:rsidRDefault="0053515C" w:rsidP="00946026">
      <w:pPr>
        <w:spacing w:after="0" w:line="276" w:lineRule="auto"/>
        <w:jc w:val="both"/>
        <w:rPr>
          <w:rFonts w:ascii="Times New Roman" w:hAnsi="Times New Roman" w:cs="Times New Roman"/>
          <w:b/>
          <w:i/>
          <w:color w:val="5B9BD5" w:themeColor="accent1"/>
          <w:szCs w:val="24"/>
          <w:lang w:val="ro-MD"/>
          <w14:glow w14:rad="0">
            <w14:schemeClr w14:val="tx1"/>
          </w14:glow>
        </w:rPr>
        <w:sectPr w:rsidR="0053515C" w:rsidRPr="000D19A7" w:rsidSect="00B76817">
          <w:pgSz w:w="16838" w:h="11906" w:orient="landscape" w:code="9"/>
          <w:pgMar w:top="1701" w:right="851" w:bottom="851" w:left="851" w:header="720" w:footer="720" w:gutter="0"/>
          <w:cols w:space="720"/>
          <w:docGrid w:linePitch="360"/>
        </w:sectPr>
      </w:pPr>
    </w:p>
    <w:p w14:paraId="71D045AB" w14:textId="19104D1F" w:rsidR="008A79CD" w:rsidRPr="000D19A7" w:rsidRDefault="009D74DF" w:rsidP="00631083">
      <w:pPr>
        <w:pStyle w:val="3"/>
        <w:numPr>
          <w:ilvl w:val="0"/>
          <w:numId w:val="0"/>
        </w:numPr>
        <w:spacing w:after="240"/>
        <w:ind w:left="720"/>
        <w:jc w:val="right"/>
        <w:rPr>
          <w:rFonts w:ascii="Times New Roman" w:hAnsi="Times New Roman" w:cs="Times New Roman"/>
          <w:color w:val="000000" w:themeColor="text1"/>
          <w:lang w:val="ro-MD"/>
        </w:rPr>
      </w:pPr>
      <w:bookmarkStart w:id="30" w:name="_Toc168321560"/>
      <w:r w:rsidRPr="000D19A7">
        <w:rPr>
          <w:rFonts w:ascii="Times New Roman" w:hAnsi="Times New Roman" w:cs="Times New Roman"/>
          <w:color w:val="000000" w:themeColor="text1"/>
          <w:lang w:val="ro-MD"/>
          <w14:glow w14:rad="0">
            <w14:schemeClr w14:val="tx1"/>
          </w14:glow>
        </w:rPr>
        <w:t>Anexa nr.</w:t>
      </w:r>
      <w:r w:rsidR="000C4A54" w:rsidRPr="000D19A7">
        <w:rPr>
          <w:rFonts w:ascii="Times New Roman" w:hAnsi="Times New Roman" w:cs="Times New Roman"/>
          <w:color w:val="000000" w:themeColor="text1"/>
          <w:lang w:val="ro-MD"/>
          <w14:glow w14:rad="0">
            <w14:schemeClr w14:val="tx1"/>
          </w14:glow>
        </w:rPr>
        <w:t>3</w:t>
      </w:r>
      <w:bookmarkEnd w:id="30"/>
      <w:r w:rsidR="00E8120D" w:rsidRPr="000D19A7">
        <w:rPr>
          <w:rFonts w:ascii="Times New Roman" w:hAnsi="Times New Roman" w:cs="Times New Roman"/>
          <w:color w:val="000000" w:themeColor="text1"/>
          <w:lang w:val="ro-MD"/>
          <w14:glow w14:rad="0">
            <w14:schemeClr w14:val="tx1"/>
          </w14:glow>
        </w:rPr>
        <w:t xml:space="preserve"> </w:t>
      </w:r>
    </w:p>
    <w:p w14:paraId="7F3979B1" w14:textId="1C5B336B" w:rsidR="009D74DF" w:rsidRPr="000D19A7" w:rsidRDefault="009D74DF" w:rsidP="003127BB">
      <w:pPr>
        <w:jc w:val="center"/>
        <w:rPr>
          <w:rFonts w:ascii="Times New Roman" w:hAnsi="Times New Roman" w:cs="Times New Roman"/>
          <w:b/>
          <w:lang w:val="ro-MD"/>
        </w:rPr>
      </w:pPr>
      <w:r w:rsidRPr="000D19A7">
        <w:rPr>
          <w:rFonts w:ascii="Times New Roman" w:hAnsi="Times New Roman" w:cs="Times New Roman"/>
          <w:b/>
          <w:lang w:val="ro-MD"/>
        </w:rPr>
        <w:t>Sinteza mijloacelor recreditate pe parcursul anului 2023</w:t>
      </w:r>
    </w:p>
    <w:tbl>
      <w:tblPr>
        <w:tblW w:w="9604" w:type="dxa"/>
        <w:tblLook w:val="04A0" w:firstRow="1" w:lastRow="0" w:firstColumn="1" w:lastColumn="0" w:noHBand="0" w:noVBand="1"/>
      </w:tblPr>
      <w:tblGrid>
        <w:gridCol w:w="723"/>
        <w:gridCol w:w="5935"/>
        <w:gridCol w:w="1428"/>
        <w:gridCol w:w="1580"/>
      </w:tblGrid>
      <w:tr w:rsidR="009D74DF" w:rsidRPr="000D19A7" w14:paraId="646E76D0" w14:textId="77777777" w:rsidTr="009D74DF">
        <w:trPr>
          <w:trHeight w:val="470"/>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2D7245" w14:textId="77777777" w:rsidR="009D74DF" w:rsidRPr="000D19A7" w:rsidRDefault="009D74DF"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Nr. crt</w:t>
            </w:r>
          </w:p>
        </w:tc>
        <w:tc>
          <w:tcPr>
            <w:tcW w:w="5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5A28D" w14:textId="77777777" w:rsidR="009D74DF" w:rsidRPr="000D19A7" w:rsidRDefault="009D74DF"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Denumirea proiectului</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B9BAC4" w14:textId="77777777" w:rsidR="009D74DF" w:rsidRPr="000D19A7" w:rsidRDefault="009D74DF"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Valuta împrumutului</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EA5E1" w14:textId="77777777" w:rsidR="009D74DF" w:rsidRPr="000D19A7" w:rsidRDefault="009D74DF" w:rsidP="00631083">
            <w:pPr>
              <w:spacing w:after="24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Suma recreditată în a. 2023</w:t>
            </w:r>
          </w:p>
        </w:tc>
      </w:tr>
      <w:tr w:rsidR="009D74DF" w:rsidRPr="000D19A7" w14:paraId="6D735F94" w14:textId="77777777" w:rsidTr="009D74DF">
        <w:trPr>
          <w:trHeight w:val="552"/>
        </w:trPr>
        <w:tc>
          <w:tcPr>
            <w:tcW w:w="723" w:type="dxa"/>
            <w:vMerge/>
            <w:tcBorders>
              <w:top w:val="single" w:sz="4" w:space="0" w:color="auto"/>
              <w:left w:val="single" w:sz="4" w:space="0" w:color="auto"/>
              <w:bottom w:val="single" w:sz="4" w:space="0" w:color="000000"/>
              <w:right w:val="single" w:sz="4" w:space="0" w:color="auto"/>
            </w:tcBorders>
            <w:vAlign w:val="center"/>
            <w:hideMark/>
          </w:tcPr>
          <w:p w14:paraId="7CD0EDBD"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5935" w:type="dxa"/>
            <w:vMerge/>
            <w:tcBorders>
              <w:top w:val="single" w:sz="4" w:space="0" w:color="auto"/>
              <w:left w:val="single" w:sz="4" w:space="0" w:color="auto"/>
              <w:bottom w:val="single" w:sz="4" w:space="0" w:color="000000"/>
              <w:right w:val="single" w:sz="4" w:space="0" w:color="auto"/>
            </w:tcBorders>
            <w:vAlign w:val="center"/>
            <w:hideMark/>
          </w:tcPr>
          <w:p w14:paraId="763D663D"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2C8838A8"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0F260AC"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r>
      <w:tr w:rsidR="009D74DF" w:rsidRPr="000D19A7" w14:paraId="25DB790D" w14:textId="77777777" w:rsidTr="009D74DF">
        <w:trPr>
          <w:trHeight w:val="476"/>
        </w:trPr>
        <w:tc>
          <w:tcPr>
            <w:tcW w:w="723" w:type="dxa"/>
            <w:vMerge/>
            <w:tcBorders>
              <w:top w:val="single" w:sz="4" w:space="0" w:color="auto"/>
              <w:left w:val="single" w:sz="4" w:space="0" w:color="auto"/>
              <w:bottom w:val="single" w:sz="4" w:space="0" w:color="000000"/>
              <w:right w:val="single" w:sz="4" w:space="0" w:color="auto"/>
            </w:tcBorders>
            <w:vAlign w:val="center"/>
            <w:hideMark/>
          </w:tcPr>
          <w:p w14:paraId="7E269A56"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5935" w:type="dxa"/>
            <w:vMerge/>
            <w:tcBorders>
              <w:top w:val="single" w:sz="4" w:space="0" w:color="auto"/>
              <w:left w:val="single" w:sz="4" w:space="0" w:color="auto"/>
              <w:bottom w:val="single" w:sz="4" w:space="0" w:color="000000"/>
              <w:right w:val="single" w:sz="4" w:space="0" w:color="auto"/>
            </w:tcBorders>
            <w:vAlign w:val="center"/>
            <w:hideMark/>
          </w:tcPr>
          <w:p w14:paraId="29FBDE70"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3E9138A4"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6436D021"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r>
      <w:tr w:rsidR="009D74DF" w:rsidRPr="000D19A7" w14:paraId="7907FFAB"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6FBFB33F"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I</w:t>
            </w:r>
          </w:p>
        </w:tc>
        <w:tc>
          <w:tcPr>
            <w:tcW w:w="5935" w:type="dxa"/>
            <w:tcBorders>
              <w:top w:val="nil"/>
              <w:left w:val="nil"/>
              <w:bottom w:val="single" w:sz="4" w:space="0" w:color="auto"/>
              <w:right w:val="single" w:sz="4" w:space="0" w:color="auto"/>
            </w:tcBorders>
            <w:shd w:val="clear" w:color="auto" w:fill="auto"/>
            <w:hideMark/>
          </w:tcPr>
          <w:p w14:paraId="284C7BB0" w14:textId="77777777" w:rsidR="009D74DF" w:rsidRPr="000D19A7" w:rsidRDefault="009D74DF" w:rsidP="007D76F0">
            <w:pPr>
              <w:spacing w:after="0" w:line="240" w:lineRule="auto"/>
              <w:jc w:val="both"/>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prin intermediul Ministerului Finanțelor</w:t>
            </w:r>
          </w:p>
        </w:tc>
        <w:tc>
          <w:tcPr>
            <w:tcW w:w="1366" w:type="dxa"/>
            <w:tcBorders>
              <w:top w:val="nil"/>
              <w:left w:val="nil"/>
              <w:bottom w:val="single" w:sz="4" w:space="0" w:color="auto"/>
              <w:right w:val="single" w:sz="4" w:space="0" w:color="auto"/>
            </w:tcBorders>
            <w:shd w:val="clear" w:color="auto" w:fill="auto"/>
            <w:hideMark/>
          </w:tcPr>
          <w:p w14:paraId="1931D5E6"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EUR</w:t>
            </w:r>
          </w:p>
        </w:tc>
        <w:tc>
          <w:tcPr>
            <w:tcW w:w="1580" w:type="dxa"/>
            <w:tcBorders>
              <w:top w:val="nil"/>
              <w:left w:val="nil"/>
              <w:bottom w:val="single" w:sz="4" w:space="0" w:color="auto"/>
              <w:right w:val="single" w:sz="4" w:space="0" w:color="auto"/>
            </w:tcBorders>
            <w:shd w:val="clear" w:color="auto" w:fill="auto"/>
            <w:hideMark/>
          </w:tcPr>
          <w:p w14:paraId="27E78C8F"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254,00</w:t>
            </w:r>
          </w:p>
        </w:tc>
      </w:tr>
      <w:tr w:rsidR="009D74DF" w:rsidRPr="000D19A7" w14:paraId="30EF761C"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42E84C64"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w:t>
            </w:r>
          </w:p>
        </w:tc>
        <w:tc>
          <w:tcPr>
            <w:tcW w:w="5935" w:type="dxa"/>
            <w:tcBorders>
              <w:top w:val="nil"/>
              <w:left w:val="nil"/>
              <w:bottom w:val="single" w:sz="4" w:space="0" w:color="auto"/>
              <w:right w:val="single" w:sz="4" w:space="0" w:color="auto"/>
            </w:tcBorders>
            <w:shd w:val="clear" w:color="auto" w:fill="auto"/>
            <w:hideMark/>
          </w:tcPr>
          <w:p w14:paraId="64C7692D" w14:textId="2ACD85DC" w:rsidR="009D74DF" w:rsidRPr="000D19A7" w:rsidRDefault="009D74DF" w:rsidP="007D76F0">
            <w:pPr>
              <w:spacing w:after="0" w:line="240" w:lineRule="auto"/>
              <w:jc w:val="both"/>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Proiectul „Securitatea </w:t>
            </w:r>
            <w:r w:rsidR="00CD32EA" w:rsidRPr="000D19A7">
              <w:rPr>
                <w:rFonts w:ascii="Times New Roman" w:eastAsia="Times New Roman" w:hAnsi="Times New Roman" w:cs="Times New Roman"/>
                <w:color w:val="000000"/>
                <w:sz w:val="20"/>
                <w:szCs w:val="20"/>
              </w:rPr>
              <w:t>furnizării gazelor naturale” (S</w:t>
            </w:r>
            <w:r w:rsidRPr="000D19A7">
              <w:rPr>
                <w:rFonts w:ascii="Times New Roman" w:eastAsia="Times New Roman" w:hAnsi="Times New Roman" w:cs="Times New Roman"/>
                <w:color w:val="000000"/>
                <w:sz w:val="20"/>
                <w:szCs w:val="20"/>
              </w:rPr>
              <w:t>A „Energocom”)</w:t>
            </w:r>
          </w:p>
        </w:tc>
        <w:tc>
          <w:tcPr>
            <w:tcW w:w="1366" w:type="dxa"/>
            <w:tcBorders>
              <w:top w:val="nil"/>
              <w:left w:val="nil"/>
              <w:bottom w:val="single" w:sz="4" w:space="0" w:color="auto"/>
              <w:right w:val="single" w:sz="4" w:space="0" w:color="auto"/>
            </w:tcBorders>
            <w:shd w:val="clear" w:color="auto" w:fill="auto"/>
            <w:noWrap/>
            <w:hideMark/>
          </w:tcPr>
          <w:p w14:paraId="511ABCD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09CA4CC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240,70</w:t>
            </w:r>
          </w:p>
        </w:tc>
      </w:tr>
      <w:tr w:rsidR="009D74DF" w:rsidRPr="000D19A7" w14:paraId="6EC1F5A8"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6D92DC8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1.2</w:t>
            </w:r>
          </w:p>
        </w:tc>
        <w:tc>
          <w:tcPr>
            <w:tcW w:w="5935" w:type="dxa"/>
            <w:tcBorders>
              <w:top w:val="nil"/>
              <w:left w:val="nil"/>
              <w:bottom w:val="single" w:sz="4" w:space="0" w:color="auto"/>
              <w:right w:val="single" w:sz="4" w:space="0" w:color="auto"/>
            </w:tcBorders>
            <w:shd w:val="clear" w:color="auto" w:fill="auto"/>
            <w:hideMark/>
          </w:tcPr>
          <w:p w14:paraId="3622DE0B" w14:textId="63D115C0" w:rsidR="009D74DF" w:rsidRPr="000D19A7" w:rsidRDefault="00CD32EA" w:rsidP="007D76F0">
            <w:pPr>
              <w:spacing w:after="0" w:line="240" w:lineRule="auto"/>
              <w:jc w:val="both"/>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dezvoltare a s</w:t>
            </w:r>
            <w:r w:rsidR="009D74DF" w:rsidRPr="000D19A7">
              <w:rPr>
                <w:rFonts w:ascii="Times New Roman" w:eastAsia="Times New Roman" w:hAnsi="Times New Roman" w:cs="Times New Roman"/>
                <w:color w:val="000000"/>
                <w:sz w:val="20"/>
                <w:szCs w:val="20"/>
              </w:rPr>
              <w:t xml:space="preserve">istemului </w:t>
            </w:r>
            <w:r w:rsidRPr="000D19A7">
              <w:rPr>
                <w:rFonts w:ascii="Times New Roman" w:eastAsia="Times New Roman" w:hAnsi="Times New Roman" w:cs="Times New Roman"/>
                <w:color w:val="000000"/>
                <w:sz w:val="20"/>
                <w:szCs w:val="20"/>
              </w:rPr>
              <w:t xml:space="preserve">electroenergetic                          </w:t>
            </w:r>
            <w:r w:rsidR="007D76F0" w:rsidRPr="000D19A7">
              <w:rPr>
                <w:rFonts w:ascii="Times New Roman" w:eastAsia="Times New Roman" w:hAnsi="Times New Roman" w:cs="Times New Roman"/>
                <w:color w:val="000000"/>
                <w:sz w:val="20"/>
                <w:szCs w:val="20"/>
              </w:rPr>
              <w:t xml:space="preserve">            </w:t>
            </w:r>
            <w:r w:rsidRPr="000D19A7">
              <w:rPr>
                <w:rFonts w:ascii="Times New Roman" w:eastAsia="Times New Roman" w:hAnsi="Times New Roman" w:cs="Times New Roman"/>
                <w:color w:val="000000"/>
                <w:sz w:val="20"/>
                <w:szCs w:val="20"/>
              </w:rPr>
              <w:t>(Î</w:t>
            </w:r>
            <w:r w:rsidR="009D74DF" w:rsidRPr="000D19A7">
              <w:rPr>
                <w:rFonts w:ascii="Times New Roman" w:eastAsia="Times New Roman" w:hAnsi="Times New Roman" w:cs="Times New Roman"/>
                <w:color w:val="000000"/>
                <w:sz w:val="20"/>
                <w:szCs w:val="20"/>
              </w:rPr>
              <w:t>S</w:t>
            </w:r>
            <w:r w:rsidRPr="000D19A7">
              <w:rPr>
                <w:rFonts w:ascii="Times New Roman" w:eastAsia="Times New Roman" w:hAnsi="Times New Roman" w:cs="Times New Roman"/>
                <w:color w:val="000000"/>
                <w:sz w:val="20"/>
                <w:szCs w:val="20"/>
              </w:rPr>
              <w:t xml:space="preserve"> „</w:t>
            </w:r>
            <w:r w:rsidR="009D74DF" w:rsidRPr="000D19A7">
              <w:rPr>
                <w:rFonts w:ascii="Times New Roman" w:eastAsia="Times New Roman" w:hAnsi="Times New Roman" w:cs="Times New Roman"/>
                <w:color w:val="000000"/>
                <w:sz w:val="20"/>
                <w:szCs w:val="20"/>
              </w:rPr>
              <w:t>Moldelectrica”)</w:t>
            </w:r>
          </w:p>
        </w:tc>
        <w:tc>
          <w:tcPr>
            <w:tcW w:w="1366" w:type="dxa"/>
            <w:tcBorders>
              <w:top w:val="nil"/>
              <w:left w:val="nil"/>
              <w:bottom w:val="single" w:sz="4" w:space="0" w:color="auto"/>
              <w:right w:val="single" w:sz="4" w:space="0" w:color="auto"/>
            </w:tcBorders>
            <w:shd w:val="clear" w:color="auto" w:fill="auto"/>
            <w:noWrap/>
            <w:hideMark/>
          </w:tcPr>
          <w:p w14:paraId="72AD0C0F"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3B480E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6,30</w:t>
            </w:r>
          </w:p>
        </w:tc>
      </w:tr>
      <w:tr w:rsidR="009D74DF" w:rsidRPr="000D19A7" w14:paraId="1F7AA1CD" w14:textId="77777777" w:rsidTr="009D74DF">
        <w:trPr>
          <w:trHeight w:val="552"/>
        </w:trPr>
        <w:tc>
          <w:tcPr>
            <w:tcW w:w="723" w:type="dxa"/>
            <w:tcBorders>
              <w:top w:val="nil"/>
              <w:left w:val="single" w:sz="4" w:space="0" w:color="auto"/>
              <w:bottom w:val="single" w:sz="4" w:space="0" w:color="auto"/>
              <w:right w:val="single" w:sz="4" w:space="0" w:color="auto"/>
            </w:tcBorders>
            <w:shd w:val="clear" w:color="auto" w:fill="auto"/>
            <w:noWrap/>
            <w:hideMark/>
          </w:tcPr>
          <w:p w14:paraId="21FA22D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w:t>
            </w:r>
          </w:p>
        </w:tc>
        <w:tc>
          <w:tcPr>
            <w:tcW w:w="5935" w:type="dxa"/>
            <w:tcBorders>
              <w:top w:val="nil"/>
              <w:left w:val="nil"/>
              <w:bottom w:val="single" w:sz="4" w:space="0" w:color="auto"/>
              <w:right w:val="single" w:sz="4" w:space="0" w:color="auto"/>
            </w:tcBorders>
            <w:shd w:val="clear" w:color="auto" w:fill="auto"/>
            <w:hideMark/>
          </w:tcPr>
          <w:p w14:paraId="14179934" w14:textId="5E6D70FA" w:rsidR="009D74DF" w:rsidRPr="000D19A7" w:rsidRDefault="009D74DF" w:rsidP="007D76F0">
            <w:pPr>
              <w:spacing w:after="0" w:line="240" w:lineRule="auto"/>
              <w:jc w:val="both"/>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„Împrumutul destinat reabilităr</w:t>
            </w:r>
            <w:r w:rsidR="00CD32EA" w:rsidRPr="000D19A7">
              <w:rPr>
                <w:rFonts w:ascii="Times New Roman" w:eastAsia="Times New Roman" w:hAnsi="Times New Roman" w:cs="Times New Roman"/>
                <w:color w:val="000000"/>
                <w:sz w:val="20"/>
                <w:szCs w:val="20"/>
              </w:rPr>
              <w:t xml:space="preserve">ii rețelelor de transport ale     </w:t>
            </w:r>
            <w:r w:rsidR="007D76F0" w:rsidRPr="000D19A7">
              <w:rPr>
                <w:rFonts w:ascii="Times New Roman" w:eastAsia="Times New Roman" w:hAnsi="Times New Roman" w:cs="Times New Roman"/>
                <w:color w:val="000000"/>
                <w:sz w:val="20"/>
                <w:szCs w:val="20"/>
              </w:rPr>
              <w:t xml:space="preserve">   </w:t>
            </w:r>
            <w:r w:rsidR="00CD32EA" w:rsidRPr="000D19A7">
              <w:rPr>
                <w:rFonts w:ascii="Times New Roman" w:eastAsia="Times New Roman" w:hAnsi="Times New Roman" w:cs="Times New Roman"/>
                <w:color w:val="000000"/>
                <w:sz w:val="20"/>
                <w:szCs w:val="20"/>
              </w:rPr>
              <w:t>Î</w:t>
            </w:r>
            <w:r w:rsidRPr="000D19A7">
              <w:rPr>
                <w:rFonts w:ascii="Times New Roman" w:eastAsia="Times New Roman" w:hAnsi="Times New Roman" w:cs="Times New Roman"/>
                <w:color w:val="000000"/>
                <w:sz w:val="20"/>
                <w:szCs w:val="20"/>
              </w:rPr>
              <w:t>S „Moldelectrica”</w:t>
            </w:r>
          </w:p>
        </w:tc>
        <w:tc>
          <w:tcPr>
            <w:tcW w:w="1366" w:type="dxa"/>
            <w:tcBorders>
              <w:top w:val="nil"/>
              <w:left w:val="nil"/>
              <w:bottom w:val="single" w:sz="4" w:space="0" w:color="auto"/>
              <w:right w:val="single" w:sz="4" w:space="0" w:color="auto"/>
            </w:tcBorders>
            <w:shd w:val="clear" w:color="auto" w:fill="auto"/>
            <w:noWrap/>
            <w:hideMark/>
          </w:tcPr>
          <w:p w14:paraId="685D267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5899CDD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2,70</w:t>
            </w:r>
          </w:p>
        </w:tc>
      </w:tr>
      <w:tr w:rsidR="009D74DF" w:rsidRPr="000D19A7" w14:paraId="242A0583" w14:textId="77777777" w:rsidTr="009D74DF">
        <w:trPr>
          <w:trHeight w:val="552"/>
        </w:trPr>
        <w:tc>
          <w:tcPr>
            <w:tcW w:w="723" w:type="dxa"/>
            <w:tcBorders>
              <w:top w:val="nil"/>
              <w:left w:val="single" w:sz="4" w:space="0" w:color="auto"/>
              <w:bottom w:val="single" w:sz="4" w:space="0" w:color="auto"/>
              <w:right w:val="single" w:sz="4" w:space="0" w:color="auto"/>
            </w:tcBorders>
            <w:shd w:val="clear" w:color="auto" w:fill="auto"/>
            <w:noWrap/>
            <w:hideMark/>
          </w:tcPr>
          <w:p w14:paraId="3E9DF024"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w:t>
            </w:r>
          </w:p>
        </w:tc>
        <w:tc>
          <w:tcPr>
            <w:tcW w:w="5935" w:type="dxa"/>
            <w:tcBorders>
              <w:top w:val="nil"/>
              <w:left w:val="nil"/>
              <w:bottom w:val="single" w:sz="4" w:space="0" w:color="auto"/>
              <w:right w:val="single" w:sz="4" w:space="0" w:color="auto"/>
            </w:tcBorders>
            <w:shd w:val="clear" w:color="auto" w:fill="auto"/>
            <w:hideMark/>
          </w:tcPr>
          <w:p w14:paraId="4C127789" w14:textId="77777777" w:rsidR="009D74DF" w:rsidRPr="000D19A7" w:rsidRDefault="009D74DF" w:rsidP="007D76F0">
            <w:pPr>
              <w:spacing w:after="0" w:line="240" w:lineRule="auto"/>
              <w:jc w:val="both"/>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Cel de-al doilea Proiect de îmbunătățire a eficienței sistemului de alimentare centralizată cu energie termică, finanțat de Banca Mondială</w:t>
            </w:r>
          </w:p>
        </w:tc>
        <w:tc>
          <w:tcPr>
            <w:tcW w:w="1366" w:type="dxa"/>
            <w:tcBorders>
              <w:top w:val="nil"/>
              <w:left w:val="nil"/>
              <w:bottom w:val="single" w:sz="4" w:space="0" w:color="auto"/>
              <w:right w:val="single" w:sz="4" w:space="0" w:color="auto"/>
            </w:tcBorders>
            <w:shd w:val="clear" w:color="auto" w:fill="auto"/>
            <w:noWrap/>
            <w:hideMark/>
          </w:tcPr>
          <w:p w14:paraId="7B80902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0E27B3D1"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0,30</w:t>
            </w:r>
          </w:p>
        </w:tc>
      </w:tr>
      <w:tr w:rsidR="009D74DF" w:rsidRPr="000D19A7" w14:paraId="37ED72DC" w14:textId="77777777" w:rsidTr="009D74DF">
        <w:trPr>
          <w:trHeight w:val="552"/>
        </w:trPr>
        <w:tc>
          <w:tcPr>
            <w:tcW w:w="723" w:type="dxa"/>
            <w:tcBorders>
              <w:top w:val="nil"/>
              <w:left w:val="single" w:sz="4" w:space="0" w:color="auto"/>
              <w:bottom w:val="single" w:sz="4" w:space="0" w:color="auto"/>
              <w:right w:val="single" w:sz="4" w:space="0" w:color="auto"/>
            </w:tcBorders>
            <w:shd w:val="clear" w:color="auto" w:fill="auto"/>
            <w:noWrap/>
            <w:hideMark/>
          </w:tcPr>
          <w:p w14:paraId="7B2228F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w:t>
            </w:r>
          </w:p>
        </w:tc>
        <w:tc>
          <w:tcPr>
            <w:tcW w:w="5935" w:type="dxa"/>
            <w:tcBorders>
              <w:top w:val="nil"/>
              <w:left w:val="nil"/>
              <w:bottom w:val="single" w:sz="4" w:space="0" w:color="auto"/>
              <w:right w:val="single" w:sz="4" w:space="0" w:color="auto"/>
            </w:tcBorders>
            <w:shd w:val="clear" w:color="auto" w:fill="auto"/>
            <w:hideMark/>
          </w:tcPr>
          <w:p w14:paraId="688B46CD" w14:textId="30768F64" w:rsidR="009D74DF" w:rsidRPr="000D19A7" w:rsidRDefault="009D74DF" w:rsidP="007D76F0">
            <w:pPr>
              <w:spacing w:after="0" w:line="240" w:lineRule="auto"/>
              <w:jc w:val="both"/>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Proiectul de achiziție a locomotivelor și </w:t>
            </w:r>
            <w:r w:rsidR="007D76F0" w:rsidRPr="000D19A7">
              <w:rPr>
                <w:rFonts w:ascii="Times New Roman" w:eastAsia="Times New Roman" w:hAnsi="Times New Roman" w:cs="Times New Roman"/>
                <w:color w:val="000000"/>
                <w:sz w:val="20"/>
                <w:szCs w:val="20"/>
              </w:rPr>
              <w:t xml:space="preserve">de </w:t>
            </w:r>
            <w:r w:rsidRPr="000D19A7">
              <w:rPr>
                <w:rFonts w:ascii="Times New Roman" w:eastAsia="Times New Roman" w:hAnsi="Times New Roman" w:cs="Times New Roman"/>
                <w:color w:val="000000"/>
                <w:sz w:val="20"/>
                <w:szCs w:val="20"/>
              </w:rPr>
              <w:t>restructura</w:t>
            </w:r>
            <w:r w:rsidR="007D76F0" w:rsidRPr="000D19A7">
              <w:rPr>
                <w:rFonts w:ascii="Times New Roman" w:eastAsia="Times New Roman" w:hAnsi="Times New Roman" w:cs="Times New Roman"/>
                <w:color w:val="000000"/>
                <w:sz w:val="20"/>
                <w:szCs w:val="20"/>
              </w:rPr>
              <w:t>rea infrastructurii feoviare (Î</w:t>
            </w:r>
            <w:r w:rsidRPr="000D19A7">
              <w:rPr>
                <w:rFonts w:ascii="Times New Roman" w:eastAsia="Times New Roman" w:hAnsi="Times New Roman" w:cs="Times New Roman"/>
                <w:color w:val="000000"/>
                <w:sz w:val="20"/>
                <w:szCs w:val="20"/>
              </w:rPr>
              <w:t>S „Calea Ferată din Moldova”)</w:t>
            </w:r>
          </w:p>
        </w:tc>
        <w:tc>
          <w:tcPr>
            <w:tcW w:w="1366" w:type="dxa"/>
            <w:tcBorders>
              <w:top w:val="nil"/>
              <w:left w:val="nil"/>
              <w:bottom w:val="single" w:sz="4" w:space="0" w:color="auto"/>
              <w:right w:val="single" w:sz="4" w:space="0" w:color="auto"/>
            </w:tcBorders>
            <w:shd w:val="clear" w:color="auto" w:fill="auto"/>
            <w:noWrap/>
            <w:hideMark/>
          </w:tcPr>
          <w:p w14:paraId="42281F08"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183B59B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4,00</w:t>
            </w:r>
          </w:p>
        </w:tc>
      </w:tr>
      <w:tr w:rsidR="009D74DF" w:rsidRPr="000D19A7" w14:paraId="4E6BD684"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2B5C304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5935" w:type="dxa"/>
            <w:tcBorders>
              <w:top w:val="nil"/>
              <w:left w:val="nil"/>
              <w:bottom w:val="single" w:sz="4" w:space="0" w:color="auto"/>
              <w:right w:val="single" w:sz="4" w:space="0" w:color="auto"/>
            </w:tcBorders>
            <w:shd w:val="clear" w:color="auto" w:fill="auto"/>
            <w:hideMark/>
          </w:tcPr>
          <w:p w14:paraId="0AB5AD4D"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auto" w:fill="auto"/>
            <w:noWrap/>
            <w:hideMark/>
          </w:tcPr>
          <w:p w14:paraId="76C626B4"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2AC7CF6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w:t>
            </w:r>
          </w:p>
        </w:tc>
      </w:tr>
      <w:tr w:rsidR="009D74DF" w:rsidRPr="000D19A7" w14:paraId="464D590F"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1A115FB8"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II</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2791E08D"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prin intermediul Oficiului de Gestionare a Programelor de Asistență Externă</w:t>
            </w:r>
          </w:p>
        </w:tc>
        <w:tc>
          <w:tcPr>
            <w:tcW w:w="1366" w:type="dxa"/>
            <w:tcBorders>
              <w:top w:val="nil"/>
              <w:left w:val="nil"/>
              <w:bottom w:val="single" w:sz="4" w:space="0" w:color="auto"/>
              <w:right w:val="single" w:sz="4" w:space="0" w:color="auto"/>
            </w:tcBorders>
            <w:shd w:val="clear" w:color="auto" w:fill="auto"/>
            <w:noWrap/>
            <w:hideMark/>
          </w:tcPr>
          <w:p w14:paraId="2260385F"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605F625C" w14:textId="31AD8DAA" w:rsidR="009D74DF" w:rsidRPr="000D19A7" w:rsidRDefault="00311F3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xml:space="preserve">1 </w:t>
            </w:r>
            <w:r w:rsidR="009D74DF" w:rsidRPr="000D19A7">
              <w:rPr>
                <w:rFonts w:ascii="Times New Roman" w:eastAsia="Times New Roman" w:hAnsi="Times New Roman" w:cs="Times New Roman"/>
                <w:b/>
                <w:bCs/>
                <w:color w:val="000000"/>
                <w:sz w:val="20"/>
                <w:szCs w:val="20"/>
              </w:rPr>
              <w:t>585,14</w:t>
            </w:r>
          </w:p>
        </w:tc>
      </w:tr>
      <w:tr w:rsidR="009D74DF" w:rsidRPr="000D19A7" w14:paraId="3E97D67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205E7509"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62BC92EA"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775D0122"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4601654B"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2,63</w:t>
            </w:r>
          </w:p>
        </w:tc>
      </w:tr>
      <w:tr w:rsidR="009D74DF" w:rsidRPr="000D19A7" w14:paraId="2876876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620BACD5"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74F24F27"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0ED37AF7"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62210981"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20,20</w:t>
            </w:r>
          </w:p>
        </w:tc>
      </w:tr>
      <w:tr w:rsidR="009D74DF" w:rsidRPr="000D19A7" w14:paraId="0963FF0B"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6635900C"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2.1</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2FE41273"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resurse recreditate direct din împrumuturile externe</w:t>
            </w:r>
          </w:p>
        </w:tc>
        <w:tc>
          <w:tcPr>
            <w:tcW w:w="1366" w:type="dxa"/>
            <w:tcBorders>
              <w:top w:val="nil"/>
              <w:left w:val="nil"/>
              <w:bottom w:val="single" w:sz="4" w:space="0" w:color="auto"/>
              <w:right w:val="single" w:sz="4" w:space="0" w:color="auto"/>
            </w:tcBorders>
            <w:shd w:val="clear" w:color="auto" w:fill="auto"/>
            <w:noWrap/>
            <w:hideMark/>
          </w:tcPr>
          <w:p w14:paraId="5BA48371"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515372B2"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118,30</w:t>
            </w:r>
          </w:p>
        </w:tc>
      </w:tr>
      <w:tr w:rsidR="009D74DF" w:rsidRPr="000D19A7" w14:paraId="09AD0C4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5C3BFD72"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476DDF4"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F2D7D74"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6F32C499"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9,16</w:t>
            </w:r>
          </w:p>
        </w:tc>
      </w:tr>
      <w:tr w:rsidR="009D74DF" w:rsidRPr="000D19A7" w14:paraId="4C6CD5F0"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4EBCF2CF"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2.1.1</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41BBC212"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„Livada Moldovei”</w:t>
            </w:r>
          </w:p>
        </w:tc>
        <w:tc>
          <w:tcPr>
            <w:tcW w:w="1366" w:type="dxa"/>
            <w:tcBorders>
              <w:top w:val="nil"/>
              <w:left w:val="nil"/>
              <w:bottom w:val="single" w:sz="4" w:space="0" w:color="auto"/>
              <w:right w:val="single" w:sz="4" w:space="0" w:color="auto"/>
            </w:tcBorders>
            <w:shd w:val="clear" w:color="auto" w:fill="auto"/>
            <w:noWrap/>
            <w:hideMark/>
          </w:tcPr>
          <w:p w14:paraId="5B11025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36934FE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118,30</w:t>
            </w:r>
          </w:p>
        </w:tc>
      </w:tr>
      <w:tr w:rsidR="009D74DF" w:rsidRPr="000D19A7" w14:paraId="777F33FA"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0658388D"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17E1CF8"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E29FBD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0BAFEF6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9,16</w:t>
            </w:r>
          </w:p>
        </w:tc>
      </w:tr>
      <w:tr w:rsidR="009D74DF" w:rsidRPr="000D19A7" w14:paraId="5AD9048B"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65F9F28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2.2</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40DB31CA"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resurse recreditate din mijloacele circulante acumulate</w:t>
            </w:r>
          </w:p>
        </w:tc>
        <w:tc>
          <w:tcPr>
            <w:tcW w:w="1366" w:type="dxa"/>
            <w:tcBorders>
              <w:top w:val="nil"/>
              <w:left w:val="nil"/>
              <w:bottom w:val="single" w:sz="4" w:space="0" w:color="auto"/>
              <w:right w:val="single" w:sz="4" w:space="0" w:color="auto"/>
            </w:tcBorders>
            <w:shd w:val="clear" w:color="auto" w:fill="auto"/>
            <w:noWrap/>
            <w:hideMark/>
          </w:tcPr>
          <w:p w14:paraId="3411E40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2D66C67A" w14:textId="00E39A56" w:rsidR="009D74DF" w:rsidRPr="000D19A7" w:rsidRDefault="00311F3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xml:space="preserve">1 </w:t>
            </w:r>
            <w:r w:rsidR="009D74DF" w:rsidRPr="000D19A7">
              <w:rPr>
                <w:rFonts w:ascii="Times New Roman" w:eastAsia="Times New Roman" w:hAnsi="Times New Roman" w:cs="Times New Roman"/>
                <w:b/>
                <w:bCs/>
                <w:i/>
                <w:iCs/>
                <w:color w:val="000000"/>
                <w:sz w:val="20"/>
                <w:szCs w:val="20"/>
              </w:rPr>
              <w:t>466,84</w:t>
            </w:r>
          </w:p>
        </w:tc>
      </w:tr>
      <w:tr w:rsidR="009D74DF" w:rsidRPr="000D19A7" w14:paraId="6F219B8A"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52903A9C"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2256504"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6FA104F8"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0F4898FB"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2,63</w:t>
            </w:r>
          </w:p>
        </w:tc>
      </w:tr>
      <w:tr w:rsidR="009D74DF" w:rsidRPr="000D19A7" w14:paraId="652A7C2E"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7758EC79"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2974DB2A"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0308A1D2"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D34944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11,04</w:t>
            </w:r>
          </w:p>
        </w:tc>
      </w:tr>
      <w:tr w:rsidR="009D74DF" w:rsidRPr="000D19A7" w14:paraId="3EAC1F80"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29EAED9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34AA985F"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Finanțare Rurală și Dezvoltare a Întreprinderilor Mici (FIDA I)</w:t>
            </w:r>
          </w:p>
        </w:tc>
        <w:tc>
          <w:tcPr>
            <w:tcW w:w="1366" w:type="dxa"/>
            <w:tcBorders>
              <w:top w:val="nil"/>
              <w:left w:val="nil"/>
              <w:bottom w:val="single" w:sz="4" w:space="0" w:color="auto"/>
              <w:right w:val="single" w:sz="4" w:space="0" w:color="auto"/>
            </w:tcBorders>
            <w:shd w:val="clear" w:color="auto" w:fill="auto"/>
            <w:noWrap/>
            <w:hideMark/>
          </w:tcPr>
          <w:p w14:paraId="0FA4436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2BBAF74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148,08</w:t>
            </w:r>
          </w:p>
        </w:tc>
      </w:tr>
      <w:tr w:rsidR="009D74DF" w:rsidRPr="000D19A7" w14:paraId="0CEE2BE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6C4155C0"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2183A84E"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2DC6E0F"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6D77185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0,06</w:t>
            </w:r>
          </w:p>
        </w:tc>
      </w:tr>
      <w:tr w:rsidR="009D74DF" w:rsidRPr="000D19A7" w14:paraId="35C15088"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28173CD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2.2.2</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1E85207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Proiectul de Revitalizare a Agriculturii (FIDA II, PRA) </w:t>
            </w:r>
          </w:p>
        </w:tc>
        <w:tc>
          <w:tcPr>
            <w:tcW w:w="1366" w:type="dxa"/>
            <w:tcBorders>
              <w:top w:val="nil"/>
              <w:left w:val="nil"/>
              <w:bottom w:val="single" w:sz="4" w:space="0" w:color="auto"/>
              <w:right w:val="single" w:sz="4" w:space="0" w:color="auto"/>
            </w:tcBorders>
            <w:shd w:val="clear" w:color="auto" w:fill="auto"/>
            <w:noWrap/>
            <w:hideMark/>
          </w:tcPr>
          <w:p w14:paraId="743AC5A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0DBD646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64,09</w:t>
            </w:r>
          </w:p>
        </w:tc>
      </w:tr>
      <w:tr w:rsidR="009D74DF" w:rsidRPr="000D19A7" w14:paraId="5CE76E6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543B431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0892FA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29F60E4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5F8DC5B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0,27</w:t>
            </w:r>
          </w:p>
        </w:tc>
      </w:tr>
      <w:tr w:rsidR="009D74DF" w:rsidRPr="000D19A7" w14:paraId="571F1D12"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3583A1A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15DCCED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2F80C2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10F6622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0,20</w:t>
            </w:r>
          </w:p>
        </w:tc>
      </w:tr>
      <w:tr w:rsidR="009D74DF" w:rsidRPr="000D19A7" w14:paraId="026D241F"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5FAB254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2.2.3</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43C1607E"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Dezvoltare a Afacerilor Rurale (FIDA III, PDAR)</w:t>
            </w:r>
          </w:p>
        </w:tc>
        <w:tc>
          <w:tcPr>
            <w:tcW w:w="1366" w:type="dxa"/>
            <w:tcBorders>
              <w:top w:val="nil"/>
              <w:left w:val="nil"/>
              <w:bottom w:val="single" w:sz="4" w:space="0" w:color="auto"/>
              <w:right w:val="single" w:sz="4" w:space="0" w:color="auto"/>
            </w:tcBorders>
            <w:shd w:val="clear" w:color="auto" w:fill="auto"/>
            <w:noWrap/>
            <w:hideMark/>
          </w:tcPr>
          <w:p w14:paraId="6C9FA3D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435DD97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48,32</w:t>
            </w:r>
          </w:p>
        </w:tc>
      </w:tr>
      <w:tr w:rsidR="009D74DF" w:rsidRPr="000D19A7" w14:paraId="76BAAE42"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300F63F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597B0F77"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610D281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50C6D3DD"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1,53</w:t>
            </w:r>
          </w:p>
        </w:tc>
      </w:tr>
      <w:tr w:rsidR="009D74DF" w:rsidRPr="000D19A7" w14:paraId="2BB3FA9F"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72BC062C"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3245AAEA"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35BAA04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53A2E83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0,28</w:t>
            </w:r>
          </w:p>
        </w:tc>
      </w:tr>
      <w:tr w:rsidR="009D74DF" w:rsidRPr="000D19A7" w14:paraId="48CDD720"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32A281C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2.2.4</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1F5964DE"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Servicii Financiare Rurale și Marketing (FIDA IV)</w:t>
            </w:r>
          </w:p>
        </w:tc>
        <w:tc>
          <w:tcPr>
            <w:tcW w:w="1366" w:type="dxa"/>
            <w:tcBorders>
              <w:top w:val="nil"/>
              <w:left w:val="nil"/>
              <w:bottom w:val="single" w:sz="4" w:space="0" w:color="auto"/>
              <w:right w:val="single" w:sz="4" w:space="0" w:color="auto"/>
            </w:tcBorders>
            <w:shd w:val="clear" w:color="auto" w:fill="auto"/>
            <w:noWrap/>
            <w:hideMark/>
          </w:tcPr>
          <w:p w14:paraId="437F6D9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0A9D1F7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36,63</w:t>
            </w:r>
          </w:p>
        </w:tc>
      </w:tr>
      <w:tr w:rsidR="009D74DF" w:rsidRPr="000D19A7" w14:paraId="6C3E3CA8"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1BC2C2DD"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19BA62C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1E6BC1D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26F6FC6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0,28</w:t>
            </w:r>
          </w:p>
        </w:tc>
      </w:tr>
      <w:tr w:rsidR="009D74DF" w:rsidRPr="000D19A7" w14:paraId="7DEC2666"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2AA9E42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2.2.5</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52A388F5"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Servicii Financiare Rurale și Dezvoltarea Businessului Agricol (FIDA V)</w:t>
            </w:r>
          </w:p>
        </w:tc>
        <w:tc>
          <w:tcPr>
            <w:tcW w:w="1366" w:type="dxa"/>
            <w:tcBorders>
              <w:top w:val="nil"/>
              <w:left w:val="nil"/>
              <w:bottom w:val="single" w:sz="4" w:space="0" w:color="auto"/>
              <w:right w:val="single" w:sz="4" w:space="0" w:color="auto"/>
            </w:tcBorders>
            <w:shd w:val="clear" w:color="auto" w:fill="auto"/>
            <w:noWrap/>
            <w:hideMark/>
          </w:tcPr>
          <w:p w14:paraId="66CA0D7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7072C49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75,73</w:t>
            </w:r>
          </w:p>
        </w:tc>
      </w:tr>
      <w:tr w:rsidR="009D74DF" w:rsidRPr="000D19A7" w14:paraId="456F512E"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6789FF9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341EB997"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19C2B41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5D84A9B4"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0,55</w:t>
            </w:r>
          </w:p>
        </w:tc>
      </w:tr>
      <w:tr w:rsidR="009D74DF" w:rsidRPr="000D19A7" w14:paraId="32BD768D"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5A8A360A"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347FFCB"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7C2CC04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5BD919B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0,25</w:t>
            </w:r>
          </w:p>
        </w:tc>
      </w:tr>
      <w:tr w:rsidR="009D74DF" w:rsidRPr="000D19A7" w14:paraId="127CA245"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2979C19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2.2.6</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3F0554F7"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Programul Rural de Reziliență Economică-Climatică Incluzivă (FIDA VI)</w:t>
            </w:r>
          </w:p>
        </w:tc>
        <w:tc>
          <w:tcPr>
            <w:tcW w:w="1366" w:type="dxa"/>
            <w:tcBorders>
              <w:top w:val="nil"/>
              <w:left w:val="nil"/>
              <w:bottom w:val="single" w:sz="4" w:space="0" w:color="auto"/>
              <w:right w:val="single" w:sz="4" w:space="0" w:color="auto"/>
            </w:tcBorders>
            <w:shd w:val="clear" w:color="auto" w:fill="auto"/>
            <w:noWrap/>
            <w:hideMark/>
          </w:tcPr>
          <w:p w14:paraId="4A9952A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7704E97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100,02</w:t>
            </w:r>
          </w:p>
        </w:tc>
      </w:tr>
      <w:tr w:rsidR="009D74DF" w:rsidRPr="000D19A7" w14:paraId="2CB37F6D"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5269DB40"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420D0A3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094D529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665712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0,09</w:t>
            </w:r>
          </w:p>
        </w:tc>
      </w:tr>
      <w:tr w:rsidR="009D74DF" w:rsidRPr="000D19A7" w14:paraId="7D7514BE"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7D2C355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2.2.7</w:t>
            </w:r>
          </w:p>
        </w:tc>
        <w:tc>
          <w:tcPr>
            <w:tcW w:w="5935" w:type="dxa"/>
            <w:tcBorders>
              <w:top w:val="nil"/>
              <w:left w:val="nil"/>
              <w:bottom w:val="single" w:sz="4" w:space="0" w:color="auto"/>
              <w:right w:val="single" w:sz="4" w:space="0" w:color="auto"/>
            </w:tcBorders>
            <w:shd w:val="clear" w:color="auto" w:fill="auto"/>
            <w:hideMark/>
          </w:tcPr>
          <w:p w14:paraId="2408168A"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Programul de Reziliență Rurală (FIDA VII, PRR) </w:t>
            </w:r>
          </w:p>
        </w:tc>
        <w:tc>
          <w:tcPr>
            <w:tcW w:w="1366" w:type="dxa"/>
            <w:tcBorders>
              <w:top w:val="nil"/>
              <w:left w:val="nil"/>
              <w:bottom w:val="single" w:sz="4" w:space="0" w:color="auto"/>
              <w:right w:val="single" w:sz="4" w:space="0" w:color="auto"/>
            </w:tcBorders>
            <w:shd w:val="clear" w:color="auto" w:fill="auto"/>
            <w:noWrap/>
            <w:hideMark/>
          </w:tcPr>
          <w:p w14:paraId="6555796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1B1E88D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57,72</w:t>
            </w:r>
          </w:p>
        </w:tc>
      </w:tr>
      <w:tr w:rsidR="009D74DF" w:rsidRPr="000D19A7" w14:paraId="2988467E" w14:textId="77777777" w:rsidTr="009D74DF">
        <w:trPr>
          <w:trHeight w:val="276"/>
        </w:trPr>
        <w:tc>
          <w:tcPr>
            <w:tcW w:w="723" w:type="dxa"/>
            <w:tcBorders>
              <w:top w:val="nil"/>
              <w:left w:val="single" w:sz="4" w:space="0" w:color="auto"/>
              <w:bottom w:val="single" w:sz="4" w:space="0" w:color="auto"/>
              <w:right w:val="single" w:sz="4" w:space="0" w:color="auto"/>
            </w:tcBorders>
            <w:shd w:val="clear" w:color="auto" w:fill="auto"/>
            <w:noWrap/>
            <w:hideMark/>
          </w:tcPr>
          <w:p w14:paraId="0FA9BF6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2.2.8</w:t>
            </w:r>
          </w:p>
        </w:tc>
        <w:tc>
          <w:tcPr>
            <w:tcW w:w="5935" w:type="dxa"/>
            <w:tcBorders>
              <w:top w:val="nil"/>
              <w:left w:val="nil"/>
              <w:bottom w:val="single" w:sz="4" w:space="0" w:color="auto"/>
              <w:right w:val="single" w:sz="4" w:space="0" w:color="auto"/>
            </w:tcBorders>
            <w:shd w:val="clear" w:color="auto" w:fill="auto"/>
            <w:hideMark/>
          </w:tcPr>
          <w:p w14:paraId="7E2087FD"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Programul de Investiții și Servicii Rurale, faza I (RISP I)</w:t>
            </w:r>
          </w:p>
        </w:tc>
        <w:tc>
          <w:tcPr>
            <w:tcW w:w="1366" w:type="dxa"/>
            <w:tcBorders>
              <w:top w:val="nil"/>
              <w:left w:val="nil"/>
              <w:bottom w:val="single" w:sz="4" w:space="0" w:color="auto"/>
              <w:right w:val="single" w:sz="4" w:space="0" w:color="auto"/>
            </w:tcBorders>
            <w:shd w:val="clear" w:color="auto" w:fill="auto"/>
            <w:noWrap/>
            <w:hideMark/>
          </w:tcPr>
          <w:p w14:paraId="410DF03E"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4EC653C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183,32</w:t>
            </w:r>
          </w:p>
        </w:tc>
      </w:tr>
      <w:tr w:rsidR="009D74DF" w:rsidRPr="000D19A7" w14:paraId="1967D43F"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6C0523C4"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2.2.9</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1C3A07CC"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Programul de Investiții și Servicii Rurale, faza II (RISP II)</w:t>
            </w:r>
          </w:p>
        </w:tc>
        <w:tc>
          <w:tcPr>
            <w:tcW w:w="1366" w:type="dxa"/>
            <w:tcBorders>
              <w:top w:val="nil"/>
              <w:left w:val="nil"/>
              <w:bottom w:val="single" w:sz="4" w:space="0" w:color="auto"/>
              <w:right w:val="single" w:sz="4" w:space="0" w:color="auto"/>
            </w:tcBorders>
            <w:shd w:val="clear" w:color="auto" w:fill="auto"/>
            <w:noWrap/>
            <w:hideMark/>
          </w:tcPr>
          <w:p w14:paraId="7949DEA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21F043D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180,13</w:t>
            </w:r>
          </w:p>
        </w:tc>
      </w:tr>
      <w:tr w:rsidR="009D74DF" w:rsidRPr="000D19A7" w14:paraId="15AC2289"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3F46246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0EEF051"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6985FAB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53EF12A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0,31</w:t>
            </w:r>
          </w:p>
        </w:tc>
      </w:tr>
      <w:tr w:rsidR="009D74DF" w:rsidRPr="000D19A7" w14:paraId="4AB2E993"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07B5914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2.2.10</w:t>
            </w:r>
          </w:p>
        </w:tc>
        <w:tc>
          <w:tcPr>
            <w:tcW w:w="5935" w:type="dxa"/>
            <w:vMerge w:val="restart"/>
            <w:tcBorders>
              <w:top w:val="nil"/>
              <w:left w:val="single" w:sz="4" w:space="0" w:color="auto"/>
              <w:bottom w:val="single" w:sz="4" w:space="0" w:color="auto"/>
              <w:right w:val="single" w:sz="4" w:space="0" w:color="auto"/>
            </w:tcBorders>
            <w:shd w:val="clear" w:color="auto" w:fill="auto"/>
            <w:noWrap/>
            <w:hideMark/>
          </w:tcPr>
          <w:p w14:paraId="5B930A6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Kreditanstalt fur Wiederaufbau (KFW)</w:t>
            </w:r>
          </w:p>
        </w:tc>
        <w:tc>
          <w:tcPr>
            <w:tcW w:w="1366" w:type="dxa"/>
            <w:tcBorders>
              <w:top w:val="nil"/>
              <w:left w:val="nil"/>
              <w:bottom w:val="single" w:sz="4" w:space="0" w:color="auto"/>
              <w:right w:val="single" w:sz="4" w:space="0" w:color="auto"/>
            </w:tcBorders>
            <w:shd w:val="clear" w:color="auto" w:fill="auto"/>
            <w:noWrap/>
            <w:hideMark/>
          </w:tcPr>
          <w:p w14:paraId="3303522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2172C31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26,46</w:t>
            </w:r>
          </w:p>
        </w:tc>
      </w:tr>
      <w:tr w:rsidR="009D74DF" w:rsidRPr="000D19A7" w14:paraId="35D9473E"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4CB78A4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38410336"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31250FA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5D635C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0,49</w:t>
            </w:r>
          </w:p>
        </w:tc>
      </w:tr>
      <w:tr w:rsidR="009D74DF" w:rsidRPr="000D19A7" w14:paraId="7397A9FD"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6B8EE16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2.2.11</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636AEC83"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„Filiere du Vin”</w:t>
            </w:r>
          </w:p>
        </w:tc>
        <w:tc>
          <w:tcPr>
            <w:tcW w:w="1366" w:type="dxa"/>
            <w:tcBorders>
              <w:top w:val="nil"/>
              <w:left w:val="nil"/>
              <w:bottom w:val="single" w:sz="4" w:space="0" w:color="auto"/>
              <w:right w:val="single" w:sz="4" w:space="0" w:color="auto"/>
            </w:tcBorders>
            <w:shd w:val="clear" w:color="auto" w:fill="auto"/>
            <w:noWrap/>
            <w:hideMark/>
          </w:tcPr>
          <w:p w14:paraId="1800363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5B2D4AB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15,10</w:t>
            </w:r>
          </w:p>
        </w:tc>
      </w:tr>
      <w:tr w:rsidR="009D74DF" w:rsidRPr="000D19A7" w14:paraId="0714DCAA"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1C613D82"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59815B9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2A3DF56"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3BBCF8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1,58</w:t>
            </w:r>
          </w:p>
        </w:tc>
      </w:tr>
      <w:tr w:rsidR="009D74DF" w:rsidRPr="000D19A7" w14:paraId="16D57A1E"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466213D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2.2.12</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3B9FEDC8"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Ameliorare a Competitivității (PAC 1)</w:t>
            </w:r>
          </w:p>
        </w:tc>
        <w:tc>
          <w:tcPr>
            <w:tcW w:w="1366" w:type="dxa"/>
            <w:tcBorders>
              <w:top w:val="nil"/>
              <w:left w:val="nil"/>
              <w:bottom w:val="single" w:sz="4" w:space="0" w:color="auto"/>
              <w:right w:val="single" w:sz="4" w:space="0" w:color="auto"/>
            </w:tcBorders>
            <w:shd w:val="clear" w:color="auto" w:fill="auto"/>
            <w:noWrap/>
            <w:hideMark/>
          </w:tcPr>
          <w:p w14:paraId="0171E0D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08CC0B2D"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35,40</w:t>
            </w:r>
          </w:p>
        </w:tc>
      </w:tr>
      <w:tr w:rsidR="009D74DF" w:rsidRPr="000D19A7" w14:paraId="0D33E7E3"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16BA9BCB"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0FF77023"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22959F1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6104B8D7"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1,19</w:t>
            </w:r>
          </w:p>
        </w:tc>
      </w:tr>
      <w:tr w:rsidR="009D74DF" w:rsidRPr="000D19A7" w14:paraId="606E663F"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1B53AE1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2.2.13</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744B15F3"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Ameliorare a Competitivității, faza 2 (PAC 2)</w:t>
            </w:r>
          </w:p>
        </w:tc>
        <w:tc>
          <w:tcPr>
            <w:tcW w:w="1366" w:type="dxa"/>
            <w:tcBorders>
              <w:top w:val="nil"/>
              <w:left w:val="nil"/>
              <w:bottom w:val="single" w:sz="4" w:space="0" w:color="auto"/>
              <w:right w:val="single" w:sz="4" w:space="0" w:color="auto"/>
            </w:tcBorders>
            <w:shd w:val="clear" w:color="auto" w:fill="auto"/>
            <w:noWrap/>
            <w:hideMark/>
          </w:tcPr>
          <w:p w14:paraId="7F960ACD"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3A2960A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135,55</w:t>
            </w:r>
          </w:p>
        </w:tc>
      </w:tr>
      <w:tr w:rsidR="009D74DF" w:rsidRPr="000D19A7" w14:paraId="2A4CC268"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06556ED5"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1689A318"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39428EA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4967B30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1,51</w:t>
            </w:r>
          </w:p>
        </w:tc>
      </w:tr>
      <w:tr w:rsidR="009D74DF" w:rsidRPr="000D19A7" w14:paraId="0A3FB7BF"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5DCACA9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2.2.14</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47CB3FF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„Livada Moldovei”</w:t>
            </w:r>
          </w:p>
        </w:tc>
        <w:tc>
          <w:tcPr>
            <w:tcW w:w="1366" w:type="dxa"/>
            <w:tcBorders>
              <w:top w:val="nil"/>
              <w:left w:val="nil"/>
              <w:bottom w:val="single" w:sz="4" w:space="0" w:color="auto"/>
              <w:right w:val="single" w:sz="4" w:space="0" w:color="auto"/>
            </w:tcBorders>
            <w:shd w:val="clear" w:color="auto" w:fill="auto"/>
            <w:noWrap/>
            <w:hideMark/>
          </w:tcPr>
          <w:p w14:paraId="5B621EF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5E4B4FC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170,58</w:t>
            </w:r>
          </w:p>
        </w:tc>
      </w:tr>
      <w:tr w:rsidR="009D74DF" w:rsidRPr="000D19A7" w14:paraId="1F89227F"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4978CDF0"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3A8148D4"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0CD3C24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32D1391F"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4,99</w:t>
            </w:r>
          </w:p>
        </w:tc>
      </w:tr>
      <w:tr w:rsidR="009D74DF" w:rsidRPr="000D19A7" w14:paraId="3BFDB1D8" w14:textId="77777777" w:rsidTr="009D74DF">
        <w:trPr>
          <w:trHeight w:val="27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14:paraId="6AFD198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2.2.15</w:t>
            </w:r>
          </w:p>
        </w:tc>
        <w:tc>
          <w:tcPr>
            <w:tcW w:w="5935" w:type="dxa"/>
            <w:vMerge w:val="restart"/>
            <w:tcBorders>
              <w:top w:val="nil"/>
              <w:left w:val="single" w:sz="4" w:space="0" w:color="auto"/>
              <w:bottom w:val="single" w:sz="4" w:space="0" w:color="auto"/>
              <w:right w:val="single" w:sz="4" w:space="0" w:color="auto"/>
            </w:tcBorders>
            <w:shd w:val="clear" w:color="auto" w:fill="auto"/>
            <w:hideMark/>
          </w:tcPr>
          <w:p w14:paraId="0AC872FC"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COVID-19 răspuns de urgență și suport ÎMMM</w:t>
            </w:r>
          </w:p>
        </w:tc>
        <w:tc>
          <w:tcPr>
            <w:tcW w:w="1366" w:type="dxa"/>
            <w:tcBorders>
              <w:top w:val="nil"/>
              <w:left w:val="nil"/>
              <w:bottom w:val="single" w:sz="4" w:space="0" w:color="auto"/>
              <w:right w:val="single" w:sz="4" w:space="0" w:color="auto"/>
            </w:tcBorders>
            <w:shd w:val="clear" w:color="auto" w:fill="auto"/>
            <w:noWrap/>
            <w:hideMark/>
          </w:tcPr>
          <w:p w14:paraId="46EFF09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7DEE59F3"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189,71</w:t>
            </w:r>
          </w:p>
        </w:tc>
      </w:tr>
      <w:tr w:rsidR="009D74DF" w:rsidRPr="000D19A7" w14:paraId="2E6BD46C" w14:textId="77777777" w:rsidTr="009D74DF">
        <w:trPr>
          <w:trHeight w:val="276"/>
        </w:trPr>
        <w:tc>
          <w:tcPr>
            <w:tcW w:w="723" w:type="dxa"/>
            <w:vMerge/>
            <w:tcBorders>
              <w:top w:val="nil"/>
              <w:left w:val="single" w:sz="4" w:space="0" w:color="auto"/>
              <w:bottom w:val="single" w:sz="4" w:space="0" w:color="auto"/>
              <w:right w:val="single" w:sz="4" w:space="0" w:color="auto"/>
            </w:tcBorders>
            <w:vAlign w:val="center"/>
            <w:hideMark/>
          </w:tcPr>
          <w:p w14:paraId="0E9C7AF9"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auto"/>
              <w:right w:val="single" w:sz="4" w:space="0" w:color="auto"/>
            </w:tcBorders>
            <w:vAlign w:val="center"/>
            <w:hideMark/>
          </w:tcPr>
          <w:p w14:paraId="24264B38"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6C2075FD"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345B522A"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0,09</w:t>
            </w:r>
          </w:p>
        </w:tc>
      </w:tr>
      <w:tr w:rsidR="009D74DF" w:rsidRPr="000D19A7" w14:paraId="36F0EA38" w14:textId="77777777" w:rsidTr="009D74DF">
        <w:trPr>
          <w:trHeight w:val="276"/>
        </w:trPr>
        <w:tc>
          <w:tcPr>
            <w:tcW w:w="723" w:type="dxa"/>
            <w:vMerge w:val="restart"/>
            <w:tcBorders>
              <w:top w:val="nil"/>
              <w:left w:val="single" w:sz="4" w:space="0" w:color="auto"/>
              <w:bottom w:val="single" w:sz="4" w:space="0" w:color="000000"/>
              <w:right w:val="single" w:sz="4" w:space="0" w:color="auto"/>
            </w:tcBorders>
            <w:shd w:val="clear" w:color="auto" w:fill="auto"/>
            <w:noWrap/>
            <w:hideMark/>
          </w:tcPr>
          <w:p w14:paraId="79C111CA"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III</w:t>
            </w:r>
          </w:p>
        </w:tc>
        <w:tc>
          <w:tcPr>
            <w:tcW w:w="5935" w:type="dxa"/>
            <w:vMerge w:val="restart"/>
            <w:tcBorders>
              <w:top w:val="nil"/>
              <w:left w:val="single" w:sz="4" w:space="0" w:color="auto"/>
              <w:bottom w:val="single" w:sz="4" w:space="0" w:color="000000"/>
              <w:right w:val="single" w:sz="4" w:space="0" w:color="auto"/>
            </w:tcBorders>
            <w:shd w:val="clear" w:color="auto" w:fill="auto"/>
            <w:hideMark/>
          </w:tcPr>
          <w:p w14:paraId="7ED47B6C"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 xml:space="preserve">prin intermediul Unității Consolidate pentru Implementarea Programelor Fondului Internațional pentru Dezvoltarea Agricolă </w:t>
            </w:r>
          </w:p>
        </w:tc>
        <w:tc>
          <w:tcPr>
            <w:tcW w:w="1366" w:type="dxa"/>
            <w:tcBorders>
              <w:top w:val="nil"/>
              <w:left w:val="nil"/>
              <w:bottom w:val="single" w:sz="4" w:space="0" w:color="auto"/>
              <w:right w:val="single" w:sz="4" w:space="0" w:color="auto"/>
            </w:tcBorders>
            <w:shd w:val="clear" w:color="auto" w:fill="auto"/>
            <w:noWrap/>
            <w:hideMark/>
          </w:tcPr>
          <w:p w14:paraId="388FE6F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039CF1B2"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53,04</w:t>
            </w:r>
          </w:p>
        </w:tc>
      </w:tr>
      <w:tr w:rsidR="009D74DF" w:rsidRPr="000D19A7" w14:paraId="7371BDFB" w14:textId="77777777" w:rsidTr="009D74DF">
        <w:trPr>
          <w:trHeight w:val="276"/>
        </w:trPr>
        <w:tc>
          <w:tcPr>
            <w:tcW w:w="723" w:type="dxa"/>
            <w:vMerge/>
            <w:tcBorders>
              <w:top w:val="nil"/>
              <w:left w:val="single" w:sz="4" w:space="0" w:color="auto"/>
              <w:bottom w:val="single" w:sz="4" w:space="0" w:color="000000"/>
              <w:right w:val="single" w:sz="4" w:space="0" w:color="auto"/>
            </w:tcBorders>
            <w:vAlign w:val="center"/>
            <w:hideMark/>
          </w:tcPr>
          <w:p w14:paraId="535634CB"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5935" w:type="dxa"/>
            <w:vMerge/>
            <w:tcBorders>
              <w:top w:val="nil"/>
              <w:left w:val="single" w:sz="4" w:space="0" w:color="auto"/>
              <w:bottom w:val="single" w:sz="4" w:space="0" w:color="000000"/>
              <w:right w:val="single" w:sz="4" w:space="0" w:color="auto"/>
            </w:tcBorders>
            <w:vAlign w:val="center"/>
            <w:hideMark/>
          </w:tcPr>
          <w:p w14:paraId="2D343068" w14:textId="77777777" w:rsidR="009D74DF" w:rsidRPr="000D19A7" w:rsidRDefault="009D74DF" w:rsidP="009D74DF">
            <w:pPr>
              <w:spacing w:after="0" w:line="240" w:lineRule="auto"/>
              <w:rPr>
                <w:rFonts w:ascii="Times New Roman" w:eastAsia="Times New Roman" w:hAnsi="Times New Roman" w:cs="Times New Roman"/>
                <w:b/>
                <w:b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4631C56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E6E95B2" w14:textId="77777777" w:rsidR="009D74DF" w:rsidRPr="000D19A7" w:rsidRDefault="009D74DF" w:rsidP="009D74DF">
            <w:pPr>
              <w:spacing w:after="0" w:line="240" w:lineRule="auto"/>
              <w:jc w:val="center"/>
              <w:rPr>
                <w:rFonts w:ascii="Times New Roman" w:eastAsia="Times New Roman" w:hAnsi="Times New Roman" w:cs="Times New Roman"/>
                <w:b/>
                <w:bCs/>
                <w:color w:val="000000"/>
                <w:sz w:val="20"/>
                <w:szCs w:val="20"/>
              </w:rPr>
            </w:pPr>
            <w:r w:rsidRPr="000D19A7">
              <w:rPr>
                <w:rFonts w:ascii="Times New Roman" w:eastAsia="Times New Roman" w:hAnsi="Times New Roman" w:cs="Times New Roman"/>
                <w:b/>
                <w:bCs/>
                <w:color w:val="000000"/>
                <w:sz w:val="20"/>
                <w:szCs w:val="20"/>
              </w:rPr>
              <w:t>0,36</w:t>
            </w:r>
          </w:p>
        </w:tc>
      </w:tr>
      <w:tr w:rsidR="009D74DF" w:rsidRPr="000D19A7" w14:paraId="1F4EBCD4" w14:textId="77777777" w:rsidTr="009D74DF">
        <w:trPr>
          <w:trHeight w:val="276"/>
        </w:trPr>
        <w:tc>
          <w:tcPr>
            <w:tcW w:w="723" w:type="dxa"/>
            <w:vMerge w:val="restart"/>
            <w:tcBorders>
              <w:top w:val="nil"/>
              <w:left w:val="single" w:sz="4" w:space="0" w:color="auto"/>
              <w:bottom w:val="single" w:sz="4" w:space="0" w:color="000000"/>
              <w:right w:val="single" w:sz="4" w:space="0" w:color="auto"/>
            </w:tcBorders>
            <w:shd w:val="clear" w:color="auto" w:fill="auto"/>
            <w:noWrap/>
            <w:hideMark/>
          </w:tcPr>
          <w:p w14:paraId="6D922ACF"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3.1</w:t>
            </w:r>
          </w:p>
        </w:tc>
        <w:tc>
          <w:tcPr>
            <w:tcW w:w="5935" w:type="dxa"/>
            <w:vMerge w:val="restart"/>
            <w:tcBorders>
              <w:top w:val="nil"/>
              <w:left w:val="single" w:sz="4" w:space="0" w:color="auto"/>
              <w:bottom w:val="single" w:sz="4" w:space="0" w:color="000000"/>
              <w:right w:val="single" w:sz="4" w:space="0" w:color="auto"/>
            </w:tcBorders>
            <w:shd w:val="clear" w:color="auto" w:fill="auto"/>
            <w:hideMark/>
          </w:tcPr>
          <w:p w14:paraId="1B81454E"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resurse recreditate direct din împrumuturile externe</w:t>
            </w:r>
          </w:p>
        </w:tc>
        <w:tc>
          <w:tcPr>
            <w:tcW w:w="1366" w:type="dxa"/>
            <w:tcBorders>
              <w:top w:val="nil"/>
              <w:left w:val="nil"/>
              <w:bottom w:val="single" w:sz="4" w:space="0" w:color="auto"/>
              <w:right w:val="single" w:sz="4" w:space="0" w:color="auto"/>
            </w:tcBorders>
            <w:shd w:val="clear" w:color="auto" w:fill="auto"/>
            <w:noWrap/>
            <w:hideMark/>
          </w:tcPr>
          <w:p w14:paraId="494C8FC9"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1934F2A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53,04</w:t>
            </w:r>
          </w:p>
        </w:tc>
      </w:tr>
      <w:tr w:rsidR="009D74DF" w:rsidRPr="000D19A7" w14:paraId="3B4D1EC9" w14:textId="77777777" w:rsidTr="009D74DF">
        <w:trPr>
          <w:trHeight w:val="276"/>
        </w:trPr>
        <w:tc>
          <w:tcPr>
            <w:tcW w:w="723" w:type="dxa"/>
            <w:vMerge/>
            <w:tcBorders>
              <w:top w:val="nil"/>
              <w:left w:val="single" w:sz="4" w:space="0" w:color="auto"/>
              <w:bottom w:val="single" w:sz="4" w:space="0" w:color="000000"/>
              <w:right w:val="single" w:sz="4" w:space="0" w:color="auto"/>
            </w:tcBorders>
            <w:vAlign w:val="center"/>
            <w:hideMark/>
          </w:tcPr>
          <w:p w14:paraId="2AAECCA9"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5935" w:type="dxa"/>
            <w:vMerge/>
            <w:tcBorders>
              <w:top w:val="nil"/>
              <w:left w:val="single" w:sz="4" w:space="0" w:color="auto"/>
              <w:bottom w:val="single" w:sz="4" w:space="0" w:color="000000"/>
              <w:right w:val="single" w:sz="4" w:space="0" w:color="auto"/>
            </w:tcBorders>
            <w:vAlign w:val="center"/>
            <w:hideMark/>
          </w:tcPr>
          <w:p w14:paraId="0EEE395A"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641AEFE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7871A829"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0,36</w:t>
            </w:r>
          </w:p>
        </w:tc>
      </w:tr>
      <w:tr w:rsidR="009D74DF" w:rsidRPr="000D19A7" w14:paraId="6C9F2604" w14:textId="77777777" w:rsidTr="009D74DF">
        <w:trPr>
          <w:trHeight w:val="276"/>
        </w:trPr>
        <w:tc>
          <w:tcPr>
            <w:tcW w:w="723" w:type="dxa"/>
            <w:vMerge w:val="restart"/>
            <w:tcBorders>
              <w:top w:val="nil"/>
              <w:left w:val="single" w:sz="4" w:space="0" w:color="auto"/>
              <w:bottom w:val="single" w:sz="4" w:space="0" w:color="000000"/>
              <w:right w:val="single" w:sz="4" w:space="0" w:color="auto"/>
            </w:tcBorders>
            <w:shd w:val="clear" w:color="auto" w:fill="auto"/>
            <w:noWrap/>
            <w:hideMark/>
          </w:tcPr>
          <w:p w14:paraId="18A2E275"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3.1.1</w:t>
            </w:r>
          </w:p>
        </w:tc>
        <w:tc>
          <w:tcPr>
            <w:tcW w:w="5935" w:type="dxa"/>
            <w:vMerge w:val="restart"/>
            <w:tcBorders>
              <w:top w:val="nil"/>
              <w:left w:val="single" w:sz="4" w:space="0" w:color="auto"/>
              <w:bottom w:val="single" w:sz="4" w:space="0" w:color="000000"/>
              <w:right w:val="single" w:sz="4" w:space="0" w:color="auto"/>
            </w:tcBorders>
            <w:shd w:val="clear" w:color="auto" w:fill="auto"/>
            <w:hideMark/>
          </w:tcPr>
          <w:p w14:paraId="3BD66963"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Proiectul de Reziliență Rurală (FIDA VII, PRR)</w:t>
            </w:r>
          </w:p>
        </w:tc>
        <w:tc>
          <w:tcPr>
            <w:tcW w:w="1366" w:type="dxa"/>
            <w:tcBorders>
              <w:top w:val="nil"/>
              <w:left w:val="nil"/>
              <w:bottom w:val="single" w:sz="4" w:space="0" w:color="auto"/>
              <w:right w:val="single" w:sz="4" w:space="0" w:color="auto"/>
            </w:tcBorders>
            <w:shd w:val="clear" w:color="auto" w:fill="auto"/>
            <w:noWrap/>
            <w:hideMark/>
          </w:tcPr>
          <w:p w14:paraId="2B95CE5D"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2D1A7FA2"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40,01</w:t>
            </w:r>
          </w:p>
        </w:tc>
      </w:tr>
      <w:tr w:rsidR="009D74DF" w:rsidRPr="000D19A7" w14:paraId="5E3ABD52" w14:textId="77777777" w:rsidTr="009D74DF">
        <w:trPr>
          <w:trHeight w:val="276"/>
        </w:trPr>
        <w:tc>
          <w:tcPr>
            <w:tcW w:w="723" w:type="dxa"/>
            <w:vMerge/>
            <w:tcBorders>
              <w:top w:val="nil"/>
              <w:left w:val="single" w:sz="4" w:space="0" w:color="auto"/>
              <w:bottom w:val="single" w:sz="4" w:space="0" w:color="000000"/>
              <w:right w:val="single" w:sz="4" w:space="0" w:color="auto"/>
            </w:tcBorders>
            <w:vAlign w:val="center"/>
            <w:hideMark/>
          </w:tcPr>
          <w:p w14:paraId="30826230"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5935" w:type="dxa"/>
            <w:vMerge/>
            <w:tcBorders>
              <w:top w:val="nil"/>
              <w:left w:val="single" w:sz="4" w:space="0" w:color="auto"/>
              <w:bottom w:val="single" w:sz="4" w:space="0" w:color="000000"/>
              <w:right w:val="single" w:sz="4" w:space="0" w:color="auto"/>
            </w:tcBorders>
            <w:vAlign w:val="center"/>
            <w:hideMark/>
          </w:tcPr>
          <w:p w14:paraId="14FD934C" w14:textId="77777777" w:rsidR="009D74DF" w:rsidRPr="000D19A7" w:rsidRDefault="009D74DF" w:rsidP="009D74DF">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5F088580"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64F676D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0,36</w:t>
            </w:r>
          </w:p>
        </w:tc>
      </w:tr>
      <w:tr w:rsidR="009D74DF" w:rsidRPr="000D19A7" w14:paraId="5C9B2E99" w14:textId="77777777" w:rsidTr="009D74DF">
        <w:trPr>
          <w:trHeight w:val="276"/>
        </w:trPr>
        <w:tc>
          <w:tcPr>
            <w:tcW w:w="723" w:type="dxa"/>
            <w:tcBorders>
              <w:top w:val="nil"/>
              <w:left w:val="single" w:sz="4" w:space="0" w:color="auto"/>
              <w:bottom w:val="nil"/>
              <w:right w:val="single" w:sz="4" w:space="0" w:color="auto"/>
            </w:tcBorders>
            <w:shd w:val="clear" w:color="auto" w:fill="auto"/>
            <w:noWrap/>
            <w:hideMark/>
          </w:tcPr>
          <w:p w14:paraId="0E7DE61B"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3.1.2</w:t>
            </w:r>
          </w:p>
        </w:tc>
        <w:tc>
          <w:tcPr>
            <w:tcW w:w="5935" w:type="dxa"/>
            <w:tcBorders>
              <w:top w:val="nil"/>
              <w:left w:val="nil"/>
              <w:bottom w:val="nil"/>
              <w:right w:val="single" w:sz="4" w:space="0" w:color="auto"/>
            </w:tcBorders>
            <w:shd w:val="clear" w:color="auto" w:fill="auto"/>
            <w:hideMark/>
          </w:tcPr>
          <w:p w14:paraId="0EF16231" w14:textId="4B29EE8E" w:rsidR="009D74DF" w:rsidRPr="000D19A7" w:rsidRDefault="009D74DF" w:rsidP="009D74DF">
            <w:pPr>
              <w:spacing w:after="0" w:line="240" w:lineRule="auto"/>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 xml:space="preserve">Proiectul </w:t>
            </w:r>
            <w:r w:rsidR="00311F3F" w:rsidRPr="000D19A7">
              <w:rPr>
                <w:rFonts w:ascii="Times New Roman" w:eastAsia="Times New Roman" w:hAnsi="Times New Roman" w:cs="Times New Roman"/>
                <w:color w:val="000000"/>
                <w:sz w:val="20"/>
                <w:szCs w:val="20"/>
              </w:rPr>
              <w:t>„</w:t>
            </w:r>
            <w:r w:rsidRPr="000D19A7">
              <w:rPr>
                <w:rFonts w:ascii="Times New Roman" w:eastAsia="Times New Roman" w:hAnsi="Times New Roman" w:cs="Times New Roman"/>
                <w:color w:val="000000"/>
                <w:sz w:val="20"/>
                <w:szCs w:val="20"/>
              </w:rPr>
              <w:t>Îmbunătățirea capacităților pentru transformarea zonei rurale (FIDA VIII)</w:t>
            </w:r>
            <w:r w:rsidR="00311F3F" w:rsidRPr="000D19A7">
              <w:rPr>
                <w:rFonts w:ascii="Times New Roman" w:eastAsia="Times New Roman" w:hAnsi="Times New Roman" w:cs="Times New Roman"/>
                <w:color w:val="000000"/>
                <w:sz w:val="20"/>
                <w:szCs w:val="20"/>
              </w:rPr>
              <w:t>”</w:t>
            </w:r>
          </w:p>
        </w:tc>
        <w:tc>
          <w:tcPr>
            <w:tcW w:w="1366" w:type="dxa"/>
            <w:tcBorders>
              <w:top w:val="nil"/>
              <w:left w:val="nil"/>
              <w:bottom w:val="single" w:sz="4" w:space="0" w:color="auto"/>
              <w:right w:val="single" w:sz="4" w:space="0" w:color="auto"/>
            </w:tcBorders>
            <w:shd w:val="clear" w:color="auto" w:fill="auto"/>
            <w:noWrap/>
            <w:hideMark/>
          </w:tcPr>
          <w:p w14:paraId="5D50B71C"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7C8D87AF" w14:textId="77777777" w:rsidR="009D74DF" w:rsidRPr="000D19A7" w:rsidRDefault="009D74DF" w:rsidP="009D74DF">
            <w:pPr>
              <w:spacing w:after="0" w:line="240" w:lineRule="auto"/>
              <w:jc w:val="center"/>
              <w:rPr>
                <w:rFonts w:ascii="Times New Roman" w:eastAsia="Times New Roman" w:hAnsi="Times New Roman" w:cs="Times New Roman"/>
                <w:color w:val="000000"/>
                <w:sz w:val="20"/>
                <w:szCs w:val="20"/>
              </w:rPr>
            </w:pPr>
            <w:r w:rsidRPr="000D19A7">
              <w:rPr>
                <w:rFonts w:ascii="Times New Roman" w:eastAsia="Times New Roman" w:hAnsi="Times New Roman" w:cs="Times New Roman"/>
                <w:color w:val="000000"/>
                <w:sz w:val="20"/>
                <w:szCs w:val="20"/>
              </w:rPr>
              <w:t>13,03</w:t>
            </w:r>
          </w:p>
        </w:tc>
      </w:tr>
      <w:tr w:rsidR="009D74DF" w:rsidRPr="000D19A7" w14:paraId="3176D125" w14:textId="77777777" w:rsidTr="009D74DF">
        <w:trPr>
          <w:trHeight w:val="276"/>
        </w:trPr>
        <w:tc>
          <w:tcPr>
            <w:tcW w:w="66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7E52"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Total</w:t>
            </w:r>
          </w:p>
        </w:tc>
        <w:tc>
          <w:tcPr>
            <w:tcW w:w="1366" w:type="dxa"/>
            <w:tcBorders>
              <w:top w:val="nil"/>
              <w:left w:val="nil"/>
              <w:bottom w:val="single" w:sz="4" w:space="0" w:color="auto"/>
              <w:right w:val="single" w:sz="4" w:space="0" w:color="auto"/>
            </w:tcBorders>
            <w:shd w:val="clear" w:color="auto" w:fill="auto"/>
            <w:noWrap/>
            <w:hideMark/>
          </w:tcPr>
          <w:p w14:paraId="5F95E85A"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EUR</w:t>
            </w:r>
          </w:p>
        </w:tc>
        <w:tc>
          <w:tcPr>
            <w:tcW w:w="1580" w:type="dxa"/>
            <w:tcBorders>
              <w:top w:val="nil"/>
              <w:left w:val="nil"/>
              <w:bottom w:val="single" w:sz="4" w:space="0" w:color="auto"/>
              <w:right w:val="single" w:sz="4" w:space="0" w:color="auto"/>
            </w:tcBorders>
            <w:shd w:val="clear" w:color="auto" w:fill="auto"/>
            <w:noWrap/>
            <w:hideMark/>
          </w:tcPr>
          <w:p w14:paraId="14FFB95D" w14:textId="10FA9D1F" w:rsidR="009D74DF" w:rsidRPr="000D19A7" w:rsidRDefault="00311F3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 xml:space="preserve">1 </w:t>
            </w:r>
            <w:r w:rsidR="009D74DF" w:rsidRPr="000D19A7">
              <w:rPr>
                <w:rFonts w:ascii="Times New Roman" w:eastAsia="Times New Roman" w:hAnsi="Times New Roman" w:cs="Times New Roman"/>
                <w:b/>
                <w:bCs/>
                <w:i/>
                <w:iCs/>
                <w:color w:val="000000"/>
                <w:sz w:val="20"/>
                <w:szCs w:val="20"/>
              </w:rPr>
              <w:t>638,18</w:t>
            </w:r>
          </w:p>
        </w:tc>
      </w:tr>
      <w:tr w:rsidR="009D74DF" w:rsidRPr="000D19A7" w14:paraId="4F8DE658" w14:textId="77777777" w:rsidTr="009D74DF">
        <w:trPr>
          <w:trHeight w:val="276"/>
        </w:trPr>
        <w:tc>
          <w:tcPr>
            <w:tcW w:w="6658" w:type="dxa"/>
            <w:gridSpan w:val="2"/>
            <w:vMerge/>
            <w:tcBorders>
              <w:top w:val="single" w:sz="4" w:space="0" w:color="auto"/>
              <w:left w:val="single" w:sz="4" w:space="0" w:color="auto"/>
              <w:bottom w:val="single" w:sz="4" w:space="0" w:color="auto"/>
              <w:right w:val="single" w:sz="4" w:space="0" w:color="auto"/>
            </w:tcBorders>
            <w:vAlign w:val="center"/>
            <w:hideMark/>
          </w:tcPr>
          <w:p w14:paraId="3642404C"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26A984D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Dol. SUA</w:t>
            </w:r>
          </w:p>
        </w:tc>
        <w:tc>
          <w:tcPr>
            <w:tcW w:w="1580" w:type="dxa"/>
            <w:tcBorders>
              <w:top w:val="nil"/>
              <w:left w:val="nil"/>
              <w:bottom w:val="single" w:sz="4" w:space="0" w:color="auto"/>
              <w:right w:val="single" w:sz="4" w:space="0" w:color="auto"/>
            </w:tcBorders>
            <w:shd w:val="clear" w:color="auto" w:fill="auto"/>
            <w:noWrap/>
            <w:hideMark/>
          </w:tcPr>
          <w:p w14:paraId="505B09A5"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2,63</w:t>
            </w:r>
          </w:p>
        </w:tc>
      </w:tr>
      <w:tr w:rsidR="009D74DF" w:rsidRPr="000D19A7" w14:paraId="121307C5" w14:textId="77777777" w:rsidTr="009D74DF">
        <w:trPr>
          <w:trHeight w:val="276"/>
        </w:trPr>
        <w:tc>
          <w:tcPr>
            <w:tcW w:w="6658" w:type="dxa"/>
            <w:gridSpan w:val="2"/>
            <w:vMerge/>
            <w:tcBorders>
              <w:top w:val="single" w:sz="4" w:space="0" w:color="auto"/>
              <w:left w:val="single" w:sz="4" w:space="0" w:color="auto"/>
              <w:bottom w:val="single" w:sz="4" w:space="0" w:color="auto"/>
              <w:right w:val="single" w:sz="4" w:space="0" w:color="auto"/>
            </w:tcBorders>
            <w:vAlign w:val="center"/>
            <w:hideMark/>
          </w:tcPr>
          <w:p w14:paraId="11CA8AEC" w14:textId="77777777" w:rsidR="009D74DF" w:rsidRPr="000D19A7" w:rsidRDefault="009D74DF" w:rsidP="009D74DF">
            <w:pPr>
              <w:spacing w:after="0" w:line="240" w:lineRule="auto"/>
              <w:rPr>
                <w:rFonts w:ascii="Times New Roman" w:eastAsia="Times New Roman" w:hAnsi="Times New Roman" w:cs="Times New Roman"/>
                <w:b/>
                <w:bCs/>
                <w:i/>
                <w:iCs/>
                <w:color w:val="000000"/>
                <w:sz w:val="20"/>
                <w:szCs w:val="20"/>
              </w:rPr>
            </w:pPr>
          </w:p>
        </w:tc>
        <w:tc>
          <w:tcPr>
            <w:tcW w:w="1366" w:type="dxa"/>
            <w:tcBorders>
              <w:top w:val="nil"/>
              <w:left w:val="nil"/>
              <w:bottom w:val="single" w:sz="4" w:space="0" w:color="auto"/>
              <w:right w:val="single" w:sz="4" w:space="0" w:color="auto"/>
            </w:tcBorders>
            <w:shd w:val="clear" w:color="auto" w:fill="auto"/>
            <w:noWrap/>
            <w:hideMark/>
          </w:tcPr>
          <w:p w14:paraId="2240481E"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MDL</w:t>
            </w:r>
          </w:p>
        </w:tc>
        <w:tc>
          <w:tcPr>
            <w:tcW w:w="1580" w:type="dxa"/>
            <w:tcBorders>
              <w:top w:val="nil"/>
              <w:left w:val="nil"/>
              <w:bottom w:val="single" w:sz="4" w:space="0" w:color="auto"/>
              <w:right w:val="single" w:sz="4" w:space="0" w:color="auto"/>
            </w:tcBorders>
            <w:shd w:val="clear" w:color="auto" w:fill="auto"/>
            <w:noWrap/>
            <w:hideMark/>
          </w:tcPr>
          <w:p w14:paraId="171B6C36" w14:textId="77777777" w:rsidR="009D74DF" w:rsidRPr="000D19A7" w:rsidRDefault="009D74DF" w:rsidP="009D74DF">
            <w:pPr>
              <w:spacing w:after="0" w:line="240" w:lineRule="auto"/>
              <w:jc w:val="center"/>
              <w:rPr>
                <w:rFonts w:ascii="Times New Roman" w:eastAsia="Times New Roman" w:hAnsi="Times New Roman" w:cs="Times New Roman"/>
                <w:b/>
                <w:bCs/>
                <w:i/>
                <w:iCs/>
                <w:color w:val="000000"/>
                <w:sz w:val="20"/>
                <w:szCs w:val="20"/>
              </w:rPr>
            </w:pPr>
            <w:r w:rsidRPr="000D19A7">
              <w:rPr>
                <w:rFonts w:ascii="Times New Roman" w:eastAsia="Times New Roman" w:hAnsi="Times New Roman" w:cs="Times New Roman"/>
                <w:b/>
                <w:bCs/>
                <w:i/>
                <w:iCs/>
                <w:color w:val="000000"/>
                <w:sz w:val="20"/>
                <w:szCs w:val="20"/>
              </w:rPr>
              <w:t>274,56</w:t>
            </w:r>
          </w:p>
        </w:tc>
      </w:tr>
    </w:tbl>
    <w:p w14:paraId="747808EA" w14:textId="2CCF003B" w:rsidR="00543955" w:rsidRDefault="00543955"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C48AF07" w14:textId="1BA43D56"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06D1D826" w14:textId="7A1A611F"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610CCBD6" w14:textId="6A99D27B"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2A2C9632" w14:textId="08D28C61"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0600AB5" w14:textId="2F823CBF"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2612515" w14:textId="3CAC2398"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2DE4C85" w14:textId="6A6C017A"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4C819124" w14:textId="7E058B90"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5C816D0" w14:textId="43357776"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7534B5EB" w14:textId="29386056"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72D496EF" w14:textId="462F0F39"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667E077" w14:textId="01F9E342"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6A9004EF" w14:textId="4553B048"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69EA215" w14:textId="2C99947F"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AE28C81" w14:textId="0C89B12B"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95E6968" w14:textId="0DEDEEA3"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7BE8A2AD" w14:textId="7CFE3E10"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409FE186" w14:textId="3D7480C9"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97D7A95" w14:textId="353BD4E3"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5362E380" w14:textId="73C4B66E"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5C97972A" w14:textId="0B50B648"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26DAF30" w14:textId="19F03CA1"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30529E8B" w14:textId="73B910CF"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DC6CA9D" w14:textId="17F67A5C"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65C0DB69" w14:textId="595C54DC" w:rsidR="00667B9B"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46304EB8" w14:textId="77777777" w:rsidR="00667B9B" w:rsidRPr="000D19A7" w:rsidRDefault="00667B9B"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A3CF5E6" w14:textId="18DC51F9" w:rsidR="009D74DF" w:rsidRPr="000D19A7" w:rsidRDefault="009D74DF" w:rsidP="00946026">
      <w:pPr>
        <w:spacing w:after="0" w:line="276" w:lineRule="auto"/>
        <w:jc w:val="both"/>
        <w:rPr>
          <w:rFonts w:ascii="Times New Roman" w:hAnsi="Times New Roman" w:cs="Times New Roman"/>
          <w:b/>
          <w:i/>
          <w:color w:val="2E74B5" w:themeColor="accent1" w:themeShade="BF"/>
          <w:szCs w:val="24"/>
          <w:lang w:val="ro-MD"/>
          <w14:glow w14:rad="0">
            <w14:schemeClr w14:val="tx1"/>
          </w14:glow>
        </w:rPr>
      </w:pPr>
    </w:p>
    <w:p w14:paraId="1D359E57" w14:textId="799BA279" w:rsidR="008A79CD" w:rsidRPr="000D19A7" w:rsidRDefault="00F914E1" w:rsidP="00631083">
      <w:pPr>
        <w:pStyle w:val="3"/>
        <w:numPr>
          <w:ilvl w:val="0"/>
          <w:numId w:val="0"/>
        </w:numPr>
        <w:ind w:left="720" w:hanging="720"/>
        <w:jc w:val="right"/>
        <w:rPr>
          <w:rFonts w:ascii="Times New Roman" w:hAnsi="Times New Roman" w:cs="Times New Roman"/>
          <w:color w:val="000000" w:themeColor="text1"/>
          <w:lang w:val="ro-MD"/>
          <w14:glow w14:rad="0">
            <w14:schemeClr w14:val="tx1"/>
          </w14:glow>
        </w:rPr>
      </w:pPr>
      <w:bookmarkStart w:id="31" w:name="_Toc168321561"/>
      <w:r w:rsidRPr="000D19A7">
        <w:rPr>
          <w:rFonts w:ascii="Times New Roman" w:hAnsi="Times New Roman" w:cs="Times New Roman"/>
          <w:color w:val="000000" w:themeColor="text1"/>
          <w:lang w:val="ro-MD"/>
          <w14:glow w14:rad="0">
            <w14:schemeClr w14:val="tx1"/>
          </w14:glow>
        </w:rPr>
        <w:t>Anexa nr.</w:t>
      </w:r>
      <w:r w:rsidR="000C4A54" w:rsidRPr="000D19A7">
        <w:rPr>
          <w:rFonts w:ascii="Times New Roman" w:hAnsi="Times New Roman" w:cs="Times New Roman"/>
          <w:color w:val="000000" w:themeColor="text1"/>
          <w:lang w:val="ro-MD"/>
          <w14:glow w14:rad="0">
            <w14:schemeClr w14:val="tx1"/>
          </w14:glow>
        </w:rPr>
        <w:t>4</w:t>
      </w:r>
      <w:bookmarkEnd w:id="31"/>
      <w:r w:rsidR="00E8120D" w:rsidRPr="000D19A7">
        <w:rPr>
          <w:rFonts w:ascii="Times New Roman" w:hAnsi="Times New Roman" w:cs="Times New Roman"/>
          <w:color w:val="000000" w:themeColor="text1"/>
          <w:lang w:val="ro-MD"/>
          <w14:glow w14:rad="0">
            <w14:schemeClr w14:val="tx1"/>
          </w14:glow>
        </w:rPr>
        <w:t xml:space="preserve"> </w:t>
      </w:r>
    </w:p>
    <w:p w14:paraId="2555E002" w14:textId="55CC646D" w:rsidR="005C4661" w:rsidRPr="000D19A7" w:rsidRDefault="0033533C" w:rsidP="003127BB">
      <w:pPr>
        <w:jc w:val="center"/>
        <w:rPr>
          <w:rFonts w:ascii="Times New Roman" w:hAnsi="Times New Roman" w:cs="Times New Roman"/>
          <w:b/>
          <w:lang w:val="ro-MD"/>
          <w14:glow w14:rad="0">
            <w14:schemeClr w14:val="tx1"/>
          </w14:glow>
        </w:rPr>
      </w:pPr>
      <w:r w:rsidRPr="000D19A7">
        <w:rPr>
          <w:rFonts w:ascii="Times New Roman" w:hAnsi="Times New Roman" w:cs="Times New Roman"/>
          <w:b/>
          <w:lang w:val="ro-MD"/>
          <w14:glow w14:rad="0">
            <w14:schemeClr w14:val="tx1"/>
          </w14:glow>
        </w:rPr>
        <w:t>Sfera și abordarea auditului</w:t>
      </w:r>
    </w:p>
    <w:p w14:paraId="6A7F62BF" w14:textId="77777777" w:rsidR="005C4661" w:rsidRPr="000D19A7" w:rsidRDefault="005C4661" w:rsidP="00946026">
      <w:pPr>
        <w:spacing w:after="0" w:line="276" w:lineRule="auto"/>
        <w:jc w:val="both"/>
        <w:rPr>
          <w:rFonts w:ascii="Times New Roman" w:hAnsi="Times New Roman" w:cs="Times New Roman"/>
          <w:b/>
          <w:szCs w:val="24"/>
          <w:lang w:val="ro-MD"/>
          <w14:glow w14:rad="0">
            <w14:schemeClr w14:val="tx1"/>
          </w14:glow>
        </w:rPr>
      </w:pPr>
      <w:r w:rsidRPr="000D19A7">
        <w:rPr>
          <w:rFonts w:ascii="Times New Roman" w:hAnsi="Times New Roman" w:cs="Times New Roman"/>
          <w:b/>
          <w:szCs w:val="24"/>
          <w:lang w:val="ro-MD"/>
          <w14:glow w14:rad="0">
            <w14:schemeClr w14:val="tx1"/>
          </w14:glow>
        </w:rPr>
        <w:t>Domeniul de aplicare</w:t>
      </w:r>
    </w:p>
    <w:p w14:paraId="33FC382B" w14:textId="589ADEA0" w:rsidR="005C4661" w:rsidRPr="000D19A7" w:rsidRDefault="005C4661" w:rsidP="00946026">
      <w:pPr>
        <w:spacing w:after="0" w:line="276" w:lineRule="auto"/>
        <w:jc w:val="both"/>
        <w:rPr>
          <w:rFonts w:ascii="Times New Roman" w:hAnsi="Times New Roman" w:cs="Times New Roman"/>
          <w:szCs w:val="24"/>
          <w:lang w:val="ro-MD"/>
          <w14:glow w14:rad="0">
            <w14:schemeClr w14:val="tx1"/>
          </w14:glow>
        </w:rPr>
      </w:pPr>
      <w:r w:rsidRPr="000D19A7">
        <w:rPr>
          <w:rFonts w:ascii="Times New Roman" w:hAnsi="Times New Roman" w:cs="Times New Roman"/>
          <w:szCs w:val="24"/>
          <w:lang w:val="ro-MD"/>
          <w14:glow w14:rad="0">
            <w14:schemeClr w14:val="tx1"/>
          </w14:glow>
        </w:rPr>
        <w:t>Curtea de Conturi a Republicii Moldova, în conformitate cu Programul a</w:t>
      </w:r>
      <w:r w:rsidR="00B76817" w:rsidRPr="000D19A7">
        <w:rPr>
          <w:rFonts w:ascii="Times New Roman" w:hAnsi="Times New Roman" w:cs="Times New Roman"/>
          <w:szCs w:val="24"/>
          <w:lang w:val="ro-MD"/>
          <w14:glow w14:rad="0">
            <w14:schemeClr w14:val="tx1"/>
          </w14:glow>
        </w:rPr>
        <w:t>ctivității de audit pe anul 2024</w:t>
      </w:r>
      <w:r w:rsidR="007430AA" w:rsidRPr="000D19A7">
        <w:rPr>
          <w:rFonts w:ascii="Times New Roman" w:hAnsi="Times New Roman" w:cs="Times New Roman"/>
          <w:szCs w:val="24"/>
          <w:lang w:val="ro-MD"/>
          <w14:glow w14:rad="0">
            <w14:schemeClr w14:val="tx1"/>
          </w14:glow>
        </w:rPr>
        <w:t>, aprobat prin Hotărârea nr.55 din 15.12.2023</w:t>
      </w:r>
      <w:r w:rsidRPr="000D19A7">
        <w:rPr>
          <w:rFonts w:ascii="Times New Roman" w:hAnsi="Times New Roman" w:cs="Times New Roman"/>
          <w:szCs w:val="24"/>
          <w:lang w:val="ro-MD"/>
          <w14:glow w14:rad="0">
            <w14:schemeClr w14:val="tx1"/>
          </w14:glow>
        </w:rPr>
        <w:t xml:space="preserve">, a inițiat auditul conformității managementului datoriei de stat, garanțiilor de stat și recreditării de stat în </w:t>
      </w:r>
      <w:r w:rsidR="007430AA" w:rsidRPr="000D19A7">
        <w:rPr>
          <w:rFonts w:ascii="Times New Roman" w:hAnsi="Times New Roman" w:cs="Times New Roman"/>
          <w:szCs w:val="24"/>
          <w:lang w:val="ro-MD"/>
          <w14:glow w14:rad="0">
            <w14:schemeClr w14:val="tx1"/>
          </w14:glow>
        </w:rPr>
        <w:t>anul 2023</w:t>
      </w:r>
      <w:r w:rsidRPr="000D19A7">
        <w:rPr>
          <w:rFonts w:ascii="Times New Roman" w:hAnsi="Times New Roman" w:cs="Times New Roman"/>
          <w:szCs w:val="24"/>
          <w:lang w:val="ro-MD"/>
          <w14:glow w14:rad="0">
            <w14:schemeClr w14:val="tx1"/>
          </w14:glow>
        </w:rPr>
        <w:t>. Scopul misiunii de audit este evaluarea conformității managementului datoriei de stat, garanțiilor de stat și r</w:t>
      </w:r>
      <w:r w:rsidR="007430AA" w:rsidRPr="000D19A7">
        <w:rPr>
          <w:rFonts w:ascii="Times New Roman" w:hAnsi="Times New Roman" w:cs="Times New Roman"/>
          <w:szCs w:val="24"/>
          <w:lang w:val="ro-MD"/>
          <w14:glow w14:rad="0">
            <w14:schemeClr w14:val="tx1"/>
          </w14:glow>
        </w:rPr>
        <w:t>ecreditării de stat în anul 2023</w:t>
      </w:r>
      <w:r w:rsidRPr="000D19A7">
        <w:rPr>
          <w:rFonts w:ascii="Times New Roman" w:hAnsi="Times New Roman" w:cs="Times New Roman"/>
          <w:szCs w:val="24"/>
          <w:lang w:val="ro-MD"/>
          <w14:glow w14:rad="0">
            <w14:schemeClr w14:val="tx1"/>
          </w14:glow>
        </w:rPr>
        <w:t>, în raport cu prevederile cadrului normativ aplicabil.</w:t>
      </w:r>
    </w:p>
    <w:p w14:paraId="6E0389FB" w14:textId="77777777" w:rsidR="005C4661" w:rsidRPr="000D19A7" w:rsidRDefault="005C4661" w:rsidP="00946026">
      <w:pPr>
        <w:spacing w:after="0" w:line="276" w:lineRule="auto"/>
        <w:jc w:val="both"/>
        <w:rPr>
          <w:rFonts w:ascii="Times New Roman" w:hAnsi="Times New Roman" w:cs="Times New Roman"/>
          <w:szCs w:val="24"/>
          <w:lang w:val="ro-MD"/>
          <w14:glow w14:rad="0">
            <w14:schemeClr w14:val="tx1"/>
          </w14:glow>
        </w:rPr>
      </w:pPr>
    </w:p>
    <w:p w14:paraId="18D16383" w14:textId="77777777" w:rsidR="005C4661" w:rsidRPr="000D19A7" w:rsidRDefault="005C4661" w:rsidP="00946026">
      <w:pPr>
        <w:spacing w:line="276" w:lineRule="auto"/>
        <w:jc w:val="both"/>
        <w:rPr>
          <w:rFonts w:ascii="Times New Roman" w:hAnsi="Times New Roman" w:cs="Times New Roman"/>
          <w:b/>
          <w:szCs w:val="24"/>
          <w:lang w:val="ro-MD"/>
          <w14:glow w14:rad="0">
            <w14:schemeClr w14:val="tx1"/>
          </w14:glow>
        </w:rPr>
      </w:pPr>
      <w:r w:rsidRPr="000D19A7">
        <w:rPr>
          <w:rFonts w:ascii="Times New Roman" w:hAnsi="Times New Roman" w:cs="Times New Roman"/>
          <w:b/>
          <w:szCs w:val="24"/>
          <w:lang w:val="ro-MD"/>
          <w14:glow w14:rad="0">
            <w14:schemeClr w14:val="tx1"/>
          </w14:glow>
        </w:rPr>
        <w:t>Metodologia auditului</w:t>
      </w:r>
    </w:p>
    <w:p w14:paraId="33E35FD9" w14:textId="77777777" w:rsidR="005C4661" w:rsidRPr="000D19A7" w:rsidRDefault="005C4661" w:rsidP="00946026">
      <w:pPr>
        <w:tabs>
          <w:tab w:val="left" w:pos="284"/>
        </w:tabs>
        <w:spacing w:after="0" w:line="276" w:lineRule="auto"/>
        <w:contextualSpacing/>
        <w:jc w:val="both"/>
        <w:rPr>
          <w:rFonts w:ascii="Times New Roman" w:hAnsi="Times New Roman" w:cs="Times New Roman"/>
          <w:szCs w:val="24"/>
          <w:lang w:val="ro-MD"/>
          <w14:glow w14:rad="0">
            <w14:schemeClr w14:val="tx1"/>
          </w14:glow>
        </w:rPr>
      </w:pPr>
      <w:r w:rsidRPr="000D19A7">
        <w:rPr>
          <w:rFonts w:ascii="Times New Roman" w:hAnsi="Times New Roman" w:cs="Times New Roman"/>
          <w:szCs w:val="24"/>
          <w:lang w:val="ro-MD"/>
          <w14:glow w14:rad="0">
            <w14:schemeClr w14:val="tx1"/>
          </w14:glow>
        </w:rPr>
        <w:t>Pe parcursul misiunii de audit, la efectuarea activităților aferente, echipa de audit a Curții de Conturi a aplicat prevederile: ISSAI 100, ISSAI 400 și ISSAI 4000; Ghidul privind auditul conformității; bunele practici în domeniu. Totodată, echipa de audit a consultat și s-a ghidat de prevederile incluse în Proiectul de GUID 5250 „Ghidul asupra auditului datoriei publice”, care este în proces de lucru și testare de către țările membre ale Grupului de lucru privind datoria publică INTOSAI.</w:t>
      </w:r>
    </w:p>
    <w:p w14:paraId="34E0D7B5" w14:textId="77777777" w:rsidR="005C4661" w:rsidRPr="000D19A7" w:rsidRDefault="005C4661" w:rsidP="00946026">
      <w:pPr>
        <w:tabs>
          <w:tab w:val="left" w:pos="284"/>
        </w:tabs>
        <w:spacing w:after="0" w:line="276" w:lineRule="auto"/>
        <w:contextualSpacing/>
        <w:jc w:val="both"/>
        <w:rPr>
          <w:rFonts w:ascii="Times New Roman" w:hAnsi="Times New Roman" w:cs="Times New Roman"/>
          <w:szCs w:val="24"/>
          <w:lang w:val="ro-MD"/>
          <w14:glow w14:rad="0">
            <w14:schemeClr w14:val="tx1"/>
          </w14:glow>
        </w:rPr>
      </w:pPr>
    </w:p>
    <w:p w14:paraId="30C0065C" w14:textId="4F54B7AC" w:rsidR="005C4661" w:rsidRPr="000D19A7" w:rsidRDefault="005C4661" w:rsidP="00946026">
      <w:pPr>
        <w:tabs>
          <w:tab w:val="left" w:pos="284"/>
        </w:tabs>
        <w:spacing w:after="0" w:line="276" w:lineRule="auto"/>
        <w:contextualSpacing/>
        <w:jc w:val="both"/>
        <w:rPr>
          <w:rFonts w:ascii="Times New Roman" w:hAnsi="Times New Roman" w:cs="Times New Roman"/>
          <w:szCs w:val="24"/>
          <w:lang w:val="ro-MD"/>
        </w:rPr>
      </w:pPr>
      <w:r w:rsidRPr="000D19A7">
        <w:rPr>
          <w:rFonts w:ascii="Times New Roman" w:hAnsi="Times New Roman" w:cs="Times New Roman"/>
          <w:szCs w:val="24"/>
          <w:lang w:val="ro-MD"/>
          <w14:glow w14:rad="0">
            <w14:schemeClr w14:val="tx1"/>
          </w14:glow>
        </w:rPr>
        <w:t xml:space="preserve">Pentru obținerea unor probe relevante și rezonabile, care să susțină concluziile și credibilitatea constatărilor expuse în Raportul de audit, echipa de audit a utilizat mai multe proceduri de audit: </w:t>
      </w:r>
      <w:r w:rsidRPr="000D19A7">
        <w:rPr>
          <w:rFonts w:ascii="Times New Roman" w:hAnsi="Times New Roman" w:cs="Times New Roman"/>
          <w:szCs w:val="24"/>
          <w:lang w:val="ro-MD"/>
        </w:rPr>
        <w:t>a fost examinat Raportul privind situația în domeniul datoriei sectorului public, garanțiilor de stat și r</w:t>
      </w:r>
      <w:r w:rsidR="007430AA" w:rsidRPr="000D19A7">
        <w:rPr>
          <w:rFonts w:ascii="Times New Roman" w:hAnsi="Times New Roman" w:cs="Times New Roman"/>
          <w:szCs w:val="24"/>
          <w:lang w:val="ro-MD"/>
        </w:rPr>
        <w:t>ecreditării de stat pe anul 2023</w:t>
      </w:r>
      <w:r w:rsidRPr="000D19A7">
        <w:rPr>
          <w:rFonts w:ascii="Times New Roman" w:hAnsi="Times New Roman" w:cs="Times New Roman"/>
          <w:szCs w:val="24"/>
          <w:lang w:val="ro-MD"/>
        </w:rPr>
        <w:t>;</w:t>
      </w:r>
    </w:p>
    <w:p w14:paraId="51C0B576" w14:textId="7CBD2B5A"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examinat și analizat Programul „Managementul datori</w:t>
      </w:r>
      <w:r w:rsidR="007430AA" w:rsidRPr="000D19A7">
        <w:rPr>
          <w:rFonts w:ascii="Times New Roman" w:hAnsi="Times New Roman" w:cs="Times New Roman"/>
          <w:szCs w:val="24"/>
          <w:lang w:val="ro-MD"/>
        </w:rPr>
        <w:t>ei de stat pe termen mediu (2023-2025</w:t>
      </w:r>
      <w:r w:rsidRPr="000D19A7">
        <w:rPr>
          <w:rFonts w:ascii="Times New Roman" w:hAnsi="Times New Roman" w:cs="Times New Roman"/>
          <w:szCs w:val="24"/>
          <w:lang w:val="ro-MD"/>
        </w:rPr>
        <w:t>)”</w:t>
      </w:r>
      <w:r w:rsidR="007430AA" w:rsidRPr="000D19A7">
        <w:rPr>
          <w:rFonts w:ascii="Times New Roman" w:hAnsi="Times New Roman" w:cs="Times New Roman"/>
          <w:szCs w:val="24"/>
          <w:lang w:val="ro-MD"/>
        </w:rPr>
        <w:t>;</w:t>
      </w:r>
    </w:p>
    <w:p w14:paraId="68FE58FD"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analizată evoluția cheltuielilor aferente deservirii datoriei de stat, inclusiv a serviciului datoriei de stat interne și externe;</w:t>
      </w:r>
    </w:p>
    <w:p w14:paraId="00A8DC0C"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examinat portofoliul datoriei de stat în aspectul maturității, ratei dobânzii, monedei etc.;</w:t>
      </w:r>
    </w:p>
    <w:p w14:paraId="690E6EAE"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au fost analizate calendarele de desfășurare a licitațiilor de comercializare a VMS pe piața primară și a comunicatelor privind rezultatele acestora;</w:t>
      </w:r>
    </w:p>
    <w:p w14:paraId="69B8FD80"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solicitată informația privind volumul de VMS deținut de băncile comerciale (dealerii primari);</w:t>
      </w:r>
    </w:p>
    <w:p w14:paraId="78E1F934" w14:textId="741DFDF6"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 xml:space="preserve">au fost examinate ratele dobânzilor la VMS cu scadența de 91 zile, 182 zile, 364 zile, pentru instrumentele financiare cu termenul de scadență până la 1 an, 2-3 ani, 5 ani, </w:t>
      </w:r>
      <w:r w:rsidR="00B76817" w:rsidRPr="000D19A7">
        <w:rPr>
          <w:rFonts w:ascii="Times New Roman" w:hAnsi="Times New Roman" w:cs="Times New Roman"/>
          <w:szCs w:val="24"/>
          <w:lang w:val="ro-MD"/>
        </w:rPr>
        <w:t xml:space="preserve">7 ani și 10 ani, </w:t>
      </w:r>
      <w:r w:rsidRPr="000D19A7">
        <w:rPr>
          <w:rFonts w:ascii="Times New Roman" w:hAnsi="Times New Roman" w:cs="Times New Roman"/>
          <w:szCs w:val="24"/>
          <w:lang w:val="ro-MD"/>
        </w:rPr>
        <w:t>ratele nominale medii ponderate ale dobânzii la VMS emise pe piața primară și la VMS convertite;</w:t>
      </w:r>
    </w:p>
    <w:p w14:paraId="10223AB4"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analizată situația privind împrumuturile externe și nivelul de debursare aferent acestora;</w:t>
      </w:r>
    </w:p>
    <w:p w14:paraId="0C32B3C8"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au fost solicitate explicații de la persoanele responsabile privind nivelul redus de debursare a unor împrumuturi de stat externe;</w:t>
      </w:r>
    </w:p>
    <w:p w14:paraId="1027AF77" w14:textId="46E57108"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analizat aspectul cost-risc al împrumuturilor noi contractate în anul</w:t>
      </w:r>
      <w:r w:rsidR="007430AA" w:rsidRPr="000D19A7">
        <w:rPr>
          <w:rFonts w:ascii="Times New Roman" w:hAnsi="Times New Roman" w:cs="Times New Roman"/>
          <w:szCs w:val="24"/>
          <w:lang w:val="ro-MD"/>
        </w:rPr>
        <w:t xml:space="preserve"> 2023</w:t>
      </w:r>
      <w:r w:rsidRPr="000D19A7">
        <w:rPr>
          <w:rFonts w:ascii="Times New Roman" w:hAnsi="Times New Roman" w:cs="Times New Roman"/>
          <w:szCs w:val="24"/>
          <w:lang w:val="ro-MD"/>
        </w:rPr>
        <w:t>;</w:t>
      </w:r>
    </w:p>
    <w:p w14:paraId="5D83175C"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analizată situația debitorilor garantați și a beneficiarilor recreditați în aspectul onorării obligațiunilor față de bugetul de stat și a datoriilor cu termenul de achitare expirat;</w:t>
      </w:r>
    </w:p>
    <w:p w14:paraId="092407EE"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 fost solicitată informația privind măsurile întreprinse de MF în vederea neadmiterii și reducerii datoriilor cu termenul de achitare expirat la împrumuturile recreditate și împrumuturile garantate, precum și asigurării veridicității datelor raportate de către beneficiarii împrumuturilor respective;</w:t>
      </w:r>
    </w:p>
    <w:p w14:paraId="4650F154"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lang w:val="ro-MD"/>
        </w:rPr>
      </w:pPr>
      <w:r w:rsidRPr="000D19A7">
        <w:rPr>
          <w:rFonts w:ascii="Times New Roman" w:hAnsi="Times New Roman" w:cs="Times New Roman"/>
          <w:bCs/>
          <w:szCs w:val="24"/>
          <w:lang w:val="ro-MD"/>
        </w:rPr>
        <w:t>au fost analizate alte informații relevante auditului;</w:t>
      </w:r>
    </w:p>
    <w:p w14:paraId="2A470260" w14:textId="77777777" w:rsidR="005C4661" w:rsidRPr="000D19A7" w:rsidRDefault="005C4661" w:rsidP="00946026">
      <w:pPr>
        <w:numPr>
          <w:ilvl w:val="0"/>
          <w:numId w:val="3"/>
        </w:numPr>
        <w:tabs>
          <w:tab w:val="left" w:pos="284"/>
        </w:tabs>
        <w:spacing w:after="0" w:line="276" w:lineRule="auto"/>
        <w:ind w:left="0" w:firstLine="0"/>
        <w:contextualSpacing/>
        <w:jc w:val="both"/>
        <w:rPr>
          <w:rFonts w:ascii="Times New Roman" w:hAnsi="Times New Roman" w:cs="Times New Roman"/>
          <w:szCs w:val="24"/>
          <w:lang w:val="ro-MD"/>
        </w:rPr>
      </w:pPr>
      <w:r w:rsidRPr="000D19A7">
        <w:rPr>
          <w:rFonts w:ascii="Times New Roman" w:hAnsi="Times New Roman" w:cs="Times New Roman"/>
          <w:szCs w:val="24"/>
          <w:lang w:val="ro-MD"/>
        </w:rPr>
        <w:t>au fost purtate discuții cu factorii de decizie privind unele aspecte constatate.</w:t>
      </w:r>
    </w:p>
    <w:p w14:paraId="0132F512" w14:textId="685B5BC9" w:rsidR="005C4661" w:rsidRPr="000D19A7" w:rsidRDefault="005C4661" w:rsidP="00946026">
      <w:pPr>
        <w:tabs>
          <w:tab w:val="left" w:pos="284"/>
        </w:tabs>
        <w:spacing w:after="0" w:line="276" w:lineRule="auto"/>
        <w:contextualSpacing/>
        <w:jc w:val="both"/>
        <w:rPr>
          <w:rFonts w:ascii="Times New Roman" w:hAnsi="Times New Roman" w:cs="Times New Roman"/>
          <w:szCs w:val="24"/>
          <w:lang w:val="ro-MD"/>
        </w:rPr>
      </w:pPr>
      <w:r w:rsidRPr="000D19A7">
        <w:rPr>
          <w:rFonts w:ascii="Times New Roman" w:hAnsi="Times New Roman" w:cs="Times New Roman"/>
          <w:szCs w:val="24"/>
          <w:lang w:val="ro-MD"/>
        </w:rPr>
        <w:t>Totodată, se menționează că date</w:t>
      </w:r>
      <w:r w:rsidR="007430AA" w:rsidRPr="000D19A7">
        <w:rPr>
          <w:rFonts w:ascii="Times New Roman" w:hAnsi="Times New Roman" w:cs="Times New Roman"/>
          <w:szCs w:val="24"/>
          <w:lang w:val="ro-MD"/>
        </w:rPr>
        <w:t xml:space="preserve">le/informațiile </w:t>
      </w:r>
      <w:r w:rsidR="00727FF1" w:rsidRPr="000D19A7">
        <w:rPr>
          <w:rFonts w:ascii="Times New Roman" w:hAnsi="Times New Roman" w:cs="Times New Roman"/>
          <w:szCs w:val="24"/>
          <w:lang w:val="ro-MD"/>
        </w:rPr>
        <w:t>aferente a</w:t>
      </w:r>
      <w:r w:rsidR="007430AA" w:rsidRPr="000D19A7">
        <w:rPr>
          <w:rFonts w:ascii="Times New Roman" w:hAnsi="Times New Roman" w:cs="Times New Roman"/>
          <w:szCs w:val="24"/>
          <w:lang w:val="ro-MD"/>
        </w:rPr>
        <w:t>nul</w:t>
      </w:r>
      <w:r w:rsidR="00727FF1" w:rsidRPr="000D19A7">
        <w:rPr>
          <w:rFonts w:ascii="Times New Roman" w:hAnsi="Times New Roman" w:cs="Times New Roman"/>
          <w:szCs w:val="24"/>
          <w:lang w:val="ro-MD"/>
        </w:rPr>
        <w:t>ui</w:t>
      </w:r>
      <w:r w:rsidR="007430AA" w:rsidRPr="000D19A7">
        <w:rPr>
          <w:rFonts w:ascii="Times New Roman" w:hAnsi="Times New Roman" w:cs="Times New Roman"/>
          <w:szCs w:val="24"/>
          <w:lang w:val="ro-MD"/>
        </w:rPr>
        <w:t xml:space="preserve"> 2023</w:t>
      </w:r>
      <w:r w:rsidRPr="000D19A7">
        <w:rPr>
          <w:rFonts w:ascii="Times New Roman" w:hAnsi="Times New Roman" w:cs="Times New Roman"/>
          <w:szCs w:val="24"/>
          <w:lang w:val="ro-MD"/>
        </w:rPr>
        <w:t xml:space="preserve"> s-au ana</w:t>
      </w:r>
      <w:r w:rsidR="007430AA" w:rsidRPr="000D19A7">
        <w:rPr>
          <w:rFonts w:ascii="Times New Roman" w:hAnsi="Times New Roman" w:cs="Times New Roman"/>
          <w:szCs w:val="24"/>
          <w:lang w:val="ro-MD"/>
        </w:rPr>
        <w:t xml:space="preserve">lizat în comparație cu </w:t>
      </w:r>
      <w:r w:rsidR="00727FF1" w:rsidRPr="000D19A7">
        <w:rPr>
          <w:rFonts w:ascii="Times New Roman" w:hAnsi="Times New Roman" w:cs="Times New Roman"/>
          <w:szCs w:val="24"/>
          <w:lang w:val="ro-MD"/>
        </w:rPr>
        <w:t>cele aferente anilor</w:t>
      </w:r>
      <w:r w:rsidR="007430AA" w:rsidRPr="000D19A7">
        <w:rPr>
          <w:rFonts w:ascii="Times New Roman" w:hAnsi="Times New Roman" w:cs="Times New Roman"/>
          <w:szCs w:val="24"/>
          <w:lang w:val="ro-MD"/>
        </w:rPr>
        <w:t xml:space="preserve"> 2022, 2021, 2020 și 2019</w:t>
      </w:r>
      <w:r w:rsidRPr="000D19A7">
        <w:rPr>
          <w:rFonts w:ascii="Times New Roman" w:hAnsi="Times New Roman" w:cs="Times New Roman"/>
          <w:szCs w:val="24"/>
          <w:lang w:val="ro-MD"/>
        </w:rPr>
        <w:t>.</w:t>
      </w:r>
    </w:p>
    <w:p w14:paraId="1AF05F00" w14:textId="77777777" w:rsidR="005C4661" w:rsidRPr="000D19A7" w:rsidRDefault="005C4661" w:rsidP="00946026">
      <w:pPr>
        <w:pStyle w:val="af3"/>
        <w:spacing w:line="276" w:lineRule="auto"/>
        <w:jc w:val="both"/>
        <w:rPr>
          <w:rFonts w:ascii="Times New Roman" w:hAnsi="Times New Roman" w:cs="Times New Roman"/>
          <w:sz w:val="24"/>
          <w:lang w:val="ro-MD" w:eastAsia="ru-RU"/>
        </w:rPr>
      </w:pPr>
    </w:p>
    <w:p w14:paraId="127943F8" w14:textId="77777777" w:rsidR="005C4661" w:rsidRPr="000D19A7" w:rsidRDefault="005C4661" w:rsidP="00946026">
      <w:pPr>
        <w:tabs>
          <w:tab w:val="left" w:pos="284"/>
          <w:tab w:val="left" w:pos="567"/>
        </w:tabs>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În vederea atingerii scopului misiunii de audit, au fost stabilite următoarele obiective specifice:</w:t>
      </w:r>
    </w:p>
    <w:p w14:paraId="1EF62C24" w14:textId="77777777" w:rsidR="00904FF5" w:rsidRPr="000D19A7" w:rsidRDefault="00904FF5" w:rsidP="00946026">
      <w:pPr>
        <w:spacing w:after="0"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 xml:space="preserve">Obiectivul specific I. </w:t>
      </w:r>
      <w:r w:rsidRPr="000D19A7">
        <w:rPr>
          <w:rFonts w:ascii="Times New Roman" w:hAnsi="Times New Roman" w:cs="Times New Roman"/>
          <w:szCs w:val="24"/>
          <w:lang w:val="ro-MD"/>
        </w:rPr>
        <w:t>Ministerul Finanțelor a asigurat conformitatea managementului datoriei de stat în raport cu prevederile  cadrul normative aplicabil</w:t>
      </w:r>
      <w:r w:rsidRPr="000D19A7">
        <w:rPr>
          <w:rFonts w:ascii="Times New Roman" w:hAnsi="Times New Roman" w:cs="Times New Roman"/>
          <w:lang w:val="ro-MD" w:eastAsia="ru-RU"/>
        </w:rPr>
        <w:t>?</w:t>
      </w:r>
    </w:p>
    <w:p w14:paraId="650823D6" w14:textId="77777777" w:rsidR="00904FF5" w:rsidRPr="000D19A7" w:rsidRDefault="00904FF5" w:rsidP="00946026">
      <w:pPr>
        <w:spacing w:after="0"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 xml:space="preserve">Obiectivul specific II. </w:t>
      </w:r>
      <w:r w:rsidRPr="000D19A7">
        <w:rPr>
          <w:rFonts w:ascii="Times New Roman" w:hAnsi="Times New Roman" w:cs="Times New Roman"/>
          <w:szCs w:val="24"/>
          <w:lang w:val="ro-MD"/>
        </w:rPr>
        <w:t>Ministerul Finanțelor a asigurat conformitatea acordării garanțiilor de stat în raport cu prevederile cadrului normativ aplicabil</w:t>
      </w:r>
      <w:r w:rsidRPr="000D19A7">
        <w:rPr>
          <w:rFonts w:ascii="Times New Roman" w:hAnsi="Times New Roman" w:cs="Times New Roman"/>
          <w:lang w:val="ro-MD" w:eastAsia="ru-RU"/>
        </w:rPr>
        <w:t>?</w:t>
      </w:r>
    </w:p>
    <w:p w14:paraId="0453C2E1" w14:textId="2421651D" w:rsidR="00904FF5" w:rsidRPr="000D19A7" w:rsidRDefault="00904FF5" w:rsidP="00946026">
      <w:pPr>
        <w:spacing w:line="276" w:lineRule="auto"/>
        <w:jc w:val="both"/>
        <w:rPr>
          <w:rFonts w:ascii="Times New Roman" w:hAnsi="Times New Roman" w:cs="Times New Roman"/>
          <w:lang w:val="ro-MD" w:eastAsia="ru-RU"/>
        </w:rPr>
      </w:pPr>
      <w:r w:rsidRPr="000D19A7">
        <w:rPr>
          <w:rFonts w:ascii="Times New Roman" w:hAnsi="Times New Roman" w:cs="Times New Roman"/>
          <w:b/>
          <w:szCs w:val="24"/>
          <w:lang w:val="ro-MD"/>
        </w:rPr>
        <w:t xml:space="preserve">Obiectivul specific III. </w:t>
      </w:r>
      <w:r w:rsidRPr="000D19A7">
        <w:rPr>
          <w:rFonts w:ascii="Times New Roman" w:hAnsi="Times New Roman" w:cs="Times New Roman"/>
          <w:szCs w:val="24"/>
          <w:lang w:val="ro-MD"/>
        </w:rPr>
        <w:t>Ministerul Finanțelor a asigurat conformitatea recreditării de stat, în raport cu prevederile cadrului normativ apli</w:t>
      </w:r>
      <w:r w:rsidR="008B69F0" w:rsidRPr="000D19A7">
        <w:rPr>
          <w:rFonts w:ascii="Times New Roman" w:hAnsi="Times New Roman" w:cs="Times New Roman"/>
          <w:szCs w:val="24"/>
          <w:lang w:val="ro-MD"/>
        </w:rPr>
        <w:t>c</w:t>
      </w:r>
      <w:r w:rsidRPr="000D19A7">
        <w:rPr>
          <w:rFonts w:ascii="Times New Roman" w:hAnsi="Times New Roman" w:cs="Times New Roman"/>
          <w:szCs w:val="24"/>
          <w:lang w:val="ro-MD"/>
        </w:rPr>
        <w:t>abil</w:t>
      </w:r>
      <w:r w:rsidRPr="000D19A7">
        <w:rPr>
          <w:rFonts w:ascii="Times New Roman" w:hAnsi="Times New Roman" w:cs="Times New Roman"/>
          <w:lang w:val="ro-MD" w:eastAsia="ru-RU"/>
        </w:rPr>
        <w:t>?</w:t>
      </w:r>
    </w:p>
    <w:p w14:paraId="520AD406" w14:textId="684313F3" w:rsidR="001F0AE3" w:rsidRPr="000D19A7" w:rsidRDefault="001F0AE3" w:rsidP="001F0AE3">
      <w:pPr>
        <w:tabs>
          <w:tab w:val="left" w:pos="284"/>
          <w:tab w:val="left" w:pos="567"/>
        </w:tabs>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Abordarea auditului public extern s-a bazat pe riscuri</w:t>
      </w:r>
      <w:r w:rsidR="00727FF1" w:rsidRPr="000D19A7">
        <w:rPr>
          <w:rFonts w:ascii="Times New Roman" w:hAnsi="Times New Roman" w:cs="Times New Roman"/>
          <w:szCs w:val="24"/>
          <w:lang w:val="ro-MD"/>
        </w:rPr>
        <w:t xml:space="preserve"> și </w:t>
      </w:r>
      <w:r w:rsidRPr="000D19A7">
        <w:rPr>
          <w:rFonts w:ascii="Times New Roman" w:hAnsi="Times New Roman" w:cs="Times New Roman"/>
          <w:szCs w:val="24"/>
          <w:lang w:val="ro-MD"/>
        </w:rPr>
        <w:t xml:space="preserve">presupune orientarea activității de audit asupra acelor procese din cadrul MF, care sunt predispuse unor neconformități semnificative. Angajamentul auditului </w:t>
      </w:r>
      <w:r w:rsidR="00727FF1" w:rsidRPr="000D19A7">
        <w:rPr>
          <w:rFonts w:ascii="Times New Roman" w:hAnsi="Times New Roman" w:cs="Times New Roman"/>
          <w:szCs w:val="24"/>
          <w:lang w:val="ro-MD"/>
        </w:rPr>
        <w:t>a fost cel de raportare directă. P</w:t>
      </w:r>
      <w:r w:rsidRPr="000D19A7">
        <w:rPr>
          <w:rFonts w:ascii="Times New Roman" w:hAnsi="Times New Roman" w:cs="Times New Roman"/>
          <w:szCs w:val="24"/>
          <w:lang w:val="ro-MD"/>
        </w:rPr>
        <w:t>rin urmare</w:t>
      </w:r>
      <w:r w:rsidR="00727FF1" w:rsidRPr="000D19A7">
        <w:rPr>
          <w:rFonts w:ascii="Times New Roman" w:hAnsi="Times New Roman" w:cs="Times New Roman"/>
          <w:szCs w:val="24"/>
          <w:lang w:val="ro-MD"/>
        </w:rPr>
        <w:t>,</w:t>
      </w:r>
      <w:r w:rsidRPr="000D19A7">
        <w:rPr>
          <w:rFonts w:ascii="Times New Roman" w:hAnsi="Times New Roman" w:cs="Times New Roman"/>
          <w:szCs w:val="24"/>
          <w:lang w:val="ro-MD"/>
        </w:rPr>
        <w:t xml:space="preserve"> procesele auditate au fost evaluate în raport cu criteriile de audit extrase din prevederile cadrului normativ aplicabil, iar asigurarea l</w:t>
      </w:r>
      <w:r w:rsidR="00727FF1" w:rsidRPr="000D19A7">
        <w:rPr>
          <w:rFonts w:ascii="Times New Roman" w:hAnsi="Times New Roman" w:cs="Times New Roman"/>
          <w:szCs w:val="24"/>
          <w:lang w:val="ro-MD"/>
        </w:rPr>
        <w:t>imitată oferită</w:t>
      </w:r>
      <w:r w:rsidRPr="000D19A7">
        <w:rPr>
          <w:rFonts w:ascii="Times New Roman" w:hAnsi="Times New Roman" w:cs="Times New Roman"/>
          <w:szCs w:val="24"/>
          <w:lang w:val="ro-MD"/>
        </w:rPr>
        <w:t xml:space="preserve"> ne permite</w:t>
      </w:r>
      <w:r w:rsidR="00727FF1" w:rsidRPr="000D19A7">
        <w:rPr>
          <w:rFonts w:ascii="Times New Roman" w:hAnsi="Times New Roman" w:cs="Times New Roman"/>
          <w:szCs w:val="24"/>
          <w:lang w:val="ro-MD"/>
        </w:rPr>
        <w:t>,</w:t>
      </w:r>
      <w:r w:rsidRPr="000D19A7">
        <w:rPr>
          <w:rFonts w:ascii="Times New Roman" w:hAnsi="Times New Roman" w:cs="Times New Roman"/>
          <w:szCs w:val="24"/>
          <w:lang w:val="ro-MD"/>
        </w:rPr>
        <w:t xml:space="preserve"> în baza constatărilor susținute de probele de audit, să formulăm concluzia generală</w:t>
      </w:r>
      <w:r w:rsidR="00727FF1" w:rsidRPr="000D19A7">
        <w:rPr>
          <w:rFonts w:ascii="Times New Roman" w:hAnsi="Times New Roman" w:cs="Times New Roman"/>
          <w:szCs w:val="24"/>
          <w:lang w:val="ro-MD"/>
        </w:rPr>
        <w:t>,</w:t>
      </w:r>
      <w:r w:rsidRPr="000D19A7">
        <w:rPr>
          <w:rFonts w:ascii="Times New Roman" w:hAnsi="Times New Roman" w:cs="Times New Roman"/>
          <w:szCs w:val="24"/>
          <w:lang w:val="ro-MD"/>
        </w:rPr>
        <w:t xml:space="preserve"> exprimată sub formă de constatări, răspunsuri la obiectivele specifice de audit.</w:t>
      </w:r>
    </w:p>
    <w:p w14:paraId="59CFD3C7" w14:textId="1D8A6055" w:rsidR="005C4661" w:rsidRPr="000D19A7" w:rsidRDefault="001F0AE3" w:rsidP="001F0AE3">
      <w:pPr>
        <w:tabs>
          <w:tab w:val="left" w:pos="284"/>
          <w:tab w:val="left" w:pos="567"/>
        </w:tabs>
        <w:spacing w:after="0" w:line="276" w:lineRule="auto"/>
        <w:jc w:val="both"/>
        <w:rPr>
          <w:rFonts w:ascii="Times New Roman" w:hAnsi="Times New Roman" w:cs="Times New Roman"/>
          <w:szCs w:val="24"/>
          <w:lang w:val="ro-MD"/>
        </w:rPr>
      </w:pPr>
      <w:r w:rsidRPr="000D19A7">
        <w:rPr>
          <w:rFonts w:ascii="Times New Roman" w:hAnsi="Times New Roman" w:cs="Times New Roman"/>
          <w:szCs w:val="24"/>
          <w:lang w:val="ro-MD"/>
        </w:rPr>
        <w:t>Probele de audit au fost colectate la fața locului, prin verificarea tranzacțiilor și documentelor aferente domeniului, contrapunerea și generarea informațiilor din sistemul informațional utilizat de MF</w:t>
      </w:r>
      <w:r w:rsidR="00727FF1" w:rsidRPr="000D19A7">
        <w:rPr>
          <w:rFonts w:ascii="Times New Roman" w:hAnsi="Times New Roman" w:cs="Times New Roman"/>
          <w:szCs w:val="24"/>
          <w:lang w:val="ro-MD"/>
        </w:rPr>
        <w:t>, observare</w:t>
      </w:r>
      <w:r w:rsidRPr="000D19A7">
        <w:rPr>
          <w:rFonts w:ascii="Times New Roman" w:hAnsi="Times New Roman" w:cs="Times New Roman"/>
          <w:szCs w:val="24"/>
          <w:lang w:val="ro-MD"/>
        </w:rPr>
        <w:t>, investigare, intervievare și confirmare, diferite recalcule.</w:t>
      </w:r>
    </w:p>
    <w:tbl>
      <w:tblPr>
        <w:tblStyle w:val="TableGrid121"/>
        <w:tblW w:w="9351" w:type="dxa"/>
        <w:tblLayout w:type="fixed"/>
        <w:tblLook w:val="04A0" w:firstRow="1" w:lastRow="0" w:firstColumn="1" w:lastColumn="0" w:noHBand="0" w:noVBand="1"/>
      </w:tblPr>
      <w:tblGrid>
        <w:gridCol w:w="1555"/>
        <w:gridCol w:w="3118"/>
        <w:gridCol w:w="2835"/>
        <w:gridCol w:w="1843"/>
      </w:tblGrid>
      <w:tr w:rsidR="009C0FCF" w:rsidRPr="000D19A7" w14:paraId="54D3B691" w14:textId="77777777" w:rsidTr="009C0FCF">
        <w:trPr>
          <w:trHeight w:val="305"/>
        </w:trPr>
        <w:tc>
          <w:tcPr>
            <w:tcW w:w="1555" w:type="dxa"/>
            <w:shd w:val="clear" w:color="auto" w:fill="auto"/>
            <w:vAlign w:val="center"/>
          </w:tcPr>
          <w:p w14:paraId="7F94B34D" w14:textId="77777777" w:rsidR="009C0FCF" w:rsidRPr="000D19A7" w:rsidRDefault="009C0FCF" w:rsidP="009C0FCF">
            <w:pPr>
              <w:spacing w:line="276" w:lineRule="auto"/>
              <w:jc w:val="center"/>
              <w:rPr>
                <w:rFonts w:ascii="Times New Roman" w:hAnsi="Times New Roman"/>
                <w:b/>
                <w:bCs/>
                <w:color w:val="000000" w:themeColor="text1"/>
                <w:sz w:val="18"/>
                <w:szCs w:val="18"/>
                <w:lang w:val="ro-RO"/>
              </w:rPr>
            </w:pPr>
            <w:r w:rsidRPr="000D19A7">
              <w:rPr>
                <w:rFonts w:ascii="Times New Roman" w:hAnsi="Times New Roman"/>
                <w:b/>
                <w:bCs/>
                <w:color w:val="000000" w:themeColor="text1"/>
                <w:sz w:val="18"/>
                <w:szCs w:val="18"/>
                <w:lang w:val="ro-RO"/>
              </w:rPr>
              <w:t>Referință la paragraful din raport/ riscul testat</w:t>
            </w:r>
          </w:p>
        </w:tc>
        <w:tc>
          <w:tcPr>
            <w:tcW w:w="3118" w:type="dxa"/>
            <w:shd w:val="clear" w:color="auto" w:fill="auto"/>
            <w:vAlign w:val="center"/>
          </w:tcPr>
          <w:p w14:paraId="06AF8EB5" w14:textId="77777777" w:rsidR="009C0FCF" w:rsidRPr="000D19A7" w:rsidRDefault="009C0FCF" w:rsidP="009C0FCF">
            <w:pPr>
              <w:spacing w:line="276" w:lineRule="auto"/>
              <w:jc w:val="center"/>
              <w:rPr>
                <w:rFonts w:ascii="Times New Roman" w:hAnsi="Times New Roman"/>
                <w:b/>
                <w:bCs/>
                <w:color w:val="000000" w:themeColor="text1"/>
                <w:sz w:val="18"/>
                <w:szCs w:val="18"/>
                <w:lang w:val="ro-RO"/>
              </w:rPr>
            </w:pPr>
            <w:r w:rsidRPr="000D19A7">
              <w:rPr>
                <w:rFonts w:ascii="Times New Roman" w:hAnsi="Times New Roman"/>
                <w:b/>
                <w:bCs/>
                <w:color w:val="000000" w:themeColor="text1"/>
                <w:sz w:val="18"/>
                <w:szCs w:val="18"/>
                <w:lang w:val="ro-RO"/>
              </w:rPr>
              <w:t>Criteriile de audit</w:t>
            </w:r>
          </w:p>
        </w:tc>
        <w:tc>
          <w:tcPr>
            <w:tcW w:w="2835" w:type="dxa"/>
            <w:shd w:val="clear" w:color="auto" w:fill="auto"/>
            <w:vAlign w:val="center"/>
          </w:tcPr>
          <w:p w14:paraId="18026171" w14:textId="77777777" w:rsidR="009C0FCF" w:rsidRPr="000D19A7" w:rsidRDefault="009C0FCF" w:rsidP="009C0FCF">
            <w:pPr>
              <w:spacing w:line="276" w:lineRule="auto"/>
              <w:ind w:right="35"/>
              <w:jc w:val="center"/>
              <w:rPr>
                <w:rFonts w:ascii="Times New Roman" w:hAnsi="Times New Roman"/>
                <w:b/>
                <w:bCs/>
                <w:color w:val="000000" w:themeColor="text1"/>
                <w:sz w:val="18"/>
                <w:szCs w:val="18"/>
                <w:lang w:val="ro-RO"/>
              </w:rPr>
            </w:pPr>
            <w:r w:rsidRPr="000D19A7">
              <w:rPr>
                <w:rFonts w:ascii="Times New Roman" w:hAnsi="Times New Roman"/>
                <w:b/>
                <w:bCs/>
                <w:color w:val="000000" w:themeColor="text1"/>
                <w:sz w:val="18"/>
                <w:szCs w:val="18"/>
                <w:lang w:val="ro-RO"/>
              </w:rPr>
              <w:t>Tehnicile de audit aplicate</w:t>
            </w:r>
          </w:p>
        </w:tc>
        <w:tc>
          <w:tcPr>
            <w:tcW w:w="1843" w:type="dxa"/>
            <w:shd w:val="clear" w:color="auto" w:fill="auto"/>
            <w:vAlign w:val="center"/>
          </w:tcPr>
          <w:p w14:paraId="2E60DB8F" w14:textId="77777777" w:rsidR="009C0FCF" w:rsidRPr="000D19A7" w:rsidRDefault="009C0FCF" w:rsidP="009C0FCF">
            <w:pPr>
              <w:spacing w:line="276" w:lineRule="auto"/>
              <w:jc w:val="center"/>
              <w:rPr>
                <w:rFonts w:ascii="Times New Roman" w:hAnsi="Times New Roman"/>
                <w:b/>
                <w:bCs/>
                <w:color w:val="000000" w:themeColor="text1"/>
                <w:sz w:val="18"/>
                <w:szCs w:val="18"/>
                <w:lang w:val="ro-RO"/>
              </w:rPr>
            </w:pPr>
            <w:r w:rsidRPr="000D19A7">
              <w:rPr>
                <w:rFonts w:ascii="Times New Roman" w:hAnsi="Times New Roman"/>
                <w:b/>
                <w:bCs/>
                <w:color w:val="000000" w:themeColor="text1"/>
                <w:sz w:val="18"/>
                <w:szCs w:val="18"/>
                <w:lang w:val="ro-RO"/>
              </w:rPr>
              <w:t>Dimensiunea eșantionului</w:t>
            </w:r>
          </w:p>
        </w:tc>
      </w:tr>
      <w:tr w:rsidR="009C0FCF" w:rsidRPr="000D19A7" w14:paraId="22BDC452" w14:textId="77777777" w:rsidTr="009C0FCF">
        <w:trPr>
          <w:trHeight w:val="117"/>
        </w:trPr>
        <w:tc>
          <w:tcPr>
            <w:tcW w:w="1555" w:type="dxa"/>
          </w:tcPr>
          <w:p w14:paraId="590FCCAA" w14:textId="77777777" w:rsidR="009C0FCF" w:rsidRPr="000D19A7" w:rsidRDefault="009C0FCF" w:rsidP="009C0FCF">
            <w:pPr>
              <w:spacing w:line="276" w:lineRule="auto"/>
              <w:jc w:val="center"/>
              <w:rPr>
                <w:rFonts w:ascii="Times New Roman" w:hAnsi="Times New Roman"/>
                <w:bCs/>
                <w:i/>
                <w:sz w:val="16"/>
                <w:szCs w:val="18"/>
                <w:lang w:val="ro-RO"/>
              </w:rPr>
            </w:pPr>
            <w:r w:rsidRPr="000D19A7">
              <w:rPr>
                <w:rFonts w:ascii="Times New Roman" w:hAnsi="Times New Roman"/>
                <w:bCs/>
                <w:i/>
                <w:sz w:val="16"/>
                <w:szCs w:val="18"/>
                <w:lang w:val="ro-RO"/>
              </w:rPr>
              <w:t>1</w:t>
            </w:r>
          </w:p>
        </w:tc>
        <w:tc>
          <w:tcPr>
            <w:tcW w:w="3118" w:type="dxa"/>
          </w:tcPr>
          <w:p w14:paraId="4E2B767D" w14:textId="77777777" w:rsidR="009C0FCF" w:rsidRPr="000D19A7" w:rsidRDefault="009C0FCF" w:rsidP="009C0FCF">
            <w:pPr>
              <w:spacing w:line="276" w:lineRule="auto"/>
              <w:jc w:val="center"/>
              <w:rPr>
                <w:rFonts w:ascii="Times New Roman" w:hAnsi="Times New Roman"/>
                <w:bCs/>
                <w:i/>
                <w:sz w:val="16"/>
                <w:szCs w:val="18"/>
                <w:lang w:val="ro-RO"/>
              </w:rPr>
            </w:pPr>
            <w:r w:rsidRPr="000D19A7">
              <w:rPr>
                <w:rFonts w:ascii="Times New Roman" w:hAnsi="Times New Roman"/>
                <w:bCs/>
                <w:i/>
                <w:sz w:val="16"/>
                <w:szCs w:val="18"/>
                <w:lang w:val="ro-RO"/>
              </w:rPr>
              <w:t>3</w:t>
            </w:r>
          </w:p>
        </w:tc>
        <w:tc>
          <w:tcPr>
            <w:tcW w:w="2835" w:type="dxa"/>
          </w:tcPr>
          <w:p w14:paraId="746D865A" w14:textId="77777777" w:rsidR="009C0FCF" w:rsidRPr="000D19A7" w:rsidRDefault="009C0FCF" w:rsidP="009C0FCF">
            <w:pPr>
              <w:spacing w:line="276" w:lineRule="auto"/>
              <w:jc w:val="center"/>
              <w:rPr>
                <w:rFonts w:ascii="Times New Roman" w:hAnsi="Times New Roman"/>
                <w:bCs/>
                <w:i/>
                <w:sz w:val="16"/>
                <w:szCs w:val="18"/>
                <w:lang w:val="ro-RO"/>
              </w:rPr>
            </w:pPr>
            <w:r w:rsidRPr="000D19A7">
              <w:rPr>
                <w:rFonts w:ascii="Times New Roman" w:hAnsi="Times New Roman"/>
                <w:bCs/>
                <w:i/>
                <w:sz w:val="16"/>
                <w:szCs w:val="18"/>
                <w:lang w:val="ro-RO"/>
              </w:rPr>
              <w:t>4</w:t>
            </w:r>
          </w:p>
        </w:tc>
        <w:tc>
          <w:tcPr>
            <w:tcW w:w="1843" w:type="dxa"/>
          </w:tcPr>
          <w:p w14:paraId="28C82EF2" w14:textId="77777777" w:rsidR="009C0FCF" w:rsidRPr="000D19A7" w:rsidRDefault="009C0FCF" w:rsidP="009C0FCF">
            <w:pPr>
              <w:spacing w:line="276" w:lineRule="auto"/>
              <w:jc w:val="center"/>
              <w:rPr>
                <w:rFonts w:ascii="Times New Roman" w:hAnsi="Times New Roman"/>
                <w:bCs/>
                <w:i/>
                <w:sz w:val="16"/>
                <w:szCs w:val="18"/>
                <w:lang w:val="ro-RO"/>
              </w:rPr>
            </w:pPr>
            <w:r w:rsidRPr="000D19A7">
              <w:rPr>
                <w:rFonts w:ascii="Times New Roman" w:hAnsi="Times New Roman"/>
                <w:bCs/>
                <w:i/>
                <w:sz w:val="16"/>
                <w:szCs w:val="18"/>
                <w:lang w:val="ro-RO"/>
              </w:rPr>
              <w:t>5</w:t>
            </w:r>
          </w:p>
        </w:tc>
      </w:tr>
      <w:tr w:rsidR="009C0FCF" w:rsidRPr="000D19A7" w14:paraId="478B16EF" w14:textId="77777777" w:rsidTr="009C0FCF">
        <w:trPr>
          <w:trHeight w:val="249"/>
        </w:trPr>
        <w:tc>
          <w:tcPr>
            <w:tcW w:w="9351" w:type="dxa"/>
            <w:gridSpan w:val="4"/>
          </w:tcPr>
          <w:p w14:paraId="65213F6D" w14:textId="6390B6DA" w:rsidR="009C0FCF" w:rsidRPr="000D19A7" w:rsidRDefault="000F0B59" w:rsidP="009C0FCF">
            <w:pPr>
              <w:spacing w:line="276" w:lineRule="auto"/>
              <w:jc w:val="center"/>
              <w:rPr>
                <w:rFonts w:ascii="Times New Roman" w:hAnsi="Times New Roman"/>
                <w:b/>
                <w:bCs/>
                <w:sz w:val="18"/>
                <w:szCs w:val="18"/>
                <w:lang w:val="ro-RO"/>
              </w:rPr>
            </w:pPr>
            <w:r>
              <w:rPr>
                <w:rFonts w:ascii="Times New Roman" w:hAnsi="Times New Roman"/>
                <w:b/>
                <w:bCs/>
                <w:sz w:val="20"/>
                <w:szCs w:val="18"/>
                <w:lang w:val="ro-RO"/>
              </w:rPr>
              <w:t xml:space="preserve">4.1. </w:t>
            </w:r>
            <w:r w:rsidR="009C0FCF" w:rsidRPr="000D19A7">
              <w:rPr>
                <w:rFonts w:ascii="Times New Roman" w:hAnsi="Times New Roman"/>
                <w:b/>
                <w:bCs/>
                <w:sz w:val="18"/>
                <w:szCs w:val="18"/>
                <w:lang w:val="ro-RO"/>
              </w:rPr>
              <w:t>Ministerul Finanțelor a asigurat conformitatea managementului datoriei de stat în raport cu prevederile cadrului normativ aplicabil?</w:t>
            </w:r>
          </w:p>
        </w:tc>
      </w:tr>
      <w:tr w:rsidR="009C0FCF" w:rsidRPr="000D19A7" w14:paraId="40B1DB63" w14:textId="77777777" w:rsidTr="009C0FCF">
        <w:trPr>
          <w:trHeight w:val="249"/>
        </w:trPr>
        <w:tc>
          <w:tcPr>
            <w:tcW w:w="1555" w:type="dxa"/>
          </w:tcPr>
          <w:p w14:paraId="19DCC3C2" w14:textId="105AE926" w:rsidR="009C0FCF" w:rsidRPr="000D19A7" w:rsidRDefault="00AC40A8" w:rsidP="009C0FCF">
            <w:pPr>
              <w:spacing w:line="276" w:lineRule="auto"/>
              <w:jc w:val="both"/>
              <w:rPr>
                <w:rFonts w:ascii="Times New Roman" w:hAnsi="Times New Roman"/>
                <w:b/>
                <w:sz w:val="18"/>
                <w:szCs w:val="18"/>
                <w:lang w:val="ro-RO"/>
              </w:rPr>
            </w:pPr>
            <w:r w:rsidRPr="000D19A7">
              <w:rPr>
                <w:rFonts w:ascii="Times New Roman" w:hAnsi="Times New Roman"/>
                <w:b/>
                <w:sz w:val="18"/>
                <w:szCs w:val="18"/>
                <w:lang w:val="ro-RO"/>
              </w:rPr>
              <w:t>Paragraful 4.1.1</w:t>
            </w:r>
            <w:r w:rsidR="00727FF1" w:rsidRPr="000D19A7">
              <w:rPr>
                <w:rFonts w:ascii="Times New Roman" w:hAnsi="Times New Roman"/>
                <w:b/>
                <w:sz w:val="18"/>
                <w:szCs w:val="18"/>
                <w:lang w:val="ro-RO"/>
              </w:rPr>
              <w:t>.</w:t>
            </w:r>
          </w:p>
          <w:p w14:paraId="454E9622" w14:textId="77777777" w:rsidR="009C0FCF" w:rsidRPr="000D19A7" w:rsidRDefault="009C0FCF" w:rsidP="009C0FCF">
            <w:pPr>
              <w:spacing w:line="276" w:lineRule="auto"/>
              <w:jc w:val="both"/>
              <w:rPr>
                <w:rFonts w:ascii="Times New Roman" w:hAnsi="Times New Roman"/>
                <w:b/>
                <w:sz w:val="18"/>
                <w:szCs w:val="18"/>
                <w:lang w:val="ro-MD"/>
              </w:rPr>
            </w:pPr>
            <w:r w:rsidRPr="000D19A7">
              <w:rPr>
                <w:rFonts w:ascii="Times New Roman" w:hAnsi="Times New Roman"/>
                <w:sz w:val="18"/>
                <w:szCs w:val="18"/>
                <w:lang w:val="ro-RO"/>
              </w:rPr>
              <w:t>Riscul de neimplementare a platformei de tranzacționare în mod direct a VMS către persoanele fizice</w:t>
            </w:r>
          </w:p>
        </w:tc>
        <w:tc>
          <w:tcPr>
            <w:tcW w:w="3118" w:type="dxa"/>
          </w:tcPr>
          <w:p w14:paraId="72E27A14" w14:textId="77777777" w:rsidR="009C0FCF" w:rsidRPr="000D19A7" w:rsidRDefault="009C0FCF" w:rsidP="009C0FCF">
            <w:pPr>
              <w:spacing w:line="276" w:lineRule="auto"/>
              <w:contextualSpacing/>
              <w:jc w:val="both"/>
              <w:rPr>
                <w:rFonts w:ascii="Times New Roman" w:hAnsi="Times New Roman"/>
                <w:sz w:val="18"/>
                <w:szCs w:val="18"/>
                <w:lang w:val="ro-MD"/>
              </w:rPr>
            </w:pPr>
            <w:r w:rsidRPr="000D19A7">
              <w:rPr>
                <w:rFonts w:ascii="Times New Roman" w:hAnsi="Times New Roman"/>
                <w:sz w:val="18"/>
                <w:szCs w:val="18"/>
                <w:lang w:val="ro-MD"/>
              </w:rPr>
              <w:t>Valorile mobiliare de stat se emit:</w:t>
            </w:r>
          </w:p>
          <w:p w14:paraId="75724866" w14:textId="77777777" w:rsidR="009C0FCF" w:rsidRPr="000D19A7" w:rsidRDefault="009C0FCF" w:rsidP="009C0FCF">
            <w:pPr>
              <w:spacing w:line="276" w:lineRule="auto"/>
              <w:contextualSpacing/>
              <w:jc w:val="both"/>
              <w:rPr>
                <w:rFonts w:ascii="Times New Roman" w:hAnsi="Times New Roman"/>
                <w:sz w:val="18"/>
                <w:szCs w:val="18"/>
                <w:lang w:val="ro-MD"/>
              </w:rPr>
            </w:pPr>
            <w:r w:rsidRPr="000D19A7">
              <w:rPr>
                <w:rFonts w:ascii="Times New Roman" w:hAnsi="Times New Roman"/>
                <w:sz w:val="18"/>
                <w:szCs w:val="18"/>
                <w:lang w:val="ro-MD"/>
              </w:rPr>
              <w:t>a) în formă de înscriere în cont, ca valori mobiliare pentru care emisiunea, evidența, confirmarea dreptului de proprietate și plata sumei principale și a dobânzilor (cupoanelor) aferente se efectuează prin intermediul conturilor și registrelor Depozitarului central unic al valorilor mobiliare;</w:t>
            </w:r>
          </w:p>
          <w:p w14:paraId="3C506A10" w14:textId="77777777" w:rsidR="009C0FCF" w:rsidRPr="000D19A7" w:rsidRDefault="009C0FCF" w:rsidP="009C0FCF">
            <w:pPr>
              <w:spacing w:line="276" w:lineRule="auto"/>
              <w:contextualSpacing/>
              <w:jc w:val="both"/>
              <w:rPr>
                <w:rFonts w:ascii="Times New Roman" w:hAnsi="Times New Roman"/>
                <w:sz w:val="18"/>
                <w:szCs w:val="18"/>
                <w:lang w:val="ro-MD"/>
              </w:rPr>
            </w:pPr>
            <w:r w:rsidRPr="000D19A7">
              <w:rPr>
                <w:rFonts w:ascii="Times New Roman" w:hAnsi="Times New Roman"/>
                <w:sz w:val="18"/>
                <w:szCs w:val="18"/>
                <w:lang w:val="ro-MD"/>
              </w:rPr>
              <w:t>b) în formă de înscriere în cont, prin plasament direct către persoanele fizice, pentru care evidența, confirmarea dreptului de proprietate și plata sumei principale și a dobânzilor (cupoanelor) aferente se efectuează de către MF prin intermediul Programului de vânzare directă a valorilor mobiliare de stat persoanelor fizice în Republica Moldova.</w:t>
            </w:r>
          </w:p>
          <w:p w14:paraId="7401CF23" w14:textId="388A13C4" w:rsidR="009C0FCF" w:rsidRPr="000D19A7" w:rsidRDefault="009C0FCF" w:rsidP="009C0FCF">
            <w:pPr>
              <w:spacing w:line="276" w:lineRule="auto"/>
              <w:contextualSpacing/>
              <w:jc w:val="both"/>
              <w:rPr>
                <w:rFonts w:ascii="Times New Roman" w:hAnsi="Times New Roman"/>
                <w:sz w:val="18"/>
                <w:szCs w:val="18"/>
                <w:lang w:val="ro-MD"/>
              </w:rPr>
            </w:pPr>
            <w:r w:rsidRPr="000D19A7">
              <w:rPr>
                <w:rFonts w:ascii="Times New Roman" w:hAnsi="Times New Roman"/>
                <w:sz w:val="18"/>
                <w:szCs w:val="18"/>
                <w:lang w:val="ro-MD"/>
              </w:rPr>
              <w:t xml:space="preserve"> </w:t>
            </w:r>
            <w:r w:rsidR="00727FF1" w:rsidRPr="000D19A7">
              <w:rPr>
                <w:rFonts w:ascii="Times New Roman" w:hAnsi="Times New Roman"/>
                <w:i/>
                <w:sz w:val="18"/>
                <w:szCs w:val="18"/>
                <w:lang w:val="ro-MD"/>
              </w:rPr>
              <w:t>(a</w:t>
            </w:r>
            <w:r w:rsidRPr="000D19A7">
              <w:rPr>
                <w:rFonts w:ascii="Times New Roman" w:hAnsi="Times New Roman"/>
                <w:i/>
                <w:sz w:val="18"/>
                <w:szCs w:val="18"/>
                <w:lang w:val="ro-MD"/>
              </w:rPr>
              <w:t>rt. 16 din Legea nr. 419-XVI din 22.12.2006 cu privire la datoria sectorului public, garanțiile de stat și recreditarea de stat )</w:t>
            </w:r>
            <w:r w:rsidR="00727FF1" w:rsidRPr="000D19A7">
              <w:rPr>
                <w:rFonts w:ascii="Times New Roman" w:hAnsi="Times New Roman"/>
                <w:i/>
                <w:sz w:val="18"/>
                <w:szCs w:val="18"/>
                <w:lang w:val="ro-MD"/>
              </w:rPr>
              <w:t>.</w:t>
            </w:r>
          </w:p>
          <w:p w14:paraId="04745E11" w14:textId="305A9205" w:rsidR="009C0FCF" w:rsidRPr="000D19A7" w:rsidRDefault="009C0FCF" w:rsidP="009C0FCF">
            <w:pPr>
              <w:spacing w:line="276" w:lineRule="auto"/>
              <w:contextualSpacing/>
              <w:jc w:val="both"/>
              <w:rPr>
                <w:rFonts w:ascii="Times New Roman" w:hAnsi="Times New Roman"/>
                <w:sz w:val="18"/>
                <w:szCs w:val="18"/>
                <w:lang w:val="ro-MD"/>
              </w:rPr>
            </w:pPr>
            <w:r w:rsidRPr="000D19A7">
              <w:rPr>
                <w:rFonts w:ascii="Times New Roman" w:hAnsi="Times New Roman"/>
                <w:sz w:val="18"/>
                <w:szCs w:val="18"/>
                <w:lang w:val="ro-MD"/>
              </w:rPr>
              <w:t>Unul din obiectivele specifice privind gestionarea datoriei de stat în perioada 2022-2024</w:t>
            </w:r>
            <w:r w:rsidR="00727FF1" w:rsidRPr="000D19A7">
              <w:rPr>
                <w:rFonts w:ascii="Times New Roman" w:hAnsi="Times New Roman"/>
                <w:sz w:val="18"/>
                <w:szCs w:val="18"/>
                <w:lang w:val="ro-MD"/>
              </w:rPr>
              <w:t>,</w:t>
            </w:r>
            <w:r w:rsidRPr="000D19A7">
              <w:rPr>
                <w:rFonts w:ascii="Times New Roman" w:hAnsi="Times New Roman"/>
                <w:sz w:val="18"/>
                <w:szCs w:val="18"/>
                <w:lang w:val="ro-MD"/>
              </w:rPr>
              <w:t xml:space="preserve"> propus în Programul „Managementul datoriei de stat pe termen mediu (2022-2024)”</w:t>
            </w:r>
            <w:r w:rsidR="00727FF1" w:rsidRPr="000D19A7">
              <w:rPr>
                <w:rFonts w:ascii="Times New Roman" w:hAnsi="Times New Roman"/>
                <w:sz w:val="18"/>
                <w:szCs w:val="18"/>
                <w:lang w:val="ro-MD"/>
              </w:rPr>
              <w:t>,</w:t>
            </w:r>
            <w:r w:rsidRPr="000D19A7">
              <w:rPr>
                <w:rFonts w:ascii="Times New Roman" w:hAnsi="Times New Roman"/>
                <w:sz w:val="18"/>
                <w:szCs w:val="18"/>
                <w:lang w:val="ro-MD"/>
              </w:rPr>
              <w:t xml:space="preserve"> este „diversificarea canalelor de vânzare a VMS odată cu implementarea platformei de tranzacționare în mod direct a VMS către persoanele fizice”, activitate care era preconiza</w:t>
            </w:r>
            <w:r w:rsidR="00727FF1" w:rsidRPr="000D19A7">
              <w:rPr>
                <w:rFonts w:ascii="Times New Roman" w:hAnsi="Times New Roman"/>
                <w:sz w:val="18"/>
                <w:szCs w:val="18"/>
                <w:lang w:val="ro-MD"/>
              </w:rPr>
              <w:t xml:space="preserve">tă pentru finele anului 2022. </w:t>
            </w:r>
            <w:r w:rsidRPr="000D19A7">
              <w:rPr>
                <w:rFonts w:ascii="Times New Roman" w:hAnsi="Times New Roman"/>
                <w:i/>
                <w:sz w:val="18"/>
                <w:szCs w:val="18"/>
                <w:lang w:val="ro-MD"/>
              </w:rPr>
              <w:t>(Programul „Managementul datoriei de stat pe termen mediu (2022-2024)”)</w:t>
            </w:r>
            <w:r w:rsidR="00727FF1" w:rsidRPr="000D19A7">
              <w:rPr>
                <w:rFonts w:ascii="Times New Roman" w:hAnsi="Times New Roman"/>
                <w:sz w:val="18"/>
                <w:szCs w:val="18"/>
                <w:lang w:val="ro-MD"/>
              </w:rPr>
              <w:t>.</w:t>
            </w:r>
          </w:p>
        </w:tc>
        <w:tc>
          <w:tcPr>
            <w:tcW w:w="2835" w:type="dxa"/>
          </w:tcPr>
          <w:p w14:paraId="7F495876" w14:textId="77777777"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Examinarea măsurilor întreprinse de MF în vederea implementării platformei de tranzacționare în mod direct a VMS către persoanele fizice</w:t>
            </w:r>
          </w:p>
        </w:tc>
        <w:tc>
          <w:tcPr>
            <w:tcW w:w="1843" w:type="dxa"/>
          </w:tcPr>
          <w:p w14:paraId="3BD3A01A" w14:textId="77777777" w:rsidR="009C0FCF" w:rsidRPr="000D19A7" w:rsidRDefault="009C0FCF" w:rsidP="009C0FCF">
            <w:pPr>
              <w:spacing w:line="276" w:lineRule="auto"/>
              <w:jc w:val="center"/>
              <w:rPr>
                <w:rFonts w:ascii="Times New Roman" w:hAnsi="Times New Roman"/>
                <w:sz w:val="18"/>
                <w:szCs w:val="18"/>
                <w:lang w:val="ro-RO"/>
              </w:rPr>
            </w:pPr>
            <w:r w:rsidRPr="000D19A7">
              <w:rPr>
                <w:rFonts w:ascii="Times New Roman" w:hAnsi="Times New Roman"/>
                <w:sz w:val="18"/>
                <w:szCs w:val="18"/>
                <w:lang w:val="ro-RO"/>
              </w:rPr>
              <w:t>100%</w:t>
            </w:r>
          </w:p>
        </w:tc>
      </w:tr>
      <w:tr w:rsidR="009C0FCF" w:rsidRPr="000D19A7" w14:paraId="6DC41AC6" w14:textId="77777777" w:rsidTr="009C0FCF">
        <w:trPr>
          <w:trHeight w:val="249"/>
        </w:trPr>
        <w:tc>
          <w:tcPr>
            <w:tcW w:w="1555" w:type="dxa"/>
          </w:tcPr>
          <w:p w14:paraId="023A4BEC" w14:textId="14A05353" w:rsidR="009C0FCF" w:rsidRPr="000D19A7" w:rsidRDefault="009C0FCF" w:rsidP="009C0FCF">
            <w:pPr>
              <w:spacing w:line="276" w:lineRule="auto"/>
              <w:jc w:val="both"/>
              <w:rPr>
                <w:rFonts w:ascii="Times New Roman" w:hAnsi="Times New Roman"/>
                <w:b/>
                <w:sz w:val="18"/>
                <w:szCs w:val="18"/>
                <w:lang w:val="ro-RO"/>
              </w:rPr>
            </w:pPr>
            <w:r w:rsidRPr="000D19A7">
              <w:rPr>
                <w:rFonts w:ascii="Times New Roman" w:hAnsi="Times New Roman"/>
                <w:b/>
                <w:sz w:val="18"/>
                <w:szCs w:val="18"/>
                <w:lang w:val="ro-RO"/>
              </w:rPr>
              <w:t>Paragraful 4.1.3</w:t>
            </w:r>
            <w:r w:rsidR="00727FF1" w:rsidRPr="000D19A7">
              <w:rPr>
                <w:rFonts w:ascii="Times New Roman" w:hAnsi="Times New Roman"/>
                <w:b/>
                <w:sz w:val="18"/>
                <w:szCs w:val="18"/>
                <w:lang w:val="ro-RO"/>
              </w:rPr>
              <w:t>.</w:t>
            </w:r>
          </w:p>
          <w:p w14:paraId="117F3FE1" w14:textId="3F30E5D6" w:rsidR="009C0FCF" w:rsidRPr="000D19A7" w:rsidRDefault="009C0FCF" w:rsidP="000F4BCE">
            <w:pPr>
              <w:spacing w:line="276" w:lineRule="auto"/>
              <w:jc w:val="both"/>
              <w:rPr>
                <w:rFonts w:ascii="Times New Roman" w:hAnsi="Times New Roman"/>
                <w:sz w:val="18"/>
                <w:szCs w:val="18"/>
                <w:lang w:val="ro-RO"/>
              </w:rPr>
            </w:pPr>
            <w:r w:rsidRPr="000D19A7">
              <w:rPr>
                <w:rFonts w:ascii="Times New Roman" w:hAnsi="Times New Roman"/>
                <w:sz w:val="18"/>
                <w:szCs w:val="18"/>
                <w:lang w:val="ro-RO"/>
              </w:rPr>
              <w:t xml:space="preserve">Riscul de </w:t>
            </w:r>
            <w:r w:rsidR="004B6472" w:rsidRPr="000D19A7">
              <w:rPr>
                <w:rFonts w:ascii="Times New Roman" w:hAnsi="Times New Roman"/>
                <w:sz w:val="18"/>
                <w:szCs w:val="18"/>
                <w:lang w:val="ro-RO"/>
              </w:rPr>
              <w:t>menținere în continuare</w:t>
            </w:r>
            <w:r w:rsidRPr="000D19A7">
              <w:rPr>
                <w:rFonts w:ascii="Times New Roman" w:hAnsi="Times New Roman"/>
                <w:sz w:val="18"/>
                <w:szCs w:val="18"/>
                <w:lang w:val="ro-RO"/>
              </w:rPr>
              <w:t xml:space="preserve"> </w:t>
            </w:r>
            <w:r w:rsidR="004B6472" w:rsidRPr="000D19A7">
              <w:rPr>
                <w:rFonts w:ascii="Times New Roman" w:hAnsi="Times New Roman"/>
                <w:sz w:val="18"/>
                <w:szCs w:val="18"/>
                <w:lang w:val="ro-RO"/>
              </w:rPr>
              <w:t>a soldurilo</w:t>
            </w:r>
            <w:r w:rsidR="000F4BCE" w:rsidRPr="000D19A7">
              <w:rPr>
                <w:rFonts w:ascii="Times New Roman" w:hAnsi="Times New Roman"/>
                <w:sz w:val="18"/>
                <w:szCs w:val="18"/>
                <w:lang w:val="ro-RO"/>
              </w:rPr>
              <w:t xml:space="preserve">r semnificative aferente datoriilor </w:t>
            </w:r>
            <w:r w:rsidR="004B6472" w:rsidRPr="000D19A7">
              <w:rPr>
                <w:rFonts w:ascii="Times New Roman" w:hAnsi="Times New Roman"/>
                <w:sz w:val="18"/>
                <w:szCs w:val="18"/>
                <w:lang w:val="ro-RO"/>
              </w:rPr>
              <w:t>băncillor</w:t>
            </w:r>
            <w:r w:rsidRPr="000D19A7">
              <w:rPr>
                <w:rFonts w:ascii="Times New Roman" w:hAnsi="Times New Roman"/>
                <w:sz w:val="18"/>
                <w:szCs w:val="18"/>
                <w:lang w:val="ro-RO"/>
              </w:rPr>
              <w:t xml:space="preserve"> aflate în proces de lichidare</w:t>
            </w:r>
            <w:r w:rsidR="004B6472" w:rsidRPr="000D19A7">
              <w:rPr>
                <w:rFonts w:ascii="Times New Roman" w:hAnsi="Times New Roman"/>
                <w:sz w:val="18"/>
                <w:szCs w:val="18"/>
                <w:lang w:val="ro-RO"/>
              </w:rPr>
              <w:t xml:space="preserve"> față de MF</w:t>
            </w:r>
          </w:p>
        </w:tc>
        <w:tc>
          <w:tcPr>
            <w:tcW w:w="3118" w:type="dxa"/>
          </w:tcPr>
          <w:p w14:paraId="5DED0AD2" w14:textId="6C48DAC1" w:rsidR="008344B1" w:rsidRPr="000D19A7" w:rsidRDefault="008344B1" w:rsidP="009C0FCF">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MF este autorizat să emită și să transmită OS către BNM în vederea executării obligațiilor de plată derivate din garanțiile de stat acordate de BNM pentru garantarea creditelor de urgență în cazul băncilor supuse lichidării.</w:t>
            </w:r>
          </w:p>
          <w:p w14:paraId="59C2557C" w14:textId="67164F4C" w:rsidR="009C0FCF" w:rsidRPr="000D19A7" w:rsidRDefault="009C0FCF" w:rsidP="009C0FCF">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Creanțele MF față de băncile aflate în proces de lichidare, obținute în urma subrogării BNM conform art.3 alin.(1), se onorează conform art.38</w:t>
            </w:r>
            <w:r w:rsidRPr="000D19A7">
              <w:rPr>
                <w:rFonts w:ascii="Times New Roman" w:hAnsi="Times New Roman"/>
                <w:sz w:val="18"/>
                <w:szCs w:val="18"/>
                <w:vertAlign w:val="superscript"/>
                <w:lang w:val="ro-RO"/>
              </w:rPr>
              <w:t>11</w:t>
            </w:r>
            <w:r w:rsidRPr="000D19A7">
              <w:rPr>
                <w:rFonts w:ascii="Times New Roman" w:hAnsi="Times New Roman"/>
                <w:sz w:val="18"/>
                <w:szCs w:val="18"/>
                <w:lang w:val="ro-RO"/>
              </w:rPr>
              <w:t xml:space="preserve"> alin.(3) lit.a</w:t>
            </w:r>
            <w:r w:rsidRPr="000D19A7">
              <w:rPr>
                <w:rFonts w:ascii="Times New Roman" w:hAnsi="Times New Roman"/>
                <w:sz w:val="18"/>
                <w:szCs w:val="18"/>
                <w:vertAlign w:val="superscript"/>
                <w:lang w:val="ro-RO"/>
              </w:rPr>
              <w:t>1</w:t>
            </w:r>
            <w:r w:rsidRPr="000D19A7">
              <w:rPr>
                <w:rFonts w:ascii="Times New Roman" w:hAnsi="Times New Roman"/>
                <w:sz w:val="18"/>
                <w:szCs w:val="18"/>
                <w:lang w:val="ro-RO"/>
              </w:rPr>
              <w:t xml:space="preserve">) din Legea instituțiilor financiare nr.550-XIII din 21 iulie 1995 </w:t>
            </w:r>
            <w:r w:rsidRPr="000D19A7">
              <w:rPr>
                <w:rFonts w:ascii="Times New Roman" w:hAnsi="Times New Roman"/>
                <w:i/>
                <w:sz w:val="18"/>
                <w:szCs w:val="18"/>
                <w:lang w:val="ro-RO"/>
              </w:rPr>
              <w:t>(art.4 din Legea nr.235 din 03.10.2016 privind emisiunea obligațiunilor de stat în vederea executării de către MF a obligațiilor de plată derivate din garanțiile de stat nr.807 din 17 noiembrie 2014 și nr.101 din 01.04.2015)</w:t>
            </w:r>
          </w:p>
        </w:tc>
        <w:tc>
          <w:tcPr>
            <w:tcW w:w="2835" w:type="dxa"/>
          </w:tcPr>
          <w:p w14:paraId="0F56501D" w14:textId="5168D75F" w:rsidR="009C0FCF" w:rsidRPr="000D19A7" w:rsidRDefault="009C0FCF" w:rsidP="00727FF1">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 xml:space="preserve">Verificarea nivelului de restituire a datoriilor de către băncile aflate în proces de lichidare, precum și măsurile întreprinse de MF </w:t>
            </w:r>
            <w:r w:rsidR="00727FF1" w:rsidRPr="000D19A7">
              <w:rPr>
                <w:rFonts w:ascii="Times New Roman" w:hAnsi="Times New Roman"/>
                <w:sz w:val="18"/>
                <w:szCs w:val="18"/>
                <w:lang w:val="ro-RO"/>
              </w:rPr>
              <w:t xml:space="preserve">pentru </w:t>
            </w:r>
            <w:r w:rsidRPr="000D19A7">
              <w:rPr>
                <w:rFonts w:ascii="Times New Roman" w:hAnsi="Times New Roman"/>
                <w:sz w:val="18"/>
                <w:szCs w:val="18"/>
                <w:lang w:val="ro-RO"/>
              </w:rPr>
              <w:t>soluționarea problemei date.</w:t>
            </w:r>
          </w:p>
        </w:tc>
        <w:tc>
          <w:tcPr>
            <w:tcW w:w="1843" w:type="dxa"/>
          </w:tcPr>
          <w:p w14:paraId="7D4C28BF" w14:textId="77777777" w:rsidR="009C0FCF" w:rsidRPr="000D19A7" w:rsidRDefault="009C0FCF" w:rsidP="009C0FCF">
            <w:pPr>
              <w:spacing w:line="276" w:lineRule="auto"/>
              <w:jc w:val="center"/>
              <w:rPr>
                <w:rFonts w:ascii="Times New Roman" w:hAnsi="Times New Roman"/>
                <w:sz w:val="18"/>
                <w:szCs w:val="18"/>
                <w:lang w:val="ro-RO"/>
              </w:rPr>
            </w:pPr>
            <w:r w:rsidRPr="000D19A7">
              <w:rPr>
                <w:rFonts w:ascii="Times New Roman" w:hAnsi="Times New Roman"/>
                <w:sz w:val="18"/>
                <w:szCs w:val="18"/>
                <w:lang w:val="ro-RO"/>
              </w:rPr>
              <w:t>100%</w:t>
            </w:r>
          </w:p>
        </w:tc>
      </w:tr>
      <w:tr w:rsidR="009C0FCF" w:rsidRPr="000D19A7" w14:paraId="2FEB71E7" w14:textId="77777777" w:rsidTr="009C0FCF">
        <w:trPr>
          <w:trHeight w:val="249"/>
        </w:trPr>
        <w:tc>
          <w:tcPr>
            <w:tcW w:w="1555" w:type="dxa"/>
          </w:tcPr>
          <w:p w14:paraId="174413A5" w14:textId="5E573E40" w:rsidR="009C0FCF" w:rsidRPr="000D19A7" w:rsidRDefault="009C0FCF" w:rsidP="009C0FCF">
            <w:pPr>
              <w:spacing w:line="276" w:lineRule="auto"/>
              <w:jc w:val="both"/>
              <w:rPr>
                <w:rFonts w:ascii="Times New Roman" w:hAnsi="Times New Roman"/>
                <w:b/>
                <w:sz w:val="18"/>
                <w:szCs w:val="18"/>
                <w:lang w:val="ro-RO"/>
              </w:rPr>
            </w:pPr>
            <w:r w:rsidRPr="000D19A7">
              <w:rPr>
                <w:rFonts w:ascii="Times New Roman" w:hAnsi="Times New Roman"/>
                <w:b/>
                <w:sz w:val="18"/>
                <w:szCs w:val="18"/>
                <w:lang w:val="ro-RO"/>
              </w:rPr>
              <w:t>Paragraful 4.1.4</w:t>
            </w:r>
            <w:r w:rsidR="00727FF1" w:rsidRPr="000D19A7">
              <w:rPr>
                <w:rFonts w:ascii="Times New Roman" w:hAnsi="Times New Roman"/>
                <w:b/>
                <w:sz w:val="18"/>
                <w:szCs w:val="18"/>
                <w:lang w:val="ro-RO"/>
              </w:rPr>
              <w:t>.</w:t>
            </w:r>
          </w:p>
          <w:p w14:paraId="29B26235" w14:textId="12050D79" w:rsidR="009C0FCF" w:rsidRPr="000D19A7" w:rsidRDefault="000F4BCE" w:rsidP="000F4BCE">
            <w:pPr>
              <w:spacing w:line="276" w:lineRule="auto"/>
              <w:jc w:val="both"/>
              <w:rPr>
                <w:rFonts w:ascii="Times New Roman" w:hAnsi="Times New Roman"/>
                <w:sz w:val="18"/>
                <w:szCs w:val="18"/>
                <w:lang w:val="ro-RO"/>
              </w:rPr>
            </w:pPr>
            <w:r w:rsidRPr="000D19A7">
              <w:rPr>
                <w:rFonts w:ascii="Times New Roman" w:hAnsi="Times New Roman"/>
                <w:sz w:val="18"/>
                <w:szCs w:val="18"/>
                <w:lang w:val="ro-RO"/>
              </w:rPr>
              <w:t>Riscul de nedebursare și nevalorificare a mijloacelor aferente implementării proiectelor investiționale</w:t>
            </w:r>
          </w:p>
        </w:tc>
        <w:tc>
          <w:tcPr>
            <w:tcW w:w="3118" w:type="dxa"/>
          </w:tcPr>
          <w:p w14:paraId="6D36D78B" w14:textId="65038945" w:rsidR="009C0FCF" w:rsidRPr="000D19A7" w:rsidRDefault="009C0FCF" w:rsidP="009C0FCF">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Autoritățile administrației publice centrale/autoritățile publice care beneficiază de mijloace obținute din împrumuturi de stat externe, prin care sânt realizate proiectele finanțate din surse externe, monitorizează implementarea și realizarea scopurilor acestor proiecte.</w:t>
            </w:r>
            <w:r w:rsidR="00727FF1" w:rsidRPr="000D19A7">
              <w:rPr>
                <w:rFonts w:ascii="Times New Roman" w:hAnsi="Times New Roman"/>
                <w:sz w:val="40"/>
                <w:lang w:val="ro-RO"/>
              </w:rPr>
              <w:t xml:space="preserve"> </w:t>
            </w:r>
            <w:r w:rsidRPr="000D19A7">
              <w:rPr>
                <w:rFonts w:ascii="Times New Roman" w:hAnsi="Times New Roman"/>
                <w:i/>
                <w:sz w:val="18"/>
                <w:szCs w:val="18"/>
                <w:lang w:val="ro-RO"/>
              </w:rPr>
              <w:t>(art. 27, alin.(4) din Legea nr.419-XVI din 22.2.2006 cu privire la datoria sectorului public, garanțiile de stat și recreditarea de stat)</w:t>
            </w:r>
          </w:p>
          <w:p w14:paraId="2383EF1B" w14:textId="678100D0" w:rsidR="00935762" w:rsidRPr="000D19A7" w:rsidRDefault="00935762" w:rsidP="009C0FCF">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MF monitorizează implementarea mijloacelor valorificate din împrumuturile de stat externe, totodată, ministerele de ramură controlează și poartă răspundere pentru realizarea proiectelor finanțate din surse externe în conformitate cu informația, prezentată în mod obligatoriu de către unitățile speciale responsabile de implementarea acestor proiecte și programe, precum și în baza informației primite de la creditori. Formele și termenele de pr</w:t>
            </w:r>
            <w:r w:rsidR="00727FF1" w:rsidRPr="000D19A7">
              <w:rPr>
                <w:rFonts w:ascii="Times New Roman" w:hAnsi="Times New Roman"/>
                <w:sz w:val="18"/>
                <w:szCs w:val="18"/>
                <w:lang w:val="ro-RO"/>
              </w:rPr>
              <w:t>ezentare a acestei informații su</w:t>
            </w:r>
            <w:r w:rsidRPr="000D19A7">
              <w:rPr>
                <w:rFonts w:ascii="Times New Roman" w:hAnsi="Times New Roman"/>
                <w:sz w:val="18"/>
                <w:szCs w:val="18"/>
                <w:lang w:val="ro-RO"/>
              </w:rPr>
              <w:t xml:space="preserve">nt stabilite de către MF </w:t>
            </w:r>
            <w:r w:rsidRPr="000D19A7">
              <w:rPr>
                <w:rFonts w:ascii="Times New Roman" w:hAnsi="Times New Roman"/>
                <w:i/>
                <w:sz w:val="18"/>
                <w:szCs w:val="18"/>
                <w:lang w:val="ro-RO"/>
              </w:rPr>
              <w:t>(pct.10 din Regulamentul privind procedura de contractare a datoriei de stat și debursare a împrumuturilor de stat externe și interne (Anexa 7), aprobat prin HG nr.1136 din 18.10.2007)</w:t>
            </w:r>
            <w:r w:rsidR="00727FF1" w:rsidRPr="000D19A7">
              <w:rPr>
                <w:rFonts w:ascii="Times New Roman" w:hAnsi="Times New Roman"/>
                <w:sz w:val="18"/>
                <w:szCs w:val="18"/>
                <w:lang w:val="ro-RO"/>
              </w:rPr>
              <w:t>.</w:t>
            </w:r>
          </w:p>
          <w:p w14:paraId="6FA71EFF" w14:textId="21163D35" w:rsidR="000F4BCE" w:rsidRPr="000D19A7" w:rsidRDefault="000F4BCE" w:rsidP="009C0FCF">
            <w:pPr>
              <w:spacing w:line="276" w:lineRule="auto"/>
              <w:contextualSpacing/>
              <w:jc w:val="both"/>
              <w:rPr>
                <w:rFonts w:ascii="Times New Roman" w:hAnsi="Times New Roman"/>
                <w:sz w:val="18"/>
                <w:szCs w:val="18"/>
                <w:lang w:val="ro-RO"/>
              </w:rPr>
            </w:pPr>
          </w:p>
        </w:tc>
        <w:tc>
          <w:tcPr>
            <w:tcW w:w="2835" w:type="dxa"/>
          </w:tcPr>
          <w:p w14:paraId="39583310" w14:textId="16041F11"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 xml:space="preserve">Analiza nivelului de debursare a resurselor financiare din împrumuturi externe, cu explicarea cauzelor de nedebursare din partea beneficiarilor de mijloace respective. (41 </w:t>
            </w:r>
            <w:r w:rsidR="00727FF1" w:rsidRPr="000D19A7">
              <w:rPr>
                <w:rFonts w:ascii="Times New Roman" w:hAnsi="Times New Roman"/>
                <w:sz w:val="18"/>
                <w:szCs w:val="18"/>
                <w:lang w:val="ro-RO"/>
              </w:rPr>
              <w:t xml:space="preserve">de </w:t>
            </w:r>
            <w:r w:rsidRPr="000D19A7">
              <w:rPr>
                <w:rFonts w:ascii="Times New Roman" w:hAnsi="Times New Roman"/>
                <w:sz w:val="18"/>
                <w:szCs w:val="18"/>
                <w:lang w:val="ro-RO"/>
              </w:rPr>
              <w:t>împrumuturi externe la care au fost înregistrate mijloace nedebursate)</w:t>
            </w:r>
          </w:p>
        </w:tc>
        <w:tc>
          <w:tcPr>
            <w:tcW w:w="1843" w:type="dxa"/>
          </w:tcPr>
          <w:p w14:paraId="0ACE85B0" w14:textId="77777777" w:rsidR="009C0FCF" w:rsidRPr="000D19A7" w:rsidRDefault="009C0FCF" w:rsidP="009C0FCF">
            <w:pPr>
              <w:spacing w:line="276" w:lineRule="auto"/>
              <w:jc w:val="center"/>
              <w:rPr>
                <w:rFonts w:ascii="Times New Roman" w:hAnsi="Times New Roman"/>
                <w:sz w:val="18"/>
                <w:szCs w:val="18"/>
                <w:lang w:val="ro-RO"/>
              </w:rPr>
            </w:pPr>
            <w:r w:rsidRPr="000D19A7">
              <w:rPr>
                <w:rFonts w:ascii="Times New Roman" w:hAnsi="Times New Roman"/>
                <w:sz w:val="18"/>
                <w:szCs w:val="18"/>
                <w:lang w:val="ro-RO"/>
              </w:rPr>
              <w:t>100%</w:t>
            </w:r>
          </w:p>
        </w:tc>
      </w:tr>
      <w:tr w:rsidR="009C0FCF" w:rsidRPr="000D19A7" w14:paraId="45611A6B" w14:textId="77777777" w:rsidTr="009C0FCF">
        <w:trPr>
          <w:trHeight w:val="249"/>
        </w:trPr>
        <w:tc>
          <w:tcPr>
            <w:tcW w:w="9351" w:type="dxa"/>
            <w:gridSpan w:val="4"/>
          </w:tcPr>
          <w:p w14:paraId="767D70E6" w14:textId="724B845B" w:rsidR="009C0FCF" w:rsidRPr="000D19A7" w:rsidRDefault="000B0F11" w:rsidP="009C0FCF">
            <w:pPr>
              <w:spacing w:line="276" w:lineRule="auto"/>
              <w:jc w:val="center"/>
              <w:rPr>
                <w:rFonts w:ascii="Times New Roman" w:hAnsi="Times New Roman"/>
                <w:b/>
                <w:sz w:val="18"/>
                <w:szCs w:val="18"/>
                <w:lang w:val="ro-RO"/>
              </w:rPr>
            </w:pPr>
            <w:r>
              <w:rPr>
                <w:rFonts w:ascii="Times New Roman" w:hAnsi="Times New Roman"/>
                <w:b/>
                <w:bCs/>
                <w:sz w:val="20"/>
                <w:szCs w:val="18"/>
                <w:lang w:val="ro-RO"/>
              </w:rPr>
              <w:t>4.2.</w:t>
            </w:r>
            <w:r w:rsidR="009C0FCF" w:rsidRPr="000D19A7">
              <w:rPr>
                <w:rFonts w:ascii="Times New Roman" w:hAnsi="Times New Roman"/>
                <w:sz w:val="18"/>
                <w:szCs w:val="18"/>
                <w:lang w:val="ro-RO"/>
              </w:rPr>
              <w:t xml:space="preserve"> </w:t>
            </w:r>
            <w:r w:rsidR="009C0FCF" w:rsidRPr="000D19A7">
              <w:rPr>
                <w:rFonts w:ascii="Times New Roman" w:hAnsi="Times New Roman"/>
                <w:b/>
                <w:sz w:val="18"/>
                <w:szCs w:val="18"/>
                <w:lang w:val="ro-RO"/>
              </w:rPr>
              <w:t>Ministerul Finanțelor a asigurat conformitatea acordării garanțiilor de stat în raport cu prevederile cadrului normativ aplicabil</w:t>
            </w:r>
            <w:r w:rsidR="00727FF1" w:rsidRPr="000D19A7">
              <w:rPr>
                <w:rFonts w:ascii="Times New Roman" w:hAnsi="Times New Roman"/>
                <w:b/>
                <w:sz w:val="18"/>
                <w:szCs w:val="18"/>
                <w:lang w:val="ro-RO"/>
              </w:rPr>
              <w:t>?</w:t>
            </w:r>
          </w:p>
        </w:tc>
      </w:tr>
      <w:tr w:rsidR="009C0FCF" w:rsidRPr="000D19A7" w14:paraId="435BD229" w14:textId="77777777" w:rsidTr="009C0FCF">
        <w:trPr>
          <w:trHeight w:val="249"/>
        </w:trPr>
        <w:tc>
          <w:tcPr>
            <w:tcW w:w="1555" w:type="dxa"/>
          </w:tcPr>
          <w:p w14:paraId="393F663E" w14:textId="6EE2A452" w:rsidR="009C0FCF" w:rsidRPr="000D19A7" w:rsidRDefault="00727FF1" w:rsidP="009C0FCF">
            <w:pPr>
              <w:spacing w:line="276" w:lineRule="auto"/>
              <w:jc w:val="both"/>
              <w:rPr>
                <w:rFonts w:ascii="Times New Roman" w:hAnsi="Times New Roman"/>
                <w:b/>
                <w:sz w:val="18"/>
                <w:szCs w:val="18"/>
                <w:lang w:val="ro-RO"/>
              </w:rPr>
            </w:pPr>
            <w:r w:rsidRPr="000D19A7">
              <w:rPr>
                <w:rFonts w:ascii="Times New Roman" w:hAnsi="Times New Roman"/>
                <w:b/>
                <w:sz w:val="18"/>
                <w:szCs w:val="18"/>
                <w:lang w:val="ro-RO"/>
              </w:rPr>
              <w:t>Paragraful 4.2.1.</w:t>
            </w:r>
          </w:p>
          <w:p w14:paraId="50423D87" w14:textId="050FE537" w:rsidR="009C0FCF" w:rsidRPr="000D19A7" w:rsidRDefault="009C0FCF" w:rsidP="00935762">
            <w:pPr>
              <w:spacing w:line="276" w:lineRule="auto"/>
              <w:jc w:val="both"/>
              <w:rPr>
                <w:rFonts w:ascii="Times New Roman" w:hAnsi="Times New Roman"/>
                <w:sz w:val="18"/>
                <w:szCs w:val="18"/>
                <w:lang w:val="ro-RO"/>
              </w:rPr>
            </w:pPr>
            <w:r w:rsidRPr="000D19A7">
              <w:rPr>
                <w:rFonts w:ascii="Times New Roman" w:hAnsi="Times New Roman"/>
                <w:sz w:val="18"/>
                <w:szCs w:val="18"/>
                <w:lang w:val="ro-RO"/>
              </w:rPr>
              <w:t xml:space="preserve">Riscul </w:t>
            </w:r>
            <w:r w:rsidR="00935762" w:rsidRPr="000D19A7">
              <w:rPr>
                <w:rFonts w:ascii="Times New Roman" w:hAnsi="Times New Roman"/>
                <w:sz w:val="18"/>
                <w:szCs w:val="18"/>
                <w:lang w:val="ro-RO"/>
              </w:rPr>
              <w:t xml:space="preserve">de creștere a numărului beneficiarilor </w:t>
            </w:r>
            <w:r w:rsidRPr="000D19A7">
              <w:rPr>
                <w:rFonts w:ascii="Times New Roman" w:hAnsi="Times New Roman"/>
                <w:sz w:val="18"/>
                <w:szCs w:val="18"/>
                <w:lang w:val="ro-RO"/>
              </w:rPr>
              <w:t>garantați în cadrul Programului de stat „Prima casă”</w:t>
            </w:r>
            <w:r w:rsidR="00935762" w:rsidRPr="000D19A7">
              <w:rPr>
                <w:rFonts w:ascii="Times New Roman" w:hAnsi="Times New Roman"/>
                <w:sz w:val="18"/>
                <w:szCs w:val="18"/>
                <w:lang w:val="ro-RO"/>
              </w:rPr>
              <w:t xml:space="preserve"> incapabili de a-și onora obligațiile aferente împrumuturilor contractate în cadrul programului</w:t>
            </w:r>
          </w:p>
        </w:tc>
        <w:tc>
          <w:tcPr>
            <w:tcW w:w="3118" w:type="dxa"/>
          </w:tcPr>
          <w:p w14:paraId="183F3831" w14:textId="2D9094D6" w:rsidR="009C0FCF" w:rsidRPr="000D19A7" w:rsidRDefault="009C0FCF" w:rsidP="009C0FCF">
            <w:pPr>
              <w:spacing w:line="276" w:lineRule="auto"/>
              <w:contextualSpacing/>
              <w:jc w:val="both"/>
              <w:rPr>
                <w:rFonts w:ascii="Times New Roman" w:hAnsi="Times New Roman"/>
                <w:b/>
                <w:sz w:val="18"/>
                <w:szCs w:val="18"/>
                <w:lang w:val="ro-RO"/>
              </w:rPr>
            </w:pPr>
            <w:r w:rsidRPr="000D19A7">
              <w:rPr>
                <w:rFonts w:ascii="Times New Roman" w:hAnsi="Times New Roman"/>
                <w:sz w:val="18"/>
                <w:szCs w:val="18"/>
                <w:lang w:val="ro-RO"/>
              </w:rPr>
              <w:t xml:space="preserve">1. În termen de 5 zile lucrătoare de la data primirii de la creditor a cererii pentru executarea garanției, ODIMM va informa Ministerul Finanțelor despre necesitatea executării garanției de stat. </w:t>
            </w:r>
            <w:r w:rsidR="00727FF1" w:rsidRPr="000D19A7">
              <w:rPr>
                <w:rFonts w:ascii="Times New Roman" w:hAnsi="Times New Roman"/>
                <w:i/>
                <w:sz w:val="18"/>
                <w:szCs w:val="18"/>
                <w:lang w:val="ro-RO"/>
              </w:rPr>
              <w:t>(p</w:t>
            </w:r>
            <w:r w:rsidRPr="000D19A7">
              <w:rPr>
                <w:rFonts w:ascii="Times New Roman" w:hAnsi="Times New Roman"/>
                <w:i/>
                <w:sz w:val="18"/>
                <w:szCs w:val="18"/>
                <w:lang w:val="ro-RO"/>
              </w:rPr>
              <w:t>ct.74 din HG  nr. 202/2018)</w:t>
            </w:r>
            <w:r w:rsidR="00727FF1" w:rsidRPr="000D19A7">
              <w:rPr>
                <w:rFonts w:ascii="Times New Roman" w:hAnsi="Times New Roman"/>
                <w:b/>
                <w:sz w:val="18"/>
                <w:szCs w:val="18"/>
                <w:lang w:val="ro-RO"/>
              </w:rPr>
              <w:t>.</w:t>
            </w:r>
          </w:p>
          <w:p w14:paraId="4C5B629A" w14:textId="106AE556" w:rsidR="009C0FCF" w:rsidRPr="000D19A7" w:rsidRDefault="009C0FCF" w:rsidP="00727FF1">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 xml:space="preserve">2. În termen de 15 zile lucrătoare de la data primirii din partea ODIMM a cererii acceptate și confirmate pentru executarea garanției de stat, Ministerul Finanțelor va transfera în contul creditorului 50% din soldul creditului restant. </w:t>
            </w:r>
            <w:r w:rsidRPr="000D19A7">
              <w:rPr>
                <w:rFonts w:ascii="Times New Roman" w:hAnsi="Times New Roman"/>
                <w:i/>
                <w:sz w:val="18"/>
                <w:szCs w:val="18"/>
                <w:lang w:val="ro-RO"/>
              </w:rPr>
              <w:t>(</w:t>
            </w:r>
            <w:r w:rsidR="00727FF1" w:rsidRPr="000D19A7">
              <w:rPr>
                <w:rFonts w:ascii="Times New Roman" w:hAnsi="Times New Roman"/>
                <w:i/>
                <w:sz w:val="18"/>
                <w:szCs w:val="18"/>
                <w:lang w:val="ro-RO"/>
              </w:rPr>
              <w:t>p</w:t>
            </w:r>
            <w:r w:rsidRPr="000D19A7">
              <w:rPr>
                <w:rFonts w:ascii="Times New Roman" w:hAnsi="Times New Roman"/>
                <w:i/>
                <w:sz w:val="18"/>
                <w:szCs w:val="18"/>
                <w:lang w:val="ro-RO"/>
              </w:rPr>
              <w:t>ct.75 din HG  nr. 202/2018)</w:t>
            </w:r>
            <w:r w:rsidR="00727FF1" w:rsidRPr="000D19A7">
              <w:rPr>
                <w:rFonts w:ascii="Times New Roman" w:hAnsi="Times New Roman"/>
                <w:sz w:val="18"/>
                <w:szCs w:val="18"/>
                <w:lang w:val="ro-RO"/>
              </w:rPr>
              <w:t>.</w:t>
            </w:r>
          </w:p>
        </w:tc>
        <w:tc>
          <w:tcPr>
            <w:tcW w:w="2835" w:type="dxa"/>
          </w:tcPr>
          <w:p w14:paraId="68E28DA0" w14:textId="77777777" w:rsidR="009C0FCF" w:rsidRPr="000D19A7" w:rsidRDefault="009C0FCF" w:rsidP="009C0FCF">
            <w:pPr>
              <w:spacing w:line="276" w:lineRule="auto"/>
              <w:ind w:right="35"/>
              <w:jc w:val="both"/>
              <w:rPr>
                <w:rFonts w:ascii="Times New Roman" w:hAnsi="Times New Roman"/>
                <w:sz w:val="18"/>
                <w:szCs w:val="18"/>
              </w:rPr>
            </w:pPr>
            <w:r w:rsidRPr="000D19A7">
              <w:rPr>
                <w:rFonts w:ascii="Times New Roman" w:hAnsi="Times New Roman"/>
                <w:sz w:val="18"/>
                <w:szCs w:val="18"/>
                <w:lang w:val="ro-RO"/>
              </w:rPr>
              <w:t xml:space="preserve">Examinarea documentelor primare care au stat la baza activării garanțiilor de stat. </w:t>
            </w:r>
          </w:p>
        </w:tc>
        <w:tc>
          <w:tcPr>
            <w:tcW w:w="1843" w:type="dxa"/>
          </w:tcPr>
          <w:p w14:paraId="57B0DFB7" w14:textId="6980DFC1" w:rsidR="00A81947" w:rsidRPr="000D19A7" w:rsidRDefault="00A81947" w:rsidP="00A81947">
            <w:pPr>
              <w:spacing w:line="276" w:lineRule="auto"/>
              <w:jc w:val="center"/>
              <w:rPr>
                <w:rFonts w:ascii="Times New Roman" w:hAnsi="Times New Roman"/>
                <w:sz w:val="18"/>
                <w:szCs w:val="18"/>
                <w:lang w:val="ro-MD"/>
              </w:rPr>
            </w:pPr>
            <w:r w:rsidRPr="000D19A7">
              <w:rPr>
                <w:rFonts w:ascii="Times New Roman" w:hAnsi="Times New Roman"/>
                <w:sz w:val="18"/>
                <w:szCs w:val="18"/>
                <w:lang w:val="ro-MD"/>
              </w:rPr>
              <w:t>100%</w:t>
            </w:r>
          </w:p>
          <w:p w14:paraId="5660319A" w14:textId="7E2E77A5" w:rsidR="009C0FCF" w:rsidRPr="000D19A7" w:rsidRDefault="009C0FCF" w:rsidP="009C0FCF">
            <w:pPr>
              <w:spacing w:line="276" w:lineRule="auto"/>
              <w:jc w:val="both"/>
              <w:rPr>
                <w:rFonts w:ascii="Times New Roman" w:hAnsi="Times New Roman"/>
                <w:sz w:val="18"/>
                <w:szCs w:val="18"/>
                <w:lang w:val="ro-MD"/>
              </w:rPr>
            </w:pPr>
            <w:r w:rsidRPr="000D19A7">
              <w:rPr>
                <w:rFonts w:ascii="Times New Roman" w:hAnsi="Times New Roman"/>
                <w:sz w:val="18"/>
                <w:szCs w:val="18"/>
                <w:lang w:val="ro-MD"/>
              </w:rPr>
              <w:t>Au fost selectate garanțiile activate în c</w:t>
            </w:r>
            <w:r w:rsidR="00A81947" w:rsidRPr="000D19A7">
              <w:rPr>
                <w:rFonts w:ascii="Times New Roman" w:hAnsi="Times New Roman"/>
                <w:sz w:val="18"/>
                <w:szCs w:val="18"/>
                <w:lang w:val="ro-MD"/>
              </w:rPr>
              <w:t>adrul Programului în anul  2023 – 8 garanții activate/executate</w:t>
            </w:r>
          </w:p>
        </w:tc>
      </w:tr>
      <w:tr w:rsidR="009C0FCF" w:rsidRPr="000D19A7" w14:paraId="286DE5C2" w14:textId="77777777" w:rsidTr="009C0FCF">
        <w:trPr>
          <w:trHeight w:val="249"/>
        </w:trPr>
        <w:tc>
          <w:tcPr>
            <w:tcW w:w="1555" w:type="dxa"/>
          </w:tcPr>
          <w:p w14:paraId="349A5A58" w14:textId="7B83F382" w:rsidR="009C0FCF" w:rsidRPr="000D19A7" w:rsidRDefault="009C0FCF" w:rsidP="009C0FCF">
            <w:pPr>
              <w:spacing w:line="276" w:lineRule="auto"/>
              <w:jc w:val="both"/>
              <w:rPr>
                <w:rFonts w:ascii="Times New Roman" w:hAnsi="Times New Roman"/>
                <w:b/>
                <w:sz w:val="18"/>
                <w:szCs w:val="18"/>
                <w:lang w:val="ro-RO"/>
              </w:rPr>
            </w:pPr>
            <w:r w:rsidRPr="000D19A7">
              <w:rPr>
                <w:rFonts w:ascii="Times New Roman" w:hAnsi="Times New Roman"/>
                <w:b/>
                <w:sz w:val="18"/>
                <w:szCs w:val="18"/>
                <w:lang w:val="ro-RO"/>
              </w:rPr>
              <w:t>Paragraful 4.2.2</w:t>
            </w:r>
            <w:r w:rsidR="00727FF1" w:rsidRPr="000D19A7">
              <w:rPr>
                <w:rFonts w:ascii="Times New Roman" w:hAnsi="Times New Roman"/>
                <w:b/>
                <w:sz w:val="18"/>
                <w:szCs w:val="18"/>
                <w:lang w:val="ro-RO"/>
              </w:rPr>
              <w:t>.</w:t>
            </w:r>
            <w:r w:rsidRPr="000D19A7">
              <w:rPr>
                <w:rFonts w:ascii="Times New Roman" w:hAnsi="Times New Roman"/>
                <w:b/>
                <w:sz w:val="18"/>
                <w:szCs w:val="18"/>
                <w:lang w:val="ro-RO"/>
              </w:rPr>
              <w:t xml:space="preserve"> </w:t>
            </w:r>
          </w:p>
          <w:p w14:paraId="2088A794" w14:textId="77777777" w:rsidR="009C0FCF" w:rsidRPr="000D19A7" w:rsidRDefault="009C0FCF" w:rsidP="009C0FCF">
            <w:pPr>
              <w:spacing w:line="276" w:lineRule="auto"/>
              <w:jc w:val="both"/>
              <w:rPr>
                <w:rFonts w:ascii="Times New Roman" w:hAnsi="Times New Roman"/>
                <w:sz w:val="18"/>
                <w:szCs w:val="18"/>
                <w:lang w:val="ro-RO"/>
              </w:rPr>
            </w:pPr>
            <w:r w:rsidRPr="000D19A7">
              <w:rPr>
                <w:rFonts w:ascii="Times New Roman" w:hAnsi="Times New Roman"/>
                <w:sz w:val="18"/>
                <w:szCs w:val="18"/>
                <w:lang w:val="ro-RO"/>
              </w:rPr>
              <w:t>Riscul nerecuperării datoriilor cu termenul de achitare expirat</w:t>
            </w:r>
          </w:p>
        </w:tc>
        <w:tc>
          <w:tcPr>
            <w:tcW w:w="3118" w:type="dxa"/>
          </w:tcPr>
          <w:p w14:paraId="3591A8CA" w14:textId="489BCBF3" w:rsidR="009C0FCF" w:rsidRPr="000D19A7" w:rsidRDefault="009C0FCF" w:rsidP="009C0FCF">
            <w:pPr>
              <w:spacing w:line="276" w:lineRule="auto"/>
              <w:contextualSpacing/>
              <w:jc w:val="both"/>
              <w:rPr>
                <w:rFonts w:ascii="Times New Roman" w:hAnsi="Times New Roman"/>
                <w:b/>
                <w:sz w:val="18"/>
                <w:szCs w:val="18"/>
                <w:lang w:val="ro-RO"/>
              </w:rPr>
            </w:pPr>
            <w:r w:rsidRPr="000D19A7">
              <w:rPr>
                <w:rFonts w:ascii="Times New Roman" w:hAnsi="Times New Roman"/>
                <w:sz w:val="18"/>
                <w:szCs w:val="18"/>
                <w:lang w:val="ro-RO"/>
              </w:rPr>
              <w:t>1. În cazul încălcării de către debitorii garantați a obligațiilor lor stabilite în contractele respective, MF și/sau subdiviziunile special create pentru scopuri de garantare, direct sau prin SFS, sunt împuternicite să suspende pe cale extrajudiciară operațiunile bancare, să sechestreze și să perceapă în mod incontestabil mijloacele datorate din conturile bancare ale acestor beneficiari de mijloace din împrumuturi de stat și/sau de garanții de stat, conform procedurii stabilite de legislația în vigoare</w:t>
            </w:r>
            <w:r w:rsidRPr="000D19A7">
              <w:rPr>
                <w:rFonts w:ascii="Times New Roman" w:hAnsi="Times New Roman"/>
                <w:i/>
                <w:sz w:val="18"/>
                <w:szCs w:val="18"/>
                <w:lang w:val="ro-RO"/>
              </w:rPr>
              <w:t>. (</w:t>
            </w:r>
            <w:r w:rsidR="00727FF1" w:rsidRPr="000D19A7">
              <w:rPr>
                <w:rFonts w:ascii="Times New Roman" w:hAnsi="Times New Roman"/>
                <w:i/>
                <w:sz w:val="18"/>
                <w:szCs w:val="18"/>
                <w:lang w:val="ro-RO"/>
              </w:rPr>
              <w:t>a</w:t>
            </w:r>
            <w:r w:rsidRPr="000D19A7">
              <w:rPr>
                <w:rFonts w:ascii="Times New Roman" w:hAnsi="Times New Roman"/>
                <w:i/>
                <w:sz w:val="18"/>
                <w:szCs w:val="18"/>
                <w:lang w:val="ro-RO"/>
              </w:rPr>
              <w:t>rt.13, alin.(1), din Legea nr. 419/2006)</w:t>
            </w:r>
          </w:p>
          <w:p w14:paraId="300526EC" w14:textId="64FC7FD4" w:rsidR="009C0FCF" w:rsidRPr="000D19A7" w:rsidRDefault="009C0FCF" w:rsidP="00727FF1">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2.Radierea/casarea datoriilor debitorilor garantați din Raportul privind datoriile debitorilor garantați față de MF se efectuează în baza ordinului ministrului finanțelor, întocmit în temeiul hotărârilor judecătorești respective și/sau al deciziei ASP privind radierea persoanei juridice din Registrul de stat al persoanelor juridice.</w:t>
            </w:r>
            <w:r w:rsidR="00727FF1" w:rsidRPr="000D19A7">
              <w:rPr>
                <w:rFonts w:ascii="Times New Roman" w:hAnsi="Times New Roman"/>
                <w:i/>
                <w:sz w:val="18"/>
                <w:szCs w:val="18"/>
                <w:lang w:val="ro-RO"/>
              </w:rPr>
              <w:t xml:space="preserve"> (p</w:t>
            </w:r>
            <w:r w:rsidRPr="000D19A7">
              <w:rPr>
                <w:rFonts w:ascii="Times New Roman" w:hAnsi="Times New Roman"/>
                <w:i/>
                <w:sz w:val="18"/>
                <w:szCs w:val="18"/>
                <w:lang w:val="ro-RO"/>
              </w:rPr>
              <w:t xml:space="preserve">ct.51 </w:t>
            </w:r>
            <w:r w:rsidR="00727FF1" w:rsidRPr="000D19A7">
              <w:rPr>
                <w:rFonts w:ascii="Times New Roman" w:hAnsi="Times New Roman"/>
                <w:i/>
                <w:sz w:val="18"/>
                <w:szCs w:val="18"/>
                <w:lang w:val="ro-RO"/>
              </w:rPr>
              <w:t xml:space="preserve">din </w:t>
            </w:r>
            <w:r w:rsidRPr="000D19A7">
              <w:rPr>
                <w:rFonts w:ascii="Times New Roman" w:hAnsi="Times New Roman"/>
                <w:i/>
                <w:sz w:val="18"/>
                <w:szCs w:val="18"/>
                <w:lang w:val="ro-RO"/>
              </w:rPr>
              <w:t>Anexa nr.8 la HG nr.1136/2007)</w:t>
            </w:r>
            <w:r w:rsidR="00727FF1" w:rsidRPr="000D19A7">
              <w:rPr>
                <w:rFonts w:ascii="Times New Roman" w:hAnsi="Times New Roman"/>
                <w:sz w:val="18"/>
                <w:szCs w:val="18"/>
                <w:lang w:val="ro-RO"/>
              </w:rPr>
              <w:t>.</w:t>
            </w:r>
          </w:p>
        </w:tc>
        <w:tc>
          <w:tcPr>
            <w:tcW w:w="2835" w:type="dxa"/>
          </w:tcPr>
          <w:p w14:paraId="50B307E5" w14:textId="66BAB520"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Analiza măsurilor întreprinse de</w:t>
            </w:r>
            <w:r w:rsidR="00727FF1" w:rsidRPr="000D19A7">
              <w:rPr>
                <w:rFonts w:ascii="Times New Roman" w:hAnsi="Times New Roman"/>
                <w:sz w:val="18"/>
                <w:szCs w:val="18"/>
                <w:lang w:val="ro-RO"/>
              </w:rPr>
              <w:t xml:space="preserve"> către</w:t>
            </w:r>
            <w:r w:rsidRPr="000D19A7">
              <w:rPr>
                <w:rFonts w:ascii="Times New Roman" w:hAnsi="Times New Roman"/>
                <w:sz w:val="18"/>
                <w:szCs w:val="18"/>
                <w:lang w:val="ro-RO"/>
              </w:rPr>
              <w:t xml:space="preserve"> MF în vederea recuperării datoriilor cu termenul de achitare expirat formate în urma acordării garanțiilor de stat interne și externe. </w:t>
            </w:r>
          </w:p>
          <w:p w14:paraId="7F42C610" w14:textId="77777777"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Au fost selectate dările de seamă trimestriale ale MF și SFS  în vederea recuperării datoriilor cu termen de achitare expirat.</w:t>
            </w:r>
          </w:p>
        </w:tc>
        <w:tc>
          <w:tcPr>
            <w:tcW w:w="1843" w:type="dxa"/>
          </w:tcPr>
          <w:p w14:paraId="3FB546E7" w14:textId="77777777" w:rsidR="009C0FCF" w:rsidRPr="000D19A7" w:rsidRDefault="009C0FCF" w:rsidP="009C0FCF">
            <w:pPr>
              <w:spacing w:line="276" w:lineRule="auto"/>
              <w:jc w:val="center"/>
              <w:rPr>
                <w:rFonts w:ascii="Times New Roman" w:hAnsi="Times New Roman"/>
                <w:sz w:val="18"/>
                <w:szCs w:val="18"/>
                <w:lang w:val="ro-RO"/>
              </w:rPr>
            </w:pPr>
            <w:r w:rsidRPr="000D19A7">
              <w:rPr>
                <w:rFonts w:ascii="Times New Roman" w:hAnsi="Times New Roman"/>
                <w:sz w:val="18"/>
                <w:szCs w:val="18"/>
                <w:lang w:val="ro-RO"/>
              </w:rPr>
              <w:t>100%</w:t>
            </w:r>
          </w:p>
        </w:tc>
      </w:tr>
      <w:tr w:rsidR="009C0FCF" w:rsidRPr="000D19A7" w14:paraId="6C7C2C31" w14:textId="77777777" w:rsidTr="009C0FCF">
        <w:trPr>
          <w:trHeight w:val="249"/>
        </w:trPr>
        <w:tc>
          <w:tcPr>
            <w:tcW w:w="9351" w:type="dxa"/>
            <w:gridSpan w:val="4"/>
          </w:tcPr>
          <w:p w14:paraId="1B141527" w14:textId="01556F32" w:rsidR="009C0FCF" w:rsidRPr="000D19A7" w:rsidRDefault="001A4D91" w:rsidP="009C0FCF">
            <w:pPr>
              <w:spacing w:line="276" w:lineRule="auto"/>
              <w:jc w:val="center"/>
              <w:rPr>
                <w:rFonts w:ascii="Times New Roman" w:hAnsi="Times New Roman"/>
                <w:b/>
                <w:sz w:val="18"/>
                <w:szCs w:val="18"/>
                <w:lang w:val="ro-RO"/>
              </w:rPr>
            </w:pPr>
            <w:r>
              <w:rPr>
                <w:rFonts w:ascii="Times New Roman" w:hAnsi="Times New Roman"/>
                <w:b/>
                <w:bCs/>
                <w:sz w:val="20"/>
                <w:szCs w:val="18"/>
                <w:lang w:val="ro-RO"/>
              </w:rPr>
              <w:t>4.3.</w:t>
            </w:r>
            <w:r w:rsidR="009C0FCF" w:rsidRPr="000D19A7">
              <w:rPr>
                <w:rFonts w:ascii="Times New Roman" w:hAnsi="Times New Roman"/>
                <w:b/>
                <w:sz w:val="18"/>
                <w:szCs w:val="18"/>
                <w:lang w:val="ro-RO"/>
              </w:rPr>
              <w:t xml:space="preserve"> Ministerul Finanțelor a asigurat conformitatea recreditării de stat, în raport cu prevederile cadrului normativ aplicabil? </w:t>
            </w:r>
          </w:p>
        </w:tc>
      </w:tr>
      <w:tr w:rsidR="009C0FCF" w:rsidRPr="000D19A7" w14:paraId="64CF5A7E" w14:textId="77777777" w:rsidTr="009C0FCF">
        <w:trPr>
          <w:trHeight w:val="249"/>
        </w:trPr>
        <w:tc>
          <w:tcPr>
            <w:tcW w:w="1555" w:type="dxa"/>
          </w:tcPr>
          <w:p w14:paraId="265AD207" w14:textId="749131D2" w:rsidR="009C0FCF" w:rsidRPr="000D19A7" w:rsidRDefault="001A4D91" w:rsidP="009C0FCF">
            <w:pPr>
              <w:spacing w:line="276" w:lineRule="auto"/>
              <w:jc w:val="both"/>
              <w:rPr>
                <w:rFonts w:ascii="Times New Roman" w:hAnsi="Times New Roman"/>
                <w:b/>
                <w:sz w:val="18"/>
                <w:szCs w:val="18"/>
                <w:lang w:val="ro-RO"/>
              </w:rPr>
            </w:pPr>
            <w:r>
              <w:rPr>
                <w:rFonts w:ascii="Times New Roman" w:hAnsi="Times New Roman"/>
                <w:b/>
                <w:sz w:val="18"/>
                <w:szCs w:val="18"/>
                <w:lang w:val="ro-RO"/>
              </w:rPr>
              <w:t>Paragraful 4.3.</w:t>
            </w:r>
          </w:p>
          <w:p w14:paraId="0538181C" w14:textId="77777777" w:rsidR="009C0FCF" w:rsidRPr="000D19A7" w:rsidRDefault="009C0FCF" w:rsidP="009C0FCF">
            <w:pPr>
              <w:spacing w:line="276" w:lineRule="auto"/>
              <w:jc w:val="both"/>
              <w:rPr>
                <w:rFonts w:ascii="Times New Roman" w:hAnsi="Times New Roman"/>
                <w:sz w:val="18"/>
                <w:szCs w:val="18"/>
                <w:lang w:val="ro-RO"/>
              </w:rPr>
            </w:pPr>
            <w:r w:rsidRPr="000D19A7">
              <w:rPr>
                <w:rFonts w:ascii="Times New Roman" w:hAnsi="Times New Roman"/>
                <w:sz w:val="18"/>
                <w:szCs w:val="18"/>
                <w:lang w:val="ro-RO"/>
              </w:rPr>
              <w:t>Riscul nerecuperării datoriilor cu termenul de achitare expirat</w:t>
            </w:r>
          </w:p>
        </w:tc>
        <w:tc>
          <w:tcPr>
            <w:tcW w:w="3118" w:type="dxa"/>
          </w:tcPr>
          <w:p w14:paraId="54019B2D" w14:textId="4DFD1C46" w:rsidR="009C0FCF" w:rsidRPr="000D19A7" w:rsidRDefault="009C0FCF" w:rsidP="009C0FCF">
            <w:pPr>
              <w:spacing w:line="276" w:lineRule="auto"/>
              <w:contextualSpacing/>
              <w:jc w:val="both"/>
              <w:rPr>
                <w:rFonts w:ascii="Times New Roman" w:hAnsi="Times New Roman"/>
                <w:i/>
                <w:sz w:val="18"/>
                <w:szCs w:val="18"/>
                <w:lang w:val="ro-RO"/>
              </w:rPr>
            </w:pPr>
            <w:r w:rsidRPr="000D19A7">
              <w:rPr>
                <w:rFonts w:ascii="Times New Roman" w:hAnsi="Times New Roman"/>
                <w:sz w:val="18"/>
                <w:szCs w:val="18"/>
                <w:lang w:val="ro-RO"/>
              </w:rPr>
              <w:t xml:space="preserve">În cazul în </w:t>
            </w:r>
            <w:r w:rsidR="00727FF1" w:rsidRPr="000D19A7">
              <w:rPr>
                <w:rFonts w:ascii="Times New Roman" w:hAnsi="Times New Roman"/>
                <w:sz w:val="18"/>
                <w:szCs w:val="18"/>
                <w:lang w:val="ro-RO"/>
              </w:rPr>
              <w:t>care beneficiarul recreditat nu-</w:t>
            </w:r>
            <w:r w:rsidRPr="000D19A7">
              <w:rPr>
                <w:rFonts w:ascii="Times New Roman" w:hAnsi="Times New Roman"/>
                <w:sz w:val="18"/>
                <w:szCs w:val="18"/>
                <w:lang w:val="ro-RO"/>
              </w:rPr>
              <w:t>și poate respecta obligațiile financiare conform graficului de achitare a datoriei relevant contractului de recreditare, Ministerul Finanțelor, în urma analizei economico - financiare a beneficiarului recreditat, are dreptul să adopte decizii privind reeșalonarea datoriei acestuia prin încheierea unor acorduri adiționale la co</w:t>
            </w:r>
            <w:r w:rsidR="00727FF1" w:rsidRPr="000D19A7">
              <w:rPr>
                <w:rFonts w:ascii="Times New Roman" w:hAnsi="Times New Roman"/>
                <w:sz w:val="18"/>
                <w:szCs w:val="18"/>
                <w:lang w:val="ro-RO"/>
              </w:rPr>
              <w:t>ntractul de recreditare inițial</w:t>
            </w:r>
            <w:r w:rsidRPr="000D19A7">
              <w:rPr>
                <w:rFonts w:ascii="Times New Roman" w:hAnsi="Times New Roman"/>
                <w:sz w:val="18"/>
                <w:szCs w:val="18"/>
                <w:lang w:val="ro-RO"/>
              </w:rPr>
              <w:t xml:space="preserve"> </w:t>
            </w:r>
            <w:r w:rsidR="00727FF1" w:rsidRPr="000D19A7">
              <w:rPr>
                <w:rFonts w:ascii="Times New Roman" w:hAnsi="Times New Roman"/>
                <w:i/>
                <w:sz w:val="18"/>
                <w:szCs w:val="18"/>
                <w:lang w:val="ro-RO"/>
              </w:rPr>
              <w:t>(art.32 a</w:t>
            </w:r>
            <w:r w:rsidRPr="000D19A7">
              <w:rPr>
                <w:rFonts w:ascii="Times New Roman" w:hAnsi="Times New Roman"/>
                <w:i/>
                <w:sz w:val="18"/>
                <w:szCs w:val="18"/>
                <w:lang w:val="ro-RO"/>
              </w:rPr>
              <w:t>lin</w:t>
            </w:r>
            <w:r w:rsidR="00727FF1" w:rsidRPr="000D19A7">
              <w:rPr>
                <w:rFonts w:ascii="Times New Roman" w:hAnsi="Times New Roman"/>
                <w:i/>
                <w:sz w:val="18"/>
                <w:szCs w:val="18"/>
                <w:lang w:val="ro-RO"/>
              </w:rPr>
              <w:t>.</w:t>
            </w:r>
            <w:r w:rsidRPr="000D19A7">
              <w:rPr>
                <w:rFonts w:ascii="Times New Roman" w:hAnsi="Times New Roman"/>
                <w:i/>
                <w:sz w:val="18"/>
                <w:szCs w:val="18"/>
                <w:lang w:val="ro-RO"/>
              </w:rPr>
              <w:t>(3) din Legea nr.419/2006)</w:t>
            </w:r>
            <w:r w:rsidR="00727FF1" w:rsidRPr="000D19A7">
              <w:rPr>
                <w:rFonts w:ascii="Times New Roman" w:hAnsi="Times New Roman"/>
                <w:i/>
                <w:sz w:val="18"/>
                <w:szCs w:val="18"/>
                <w:lang w:val="ro-RO"/>
              </w:rPr>
              <w:t>.</w:t>
            </w:r>
          </w:p>
          <w:p w14:paraId="5CAADF3E" w14:textId="77777777" w:rsidR="009C0FCF" w:rsidRPr="000D19A7" w:rsidRDefault="009C0FCF" w:rsidP="009C0FCF">
            <w:pPr>
              <w:spacing w:line="276" w:lineRule="auto"/>
              <w:contextualSpacing/>
              <w:jc w:val="both"/>
              <w:rPr>
                <w:rFonts w:ascii="Times New Roman" w:hAnsi="Times New Roman"/>
                <w:i/>
                <w:sz w:val="18"/>
                <w:szCs w:val="18"/>
                <w:lang w:val="ro-RO"/>
              </w:rPr>
            </w:pPr>
          </w:p>
          <w:p w14:paraId="22433BD2" w14:textId="046B1C17" w:rsidR="009C0FCF" w:rsidRPr="000D19A7" w:rsidRDefault="009C0FCF" w:rsidP="009C0FCF">
            <w:pPr>
              <w:spacing w:line="276" w:lineRule="auto"/>
              <w:contextualSpacing/>
              <w:jc w:val="both"/>
              <w:rPr>
                <w:rFonts w:ascii="Times New Roman" w:hAnsi="Times New Roman"/>
                <w:b/>
                <w:sz w:val="18"/>
                <w:szCs w:val="18"/>
                <w:lang w:val="ro-RO"/>
              </w:rPr>
            </w:pPr>
            <w:r w:rsidRPr="000D19A7">
              <w:rPr>
                <w:rFonts w:ascii="Times New Roman" w:hAnsi="Times New Roman"/>
                <w:sz w:val="18"/>
                <w:szCs w:val="18"/>
                <w:lang w:val="ro-RO"/>
              </w:rPr>
              <w:t xml:space="preserve">În cazul neexecutării obligațiilor de către beneficiarii recreditați, inspectoratele fiscale de stat prezintă la conturile bancare ale acestora dispoziții de suspendare a operațiunilor bancare și ordine incaso și percep forțat datoriile, conform legislației </w:t>
            </w:r>
            <w:r w:rsidR="00727FF1" w:rsidRPr="000D19A7">
              <w:rPr>
                <w:rFonts w:ascii="Times New Roman" w:hAnsi="Times New Roman"/>
                <w:sz w:val="18"/>
                <w:szCs w:val="18"/>
                <w:lang w:val="ro-RO"/>
              </w:rPr>
              <w:t>în vigoare a Republicii Moldova</w:t>
            </w:r>
            <w:r w:rsidRPr="000D19A7">
              <w:rPr>
                <w:rFonts w:ascii="Times New Roman" w:hAnsi="Times New Roman"/>
                <w:sz w:val="18"/>
                <w:szCs w:val="18"/>
                <w:lang w:val="ro-RO"/>
              </w:rPr>
              <w:t xml:space="preserve"> </w:t>
            </w:r>
            <w:r w:rsidR="00727FF1" w:rsidRPr="000D19A7">
              <w:rPr>
                <w:rFonts w:ascii="Times New Roman" w:hAnsi="Times New Roman"/>
                <w:i/>
                <w:sz w:val="18"/>
                <w:szCs w:val="18"/>
                <w:lang w:val="ro-RO"/>
              </w:rPr>
              <w:t>(p</w:t>
            </w:r>
            <w:r w:rsidRPr="000D19A7">
              <w:rPr>
                <w:rFonts w:ascii="Times New Roman" w:hAnsi="Times New Roman"/>
                <w:i/>
                <w:sz w:val="18"/>
                <w:szCs w:val="18"/>
                <w:lang w:val="ro-RO"/>
              </w:rPr>
              <w:t xml:space="preserve">ct.28 din Anexa nr.5 </w:t>
            </w:r>
            <w:r w:rsidR="00727FF1" w:rsidRPr="000D19A7">
              <w:rPr>
                <w:rFonts w:ascii="Times New Roman" w:hAnsi="Times New Roman"/>
                <w:i/>
                <w:sz w:val="18"/>
                <w:szCs w:val="18"/>
                <w:lang w:val="ro-RO"/>
              </w:rPr>
              <w:t>la</w:t>
            </w:r>
            <w:r w:rsidRPr="000D19A7">
              <w:rPr>
                <w:rFonts w:ascii="Times New Roman" w:hAnsi="Times New Roman"/>
                <w:i/>
                <w:sz w:val="18"/>
                <w:szCs w:val="18"/>
                <w:lang w:val="ro-RO"/>
              </w:rPr>
              <w:t xml:space="preserve"> HG </w:t>
            </w:r>
            <w:r w:rsidR="00727FF1" w:rsidRPr="000D19A7">
              <w:rPr>
                <w:rFonts w:ascii="Times New Roman" w:hAnsi="Times New Roman"/>
                <w:i/>
                <w:sz w:val="18"/>
                <w:szCs w:val="18"/>
                <w:lang w:val="ro-RO"/>
              </w:rPr>
              <w:t xml:space="preserve">nr. </w:t>
            </w:r>
            <w:r w:rsidRPr="000D19A7">
              <w:rPr>
                <w:rFonts w:ascii="Times New Roman" w:hAnsi="Times New Roman"/>
                <w:i/>
                <w:sz w:val="18"/>
                <w:szCs w:val="18"/>
                <w:lang w:val="ro-RO"/>
              </w:rPr>
              <w:t>1136/2007)</w:t>
            </w:r>
            <w:r w:rsidR="00727FF1" w:rsidRPr="000D19A7">
              <w:rPr>
                <w:rFonts w:ascii="Times New Roman" w:hAnsi="Times New Roman"/>
                <w:i/>
                <w:sz w:val="18"/>
                <w:szCs w:val="18"/>
                <w:lang w:val="ro-RO"/>
              </w:rPr>
              <w:t>.</w:t>
            </w:r>
          </w:p>
          <w:p w14:paraId="085AA928" w14:textId="77777777" w:rsidR="009C0FCF" w:rsidRPr="000D19A7" w:rsidRDefault="009C0FCF" w:rsidP="009C0FCF">
            <w:pPr>
              <w:spacing w:line="276" w:lineRule="auto"/>
              <w:contextualSpacing/>
              <w:jc w:val="both"/>
              <w:rPr>
                <w:rFonts w:ascii="Times New Roman" w:hAnsi="Times New Roman"/>
                <w:b/>
                <w:sz w:val="18"/>
                <w:szCs w:val="18"/>
                <w:lang w:val="ro-RO"/>
              </w:rPr>
            </w:pPr>
          </w:p>
          <w:p w14:paraId="19180A0C" w14:textId="10017415" w:rsidR="009C0FCF" w:rsidRPr="000D19A7" w:rsidRDefault="009C0FCF" w:rsidP="00A52AA6">
            <w:pPr>
              <w:spacing w:line="276" w:lineRule="auto"/>
              <w:contextualSpacing/>
              <w:jc w:val="both"/>
              <w:rPr>
                <w:rFonts w:ascii="Times New Roman" w:hAnsi="Times New Roman"/>
                <w:sz w:val="18"/>
                <w:szCs w:val="18"/>
                <w:lang w:val="ro-RO"/>
              </w:rPr>
            </w:pPr>
            <w:r w:rsidRPr="000D19A7">
              <w:rPr>
                <w:rFonts w:ascii="Times New Roman" w:hAnsi="Times New Roman"/>
                <w:sz w:val="18"/>
                <w:szCs w:val="18"/>
                <w:lang w:val="ro-RO"/>
              </w:rPr>
              <w:t xml:space="preserve">Radierea/ casarea datoriilor beneficiarilor recreditați din Raportul privind recreditarea de stat se efectuează în baza ordinului ministrului finanțelor, întocmit în temeiul hotărârilor judecătorești respective și/sau al deciziei Agenției Servicii Publice privind radierea persoanei juridice din Registrul </w:t>
            </w:r>
            <w:r w:rsidR="00A52AA6" w:rsidRPr="000D19A7">
              <w:rPr>
                <w:rFonts w:ascii="Times New Roman" w:hAnsi="Times New Roman"/>
                <w:sz w:val="18"/>
                <w:szCs w:val="18"/>
                <w:lang w:val="ro-RO"/>
              </w:rPr>
              <w:t>de stat al persoanelor juridice</w:t>
            </w:r>
            <w:r w:rsidRPr="000D19A7">
              <w:rPr>
                <w:rFonts w:ascii="Times New Roman" w:hAnsi="Times New Roman"/>
                <w:sz w:val="18"/>
                <w:szCs w:val="18"/>
                <w:lang w:val="ro-RO"/>
              </w:rPr>
              <w:t xml:space="preserve"> </w:t>
            </w:r>
            <w:r w:rsidRPr="000D19A7">
              <w:rPr>
                <w:rFonts w:ascii="Times New Roman" w:hAnsi="Times New Roman"/>
                <w:i/>
                <w:sz w:val="18"/>
                <w:szCs w:val="18"/>
                <w:lang w:val="ro-RO"/>
              </w:rPr>
              <w:t>(</w:t>
            </w:r>
            <w:r w:rsidR="00A52AA6" w:rsidRPr="000D19A7">
              <w:rPr>
                <w:rFonts w:ascii="Times New Roman" w:hAnsi="Times New Roman"/>
                <w:i/>
                <w:sz w:val="18"/>
                <w:szCs w:val="18"/>
                <w:lang w:val="ro-RO"/>
              </w:rPr>
              <w:t>p</w:t>
            </w:r>
            <w:r w:rsidRPr="000D19A7">
              <w:rPr>
                <w:rFonts w:ascii="Times New Roman" w:hAnsi="Times New Roman"/>
                <w:i/>
                <w:sz w:val="18"/>
                <w:szCs w:val="18"/>
                <w:lang w:val="ro-RO"/>
              </w:rPr>
              <w:t xml:space="preserve">ct.81 din Anexa nr.4 </w:t>
            </w:r>
            <w:r w:rsidR="00A52AA6" w:rsidRPr="000D19A7">
              <w:rPr>
                <w:rFonts w:ascii="Times New Roman" w:hAnsi="Times New Roman"/>
                <w:i/>
                <w:sz w:val="18"/>
                <w:szCs w:val="18"/>
                <w:lang w:val="ro-RO"/>
              </w:rPr>
              <w:t xml:space="preserve">la </w:t>
            </w:r>
            <w:r w:rsidRPr="000D19A7">
              <w:rPr>
                <w:rFonts w:ascii="Times New Roman" w:hAnsi="Times New Roman"/>
                <w:i/>
                <w:sz w:val="18"/>
                <w:szCs w:val="18"/>
                <w:lang w:val="ro-RO"/>
              </w:rPr>
              <w:t xml:space="preserve"> HG </w:t>
            </w:r>
            <w:r w:rsidR="00A52AA6" w:rsidRPr="000D19A7">
              <w:rPr>
                <w:rFonts w:ascii="Times New Roman" w:hAnsi="Times New Roman"/>
                <w:i/>
                <w:sz w:val="18"/>
                <w:szCs w:val="18"/>
                <w:lang w:val="ro-RO"/>
              </w:rPr>
              <w:t xml:space="preserve">nr. </w:t>
            </w:r>
            <w:r w:rsidRPr="000D19A7">
              <w:rPr>
                <w:rFonts w:ascii="Times New Roman" w:hAnsi="Times New Roman"/>
                <w:i/>
                <w:sz w:val="18"/>
                <w:szCs w:val="18"/>
                <w:lang w:val="ro-RO"/>
              </w:rPr>
              <w:t>1136/2007)</w:t>
            </w:r>
            <w:r w:rsidR="00A52AA6" w:rsidRPr="000D19A7">
              <w:rPr>
                <w:rFonts w:ascii="Times New Roman" w:hAnsi="Times New Roman"/>
                <w:sz w:val="18"/>
                <w:szCs w:val="18"/>
                <w:lang w:val="ro-RO"/>
              </w:rPr>
              <w:t>.</w:t>
            </w:r>
          </w:p>
        </w:tc>
        <w:tc>
          <w:tcPr>
            <w:tcW w:w="2835" w:type="dxa"/>
          </w:tcPr>
          <w:p w14:paraId="4A462FC5" w14:textId="53AE53AF"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Analiza măsurilor întreprinse de MF în vederea recuperării datoriilor cu termenul de achitare expirat formate în urma nerambursării în termen și</w:t>
            </w:r>
            <w:r w:rsidR="00727FF1" w:rsidRPr="000D19A7">
              <w:rPr>
                <w:rFonts w:ascii="Times New Roman" w:hAnsi="Times New Roman"/>
                <w:sz w:val="18"/>
                <w:szCs w:val="18"/>
                <w:lang w:val="ro-RO"/>
              </w:rPr>
              <w:t xml:space="preserve"> în</w:t>
            </w:r>
            <w:r w:rsidRPr="000D19A7">
              <w:rPr>
                <w:rFonts w:ascii="Times New Roman" w:hAnsi="Times New Roman"/>
                <w:sz w:val="18"/>
                <w:szCs w:val="18"/>
                <w:lang w:val="ro-RO"/>
              </w:rPr>
              <w:t xml:space="preserve"> volum deplin a mijloacelor recreditate din surse interne și externe. </w:t>
            </w:r>
          </w:p>
          <w:p w14:paraId="01A3885D" w14:textId="1D873151" w:rsidR="009C0FCF" w:rsidRPr="000D19A7" w:rsidRDefault="009C0FCF" w:rsidP="009C0FCF">
            <w:pPr>
              <w:spacing w:line="276" w:lineRule="auto"/>
              <w:ind w:right="35"/>
              <w:jc w:val="both"/>
              <w:rPr>
                <w:rFonts w:ascii="Times New Roman" w:hAnsi="Times New Roman"/>
                <w:sz w:val="18"/>
                <w:szCs w:val="18"/>
                <w:lang w:val="ro-RO"/>
              </w:rPr>
            </w:pPr>
            <w:r w:rsidRPr="000D19A7">
              <w:rPr>
                <w:rFonts w:ascii="Times New Roman" w:hAnsi="Times New Roman"/>
                <w:sz w:val="18"/>
                <w:szCs w:val="18"/>
                <w:lang w:val="ro-RO"/>
              </w:rPr>
              <w:t>Au fost selectate dările de seamă trimestriale ale MF și SFS  în vederea recuperării datoriilor cu termen</w:t>
            </w:r>
            <w:r w:rsidR="00727FF1" w:rsidRPr="000D19A7">
              <w:rPr>
                <w:rFonts w:ascii="Times New Roman" w:hAnsi="Times New Roman"/>
                <w:sz w:val="18"/>
                <w:szCs w:val="18"/>
                <w:lang w:val="ro-RO"/>
              </w:rPr>
              <w:t>ul</w:t>
            </w:r>
            <w:r w:rsidRPr="000D19A7">
              <w:rPr>
                <w:rFonts w:ascii="Times New Roman" w:hAnsi="Times New Roman"/>
                <w:sz w:val="18"/>
                <w:szCs w:val="18"/>
                <w:lang w:val="ro-RO"/>
              </w:rPr>
              <w:t xml:space="preserve"> de achitare expirat.</w:t>
            </w:r>
          </w:p>
        </w:tc>
        <w:tc>
          <w:tcPr>
            <w:tcW w:w="1843" w:type="dxa"/>
          </w:tcPr>
          <w:p w14:paraId="79B30B8F" w14:textId="77777777" w:rsidR="009C0FCF" w:rsidRPr="000D19A7" w:rsidRDefault="009C0FCF" w:rsidP="009C0FCF">
            <w:pPr>
              <w:spacing w:line="276" w:lineRule="auto"/>
              <w:jc w:val="center"/>
              <w:rPr>
                <w:rFonts w:ascii="Times New Roman" w:hAnsi="Times New Roman"/>
                <w:sz w:val="18"/>
                <w:szCs w:val="18"/>
                <w:lang w:val="ro-RO"/>
              </w:rPr>
            </w:pPr>
            <w:r w:rsidRPr="000D19A7">
              <w:rPr>
                <w:rFonts w:ascii="Times New Roman" w:hAnsi="Times New Roman"/>
                <w:sz w:val="18"/>
                <w:szCs w:val="18"/>
                <w:lang w:val="ro-RO"/>
              </w:rPr>
              <w:t>100%</w:t>
            </w:r>
          </w:p>
        </w:tc>
      </w:tr>
    </w:tbl>
    <w:p w14:paraId="30DFBC13" w14:textId="77777777" w:rsidR="005C4661" w:rsidRPr="000D19A7" w:rsidRDefault="005C4661" w:rsidP="00946026">
      <w:pPr>
        <w:spacing w:line="276" w:lineRule="auto"/>
        <w:jc w:val="both"/>
        <w:rPr>
          <w:rFonts w:ascii="Times New Roman" w:hAnsi="Times New Roman" w:cs="Times New Roman"/>
          <w:lang w:val="ro-MD"/>
        </w:rPr>
      </w:pPr>
    </w:p>
    <w:p w14:paraId="6DF7A97C" w14:textId="3EEA662A" w:rsidR="00BB1517" w:rsidRPr="000D19A7" w:rsidRDefault="00BB1517" w:rsidP="00946026">
      <w:pPr>
        <w:spacing w:line="276" w:lineRule="auto"/>
        <w:jc w:val="both"/>
        <w:rPr>
          <w:rFonts w:ascii="Times New Roman" w:hAnsi="Times New Roman" w:cs="Times New Roman"/>
          <w:szCs w:val="24"/>
          <w:lang w:val="ro-MD" w:eastAsia="ru-RU"/>
        </w:rPr>
      </w:pPr>
    </w:p>
    <w:p w14:paraId="415E37E4" w14:textId="77777777" w:rsidR="001200D9" w:rsidRPr="000D19A7" w:rsidRDefault="001200D9" w:rsidP="00946026">
      <w:pPr>
        <w:spacing w:line="276" w:lineRule="auto"/>
        <w:jc w:val="both"/>
        <w:rPr>
          <w:rFonts w:ascii="Times New Roman" w:hAnsi="Times New Roman" w:cs="Times New Roman"/>
          <w:b/>
          <w:i/>
          <w:color w:val="2E74B5" w:themeColor="accent1" w:themeShade="BF"/>
          <w:szCs w:val="24"/>
          <w:lang w:val="ro-MD" w:eastAsia="ru-RU"/>
        </w:rPr>
      </w:pPr>
    </w:p>
    <w:p w14:paraId="6C5438FF" w14:textId="77777777" w:rsidR="00342F42" w:rsidRPr="000D19A7" w:rsidRDefault="00342F42" w:rsidP="00946026">
      <w:pPr>
        <w:spacing w:line="276" w:lineRule="auto"/>
        <w:jc w:val="both"/>
        <w:rPr>
          <w:rFonts w:ascii="Times New Roman" w:hAnsi="Times New Roman" w:cs="Times New Roman"/>
          <w:b/>
          <w:i/>
          <w:color w:val="2E74B5" w:themeColor="accent1" w:themeShade="BF"/>
          <w:szCs w:val="24"/>
          <w:lang w:val="ro-MD" w:eastAsia="ru-RU"/>
        </w:rPr>
      </w:pPr>
    </w:p>
    <w:p w14:paraId="325763CF" w14:textId="10A4D579" w:rsidR="00543955" w:rsidRPr="000D19A7" w:rsidRDefault="00543955" w:rsidP="00946026">
      <w:pPr>
        <w:spacing w:line="276" w:lineRule="auto"/>
        <w:jc w:val="both"/>
        <w:rPr>
          <w:rFonts w:ascii="Times New Roman" w:hAnsi="Times New Roman" w:cs="Times New Roman"/>
          <w:b/>
          <w:i/>
          <w:color w:val="2E74B5" w:themeColor="accent1" w:themeShade="BF"/>
          <w:szCs w:val="24"/>
          <w:lang w:val="ro-MD" w:eastAsia="ru-RU"/>
        </w:rPr>
        <w:sectPr w:rsidR="00543955" w:rsidRPr="000D19A7" w:rsidSect="009D74DF">
          <w:pgSz w:w="11906" w:h="16838" w:code="9"/>
          <w:pgMar w:top="851" w:right="851" w:bottom="851" w:left="1701" w:header="720" w:footer="720" w:gutter="0"/>
          <w:cols w:space="720"/>
          <w:docGrid w:linePitch="360"/>
        </w:sectPr>
      </w:pPr>
    </w:p>
    <w:p w14:paraId="05134C1A" w14:textId="3EDCA94A" w:rsidR="002C3D84" w:rsidRPr="000D19A7" w:rsidRDefault="002C3D84" w:rsidP="00946026">
      <w:pPr>
        <w:spacing w:line="276" w:lineRule="auto"/>
        <w:jc w:val="both"/>
        <w:rPr>
          <w:rFonts w:ascii="Times New Roman" w:hAnsi="Times New Roman" w:cs="Times New Roman"/>
          <w:b/>
          <w:i/>
          <w:color w:val="2E74B5" w:themeColor="accent1" w:themeShade="BF"/>
          <w:szCs w:val="24"/>
          <w:lang w:val="ro-MD" w:eastAsia="ru-RU"/>
        </w:rPr>
      </w:pPr>
    </w:p>
    <w:p w14:paraId="26E609B3" w14:textId="62554410" w:rsidR="008A79CD" w:rsidRPr="000D19A7" w:rsidRDefault="00351A1B" w:rsidP="008A79CD">
      <w:pPr>
        <w:pStyle w:val="3"/>
        <w:numPr>
          <w:ilvl w:val="0"/>
          <w:numId w:val="0"/>
        </w:numPr>
        <w:ind w:left="720"/>
        <w:jc w:val="right"/>
        <w:rPr>
          <w:rFonts w:ascii="Times New Roman" w:hAnsi="Times New Roman" w:cs="Times New Roman"/>
          <w:color w:val="000000" w:themeColor="text1"/>
          <w:lang w:val="ro-MD" w:eastAsia="ru-RU"/>
        </w:rPr>
      </w:pPr>
      <w:bookmarkStart w:id="32" w:name="_Toc168321562"/>
      <w:r w:rsidRPr="000D19A7">
        <w:rPr>
          <w:rFonts w:ascii="Times New Roman" w:hAnsi="Times New Roman" w:cs="Times New Roman"/>
          <w:color w:val="000000" w:themeColor="text1"/>
          <w:lang w:val="ro-MD" w:eastAsia="ru-RU"/>
        </w:rPr>
        <w:t>Anexa nr.</w:t>
      </w:r>
      <w:r w:rsidR="000C4A54" w:rsidRPr="000D19A7">
        <w:rPr>
          <w:rFonts w:ascii="Times New Roman" w:hAnsi="Times New Roman" w:cs="Times New Roman"/>
          <w:color w:val="000000" w:themeColor="text1"/>
          <w:lang w:val="ro-MD" w:eastAsia="ru-RU"/>
        </w:rPr>
        <w:t>5</w:t>
      </w:r>
      <w:bookmarkEnd w:id="32"/>
      <w:r w:rsidR="003D62BD" w:rsidRPr="000D19A7">
        <w:rPr>
          <w:rFonts w:ascii="Times New Roman" w:hAnsi="Times New Roman" w:cs="Times New Roman"/>
          <w:color w:val="000000" w:themeColor="text1"/>
          <w:lang w:val="ro-MD" w:eastAsia="ru-RU"/>
        </w:rPr>
        <w:t xml:space="preserve"> </w:t>
      </w:r>
    </w:p>
    <w:p w14:paraId="7F7D56BC" w14:textId="052430EE" w:rsidR="0031764D" w:rsidRPr="000D19A7" w:rsidRDefault="003D62BD" w:rsidP="00603D93">
      <w:pPr>
        <w:spacing w:after="0"/>
        <w:jc w:val="center"/>
        <w:rPr>
          <w:rFonts w:ascii="Times New Roman" w:hAnsi="Times New Roman" w:cs="Times New Roman"/>
          <w:b/>
          <w:lang w:val="ro-MD" w:eastAsia="ru-RU"/>
        </w:rPr>
      </w:pPr>
      <w:r w:rsidRPr="000D19A7">
        <w:rPr>
          <w:rFonts w:ascii="Times New Roman" w:hAnsi="Times New Roman" w:cs="Times New Roman"/>
          <w:b/>
          <w:lang w:val="ro-MD" w:eastAsia="ru-RU"/>
        </w:rPr>
        <w:t>Soldul datoriei beneficiarilor recreditați</w:t>
      </w:r>
    </w:p>
    <w:p w14:paraId="5875CF6F" w14:textId="7500A69F" w:rsidR="00603D93" w:rsidRPr="000D19A7" w:rsidRDefault="00603D93" w:rsidP="00603D93">
      <w:pPr>
        <w:spacing w:after="0"/>
        <w:jc w:val="right"/>
        <w:rPr>
          <w:rFonts w:ascii="Times New Roman" w:hAnsi="Times New Roman" w:cs="Times New Roman"/>
          <w:i/>
          <w:lang w:val="ro-MD" w:eastAsia="ru-RU"/>
        </w:rPr>
      </w:pPr>
      <w:r w:rsidRPr="000D19A7">
        <w:rPr>
          <w:rFonts w:ascii="Times New Roman" w:hAnsi="Times New Roman" w:cs="Times New Roman"/>
          <w:i/>
          <w:lang w:val="ro-MD" w:eastAsia="ru-RU"/>
        </w:rPr>
        <w:t>lei</w:t>
      </w:r>
    </w:p>
    <w:tbl>
      <w:tblPr>
        <w:tblW w:w="15591" w:type="dxa"/>
        <w:tblLook w:val="04A0" w:firstRow="1" w:lastRow="0" w:firstColumn="1" w:lastColumn="0" w:noHBand="0" w:noVBand="1"/>
      </w:tblPr>
      <w:tblGrid>
        <w:gridCol w:w="597"/>
        <w:gridCol w:w="3221"/>
        <w:gridCol w:w="1489"/>
        <w:gridCol w:w="1353"/>
        <w:gridCol w:w="1580"/>
        <w:gridCol w:w="1353"/>
        <w:gridCol w:w="1580"/>
        <w:gridCol w:w="1353"/>
        <w:gridCol w:w="1647"/>
        <w:gridCol w:w="1418"/>
      </w:tblGrid>
      <w:tr w:rsidR="004729C6" w:rsidRPr="008B76D8" w14:paraId="485B290F" w14:textId="77777777" w:rsidTr="004729C6">
        <w:trPr>
          <w:trHeight w:val="300"/>
        </w:trPr>
        <w:tc>
          <w:tcPr>
            <w:tcW w:w="5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AC16CC"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Nr. crt.</w:t>
            </w:r>
          </w:p>
        </w:tc>
        <w:tc>
          <w:tcPr>
            <w:tcW w:w="3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F3436F"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Indicatorii</w:t>
            </w:r>
          </w:p>
        </w:tc>
        <w:tc>
          <w:tcPr>
            <w:tcW w:w="2842" w:type="dxa"/>
            <w:gridSpan w:val="2"/>
            <w:tcBorders>
              <w:top w:val="single" w:sz="8" w:space="0" w:color="auto"/>
              <w:left w:val="nil"/>
              <w:bottom w:val="single" w:sz="8" w:space="0" w:color="auto"/>
              <w:right w:val="single" w:sz="8" w:space="0" w:color="000000"/>
            </w:tcBorders>
            <w:shd w:val="clear" w:color="auto" w:fill="auto"/>
            <w:vAlign w:val="center"/>
            <w:hideMark/>
          </w:tcPr>
          <w:p w14:paraId="4E6EE36C"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Soldul datoriei recalculat  în anul 2021</w:t>
            </w:r>
          </w:p>
        </w:tc>
        <w:tc>
          <w:tcPr>
            <w:tcW w:w="2933" w:type="dxa"/>
            <w:gridSpan w:val="2"/>
            <w:tcBorders>
              <w:top w:val="single" w:sz="8" w:space="0" w:color="auto"/>
              <w:left w:val="nil"/>
              <w:bottom w:val="single" w:sz="8" w:space="0" w:color="auto"/>
              <w:right w:val="single" w:sz="8" w:space="0" w:color="000000"/>
            </w:tcBorders>
            <w:shd w:val="clear" w:color="auto" w:fill="auto"/>
            <w:vAlign w:val="center"/>
            <w:hideMark/>
          </w:tcPr>
          <w:p w14:paraId="0F1787DF"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Soldul datoriei recalculat în anul 2022</w:t>
            </w:r>
          </w:p>
        </w:tc>
        <w:tc>
          <w:tcPr>
            <w:tcW w:w="2933" w:type="dxa"/>
            <w:gridSpan w:val="2"/>
            <w:tcBorders>
              <w:top w:val="single" w:sz="8" w:space="0" w:color="auto"/>
              <w:left w:val="nil"/>
              <w:bottom w:val="single" w:sz="8" w:space="0" w:color="auto"/>
              <w:right w:val="single" w:sz="8" w:space="0" w:color="000000"/>
            </w:tcBorders>
            <w:shd w:val="clear" w:color="auto" w:fill="auto"/>
            <w:vAlign w:val="center"/>
            <w:hideMark/>
          </w:tcPr>
          <w:p w14:paraId="14C41D21"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Soldul datoriei recalculat în anul 2023</w:t>
            </w:r>
          </w:p>
        </w:tc>
        <w:tc>
          <w:tcPr>
            <w:tcW w:w="306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429E276C" w14:textId="77777777" w:rsidR="004729C6" w:rsidRPr="008B76D8" w:rsidRDefault="004729C6" w:rsidP="00603D93">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Modificări la soldul datoriilor cu termen de achitare expirat</w:t>
            </w:r>
          </w:p>
        </w:tc>
      </w:tr>
      <w:tr w:rsidR="004729C6" w:rsidRPr="008B76D8" w14:paraId="41317363" w14:textId="77777777" w:rsidTr="004729C6">
        <w:trPr>
          <w:trHeight w:val="408"/>
        </w:trPr>
        <w:tc>
          <w:tcPr>
            <w:tcW w:w="597" w:type="dxa"/>
            <w:vMerge/>
            <w:tcBorders>
              <w:top w:val="single" w:sz="8" w:space="0" w:color="auto"/>
              <w:left w:val="single" w:sz="8" w:space="0" w:color="auto"/>
              <w:bottom w:val="single" w:sz="8" w:space="0" w:color="000000"/>
              <w:right w:val="single" w:sz="8" w:space="0" w:color="auto"/>
            </w:tcBorders>
            <w:vAlign w:val="center"/>
            <w:hideMark/>
          </w:tcPr>
          <w:p w14:paraId="6C430195"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3221" w:type="dxa"/>
            <w:vMerge/>
            <w:tcBorders>
              <w:top w:val="single" w:sz="8" w:space="0" w:color="auto"/>
              <w:left w:val="single" w:sz="8" w:space="0" w:color="auto"/>
              <w:bottom w:val="single" w:sz="8" w:space="0" w:color="000000"/>
              <w:right w:val="single" w:sz="8" w:space="0" w:color="auto"/>
            </w:tcBorders>
            <w:vAlign w:val="center"/>
            <w:hideMark/>
          </w:tcPr>
          <w:p w14:paraId="61A0A8DD"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B7B0A50"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Suma total</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14:paraId="6A478BB5"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inclusiv cu termenul de achitare expirat</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55C78747"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Suma total</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14:paraId="629D978A"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inclusiv cu termenul de achitare expirat</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52CB86C9"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Suma total</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14:paraId="64FEBE4F"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inclusiv cu termenul de achitare expirat</w:t>
            </w:r>
          </w:p>
        </w:tc>
        <w:tc>
          <w:tcPr>
            <w:tcW w:w="3065" w:type="dxa"/>
            <w:gridSpan w:val="2"/>
            <w:tcBorders>
              <w:top w:val="nil"/>
              <w:left w:val="single" w:sz="8" w:space="0" w:color="auto"/>
              <w:bottom w:val="single" w:sz="8" w:space="0" w:color="000000"/>
              <w:right w:val="single" w:sz="8" w:space="0" w:color="auto"/>
            </w:tcBorders>
            <w:vAlign w:val="center"/>
            <w:hideMark/>
          </w:tcPr>
          <w:p w14:paraId="1BD7CF1E"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r>
      <w:tr w:rsidR="004729C6" w:rsidRPr="008B76D8" w14:paraId="5ACE0376" w14:textId="77777777" w:rsidTr="004729C6">
        <w:trPr>
          <w:trHeight w:val="492"/>
        </w:trPr>
        <w:tc>
          <w:tcPr>
            <w:tcW w:w="597" w:type="dxa"/>
            <w:vMerge/>
            <w:tcBorders>
              <w:top w:val="single" w:sz="8" w:space="0" w:color="auto"/>
              <w:left w:val="single" w:sz="8" w:space="0" w:color="auto"/>
              <w:bottom w:val="single" w:sz="8" w:space="0" w:color="000000"/>
              <w:right w:val="single" w:sz="8" w:space="0" w:color="auto"/>
            </w:tcBorders>
            <w:vAlign w:val="center"/>
            <w:hideMark/>
          </w:tcPr>
          <w:p w14:paraId="21246D5D"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3221" w:type="dxa"/>
            <w:vMerge/>
            <w:tcBorders>
              <w:top w:val="single" w:sz="8" w:space="0" w:color="auto"/>
              <w:left w:val="single" w:sz="8" w:space="0" w:color="auto"/>
              <w:bottom w:val="single" w:sz="8" w:space="0" w:color="000000"/>
              <w:right w:val="single" w:sz="8" w:space="0" w:color="auto"/>
            </w:tcBorders>
            <w:vAlign w:val="center"/>
            <w:hideMark/>
          </w:tcPr>
          <w:p w14:paraId="0D845ECE"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489" w:type="dxa"/>
            <w:vMerge/>
            <w:tcBorders>
              <w:top w:val="nil"/>
              <w:left w:val="single" w:sz="8" w:space="0" w:color="auto"/>
              <w:bottom w:val="single" w:sz="8" w:space="0" w:color="000000"/>
              <w:right w:val="single" w:sz="8" w:space="0" w:color="auto"/>
            </w:tcBorders>
            <w:vAlign w:val="center"/>
            <w:hideMark/>
          </w:tcPr>
          <w:p w14:paraId="2A35CC65"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353" w:type="dxa"/>
            <w:vMerge/>
            <w:tcBorders>
              <w:top w:val="nil"/>
              <w:left w:val="single" w:sz="8" w:space="0" w:color="auto"/>
              <w:bottom w:val="single" w:sz="8" w:space="0" w:color="000000"/>
              <w:right w:val="single" w:sz="8" w:space="0" w:color="auto"/>
            </w:tcBorders>
            <w:vAlign w:val="center"/>
            <w:hideMark/>
          </w:tcPr>
          <w:p w14:paraId="6CEF0413"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580" w:type="dxa"/>
            <w:vMerge/>
            <w:tcBorders>
              <w:top w:val="nil"/>
              <w:left w:val="single" w:sz="8" w:space="0" w:color="auto"/>
              <w:bottom w:val="single" w:sz="8" w:space="0" w:color="000000"/>
              <w:right w:val="single" w:sz="8" w:space="0" w:color="auto"/>
            </w:tcBorders>
            <w:vAlign w:val="center"/>
            <w:hideMark/>
          </w:tcPr>
          <w:p w14:paraId="287C2E63"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353" w:type="dxa"/>
            <w:vMerge/>
            <w:tcBorders>
              <w:top w:val="nil"/>
              <w:left w:val="single" w:sz="8" w:space="0" w:color="auto"/>
              <w:bottom w:val="single" w:sz="8" w:space="0" w:color="000000"/>
              <w:right w:val="single" w:sz="8" w:space="0" w:color="auto"/>
            </w:tcBorders>
            <w:vAlign w:val="center"/>
            <w:hideMark/>
          </w:tcPr>
          <w:p w14:paraId="3F0C4B94"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580" w:type="dxa"/>
            <w:vMerge/>
            <w:tcBorders>
              <w:top w:val="nil"/>
              <w:left w:val="single" w:sz="8" w:space="0" w:color="auto"/>
              <w:bottom w:val="single" w:sz="8" w:space="0" w:color="000000"/>
              <w:right w:val="single" w:sz="8" w:space="0" w:color="auto"/>
            </w:tcBorders>
            <w:vAlign w:val="center"/>
            <w:hideMark/>
          </w:tcPr>
          <w:p w14:paraId="55BC4EC5"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353" w:type="dxa"/>
            <w:vMerge/>
            <w:tcBorders>
              <w:top w:val="nil"/>
              <w:left w:val="single" w:sz="8" w:space="0" w:color="auto"/>
              <w:bottom w:val="single" w:sz="8" w:space="0" w:color="000000"/>
              <w:right w:val="single" w:sz="8" w:space="0" w:color="auto"/>
            </w:tcBorders>
            <w:vAlign w:val="center"/>
            <w:hideMark/>
          </w:tcPr>
          <w:p w14:paraId="3426CBE3"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p>
        </w:tc>
        <w:tc>
          <w:tcPr>
            <w:tcW w:w="1647" w:type="dxa"/>
            <w:tcBorders>
              <w:top w:val="nil"/>
              <w:left w:val="nil"/>
              <w:bottom w:val="single" w:sz="8" w:space="0" w:color="000000"/>
              <w:right w:val="single" w:sz="8" w:space="0" w:color="auto"/>
            </w:tcBorders>
            <w:shd w:val="clear" w:color="auto" w:fill="auto"/>
            <w:vAlign w:val="center"/>
            <w:hideMark/>
          </w:tcPr>
          <w:p w14:paraId="4F6881A8"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Total</w:t>
            </w:r>
          </w:p>
        </w:tc>
        <w:tc>
          <w:tcPr>
            <w:tcW w:w="1418" w:type="dxa"/>
            <w:tcBorders>
              <w:top w:val="nil"/>
              <w:left w:val="nil"/>
              <w:bottom w:val="single" w:sz="8" w:space="0" w:color="auto"/>
              <w:right w:val="single" w:sz="8" w:space="0" w:color="auto"/>
            </w:tcBorders>
            <w:shd w:val="clear" w:color="auto" w:fill="auto"/>
            <w:vAlign w:val="center"/>
            <w:hideMark/>
          </w:tcPr>
          <w:p w14:paraId="7742DABA"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Inclusiv diferența de curs valutar</w:t>
            </w:r>
          </w:p>
        </w:tc>
      </w:tr>
      <w:tr w:rsidR="004729C6" w:rsidRPr="008B76D8" w14:paraId="0E481EE1" w14:textId="77777777" w:rsidTr="004729C6">
        <w:trPr>
          <w:trHeight w:val="300"/>
        </w:trPr>
        <w:tc>
          <w:tcPr>
            <w:tcW w:w="3818" w:type="dxa"/>
            <w:gridSpan w:val="2"/>
            <w:tcBorders>
              <w:top w:val="single" w:sz="8" w:space="0" w:color="000000"/>
              <w:left w:val="single" w:sz="8" w:space="0" w:color="auto"/>
              <w:bottom w:val="single" w:sz="8" w:space="0" w:color="auto"/>
              <w:right w:val="nil"/>
            </w:tcBorders>
            <w:shd w:val="clear" w:color="auto" w:fill="auto"/>
            <w:vAlign w:val="center"/>
            <w:hideMark/>
          </w:tcPr>
          <w:p w14:paraId="2C67A34E" w14:textId="77777777" w:rsidR="004729C6" w:rsidRPr="008B76D8" w:rsidRDefault="004729C6" w:rsidP="004729C6">
            <w:pPr>
              <w:spacing w:after="0" w:line="240" w:lineRule="auto"/>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 </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1EF0AE38"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1</w:t>
            </w:r>
          </w:p>
        </w:tc>
        <w:tc>
          <w:tcPr>
            <w:tcW w:w="1353" w:type="dxa"/>
            <w:tcBorders>
              <w:top w:val="nil"/>
              <w:left w:val="nil"/>
              <w:bottom w:val="single" w:sz="8" w:space="0" w:color="auto"/>
              <w:right w:val="single" w:sz="8" w:space="0" w:color="auto"/>
            </w:tcBorders>
            <w:shd w:val="clear" w:color="auto" w:fill="auto"/>
            <w:vAlign w:val="center"/>
            <w:hideMark/>
          </w:tcPr>
          <w:p w14:paraId="12586DBE"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2</w:t>
            </w:r>
          </w:p>
        </w:tc>
        <w:tc>
          <w:tcPr>
            <w:tcW w:w="1580" w:type="dxa"/>
            <w:tcBorders>
              <w:top w:val="nil"/>
              <w:left w:val="nil"/>
              <w:bottom w:val="single" w:sz="8" w:space="0" w:color="auto"/>
              <w:right w:val="single" w:sz="8" w:space="0" w:color="auto"/>
            </w:tcBorders>
            <w:shd w:val="clear" w:color="auto" w:fill="auto"/>
            <w:vAlign w:val="center"/>
            <w:hideMark/>
          </w:tcPr>
          <w:p w14:paraId="6576CBDE"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3</w:t>
            </w:r>
          </w:p>
        </w:tc>
        <w:tc>
          <w:tcPr>
            <w:tcW w:w="1353" w:type="dxa"/>
            <w:tcBorders>
              <w:top w:val="nil"/>
              <w:left w:val="nil"/>
              <w:bottom w:val="single" w:sz="8" w:space="0" w:color="auto"/>
              <w:right w:val="single" w:sz="8" w:space="0" w:color="auto"/>
            </w:tcBorders>
            <w:shd w:val="clear" w:color="auto" w:fill="auto"/>
            <w:vAlign w:val="center"/>
            <w:hideMark/>
          </w:tcPr>
          <w:p w14:paraId="1977E62F"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4</w:t>
            </w:r>
          </w:p>
        </w:tc>
        <w:tc>
          <w:tcPr>
            <w:tcW w:w="1580" w:type="dxa"/>
            <w:tcBorders>
              <w:top w:val="nil"/>
              <w:left w:val="nil"/>
              <w:bottom w:val="single" w:sz="8" w:space="0" w:color="auto"/>
              <w:right w:val="single" w:sz="8" w:space="0" w:color="auto"/>
            </w:tcBorders>
            <w:shd w:val="clear" w:color="auto" w:fill="auto"/>
            <w:vAlign w:val="center"/>
            <w:hideMark/>
          </w:tcPr>
          <w:p w14:paraId="27C64715"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5</w:t>
            </w:r>
          </w:p>
        </w:tc>
        <w:tc>
          <w:tcPr>
            <w:tcW w:w="1353" w:type="dxa"/>
            <w:tcBorders>
              <w:top w:val="nil"/>
              <w:left w:val="nil"/>
              <w:bottom w:val="single" w:sz="8" w:space="0" w:color="auto"/>
              <w:right w:val="single" w:sz="8" w:space="0" w:color="auto"/>
            </w:tcBorders>
            <w:shd w:val="clear" w:color="auto" w:fill="auto"/>
            <w:vAlign w:val="center"/>
            <w:hideMark/>
          </w:tcPr>
          <w:p w14:paraId="7CA1B855"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6</w:t>
            </w:r>
          </w:p>
        </w:tc>
        <w:tc>
          <w:tcPr>
            <w:tcW w:w="1647" w:type="dxa"/>
            <w:tcBorders>
              <w:top w:val="nil"/>
              <w:left w:val="nil"/>
              <w:bottom w:val="single" w:sz="8" w:space="0" w:color="auto"/>
              <w:right w:val="single" w:sz="8" w:space="0" w:color="auto"/>
            </w:tcBorders>
            <w:shd w:val="clear" w:color="auto" w:fill="auto"/>
            <w:vAlign w:val="center"/>
            <w:hideMark/>
          </w:tcPr>
          <w:p w14:paraId="63298E90"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7=5-3</w:t>
            </w:r>
          </w:p>
        </w:tc>
        <w:tc>
          <w:tcPr>
            <w:tcW w:w="1418" w:type="dxa"/>
            <w:tcBorders>
              <w:top w:val="nil"/>
              <w:left w:val="nil"/>
              <w:bottom w:val="single" w:sz="8" w:space="0" w:color="auto"/>
              <w:right w:val="single" w:sz="8" w:space="0" w:color="auto"/>
            </w:tcBorders>
            <w:shd w:val="clear" w:color="auto" w:fill="auto"/>
            <w:vAlign w:val="center"/>
            <w:hideMark/>
          </w:tcPr>
          <w:p w14:paraId="4C4F038D" w14:textId="77777777" w:rsidR="004729C6" w:rsidRPr="008B76D8" w:rsidRDefault="004729C6" w:rsidP="004729C6">
            <w:pPr>
              <w:spacing w:after="0" w:line="240" w:lineRule="auto"/>
              <w:jc w:val="center"/>
              <w:rPr>
                <w:rFonts w:ascii="Times New Roman" w:eastAsia="Times New Roman" w:hAnsi="Times New Roman" w:cs="Times New Roman"/>
                <w:b/>
                <w:bCs/>
                <w:i/>
                <w:iCs/>
                <w:color w:val="000000"/>
                <w:sz w:val="16"/>
                <w:szCs w:val="16"/>
              </w:rPr>
            </w:pPr>
            <w:r w:rsidRPr="008B76D8">
              <w:rPr>
                <w:rFonts w:ascii="Times New Roman" w:eastAsia="Times New Roman" w:hAnsi="Times New Roman" w:cs="Times New Roman"/>
                <w:b/>
                <w:bCs/>
                <w:i/>
                <w:iCs/>
                <w:color w:val="000000"/>
                <w:sz w:val="16"/>
                <w:szCs w:val="16"/>
              </w:rPr>
              <w:t>8=6-4</w:t>
            </w:r>
          </w:p>
        </w:tc>
      </w:tr>
      <w:tr w:rsidR="004729C6" w:rsidRPr="008B76D8" w14:paraId="00C80EB1" w14:textId="77777777" w:rsidTr="004729C6">
        <w:trPr>
          <w:trHeight w:val="300"/>
        </w:trPr>
        <w:tc>
          <w:tcPr>
            <w:tcW w:w="3818" w:type="dxa"/>
            <w:gridSpan w:val="2"/>
            <w:tcBorders>
              <w:top w:val="single" w:sz="8" w:space="0" w:color="auto"/>
              <w:left w:val="single" w:sz="8" w:space="0" w:color="auto"/>
              <w:bottom w:val="single" w:sz="8" w:space="0" w:color="auto"/>
              <w:right w:val="nil"/>
            </w:tcBorders>
            <w:shd w:val="clear" w:color="auto" w:fill="auto"/>
            <w:vAlign w:val="center"/>
            <w:hideMark/>
          </w:tcPr>
          <w:p w14:paraId="7FD54B5E"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xml:space="preserve">1. Agenții economici </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34B946BE"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2.642.289.579,72</w:t>
            </w:r>
          </w:p>
        </w:tc>
        <w:tc>
          <w:tcPr>
            <w:tcW w:w="1353" w:type="dxa"/>
            <w:tcBorders>
              <w:top w:val="nil"/>
              <w:left w:val="nil"/>
              <w:bottom w:val="single" w:sz="8" w:space="0" w:color="auto"/>
              <w:right w:val="single" w:sz="8" w:space="0" w:color="auto"/>
            </w:tcBorders>
            <w:shd w:val="clear" w:color="auto" w:fill="auto"/>
            <w:vAlign w:val="center"/>
            <w:hideMark/>
          </w:tcPr>
          <w:p w14:paraId="42DBA896"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290.466.358,21</w:t>
            </w:r>
          </w:p>
        </w:tc>
        <w:tc>
          <w:tcPr>
            <w:tcW w:w="1580" w:type="dxa"/>
            <w:tcBorders>
              <w:top w:val="nil"/>
              <w:left w:val="nil"/>
              <w:bottom w:val="single" w:sz="8" w:space="0" w:color="auto"/>
              <w:right w:val="single" w:sz="8" w:space="0" w:color="auto"/>
            </w:tcBorders>
            <w:shd w:val="clear" w:color="auto" w:fill="auto"/>
            <w:vAlign w:val="center"/>
            <w:hideMark/>
          </w:tcPr>
          <w:p w14:paraId="7FDF59DB"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5.854.909.772,66</w:t>
            </w:r>
          </w:p>
        </w:tc>
        <w:tc>
          <w:tcPr>
            <w:tcW w:w="1353" w:type="dxa"/>
            <w:tcBorders>
              <w:top w:val="nil"/>
              <w:left w:val="nil"/>
              <w:bottom w:val="single" w:sz="8" w:space="0" w:color="auto"/>
              <w:right w:val="single" w:sz="8" w:space="0" w:color="auto"/>
            </w:tcBorders>
            <w:shd w:val="clear" w:color="auto" w:fill="auto"/>
            <w:vAlign w:val="center"/>
            <w:hideMark/>
          </w:tcPr>
          <w:p w14:paraId="36871ED2"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264.599.782,17</w:t>
            </w:r>
          </w:p>
        </w:tc>
        <w:tc>
          <w:tcPr>
            <w:tcW w:w="1580" w:type="dxa"/>
            <w:tcBorders>
              <w:top w:val="nil"/>
              <w:left w:val="nil"/>
              <w:bottom w:val="single" w:sz="8" w:space="0" w:color="auto"/>
              <w:right w:val="single" w:sz="8" w:space="0" w:color="auto"/>
            </w:tcBorders>
            <w:shd w:val="clear" w:color="auto" w:fill="auto"/>
            <w:vAlign w:val="center"/>
            <w:hideMark/>
          </w:tcPr>
          <w:p w14:paraId="78B6264B"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4.413.278.000,79</w:t>
            </w:r>
          </w:p>
        </w:tc>
        <w:tc>
          <w:tcPr>
            <w:tcW w:w="1353" w:type="dxa"/>
            <w:tcBorders>
              <w:top w:val="nil"/>
              <w:left w:val="nil"/>
              <w:bottom w:val="single" w:sz="8" w:space="0" w:color="auto"/>
              <w:right w:val="single" w:sz="8" w:space="0" w:color="auto"/>
            </w:tcBorders>
            <w:shd w:val="clear" w:color="auto" w:fill="auto"/>
            <w:vAlign w:val="center"/>
            <w:hideMark/>
          </w:tcPr>
          <w:p w14:paraId="7EE7FA7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146.980.645,39</w:t>
            </w:r>
          </w:p>
        </w:tc>
        <w:tc>
          <w:tcPr>
            <w:tcW w:w="1647" w:type="dxa"/>
            <w:tcBorders>
              <w:top w:val="nil"/>
              <w:left w:val="nil"/>
              <w:bottom w:val="single" w:sz="8" w:space="0" w:color="auto"/>
              <w:right w:val="single" w:sz="8" w:space="0" w:color="auto"/>
            </w:tcBorders>
            <w:shd w:val="clear" w:color="auto" w:fill="auto"/>
            <w:vAlign w:val="center"/>
            <w:hideMark/>
          </w:tcPr>
          <w:p w14:paraId="247F89CF"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-1.441.631.771,87</w:t>
            </w:r>
          </w:p>
        </w:tc>
        <w:tc>
          <w:tcPr>
            <w:tcW w:w="1418" w:type="dxa"/>
            <w:tcBorders>
              <w:top w:val="nil"/>
              <w:left w:val="nil"/>
              <w:bottom w:val="single" w:sz="8" w:space="0" w:color="auto"/>
              <w:right w:val="single" w:sz="8" w:space="0" w:color="auto"/>
            </w:tcBorders>
            <w:shd w:val="clear" w:color="auto" w:fill="auto"/>
            <w:vAlign w:val="center"/>
            <w:hideMark/>
          </w:tcPr>
          <w:p w14:paraId="4BD68C1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-117.619.136,78</w:t>
            </w:r>
          </w:p>
        </w:tc>
      </w:tr>
      <w:tr w:rsidR="004729C6" w:rsidRPr="008B76D8" w14:paraId="34A75C65" w14:textId="77777777" w:rsidTr="004729C6">
        <w:trPr>
          <w:trHeight w:val="30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E85DB7" w14:textId="77777777" w:rsidR="004729C6" w:rsidRPr="008B76D8" w:rsidRDefault="004729C6" w:rsidP="004729C6">
            <w:pPr>
              <w:spacing w:after="0" w:line="240" w:lineRule="auto"/>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 xml:space="preserve">1.1 Întreprinderi care activează în regim ordinar </w:t>
            </w:r>
          </w:p>
        </w:tc>
        <w:tc>
          <w:tcPr>
            <w:tcW w:w="1489" w:type="dxa"/>
            <w:tcBorders>
              <w:top w:val="nil"/>
              <w:left w:val="nil"/>
              <w:bottom w:val="single" w:sz="8" w:space="0" w:color="auto"/>
              <w:right w:val="single" w:sz="8" w:space="0" w:color="auto"/>
            </w:tcBorders>
            <w:shd w:val="clear" w:color="auto" w:fill="auto"/>
            <w:vAlign w:val="center"/>
            <w:hideMark/>
          </w:tcPr>
          <w:p w14:paraId="0E5FFEEA"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2.340.448.133,97</w:t>
            </w:r>
          </w:p>
        </w:tc>
        <w:tc>
          <w:tcPr>
            <w:tcW w:w="1353" w:type="dxa"/>
            <w:tcBorders>
              <w:top w:val="nil"/>
              <w:left w:val="nil"/>
              <w:bottom w:val="single" w:sz="8" w:space="0" w:color="auto"/>
              <w:right w:val="single" w:sz="8" w:space="0" w:color="auto"/>
            </w:tcBorders>
            <w:shd w:val="clear" w:color="auto" w:fill="auto"/>
            <w:vAlign w:val="center"/>
            <w:hideMark/>
          </w:tcPr>
          <w:p w14:paraId="13C3164A"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51.382.983,40</w:t>
            </w:r>
          </w:p>
        </w:tc>
        <w:tc>
          <w:tcPr>
            <w:tcW w:w="1580" w:type="dxa"/>
            <w:tcBorders>
              <w:top w:val="nil"/>
              <w:left w:val="nil"/>
              <w:bottom w:val="single" w:sz="8" w:space="0" w:color="auto"/>
              <w:right w:val="single" w:sz="8" w:space="0" w:color="auto"/>
            </w:tcBorders>
            <w:shd w:val="clear" w:color="auto" w:fill="auto"/>
            <w:vAlign w:val="center"/>
            <w:hideMark/>
          </w:tcPr>
          <w:p w14:paraId="3E3AC45A"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5.504.528.219,16</w:t>
            </w:r>
          </w:p>
        </w:tc>
        <w:tc>
          <w:tcPr>
            <w:tcW w:w="1353" w:type="dxa"/>
            <w:tcBorders>
              <w:top w:val="nil"/>
              <w:left w:val="nil"/>
              <w:bottom w:val="single" w:sz="8" w:space="0" w:color="auto"/>
              <w:right w:val="single" w:sz="8" w:space="0" w:color="auto"/>
            </w:tcBorders>
            <w:shd w:val="clear" w:color="auto" w:fill="auto"/>
            <w:vAlign w:val="center"/>
            <w:hideMark/>
          </w:tcPr>
          <w:p w14:paraId="6F8B7A03"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8.494.482,54</w:t>
            </w:r>
          </w:p>
        </w:tc>
        <w:tc>
          <w:tcPr>
            <w:tcW w:w="1580" w:type="dxa"/>
            <w:tcBorders>
              <w:top w:val="nil"/>
              <w:left w:val="nil"/>
              <w:bottom w:val="single" w:sz="8" w:space="0" w:color="auto"/>
              <w:right w:val="single" w:sz="8" w:space="0" w:color="auto"/>
            </w:tcBorders>
            <w:shd w:val="clear" w:color="auto" w:fill="auto"/>
            <w:vAlign w:val="center"/>
            <w:hideMark/>
          </w:tcPr>
          <w:p w14:paraId="54D4A7FF"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4.191.047.516,73</w:t>
            </w:r>
          </w:p>
        </w:tc>
        <w:tc>
          <w:tcPr>
            <w:tcW w:w="1353" w:type="dxa"/>
            <w:tcBorders>
              <w:top w:val="nil"/>
              <w:left w:val="nil"/>
              <w:bottom w:val="single" w:sz="8" w:space="0" w:color="auto"/>
              <w:right w:val="single" w:sz="8" w:space="0" w:color="auto"/>
            </w:tcBorders>
            <w:shd w:val="clear" w:color="auto" w:fill="auto"/>
            <w:vAlign w:val="center"/>
            <w:hideMark/>
          </w:tcPr>
          <w:p w14:paraId="7D3DB27B"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6.904.139,38</w:t>
            </w:r>
          </w:p>
        </w:tc>
        <w:tc>
          <w:tcPr>
            <w:tcW w:w="1647" w:type="dxa"/>
            <w:tcBorders>
              <w:top w:val="nil"/>
              <w:left w:val="nil"/>
              <w:bottom w:val="single" w:sz="8" w:space="0" w:color="auto"/>
              <w:right w:val="single" w:sz="8" w:space="0" w:color="auto"/>
            </w:tcBorders>
            <w:shd w:val="clear" w:color="auto" w:fill="auto"/>
            <w:vAlign w:val="center"/>
            <w:hideMark/>
          </w:tcPr>
          <w:p w14:paraId="42F51883"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-1.314.842.149,27</w:t>
            </w:r>
          </w:p>
        </w:tc>
        <w:tc>
          <w:tcPr>
            <w:tcW w:w="1418" w:type="dxa"/>
            <w:tcBorders>
              <w:top w:val="nil"/>
              <w:left w:val="nil"/>
              <w:bottom w:val="single" w:sz="8" w:space="0" w:color="auto"/>
              <w:right w:val="single" w:sz="8" w:space="0" w:color="auto"/>
            </w:tcBorders>
            <w:shd w:val="clear" w:color="auto" w:fill="auto"/>
            <w:vAlign w:val="center"/>
            <w:hideMark/>
          </w:tcPr>
          <w:p w14:paraId="4FBA2EEF"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-2.951.790,00</w:t>
            </w:r>
          </w:p>
        </w:tc>
      </w:tr>
      <w:tr w:rsidR="004729C6" w:rsidRPr="008B76D8" w14:paraId="56AC6ED6"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139052C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nil"/>
              <w:bottom w:val="nil"/>
              <w:right w:val="single" w:sz="8" w:space="0" w:color="auto"/>
            </w:tcBorders>
            <w:shd w:val="clear" w:color="auto" w:fill="auto"/>
            <w:vAlign w:val="center"/>
            <w:hideMark/>
          </w:tcPr>
          <w:p w14:paraId="22C56096" w14:textId="4F1CB8E1"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ÎS</w:t>
            </w:r>
            <w:r w:rsidR="004729C6" w:rsidRPr="008B76D8">
              <w:rPr>
                <w:rFonts w:ascii="Times New Roman" w:eastAsia="Times New Roman" w:hAnsi="Times New Roman" w:cs="Times New Roman"/>
                <w:color w:val="000000"/>
                <w:sz w:val="18"/>
                <w:szCs w:val="18"/>
              </w:rPr>
              <w:t xml:space="preserve"> "Moldelectrica", Chişinău</w:t>
            </w:r>
          </w:p>
        </w:tc>
        <w:tc>
          <w:tcPr>
            <w:tcW w:w="1489" w:type="dxa"/>
            <w:tcBorders>
              <w:top w:val="nil"/>
              <w:left w:val="nil"/>
              <w:bottom w:val="nil"/>
              <w:right w:val="single" w:sz="8" w:space="0" w:color="auto"/>
            </w:tcBorders>
            <w:shd w:val="clear" w:color="auto" w:fill="auto"/>
            <w:vAlign w:val="center"/>
            <w:hideMark/>
          </w:tcPr>
          <w:p w14:paraId="0917135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626.872.746,18</w:t>
            </w:r>
          </w:p>
        </w:tc>
        <w:tc>
          <w:tcPr>
            <w:tcW w:w="1353" w:type="dxa"/>
            <w:tcBorders>
              <w:top w:val="nil"/>
              <w:left w:val="nil"/>
              <w:bottom w:val="single" w:sz="8" w:space="0" w:color="auto"/>
              <w:right w:val="single" w:sz="8" w:space="0" w:color="auto"/>
            </w:tcBorders>
            <w:shd w:val="clear" w:color="auto" w:fill="auto"/>
            <w:vAlign w:val="center"/>
            <w:hideMark/>
          </w:tcPr>
          <w:p w14:paraId="554EAB7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nil"/>
              <w:right w:val="single" w:sz="8" w:space="0" w:color="auto"/>
            </w:tcBorders>
            <w:shd w:val="clear" w:color="auto" w:fill="auto"/>
            <w:vAlign w:val="center"/>
            <w:hideMark/>
          </w:tcPr>
          <w:p w14:paraId="461464B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680.654.934,21</w:t>
            </w:r>
          </w:p>
        </w:tc>
        <w:tc>
          <w:tcPr>
            <w:tcW w:w="1353" w:type="dxa"/>
            <w:tcBorders>
              <w:top w:val="nil"/>
              <w:left w:val="nil"/>
              <w:bottom w:val="single" w:sz="8" w:space="0" w:color="auto"/>
              <w:right w:val="single" w:sz="8" w:space="0" w:color="auto"/>
            </w:tcBorders>
            <w:shd w:val="clear" w:color="auto" w:fill="auto"/>
            <w:vAlign w:val="center"/>
            <w:hideMark/>
          </w:tcPr>
          <w:p w14:paraId="1768D00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B0210B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721.402.497,00</w:t>
            </w:r>
          </w:p>
        </w:tc>
        <w:tc>
          <w:tcPr>
            <w:tcW w:w="1353" w:type="dxa"/>
            <w:tcBorders>
              <w:top w:val="nil"/>
              <w:left w:val="nil"/>
              <w:bottom w:val="single" w:sz="8" w:space="0" w:color="auto"/>
              <w:right w:val="single" w:sz="8" w:space="0" w:color="auto"/>
            </w:tcBorders>
            <w:shd w:val="clear" w:color="auto" w:fill="auto"/>
            <w:vAlign w:val="center"/>
            <w:hideMark/>
          </w:tcPr>
          <w:p w14:paraId="0948D4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A1AF09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40.747.562,79</w:t>
            </w:r>
          </w:p>
        </w:tc>
        <w:tc>
          <w:tcPr>
            <w:tcW w:w="1418" w:type="dxa"/>
            <w:tcBorders>
              <w:top w:val="nil"/>
              <w:left w:val="nil"/>
              <w:bottom w:val="single" w:sz="8" w:space="0" w:color="auto"/>
              <w:right w:val="single" w:sz="8" w:space="0" w:color="auto"/>
            </w:tcBorders>
            <w:shd w:val="clear" w:color="auto" w:fill="auto"/>
            <w:vAlign w:val="center"/>
            <w:hideMark/>
          </w:tcPr>
          <w:p w14:paraId="068C7D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A37AB8F"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4E900"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single" w:sz="8" w:space="0" w:color="auto"/>
              <w:left w:val="nil"/>
              <w:bottom w:val="single" w:sz="8" w:space="0" w:color="auto"/>
              <w:right w:val="nil"/>
            </w:tcBorders>
            <w:shd w:val="clear" w:color="auto" w:fill="auto"/>
            <w:vAlign w:val="center"/>
            <w:hideMark/>
          </w:tcPr>
          <w:p w14:paraId="130B7600" w14:textId="51E83C60" w:rsidR="004729C6" w:rsidRPr="008B76D8" w:rsidRDefault="00791937" w:rsidP="00791937">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w:t>
            </w:r>
            <w:r w:rsidR="004729C6" w:rsidRPr="008B76D8">
              <w:rPr>
                <w:rFonts w:ascii="Times New Roman" w:eastAsia="Times New Roman" w:hAnsi="Times New Roman" w:cs="Times New Roman"/>
                <w:color w:val="000000"/>
                <w:sz w:val="18"/>
                <w:szCs w:val="18"/>
              </w:rPr>
              <w:t>A "Termoelectrica</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A9F0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641.609.478,03</w:t>
            </w:r>
          </w:p>
        </w:tc>
        <w:tc>
          <w:tcPr>
            <w:tcW w:w="1353" w:type="dxa"/>
            <w:tcBorders>
              <w:top w:val="nil"/>
              <w:left w:val="nil"/>
              <w:bottom w:val="single" w:sz="8" w:space="0" w:color="auto"/>
              <w:right w:val="single" w:sz="8" w:space="0" w:color="auto"/>
            </w:tcBorders>
            <w:shd w:val="clear" w:color="auto" w:fill="auto"/>
            <w:vAlign w:val="center"/>
            <w:hideMark/>
          </w:tcPr>
          <w:p w14:paraId="47740F9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4A86B5D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627.133.249,81</w:t>
            </w:r>
          </w:p>
        </w:tc>
        <w:tc>
          <w:tcPr>
            <w:tcW w:w="1353" w:type="dxa"/>
            <w:tcBorders>
              <w:top w:val="nil"/>
              <w:left w:val="nil"/>
              <w:bottom w:val="single" w:sz="8" w:space="0" w:color="auto"/>
              <w:right w:val="single" w:sz="8" w:space="0" w:color="auto"/>
            </w:tcBorders>
            <w:shd w:val="clear" w:color="auto" w:fill="auto"/>
            <w:vAlign w:val="center"/>
            <w:hideMark/>
          </w:tcPr>
          <w:p w14:paraId="2CFC17A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E256F1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579.711.898,16</w:t>
            </w:r>
          </w:p>
        </w:tc>
        <w:tc>
          <w:tcPr>
            <w:tcW w:w="1353" w:type="dxa"/>
            <w:tcBorders>
              <w:top w:val="nil"/>
              <w:left w:val="nil"/>
              <w:bottom w:val="single" w:sz="8" w:space="0" w:color="auto"/>
              <w:right w:val="single" w:sz="8" w:space="0" w:color="auto"/>
            </w:tcBorders>
            <w:shd w:val="clear" w:color="auto" w:fill="auto"/>
            <w:vAlign w:val="center"/>
            <w:hideMark/>
          </w:tcPr>
          <w:p w14:paraId="5D23890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74C391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-47.421.351,65</w:t>
            </w:r>
          </w:p>
        </w:tc>
        <w:tc>
          <w:tcPr>
            <w:tcW w:w="1418" w:type="dxa"/>
            <w:tcBorders>
              <w:top w:val="nil"/>
              <w:left w:val="nil"/>
              <w:bottom w:val="single" w:sz="8" w:space="0" w:color="auto"/>
              <w:right w:val="single" w:sz="8" w:space="0" w:color="auto"/>
            </w:tcBorders>
            <w:shd w:val="clear" w:color="auto" w:fill="auto"/>
            <w:vAlign w:val="center"/>
            <w:hideMark/>
          </w:tcPr>
          <w:p w14:paraId="0238058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070635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4BD5F4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w:t>
            </w:r>
          </w:p>
        </w:tc>
        <w:tc>
          <w:tcPr>
            <w:tcW w:w="3221" w:type="dxa"/>
            <w:tcBorders>
              <w:top w:val="nil"/>
              <w:left w:val="nil"/>
              <w:bottom w:val="single" w:sz="8" w:space="0" w:color="auto"/>
              <w:right w:val="nil"/>
            </w:tcBorders>
            <w:shd w:val="clear" w:color="auto" w:fill="auto"/>
            <w:vAlign w:val="center"/>
            <w:hideMark/>
          </w:tcPr>
          <w:p w14:paraId="6FFDC8FD" w14:textId="7FEB6178"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ÎS</w:t>
            </w:r>
            <w:r w:rsidR="004729C6" w:rsidRPr="008B76D8">
              <w:rPr>
                <w:rFonts w:ascii="Times New Roman" w:eastAsia="Times New Roman" w:hAnsi="Times New Roman" w:cs="Times New Roman"/>
                <w:color w:val="000000"/>
                <w:sz w:val="18"/>
                <w:szCs w:val="18"/>
              </w:rPr>
              <w:t xml:space="preserve"> „Calea Ferată din Moldova”</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76147EB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348.836.374,78</w:t>
            </w:r>
          </w:p>
        </w:tc>
        <w:tc>
          <w:tcPr>
            <w:tcW w:w="1353" w:type="dxa"/>
            <w:tcBorders>
              <w:top w:val="nil"/>
              <w:left w:val="nil"/>
              <w:bottom w:val="single" w:sz="8" w:space="0" w:color="auto"/>
              <w:right w:val="single" w:sz="8" w:space="0" w:color="auto"/>
            </w:tcBorders>
            <w:shd w:val="clear" w:color="auto" w:fill="auto"/>
            <w:vAlign w:val="center"/>
            <w:hideMark/>
          </w:tcPr>
          <w:p w14:paraId="0B4DB5B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45.474.954,53</w:t>
            </w:r>
          </w:p>
        </w:tc>
        <w:tc>
          <w:tcPr>
            <w:tcW w:w="1580" w:type="dxa"/>
            <w:tcBorders>
              <w:top w:val="nil"/>
              <w:left w:val="nil"/>
              <w:bottom w:val="single" w:sz="8" w:space="0" w:color="auto"/>
              <w:right w:val="single" w:sz="8" w:space="0" w:color="auto"/>
            </w:tcBorders>
            <w:shd w:val="clear" w:color="auto" w:fill="auto"/>
            <w:vAlign w:val="center"/>
            <w:hideMark/>
          </w:tcPr>
          <w:p w14:paraId="3F408D0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480.048.319,21</w:t>
            </w:r>
          </w:p>
        </w:tc>
        <w:tc>
          <w:tcPr>
            <w:tcW w:w="1353" w:type="dxa"/>
            <w:tcBorders>
              <w:top w:val="nil"/>
              <w:left w:val="nil"/>
              <w:bottom w:val="single" w:sz="8" w:space="0" w:color="auto"/>
              <w:right w:val="single" w:sz="8" w:space="0" w:color="auto"/>
            </w:tcBorders>
            <w:shd w:val="clear" w:color="auto" w:fill="auto"/>
            <w:vAlign w:val="center"/>
            <w:hideMark/>
          </w:tcPr>
          <w:p w14:paraId="2A6F798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195C8B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530.392.989,19</w:t>
            </w:r>
          </w:p>
        </w:tc>
        <w:tc>
          <w:tcPr>
            <w:tcW w:w="1353" w:type="dxa"/>
            <w:tcBorders>
              <w:top w:val="nil"/>
              <w:left w:val="nil"/>
              <w:bottom w:val="single" w:sz="8" w:space="0" w:color="auto"/>
              <w:right w:val="single" w:sz="8" w:space="0" w:color="auto"/>
            </w:tcBorders>
            <w:shd w:val="clear" w:color="auto" w:fill="auto"/>
            <w:vAlign w:val="center"/>
            <w:hideMark/>
          </w:tcPr>
          <w:p w14:paraId="3A41254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0404C7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50.344.669,98</w:t>
            </w:r>
          </w:p>
        </w:tc>
        <w:tc>
          <w:tcPr>
            <w:tcW w:w="1418" w:type="dxa"/>
            <w:tcBorders>
              <w:top w:val="nil"/>
              <w:left w:val="nil"/>
              <w:bottom w:val="single" w:sz="8" w:space="0" w:color="auto"/>
              <w:right w:val="single" w:sz="8" w:space="0" w:color="auto"/>
            </w:tcBorders>
            <w:shd w:val="clear" w:color="auto" w:fill="auto"/>
            <w:vAlign w:val="center"/>
            <w:hideMark/>
          </w:tcPr>
          <w:p w14:paraId="6DC16C9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723D559"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29F727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w:t>
            </w:r>
          </w:p>
        </w:tc>
        <w:tc>
          <w:tcPr>
            <w:tcW w:w="3221" w:type="dxa"/>
            <w:tcBorders>
              <w:top w:val="nil"/>
              <w:left w:val="nil"/>
              <w:bottom w:val="single" w:sz="8" w:space="0" w:color="auto"/>
              <w:right w:val="nil"/>
            </w:tcBorders>
            <w:shd w:val="clear" w:color="auto" w:fill="auto"/>
            <w:vAlign w:val="center"/>
            <w:hideMark/>
          </w:tcPr>
          <w:p w14:paraId="19F64C9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 ”CET-NORD”</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18E51A2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103.273.121,34</w:t>
            </w:r>
          </w:p>
        </w:tc>
        <w:tc>
          <w:tcPr>
            <w:tcW w:w="1353" w:type="dxa"/>
            <w:tcBorders>
              <w:top w:val="nil"/>
              <w:left w:val="nil"/>
              <w:bottom w:val="single" w:sz="8" w:space="0" w:color="auto"/>
              <w:right w:val="single" w:sz="8" w:space="0" w:color="auto"/>
            </w:tcBorders>
            <w:shd w:val="clear" w:color="auto" w:fill="auto"/>
            <w:vAlign w:val="center"/>
            <w:hideMark/>
          </w:tcPr>
          <w:p w14:paraId="2828B66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CE9CF9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172.462.942,53</w:t>
            </w:r>
          </w:p>
        </w:tc>
        <w:tc>
          <w:tcPr>
            <w:tcW w:w="1353" w:type="dxa"/>
            <w:tcBorders>
              <w:top w:val="nil"/>
              <w:left w:val="nil"/>
              <w:bottom w:val="single" w:sz="8" w:space="0" w:color="auto"/>
              <w:right w:val="single" w:sz="8" w:space="0" w:color="auto"/>
            </w:tcBorders>
            <w:shd w:val="clear" w:color="auto" w:fill="auto"/>
            <w:vAlign w:val="center"/>
            <w:hideMark/>
          </w:tcPr>
          <w:p w14:paraId="70CE26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FA426F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152.111.249,05</w:t>
            </w:r>
          </w:p>
        </w:tc>
        <w:tc>
          <w:tcPr>
            <w:tcW w:w="1353" w:type="dxa"/>
            <w:tcBorders>
              <w:top w:val="nil"/>
              <w:left w:val="nil"/>
              <w:bottom w:val="single" w:sz="8" w:space="0" w:color="auto"/>
              <w:right w:val="single" w:sz="8" w:space="0" w:color="auto"/>
            </w:tcBorders>
            <w:shd w:val="clear" w:color="auto" w:fill="auto"/>
            <w:vAlign w:val="center"/>
            <w:hideMark/>
          </w:tcPr>
          <w:p w14:paraId="4778B5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CDA469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-20.351.693,48</w:t>
            </w:r>
          </w:p>
        </w:tc>
        <w:tc>
          <w:tcPr>
            <w:tcW w:w="1418" w:type="dxa"/>
            <w:tcBorders>
              <w:top w:val="nil"/>
              <w:left w:val="nil"/>
              <w:bottom w:val="single" w:sz="8" w:space="0" w:color="auto"/>
              <w:right w:val="single" w:sz="8" w:space="0" w:color="auto"/>
            </w:tcBorders>
            <w:shd w:val="clear" w:color="auto" w:fill="auto"/>
            <w:vAlign w:val="center"/>
            <w:hideMark/>
          </w:tcPr>
          <w:p w14:paraId="5CD3745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6116AFD8"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74BC8EB2"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w:t>
            </w:r>
          </w:p>
        </w:tc>
        <w:tc>
          <w:tcPr>
            <w:tcW w:w="3221" w:type="dxa"/>
            <w:tcBorders>
              <w:top w:val="nil"/>
              <w:left w:val="nil"/>
              <w:bottom w:val="nil"/>
              <w:right w:val="single" w:sz="8" w:space="0" w:color="auto"/>
            </w:tcBorders>
            <w:shd w:val="clear" w:color="auto" w:fill="auto"/>
            <w:vAlign w:val="center"/>
            <w:hideMark/>
          </w:tcPr>
          <w:p w14:paraId="00BB3AE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Regia Apă-Canal Orhei S.A.</w:t>
            </w:r>
          </w:p>
        </w:tc>
        <w:tc>
          <w:tcPr>
            <w:tcW w:w="1489" w:type="dxa"/>
            <w:tcBorders>
              <w:top w:val="nil"/>
              <w:left w:val="nil"/>
              <w:bottom w:val="nil"/>
              <w:right w:val="single" w:sz="8" w:space="0" w:color="auto"/>
            </w:tcBorders>
            <w:shd w:val="clear" w:color="auto" w:fill="auto"/>
            <w:vAlign w:val="center"/>
            <w:hideMark/>
          </w:tcPr>
          <w:p w14:paraId="29D05E1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28.215.843,81</w:t>
            </w:r>
          </w:p>
        </w:tc>
        <w:tc>
          <w:tcPr>
            <w:tcW w:w="1353" w:type="dxa"/>
            <w:tcBorders>
              <w:top w:val="nil"/>
              <w:left w:val="nil"/>
              <w:bottom w:val="single" w:sz="8" w:space="0" w:color="auto"/>
              <w:right w:val="single" w:sz="8" w:space="0" w:color="auto"/>
            </w:tcBorders>
            <w:shd w:val="clear" w:color="auto" w:fill="auto"/>
            <w:vAlign w:val="center"/>
            <w:hideMark/>
          </w:tcPr>
          <w:p w14:paraId="39B6FAA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nil"/>
              <w:right w:val="single" w:sz="8" w:space="0" w:color="auto"/>
            </w:tcBorders>
            <w:shd w:val="clear" w:color="auto" w:fill="auto"/>
            <w:vAlign w:val="center"/>
            <w:hideMark/>
          </w:tcPr>
          <w:p w14:paraId="3BBA39D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28.857.207,78</w:t>
            </w:r>
          </w:p>
        </w:tc>
        <w:tc>
          <w:tcPr>
            <w:tcW w:w="1353" w:type="dxa"/>
            <w:tcBorders>
              <w:top w:val="nil"/>
              <w:left w:val="nil"/>
              <w:bottom w:val="single" w:sz="8" w:space="0" w:color="auto"/>
              <w:right w:val="single" w:sz="8" w:space="0" w:color="auto"/>
            </w:tcBorders>
            <w:shd w:val="clear" w:color="auto" w:fill="auto"/>
            <w:vAlign w:val="center"/>
            <w:hideMark/>
          </w:tcPr>
          <w:p w14:paraId="7249973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C3AF5F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24.790.960,16</w:t>
            </w:r>
          </w:p>
        </w:tc>
        <w:tc>
          <w:tcPr>
            <w:tcW w:w="1353" w:type="dxa"/>
            <w:tcBorders>
              <w:top w:val="nil"/>
              <w:left w:val="nil"/>
              <w:bottom w:val="single" w:sz="8" w:space="0" w:color="auto"/>
              <w:right w:val="single" w:sz="8" w:space="0" w:color="auto"/>
            </w:tcBorders>
            <w:shd w:val="clear" w:color="auto" w:fill="auto"/>
            <w:vAlign w:val="center"/>
            <w:hideMark/>
          </w:tcPr>
          <w:p w14:paraId="4CFAEE9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1A07D0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-4.066.247,62</w:t>
            </w:r>
          </w:p>
        </w:tc>
        <w:tc>
          <w:tcPr>
            <w:tcW w:w="1418" w:type="dxa"/>
            <w:tcBorders>
              <w:top w:val="nil"/>
              <w:left w:val="nil"/>
              <w:bottom w:val="single" w:sz="8" w:space="0" w:color="auto"/>
              <w:right w:val="single" w:sz="8" w:space="0" w:color="auto"/>
            </w:tcBorders>
            <w:shd w:val="clear" w:color="auto" w:fill="auto"/>
            <w:vAlign w:val="center"/>
            <w:hideMark/>
          </w:tcPr>
          <w:p w14:paraId="14E99C1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4B1AF7A"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64CAD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w:t>
            </w:r>
          </w:p>
        </w:tc>
        <w:tc>
          <w:tcPr>
            <w:tcW w:w="3221" w:type="dxa"/>
            <w:tcBorders>
              <w:top w:val="single" w:sz="8" w:space="0" w:color="auto"/>
              <w:left w:val="nil"/>
              <w:bottom w:val="single" w:sz="8" w:space="0" w:color="auto"/>
              <w:right w:val="nil"/>
            </w:tcBorders>
            <w:shd w:val="clear" w:color="auto" w:fill="auto"/>
            <w:vAlign w:val="center"/>
            <w:hideMark/>
          </w:tcPr>
          <w:p w14:paraId="3BC72826" w14:textId="549CA640"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ÎM</w:t>
            </w:r>
            <w:r w:rsidR="004729C6" w:rsidRPr="008B76D8">
              <w:rPr>
                <w:rFonts w:ascii="Times New Roman" w:eastAsia="Times New Roman" w:hAnsi="Times New Roman" w:cs="Times New Roman"/>
                <w:color w:val="000000"/>
                <w:sz w:val="18"/>
                <w:szCs w:val="18"/>
              </w:rPr>
              <w:t xml:space="preserve"> Direcţia Producţie Apă şi Canalizare Stefan -Vodă</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C058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14.580.151,40</w:t>
            </w:r>
          </w:p>
        </w:tc>
        <w:tc>
          <w:tcPr>
            <w:tcW w:w="1353" w:type="dxa"/>
            <w:tcBorders>
              <w:top w:val="nil"/>
              <w:left w:val="nil"/>
              <w:bottom w:val="single" w:sz="8" w:space="0" w:color="auto"/>
              <w:right w:val="single" w:sz="8" w:space="0" w:color="auto"/>
            </w:tcBorders>
            <w:shd w:val="clear" w:color="auto" w:fill="auto"/>
            <w:vAlign w:val="center"/>
            <w:hideMark/>
          </w:tcPr>
          <w:p w14:paraId="7F4E0AE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279.740,83</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700606F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15.261.004,21</w:t>
            </w:r>
          </w:p>
        </w:tc>
        <w:tc>
          <w:tcPr>
            <w:tcW w:w="1353" w:type="dxa"/>
            <w:tcBorders>
              <w:top w:val="nil"/>
              <w:left w:val="nil"/>
              <w:bottom w:val="single" w:sz="8" w:space="0" w:color="auto"/>
              <w:right w:val="single" w:sz="8" w:space="0" w:color="auto"/>
            </w:tcBorders>
            <w:shd w:val="clear" w:color="auto" w:fill="auto"/>
            <w:vAlign w:val="center"/>
            <w:hideMark/>
          </w:tcPr>
          <w:p w14:paraId="32469FC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656.667,68</w:t>
            </w:r>
          </w:p>
        </w:tc>
        <w:tc>
          <w:tcPr>
            <w:tcW w:w="1580" w:type="dxa"/>
            <w:tcBorders>
              <w:top w:val="nil"/>
              <w:left w:val="nil"/>
              <w:bottom w:val="single" w:sz="8" w:space="0" w:color="auto"/>
              <w:right w:val="single" w:sz="8" w:space="0" w:color="auto"/>
            </w:tcBorders>
            <w:shd w:val="clear" w:color="auto" w:fill="auto"/>
            <w:vAlign w:val="center"/>
            <w:hideMark/>
          </w:tcPr>
          <w:p w14:paraId="5A6C71F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12.821.063,67</w:t>
            </w:r>
          </w:p>
        </w:tc>
        <w:tc>
          <w:tcPr>
            <w:tcW w:w="1353" w:type="dxa"/>
            <w:tcBorders>
              <w:top w:val="nil"/>
              <w:left w:val="nil"/>
              <w:bottom w:val="single" w:sz="8" w:space="0" w:color="auto"/>
              <w:right w:val="single" w:sz="8" w:space="0" w:color="auto"/>
            </w:tcBorders>
            <w:shd w:val="clear" w:color="auto" w:fill="auto"/>
            <w:vAlign w:val="center"/>
            <w:hideMark/>
          </w:tcPr>
          <w:p w14:paraId="0D5D781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310.300,68</w:t>
            </w:r>
          </w:p>
        </w:tc>
        <w:tc>
          <w:tcPr>
            <w:tcW w:w="1647" w:type="dxa"/>
            <w:tcBorders>
              <w:top w:val="nil"/>
              <w:left w:val="nil"/>
              <w:bottom w:val="single" w:sz="8" w:space="0" w:color="auto"/>
              <w:right w:val="single" w:sz="8" w:space="0" w:color="auto"/>
            </w:tcBorders>
            <w:shd w:val="clear" w:color="auto" w:fill="auto"/>
            <w:vAlign w:val="center"/>
            <w:hideMark/>
          </w:tcPr>
          <w:p w14:paraId="55D5A06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-2.439.940,54</w:t>
            </w:r>
          </w:p>
        </w:tc>
        <w:tc>
          <w:tcPr>
            <w:tcW w:w="1418" w:type="dxa"/>
            <w:tcBorders>
              <w:top w:val="nil"/>
              <w:left w:val="nil"/>
              <w:bottom w:val="single" w:sz="8" w:space="0" w:color="auto"/>
              <w:right w:val="single" w:sz="8" w:space="0" w:color="auto"/>
            </w:tcBorders>
            <w:shd w:val="clear" w:color="auto" w:fill="auto"/>
            <w:vAlign w:val="center"/>
            <w:hideMark/>
          </w:tcPr>
          <w:p w14:paraId="7F77DEF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-346.367,00</w:t>
            </w:r>
          </w:p>
        </w:tc>
      </w:tr>
      <w:tr w:rsidR="004729C6" w:rsidRPr="008B76D8" w14:paraId="70205E28"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1FA5BE0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w:t>
            </w:r>
          </w:p>
        </w:tc>
        <w:tc>
          <w:tcPr>
            <w:tcW w:w="3221" w:type="dxa"/>
            <w:tcBorders>
              <w:top w:val="nil"/>
              <w:left w:val="nil"/>
              <w:bottom w:val="nil"/>
              <w:right w:val="single" w:sz="8" w:space="0" w:color="auto"/>
            </w:tcBorders>
            <w:shd w:val="clear" w:color="auto" w:fill="auto"/>
            <w:vAlign w:val="center"/>
            <w:hideMark/>
          </w:tcPr>
          <w:p w14:paraId="3476E84F" w14:textId="00FA8784"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ÎM</w:t>
            </w:r>
            <w:r w:rsidR="004729C6" w:rsidRPr="008B76D8">
              <w:rPr>
                <w:rFonts w:ascii="Times New Roman" w:eastAsia="Times New Roman" w:hAnsi="Times New Roman" w:cs="Times New Roman"/>
                <w:color w:val="000000"/>
                <w:sz w:val="18"/>
                <w:szCs w:val="18"/>
              </w:rPr>
              <w:t xml:space="preserve"> Apă Canal Cahul</w:t>
            </w:r>
          </w:p>
        </w:tc>
        <w:tc>
          <w:tcPr>
            <w:tcW w:w="1489" w:type="dxa"/>
            <w:tcBorders>
              <w:top w:val="nil"/>
              <w:left w:val="nil"/>
              <w:bottom w:val="nil"/>
              <w:right w:val="single" w:sz="8" w:space="0" w:color="auto"/>
            </w:tcBorders>
            <w:shd w:val="clear" w:color="auto" w:fill="auto"/>
            <w:vAlign w:val="center"/>
            <w:hideMark/>
          </w:tcPr>
          <w:p w14:paraId="50BADE2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54.692.637,08</w:t>
            </w:r>
          </w:p>
        </w:tc>
        <w:tc>
          <w:tcPr>
            <w:tcW w:w="1353" w:type="dxa"/>
            <w:tcBorders>
              <w:top w:val="nil"/>
              <w:left w:val="nil"/>
              <w:bottom w:val="single" w:sz="8" w:space="0" w:color="auto"/>
              <w:right w:val="single" w:sz="8" w:space="0" w:color="auto"/>
            </w:tcBorders>
            <w:shd w:val="clear" w:color="auto" w:fill="auto"/>
            <w:vAlign w:val="center"/>
            <w:hideMark/>
          </w:tcPr>
          <w:p w14:paraId="2BE9C55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nil"/>
              <w:right w:val="single" w:sz="8" w:space="0" w:color="auto"/>
            </w:tcBorders>
            <w:shd w:val="clear" w:color="auto" w:fill="auto"/>
            <w:vAlign w:val="center"/>
            <w:hideMark/>
          </w:tcPr>
          <w:p w14:paraId="4243F9B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58.355.986,24</w:t>
            </w:r>
          </w:p>
        </w:tc>
        <w:tc>
          <w:tcPr>
            <w:tcW w:w="1353" w:type="dxa"/>
            <w:tcBorders>
              <w:top w:val="nil"/>
              <w:left w:val="nil"/>
              <w:bottom w:val="single" w:sz="8" w:space="0" w:color="auto"/>
              <w:right w:val="single" w:sz="8" w:space="0" w:color="auto"/>
            </w:tcBorders>
            <w:shd w:val="clear" w:color="auto" w:fill="auto"/>
            <w:vAlign w:val="center"/>
            <w:hideMark/>
          </w:tcPr>
          <w:p w14:paraId="44CF9EE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775.711,03</w:t>
            </w:r>
          </w:p>
        </w:tc>
        <w:tc>
          <w:tcPr>
            <w:tcW w:w="1580" w:type="dxa"/>
            <w:tcBorders>
              <w:top w:val="nil"/>
              <w:left w:val="nil"/>
              <w:bottom w:val="single" w:sz="8" w:space="0" w:color="auto"/>
              <w:right w:val="single" w:sz="8" w:space="0" w:color="auto"/>
            </w:tcBorders>
            <w:shd w:val="clear" w:color="auto" w:fill="auto"/>
            <w:vAlign w:val="center"/>
            <w:hideMark/>
          </w:tcPr>
          <w:p w14:paraId="6C109B7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51.115.249,88</w:t>
            </w:r>
          </w:p>
        </w:tc>
        <w:tc>
          <w:tcPr>
            <w:tcW w:w="1353" w:type="dxa"/>
            <w:tcBorders>
              <w:top w:val="nil"/>
              <w:left w:val="nil"/>
              <w:bottom w:val="single" w:sz="8" w:space="0" w:color="auto"/>
              <w:right w:val="single" w:sz="8" w:space="0" w:color="auto"/>
            </w:tcBorders>
            <w:shd w:val="clear" w:color="auto" w:fill="auto"/>
            <w:vAlign w:val="center"/>
            <w:hideMark/>
          </w:tcPr>
          <w:p w14:paraId="542965B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1.385.507,24</w:t>
            </w:r>
          </w:p>
        </w:tc>
        <w:tc>
          <w:tcPr>
            <w:tcW w:w="1647" w:type="dxa"/>
            <w:tcBorders>
              <w:top w:val="nil"/>
              <w:left w:val="nil"/>
              <w:bottom w:val="single" w:sz="8" w:space="0" w:color="auto"/>
              <w:right w:val="single" w:sz="8" w:space="0" w:color="auto"/>
            </w:tcBorders>
            <w:shd w:val="clear" w:color="auto" w:fill="auto"/>
            <w:vAlign w:val="center"/>
            <w:hideMark/>
          </w:tcPr>
          <w:p w14:paraId="532F378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-7.240.736,36</w:t>
            </w:r>
          </w:p>
        </w:tc>
        <w:tc>
          <w:tcPr>
            <w:tcW w:w="1418" w:type="dxa"/>
            <w:tcBorders>
              <w:top w:val="nil"/>
              <w:left w:val="nil"/>
              <w:bottom w:val="single" w:sz="8" w:space="0" w:color="auto"/>
              <w:right w:val="single" w:sz="8" w:space="0" w:color="auto"/>
            </w:tcBorders>
            <w:shd w:val="clear" w:color="auto" w:fill="auto"/>
            <w:vAlign w:val="center"/>
            <w:hideMark/>
          </w:tcPr>
          <w:p w14:paraId="5571218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609.796,21</w:t>
            </w:r>
          </w:p>
        </w:tc>
      </w:tr>
      <w:tr w:rsidR="004729C6" w:rsidRPr="008B76D8" w14:paraId="77C4DA25"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C9191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w:t>
            </w:r>
          </w:p>
        </w:tc>
        <w:tc>
          <w:tcPr>
            <w:tcW w:w="3221" w:type="dxa"/>
            <w:tcBorders>
              <w:top w:val="single" w:sz="8" w:space="0" w:color="auto"/>
              <w:left w:val="nil"/>
              <w:bottom w:val="single" w:sz="8" w:space="0" w:color="auto"/>
              <w:right w:val="nil"/>
            </w:tcBorders>
            <w:shd w:val="clear" w:color="auto" w:fill="auto"/>
            <w:vAlign w:val="center"/>
            <w:hideMark/>
          </w:tcPr>
          <w:p w14:paraId="51D58603" w14:textId="2169B24F"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ÎM</w:t>
            </w:r>
            <w:r w:rsidR="004729C6" w:rsidRPr="008B76D8">
              <w:rPr>
                <w:rFonts w:ascii="Times New Roman" w:eastAsia="Times New Roman" w:hAnsi="Times New Roman" w:cs="Times New Roman"/>
                <w:color w:val="000000"/>
                <w:sz w:val="18"/>
                <w:szCs w:val="18"/>
              </w:rPr>
              <w:t xml:space="preserve"> Apă Canal Ungheni</w:t>
            </w:r>
          </w:p>
        </w:tc>
        <w:tc>
          <w:tcPr>
            <w:tcW w:w="14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83136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25.465.071,45</w:t>
            </w:r>
          </w:p>
        </w:tc>
        <w:tc>
          <w:tcPr>
            <w:tcW w:w="1353" w:type="dxa"/>
            <w:tcBorders>
              <w:top w:val="nil"/>
              <w:left w:val="nil"/>
              <w:bottom w:val="single" w:sz="8" w:space="0" w:color="auto"/>
              <w:right w:val="single" w:sz="8" w:space="0" w:color="auto"/>
            </w:tcBorders>
            <w:shd w:val="clear" w:color="auto" w:fill="auto"/>
            <w:vAlign w:val="center"/>
            <w:hideMark/>
          </w:tcPr>
          <w:p w14:paraId="4A8D43D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287089F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25.921.361,34</w:t>
            </w:r>
          </w:p>
        </w:tc>
        <w:tc>
          <w:tcPr>
            <w:tcW w:w="1353" w:type="dxa"/>
            <w:tcBorders>
              <w:top w:val="nil"/>
              <w:left w:val="nil"/>
              <w:bottom w:val="single" w:sz="8" w:space="0" w:color="auto"/>
              <w:right w:val="single" w:sz="8" w:space="0" w:color="auto"/>
            </w:tcBorders>
            <w:shd w:val="clear" w:color="auto" w:fill="auto"/>
            <w:vAlign w:val="center"/>
            <w:hideMark/>
          </w:tcPr>
          <w:p w14:paraId="006A848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16C06A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22.123.897,42</w:t>
            </w:r>
          </w:p>
        </w:tc>
        <w:tc>
          <w:tcPr>
            <w:tcW w:w="1353" w:type="dxa"/>
            <w:tcBorders>
              <w:top w:val="nil"/>
              <w:left w:val="nil"/>
              <w:bottom w:val="single" w:sz="8" w:space="0" w:color="auto"/>
              <w:right w:val="single" w:sz="8" w:space="0" w:color="auto"/>
            </w:tcBorders>
            <w:shd w:val="clear" w:color="auto" w:fill="auto"/>
            <w:vAlign w:val="center"/>
            <w:hideMark/>
          </w:tcPr>
          <w:p w14:paraId="784881B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0A6678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-3.797.463,92</w:t>
            </w:r>
          </w:p>
        </w:tc>
        <w:tc>
          <w:tcPr>
            <w:tcW w:w="1418" w:type="dxa"/>
            <w:tcBorders>
              <w:top w:val="nil"/>
              <w:left w:val="nil"/>
              <w:bottom w:val="single" w:sz="8" w:space="0" w:color="auto"/>
              <w:right w:val="single" w:sz="8" w:space="0" w:color="auto"/>
            </w:tcBorders>
            <w:shd w:val="clear" w:color="auto" w:fill="auto"/>
            <w:vAlign w:val="center"/>
            <w:hideMark/>
          </w:tcPr>
          <w:p w14:paraId="5ADD52F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4788773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5F1A66A"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w:t>
            </w:r>
          </w:p>
        </w:tc>
        <w:tc>
          <w:tcPr>
            <w:tcW w:w="3221" w:type="dxa"/>
            <w:tcBorders>
              <w:top w:val="nil"/>
              <w:left w:val="nil"/>
              <w:bottom w:val="single" w:sz="8" w:space="0" w:color="auto"/>
              <w:right w:val="nil"/>
            </w:tcBorders>
            <w:shd w:val="clear" w:color="auto" w:fill="auto"/>
            <w:vAlign w:val="center"/>
            <w:hideMark/>
          </w:tcPr>
          <w:p w14:paraId="328A1CC8" w14:textId="7F3544FC" w:rsidR="004729C6" w:rsidRPr="008B76D8" w:rsidRDefault="00791937" w:rsidP="00791937">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w:t>
            </w:r>
            <w:r w:rsidR="004729C6" w:rsidRPr="008B76D8">
              <w:rPr>
                <w:rFonts w:ascii="Times New Roman" w:eastAsia="Times New Roman" w:hAnsi="Times New Roman" w:cs="Times New Roman"/>
                <w:color w:val="000000"/>
                <w:sz w:val="18"/>
                <w:szCs w:val="18"/>
              </w:rPr>
              <w:t>M Apă Canal Căușeni</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777EEA3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12.410.934,14</w:t>
            </w:r>
          </w:p>
        </w:tc>
        <w:tc>
          <w:tcPr>
            <w:tcW w:w="1353" w:type="dxa"/>
            <w:tcBorders>
              <w:top w:val="nil"/>
              <w:left w:val="nil"/>
              <w:bottom w:val="single" w:sz="8" w:space="0" w:color="auto"/>
              <w:right w:val="single" w:sz="8" w:space="0" w:color="auto"/>
            </w:tcBorders>
            <w:shd w:val="clear" w:color="auto" w:fill="auto"/>
            <w:vAlign w:val="center"/>
            <w:hideMark/>
          </w:tcPr>
          <w:p w14:paraId="5AEB22D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9A509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12.868.852,64</w:t>
            </w:r>
          </w:p>
        </w:tc>
        <w:tc>
          <w:tcPr>
            <w:tcW w:w="1353" w:type="dxa"/>
            <w:tcBorders>
              <w:top w:val="nil"/>
              <w:left w:val="nil"/>
              <w:bottom w:val="single" w:sz="8" w:space="0" w:color="auto"/>
              <w:right w:val="single" w:sz="8" w:space="0" w:color="auto"/>
            </w:tcBorders>
            <w:shd w:val="clear" w:color="auto" w:fill="auto"/>
            <w:vAlign w:val="center"/>
            <w:hideMark/>
          </w:tcPr>
          <w:p w14:paraId="1B62650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268.113,85</w:t>
            </w:r>
          </w:p>
        </w:tc>
        <w:tc>
          <w:tcPr>
            <w:tcW w:w="1580" w:type="dxa"/>
            <w:tcBorders>
              <w:top w:val="nil"/>
              <w:left w:val="nil"/>
              <w:bottom w:val="single" w:sz="8" w:space="0" w:color="auto"/>
              <w:right w:val="single" w:sz="8" w:space="0" w:color="auto"/>
            </w:tcBorders>
            <w:shd w:val="clear" w:color="auto" w:fill="auto"/>
            <w:vAlign w:val="center"/>
            <w:hideMark/>
          </w:tcPr>
          <w:p w14:paraId="28C99A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11.048.687,28</w:t>
            </w:r>
          </w:p>
        </w:tc>
        <w:tc>
          <w:tcPr>
            <w:tcW w:w="1353" w:type="dxa"/>
            <w:tcBorders>
              <w:top w:val="nil"/>
              <w:left w:val="nil"/>
              <w:bottom w:val="single" w:sz="8" w:space="0" w:color="auto"/>
              <w:right w:val="single" w:sz="8" w:space="0" w:color="auto"/>
            </w:tcBorders>
            <w:shd w:val="clear" w:color="auto" w:fill="auto"/>
            <w:vAlign w:val="center"/>
            <w:hideMark/>
          </w:tcPr>
          <w:p w14:paraId="5930512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DA5802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-1.820.165,36</w:t>
            </w:r>
          </w:p>
        </w:tc>
        <w:tc>
          <w:tcPr>
            <w:tcW w:w="1418" w:type="dxa"/>
            <w:tcBorders>
              <w:top w:val="nil"/>
              <w:left w:val="nil"/>
              <w:bottom w:val="single" w:sz="8" w:space="0" w:color="auto"/>
              <w:right w:val="single" w:sz="8" w:space="0" w:color="auto"/>
            </w:tcBorders>
            <w:shd w:val="clear" w:color="auto" w:fill="auto"/>
            <w:vAlign w:val="center"/>
            <w:hideMark/>
          </w:tcPr>
          <w:p w14:paraId="413273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-268.113,85</w:t>
            </w:r>
          </w:p>
        </w:tc>
      </w:tr>
      <w:tr w:rsidR="004729C6" w:rsidRPr="008B76D8" w14:paraId="6146A0D1"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95338C6"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w:t>
            </w:r>
          </w:p>
        </w:tc>
        <w:tc>
          <w:tcPr>
            <w:tcW w:w="3221" w:type="dxa"/>
            <w:tcBorders>
              <w:top w:val="nil"/>
              <w:left w:val="nil"/>
              <w:bottom w:val="single" w:sz="8" w:space="0" w:color="auto"/>
              <w:right w:val="nil"/>
            </w:tcBorders>
            <w:shd w:val="clear" w:color="auto" w:fill="auto"/>
            <w:vAlign w:val="center"/>
            <w:hideMark/>
          </w:tcPr>
          <w:p w14:paraId="68B5E70F" w14:textId="29E6EEBE"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w:t>
            </w:r>
            <w:r w:rsidR="004729C6" w:rsidRPr="008B76D8">
              <w:rPr>
                <w:rFonts w:ascii="Times New Roman" w:eastAsia="Times New Roman" w:hAnsi="Times New Roman" w:cs="Times New Roman"/>
                <w:color w:val="000000"/>
                <w:sz w:val="18"/>
                <w:szCs w:val="18"/>
              </w:rPr>
              <w:t xml:space="preserve"> Servicii Comunale Florești</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256E103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12.913.487,97</w:t>
            </w:r>
          </w:p>
        </w:tc>
        <w:tc>
          <w:tcPr>
            <w:tcW w:w="1353" w:type="dxa"/>
            <w:tcBorders>
              <w:top w:val="nil"/>
              <w:left w:val="nil"/>
              <w:bottom w:val="single" w:sz="8" w:space="0" w:color="auto"/>
              <w:right w:val="single" w:sz="8" w:space="0" w:color="auto"/>
            </w:tcBorders>
            <w:shd w:val="clear" w:color="auto" w:fill="auto"/>
            <w:vAlign w:val="center"/>
            <w:hideMark/>
          </w:tcPr>
          <w:p w14:paraId="0A7067F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552519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13.143.301,05</w:t>
            </w:r>
          </w:p>
        </w:tc>
        <w:tc>
          <w:tcPr>
            <w:tcW w:w="1353" w:type="dxa"/>
            <w:tcBorders>
              <w:top w:val="nil"/>
              <w:left w:val="nil"/>
              <w:bottom w:val="single" w:sz="8" w:space="0" w:color="auto"/>
              <w:right w:val="single" w:sz="8" w:space="0" w:color="auto"/>
            </w:tcBorders>
            <w:shd w:val="clear" w:color="auto" w:fill="auto"/>
            <w:vAlign w:val="center"/>
            <w:hideMark/>
          </w:tcPr>
          <w:p w14:paraId="1210F14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F0558C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11.732.670,69</w:t>
            </w:r>
          </w:p>
        </w:tc>
        <w:tc>
          <w:tcPr>
            <w:tcW w:w="1353" w:type="dxa"/>
            <w:tcBorders>
              <w:top w:val="nil"/>
              <w:left w:val="nil"/>
              <w:bottom w:val="single" w:sz="8" w:space="0" w:color="auto"/>
              <w:right w:val="single" w:sz="8" w:space="0" w:color="auto"/>
            </w:tcBorders>
            <w:shd w:val="clear" w:color="auto" w:fill="auto"/>
            <w:vAlign w:val="center"/>
            <w:hideMark/>
          </w:tcPr>
          <w:p w14:paraId="7B2BD3A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B62EC0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-1.410.630,36</w:t>
            </w:r>
          </w:p>
        </w:tc>
        <w:tc>
          <w:tcPr>
            <w:tcW w:w="1418" w:type="dxa"/>
            <w:tcBorders>
              <w:top w:val="nil"/>
              <w:left w:val="nil"/>
              <w:bottom w:val="single" w:sz="8" w:space="0" w:color="auto"/>
              <w:right w:val="single" w:sz="8" w:space="0" w:color="auto"/>
            </w:tcBorders>
            <w:shd w:val="clear" w:color="auto" w:fill="auto"/>
            <w:vAlign w:val="center"/>
            <w:hideMark/>
          </w:tcPr>
          <w:p w14:paraId="7D05C43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378C41E"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D945C8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w:t>
            </w:r>
          </w:p>
        </w:tc>
        <w:tc>
          <w:tcPr>
            <w:tcW w:w="3221" w:type="dxa"/>
            <w:tcBorders>
              <w:top w:val="nil"/>
              <w:left w:val="nil"/>
              <w:bottom w:val="single" w:sz="8" w:space="0" w:color="auto"/>
              <w:right w:val="nil"/>
            </w:tcBorders>
            <w:shd w:val="clear" w:color="auto" w:fill="auto"/>
            <w:vAlign w:val="center"/>
            <w:hideMark/>
          </w:tcPr>
          <w:p w14:paraId="6FAF52E7" w14:textId="3E820991"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xml:space="preserve">FPC </w:t>
            </w:r>
            <w:r w:rsidR="004729C6" w:rsidRPr="008B76D8">
              <w:rPr>
                <w:rFonts w:ascii="Times New Roman" w:eastAsia="Times New Roman" w:hAnsi="Times New Roman" w:cs="Times New Roman"/>
                <w:color w:val="000000"/>
                <w:sz w:val="18"/>
                <w:szCs w:val="18"/>
              </w:rPr>
              <w:t>,,Vindicum'' SRL</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340C656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1.790.716,46</w:t>
            </w:r>
          </w:p>
        </w:tc>
        <w:tc>
          <w:tcPr>
            <w:tcW w:w="1353" w:type="dxa"/>
            <w:tcBorders>
              <w:top w:val="nil"/>
              <w:left w:val="nil"/>
              <w:bottom w:val="single" w:sz="8" w:space="0" w:color="auto"/>
              <w:right w:val="single" w:sz="8" w:space="0" w:color="auto"/>
            </w:tcBorders>
            <w:shd w:val="clear" w:color="auto" w:fill="auto"/>
            <w:vAlign w:val="center"/>
            <w:hideMark/>
          </w:tcPr>
          <w:p w14:paraId="5A9BC3A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4AE2C0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1.792.406,07</w:t>
            </w:r>
          </w:p>
        </w:tc>
        <w:tc>
          <w:tcPr>
            <w:tcW w:w="1353" w:type="dxa"/>
            <w:tcBorders>
              <w:top w:val="nil"/>
              <w:left w:val="nil"/>
              <w:bottom w:val="single" w:sz="8" w:space="0" w:color="auto"/>
              <w:right w:val="single" w:sz="8" w:space="0" w:color="auto"/>
            </w:tcBorders>
            <w:shd w:val="clear" w:color="auto" w:fill="auto"/>
            <w:vAlign w:val="center"/>
            <w:hideMark/>
          </w:tcPr>
          <w:p w14:paraId="48DB9EC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1.792.406,07</w:t>
            </w:r>
          </w:p>
        </w:tc>
        <w:tc>
          <w:tcPr>
            <w:tcW w:w="1580" w:type="dxa"/>
            <w:tcBorders>
              <w:top w:val="nil"/>
              <w:left w:val="nil"/>
              <w:bottom w:val="single" w:sz="8" w:space="0" w:color="auto"/>
              <w:right w:val="single" w:sz="8" w:space="0" w:color="auto"/>
            </w:tcBorders>
            <w:shd w:val="clear" w:color="auto" w:fill="auto"/>
            <w:vAlign w:val="center"/>
            <w:hideMark/>
          </w:tcPr>
          <w:p w14:paraId="2C67CFE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850.944,72</w:t>
            </w:r>
          </w:p>
        </w:tc>
        <w:tc>
          <w:tcPr>
            <w:tcW w:w="1353" w:type="dxa"/>
            <w:tcBorders>
              <w:top w:val="nil"/>
              <w:left w:val="nil"/>
              <w:bottom w:val="single" w:sz="8" w:space="0" w:color="auto"/>
              <w:right w:val="single" w:sz="8" w:space="0" w:color="auto"/>
            </w:tcBorders>
            <w:shd w:val="clear" w:color="auto" w:fill="auto"/>
            <w:vAlign w:val="center"/>
            <w:hideMark/>
          </w:tcPr>
          <w:p w14:paraId="25A08C7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850.944,72</w:t>
            </w:r>
          </w:p>
        </w:tc>
        <w:tc>
          <w:tcPr>
            <w:tcW w:w="1647" w:type="dxa"/>
            <w:tcBorders>
              <w:top w:val="nil"/>
              <w:left w:val="nil"/>
              <w:bottom w:val="single" w:sz="8" w:space="0" w:color="auto"/>
              <w:right w:val="single" w:sz="8" w:space="0" w:color="auto"/>
            </w:tcBorders>
            <w:shd w:val="clear" w:color="auto" w:fill="auto"/>
            <w:vAlign w:val="center"/>
            <w:hideMark/>
          </w:tcPr>
          <w:p w14:paraId="1B38A09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-941.461,35</w:t>
            </w:r>
          </w:p>
        </w:tc>
        <w:tc>
          <w:tcPr>
            <w:tcW w:w="1418" w:type="dxa"/>
            <w:tcBorders>
              <w:top w:val="nil"/>
              <w:left w:val="nil"/>
              <w:bottom w:val="single" w:sz="8" w:space="0" w:color="auto"/>
              <w:right w:val="single" w:sz="8" w:space="0" w:color="auto"/>
            </w:tcBorders>
            <w:shd w:val="clear" w:color="auto" w:fill="auto"/>
            <w:vAlign w:val="center"/>
            <w:hideMark/>
          </w:tcPr>
          <w:p w14:paraId="6676B7D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-941.461,35</w:t>
            </w:r>
          </w:p>
        </w:tc>
      </w:tr>
      <w:tr w:rsidR="004729C6" w:rsidRPr="008B76D8" w14:paraId="063BAF42"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B08B87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w:t>
            </w:r>
          </w:p>
        </w:tc>
        <w:tc>
          <w:tcPr>
            <w:tcW w:w="3221" w:type="dxa"/>
            <w:tcBorders>
              <w:top w:val="nil"/>
              <w:left w:val="nil"/>
              <w:bottom w:val="single" w:sz="8" w:space="0" w:color="auto"/>
              <w:right w:val="nil"/>
            </w:tcBorders>
            <w:shd w:val="clear" w:color="auto" w:fill="auto"/>
            <w:vAlign w:val="center"/>
            <w:hideMark/>
          </w:tcPr>
          <w:p w14:paraId="189AB4E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 Basarabia -L Vin Invest</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021A065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1.104.709,30</w:t>
            </w:r>
          </w:p>
        </w:tc>
        <w:tc>
          <w:tcPr>
            <w:tcW w:w="1353" w:type="dxa"/>
            <w:tcBorders>
              <w:top w:val="nil"/>
              <w:left w:val="nil"/>
              <w:bottom w:val="single" w:sz="8" w:space="0" w:color="auto"/>
              <w:right w:val="single" w:sz="8" w:space="0" w:color="auto"/>
            </w:tcBorders>
            <w:shd w:val="clear" w:color="auto" w:fill="auto"/>
            <w:vAlign w:val="center"/>
            <w:hideMark/>
          </w:tcPr>
          <w:p w14:paraId="3B72E37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1.104.709,30</w:t>
            </w:r>
          </w:p>
        </w:tc>
        <w:tc>
          <w:tcPr>
            <w:tcW w:w="1580" w:type="dxa"/>
            <w:tcBorders>
              <w:top w:val="nil"/>
              <w:left w:val="nil"/>
              <w:bottom w:val="single" w:sz="8" w:space="0" w:color="auto"/>
              <w:right w:val="single" w:sz="8" w:space="0" w:color="auto"/>
            </w:tcBorders>
            <w:shd w:val="clear" w:color="auto" w:fill="auto"/>
            <w:vAlign w:val="center"/>
            <w:hideMark/>
          </w:tcPr>
          <w:p w14:paraId="418D499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654.662,44</w:t>
            </w:r>
          </w:p>
        </w:tc>
        <w:tc>
          <w:tcPr>
            <w:tcW w:w="1353" w:type="dxa"/>
            <w:tcBorders>
              <w:top w:val="nil"/>
              <w:left w:val="nil"/>
              <w:bottom w:val="single" w:sz="8" w:space="0" w:color="auto"/>
              <w:right w:val="single" w:sz="8" w:space="0" w:color="auto"/>
            </w:tcBorders>
            <w:shd w:val="clear" w:color="auto" w:fill="auto"/>
            <w:vAlign w:val="center"/>
            <w:hideMark/>
          </w:tcPr>
          <w:p w14:paraId="644CEBE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654.662,44</w:t>
            </w:r>
          </w:p>
        </w:tc>
        <w:tc>
          <w:tcPr>
            <w:tcW w:w="1580" w:type="dxa"/>
            <w:tcBorders>
              <w:top w:val="nil"/>
              <w:left w:val="nil"/>
              <w:bottom w:val="single" w:sz="8" w:space="0" w:color="auto"/>
              <w:right w:val="single" w:sz="8" w:space="0" w:color="auto"/>
            </w:tcBorders>
            <w:shd w:val="clear" w:color="auto" w:fill="auto"/>
            <w:vAlign w:val="center"/>
            <w:hideMark/>
          </w:tcPr>
          <w:p w14:paraId="7603437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140.283,85</w:t>
            </w:r>
          </w:p>
        </w:tc>
        <w:tc>
          <w:tcPr>
            <w:tcW w:w="1353" w:type="dxa"/>
            <w:tcBorders>
              <w:top w:val="nil"/>
              <w:left w:val="nil"/>
              <w:bottom w:val="single" w:sz="8" w:space="0" w:color="auto"/>
              <w:right w:val="single" w:sz="8" w:space="0" w:color="auto"/>
            </w:tcBorders>
            <w:shd w:val="clear" w:color="auto" w:fill="auto"/>
            <w:vAlign w:val="center"/>
            <w:hideMark/>
          </w:tcPr>
          <w:p w14:paraId="7640867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140.283,85</w:t>
            </w:r>
          </w:p>
        </w:tc>
        <w:tc>
          <w:tcPr>
            <w:tcW w:w="1647" w:type="dxa"/>
            <w:tcBorders>
              <w:top w:val="nil"/>
              <w:left w:val="nil"/>
              <w:bottom w:val="single" w:sz="8" w:space="0" w:color="auto"/>
              <w:right w:val="single" w:sz="8" w:space="0" w:color="auto"/>
            </w:tcBorders>
            <w:shd w:val="clear" w:color="auto" w:fill="auto"/>
            <w:vAlign w:val="center"/>
            <w:hideMark/>
          </w:tcPr>
          <w:p w14:paraId="247494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-514.378,59</w:t>
            </w:r>
          </w:p>
        </w:tc>
        <w:tc>
          <w:tcPr>
            <w:tcW w:w="1418" w:type="dxa"/>
            <w:tcBorders>
              <w:top w:val="nil"/>
              <w:left w:val="nil"/>
              <w:bottom w:val="single" w:sz="8" w:space="0" w:color="auto"/>
              <w:right w:val="single" w:sz="8" w:space="0" w:color="auto"/>
            </w:tcBorders>
            <w:shd w:val="clear" w:color="auto" w:fill="auto"/>
            <w:vAlign w:val="center"/>
            <w:hideMark/>
          </w:tcPr>
          <w:p w14:paraId="2776738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-514.378,59</w:t>
            </w:r>
          </w:p>
        </w:tc>
      </w:tr>
      <w:tr w:rsidR="004729C6" w:rsidRPr="008B76D8" w14:paraId="688843C4"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3ABF31F2"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w:t>
            </w:r>
          </w:p>
        </w:tc>
        <w:tc>
          <w:tcPr>
            <w:tcW w:w="3221" w:type="dxa"/>
            <w:tcBorders>
              <w:top w:val="nil"/>
              <w:left w:val="nil"/>
              <w:bottom w:val="single" w:sz="8" w:space="0" w:color="auto"/>
              <w:right w:val="nil"/>
            </w:tcBorders>
            <w:shd w:val="clear" w:color="auto" w:fill="auto"/>
            <w:vAlign w:val="center"/>
            <w:hideMark/>
          </w:tcPr>
          <w:p w14:paraId="53EBE8E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 Magnolia-94</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1C51E3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4.438.659,13</w:t>
            </w:r>
          </w:p>
        </w:tc>
        <w:tc>
          <w:tcPr>
            <w:tcW w:w="1353" w:type="dxa"/>
            <w:tcBorders>
              <w:top w:val="nil"/>
              <w:left w:val="nil"/>
              <w:bottom w:val="single" w:sz="8" w:space="0" w:color="auto"/>
              <w:right w:val="single" w:sz="8" w:space="0" w:color="auto"/>
            </w:tcBorders>
            <w:shd w:val="clear" w:color="auto" w:fill="auto"/>
            <w:vAlign w:val="center"/>
            <w:hideMark/>
          </w:tcPr>
          <w:p w14:paraId="0C7F042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4.438.659,13</w:t>
            </w:r>
          </w:p>
        </w:tc>
        <w:tc>
          <w:tcPr>
            <w:tcW w:w="1580" w:type="dxa"/>
            <w:tcBorders>
              <w:top w:val="nil"/>
              <w:left w:val="nil"/>
              <w:bottom w:val="single" w:sz="8" w:space="0" w:color="auto"/>
              <w:right w:val="single" w:sz="8" w:space="0" w:color="auto"/>
            </w:tcBorders>
            <w:shd w:val="clear" w:color="auto" w:fill="auto"/>
            <w:vAlign w:val="center"/>
            <w:hideMark/>
          </w:tcPr>
          <w:p w14:paraId="7FCEC4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4.346.921,47</w:t>
            </w:r>
          </w:p>
        </w:tc>
        <w:tc>
          <w:tcPr>
            <w:tcW w:w="1353" w:type="dxa"/>
            <w:tcBorders>
              <w:top w:val="nil"/>
              <w:left w:val="nil"/>
              <w:bottom w:val="single" w:sz="8" w:space="0" w:color="auto"/>
              <w:right w:val="single" w:sz="8" w:space="0" w:color="auto"/>
            </w:tcBorders>
            <w:shd w:val="clear" w:color="auto" w:fill="auto"/>
            <w:vAlign w:val="center"/>
            <w:hideMark/>
          </w:tcPr>
          <w:p w14:paraId="3A4D950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4.346.921,47</w:t>
            </w:r>
          </w:p>
        </w:tc>
        <w:tc>
          <w:tcPr>
            <w:tcW w:w="1580" w:type="dxa"/>
            <w:tcBorders>
              <w:top w:val="nil"/>
              <w:left w:val="nil"/>
              <w:bottom w:val="single" w:sz="8" w:space="0" w:color="auto"/>
              <w:right w:val="single" w:sz="8" w:space="0" w:color="auto"/>
            </w:tcBorders>
            <w:shd w:val="clear" w:color="auto" w:fill="auto"/>
            <w:vAlign w:val="center"/>
            <w:hideMark/>
          </w:tcPr>
          <w:p w14:paraId="4D5B7D2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4.217.102,89</w:t>
            </w:r>
          </w:p>
        </w:tc>
        <w:tc>
          <w:tcPr>
            <w:tcW w:w="1353" w:type="dxa"/>
            <w:tcBorders>
              <w:top w:val="nil"/>
              <w:left w:val="nil"/>
              <w:bottom w:val="single" w:sz="8" w:space="0" w:color="auto"/>
              <w:right w:val="single" w:sz="8" w:space="0" w:color="auto"/>
            </w:tcBorders>
            <w:shd w:val="clear" w:color="auto" w:fill="auto"/>
            <w:vAlign w:val="center"/>
            <w:hideMark/>
          </w:tcPr>
          <w:p w14:paraId="49DDC0F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4.217.102,89</w:t>
            </w:r>
          </w:p>
        </w:tc>
        <w:tc>
          <w:tcPr>
            <w:tcW w:w="1647" w:type="dxa"/>
            <w:tcBorders>
              <w:top w:val="nil"/>
              <w:left w:val="nil"/>
              <w:bottom w:val="single" w:sz="8" w:space="0" w:color="auto"/>
              <w:right w:val="single" w:sz="8" w:space="0" w:color="auto"/>
            </w:tcBorders>
            <w:shd w:val="clear" w:color="auto" w:fill="auto"/>
            <w:vAlign w:val="center"/>
            <w:hideMark/>
          </w:tcPr>
          <w:p w14:paraId="5B40EEF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-129.818,58</w:t>
            </w:r>
          </w:p>
        </w:tc>
        <w:tc>
          <w:tcPr>
            <w:tcW w:w="1418" w:type="dxa"/>
            <w:tcBorders>
              <w:top w:val="nil"/>
              <w:left w:val="nil"/>
              <w:bottom w:val="single" w:sz="8" w:space="0" w:color="auto"/>
              <w:right w:val="single" w:sz="8" w:space="0" w:color="auto"/>
            </w:tcBorders>
            <w:shd w:val="clear" w:color="auto" w:fill="auto"/>
            <w:vAlign w:val="center"/>
            <w:hideMark/>
          </w:tcPr>
          <w:p w14:paraId="651B6F4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-129.818,58</w:t>
            </w:r>
          </w:p>
        </w:tc>
      </w:tr>
      <w:tr w:rsidR="004729C6" w:rsidRPr="008B76D8" w14:paraId="68003A1C"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4E9C9BA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w:t>
            </w:r>
          </w:p>
        </w:tc>
        <w:tc>
          <w:tcPr>
            <w:tcW w:w="3221" w:type="dxa"/>
            <w:tcBorders>
              <w:top w:val="nil"/>
              <w:left w:val="nil"/>
              <w:bottom w:val="nil"/>
              <w:right w:val="nil"/>
            </w:tcBorders>
            <w:shd w:val="clear" w:color="auto" w:fill="auto"/>
            <w:vAlign w:val="center"/>
            <w:hideMark/>
          </w:tcPr>
          <w:p w14:paraId="690C539F"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 Energocom</w:t>
            </w:r>
          </w:p>
        </w:tc>
        <w:tc>
          <w:tcPr>
            <w:tcW w:w="1489" w:type="dxa"/>
            <w:tcBorders>
              <w:top w:val="nil"/>
              <w:left w:val="single" w:sz="8" w:space="0" w:color="auto"/>
              <w:bottom w:val="nil"/>
              <w:right w:val="single" w:sz="8" w:space="0" w:color="auto"/>
            </w:tcBorders>
            <w:shd w:val="clear" w:color="auto" w:fill="auto"/>
            <w:vAlign w:val="center"/>
            <w:hideMark/>
          </w:tcPr>
          <w:p w14:paraId="18F0E19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nil"/>
              <w:right w:val="single" w:sz="8" w:space="0" w:color="auto"/>
            </w:tcBorders>
            <w:shd w:val="clear" w:color="auto" w:fill="auto"/>
            <w:vAlign w:val="center"/>
            <w:hideMark/>
          </w:tcPr>
          <w:p w14:paraId="6C0A333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nil"/>
              <w:right w:val="single" w:sz="8" w:space="0" w:color="auto"/>
            </w:tcBorders>
            <w:shd w:val="clear" w:color="auto" w:fill="auto"/>
            <w:vAlign w:val="center"/>
            <w:hideMark/>
          </w:tcPr>
          <w:p w14:paraId="5E5CBAD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3.383.027.070,16</w:t>
            </w:r>
          </w:p>
        </w:tc>
        <w:tc>
          <w:tcPr>
            <w:tcW w:w="1353" w:type="dxa"/>
            <w:tcBorders>
              <w:top w:val="nil"/>
              <w:left w:val="nil"/>
              <w:bottom w:val="nil"/>
              <w:right w:val="single" w:sz="8" w:space="0" w:color="auto"/>
            </w:tcBorders>
            <w:shd w:val="clear" w:color="auto" w:fill="auto"/>
            <w:vAlign w:val="center"/>
            <w:hideMark/>
          </w:tcPr>
          <w:p w14:paraId="2679E5D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nil"/>
              <w:right w:val="single" w:sz="8" w:space="0" w:color="auto"/>
            </w:tcBorders>
            <w:shd w:val="clear" w:color="auto" w:fill="auto"/>
            <w:vAlign w:val="center"/>
            <w:hideMark/>
          </w:tcPr>
          <w:p w14:paraId="2D73210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2.067.368.004,85</w:t>
            </w:r>
          </w:p>
        </w:tc>
        <w:tc>
          <w:tcPr>
            <w:tcW w:w="1353" w:type="dxa"/>
            <w:tcBorders>
              <w:top w:val="nil"/>
              <w:left w:val="nil"/>
              <w:bottom w:val="nil"/>
              <w:right w:val="single" w:sz="8" w:space="0" w:color="auto"/>
            </w:tcBorders>
            <w:shd w:val="clear" w:color="auto" w:fill="auto"/>
            <w:vAlign w:val="center"/>
            <w:hideMark/>
          </w:tcPr>
          <w:p w14:paraId="34C5EA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nil"/>
              <w:right w:val="single" w:sz="8" w:space="0" w:color="auto"/>
            </w:tcBorders>
            <w:shd w:val="clear" w:color="auto" w:fill="auto"/>
            <w:vAlign w:val="center"/>
            <w:hideMark/>
          </w:tcPr>
          <w:p w14:paraId="27B5666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-1.315.659.065,31</w:t>
            </w:r>
          </w:p>
        </w:tc>
        <w:tc>
          <w:tcPr>
            <w:tcW w:w="1418" w:type="dxa"/>
            <w:tcBorders>
              <w:top w:val="nil"/>
              <w:left w:val="nil"/>
              <w:bottom w:val="nil"/>
              <w:right w:val="single" w:sz="8" w:space="0" w:color="auto"/>
            </w:tcBorders>
            <w:shd w:val="clear" w:color="auto" w:fill="auto"/>
            <w:vAlign w:val="center"/>
            <w:hideMark/>
          </w:tcPr>
          <w:p w14:paraId="7526AE7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94B69F8"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C2429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w:t>
            </w:r>
          </w:p>
        </w:tc>
        <w:tc>
          <w:tcPr>
            <w:tcW w:w="3221" w:type="dxa"/>
            <w:tcBorders>
              <w:top w:val="single" w:sz="8" w:space="0" w:color="auto"/>
              <w:left w:val="nil"/>
              <w:bottom w:val="single" w:sz="8" w:space="0" w:color="auto"/>
              <w:right w:val="single" w:sz="8" w:space="0" w:color="auto"/>
            </w:tcBorders>
            <w:shd w:val="clear" w:color="auto" w:fill="auto"/>
            <w:vAlign w:val="center"/>
            <w:hideMark/>
          </w:tcPr>
          <w:p w14:paraId="1680EBA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 Avicola Codru, Nisporeni</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14:paraId="6ADD2F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1.243.913,73</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14:paraId="4261CC5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1.243.913,73</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3CE9642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1.361.446,84</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14:paraId="60B3DC4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1.361.446,84</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6F16346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1.220.017,92</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14:paraId="41E6595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14:paraId="3CFE68B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-141.428,92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7036BC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-1.361.446,84</w:t>
            </w:r>
          </w:p>
        </w:tc>
      </w:tr>
      <w:tr w:rsidR="004729C6" w:rsidRPr="008B76D8" w14:paraId="59369429" w14:textId="77777777" w:rsidTr="004729C6">
        <w:trPr>
          <w:trHeight w:val="300"/>
        </w:trPr>
        <w:tc>
          <w:tcPr>
            <w:tcW w:w="597" w:type="dxa"/>
            <w:tcBorders>
              <w:top w:val="nil"/>
              <w:left w:val="single" w:sz="8" w:space="0" w:color="auto"/>
              <w:bottom w:val="single" w:sz="8" w:space="0" w:color="auto"/>
              <w:right w:val="nil"/>
            </w:tcBorders>
            <w:shd w:val="clear" w:color="auto" w:fill="auto"/>
            <w:vAlign w:val="center"/>
            <w:hideMark/>
          </w:tcPr>
          <w:p w14:paraId="4D2D286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3221" w:type="dxa"/>
            <w:tcBorders>
              <w:top w:val="nil"/>
              <w:left w:val="nil"/>
              <w:bottom w:val="single" w:sz="8" w:space="0" w:color="auto"/>
              <w:right w:val="nil"/>
            </w:tcBorders>
            <w:shd w:val="clear" w:color="auto" w:fill="auto"/>
            <w:vAlign w:val="center"/>
            <w:hideMark/>
          </w:tcPr>
          <w:p w14:paraId="58740B6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489" w:type="dxa"/>
            <w:tcBorders>
              <w:top w:val="nil"/>
              <w:left w:val="nil"/>
              <w:bottom w:val="single" w:sz="8" w:space="0" w:color="auto"/>
              <w:right w:val="single" w:sz="8" w:space="0" w:color="auto"/>
            </w:tcBorders>
            <w:shd w:val="clear" w:color="auto" w:fill="auto"/>
            <w:vAlign w:val="center"/>
            <w:hideMark/>
          </w:tcPr>
          <w:p w14:paraId="76E63E4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79F08ED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1CA4FF5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00E369D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F61404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40EB49A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D751539"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14:paraId="2FBBF86F"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r>
      <w:tr w:rsidR="004729C6" w:rsidRPr="008B76D8" w14:paraId="4EDB9CCD" w14:textId="77777777" w:rsidTr="004729C6">
        <w:trPr>
          <w:trHeight w:val="30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DEE0EF" w14:textId="77777777" w:rsidR="004729C6" w:rsidRPr="008B76D8" w:rsidRDefault="004729C6" w:rsidP="004729C6">
            <w:pPr>
              <w:spacing w:after="0" w:line="240" w:lineRule="auto"/>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 xml:space="preserve">1.2 Întreprinderi care se află în proces de insolvabilitate </w:t>
            </w:r>
          </w:p>
        </w:tc>
        <w:tc>
          <w:tcPr>
            <w:tcW w:w="1489" w:type="dxa"/>
            <w:tcBorders>
              <w:top w:val="nil"/>
              <w:left w:val="nil"/>
              <w:bottom w:val="single" w:sz="8" w:space="0" w:color="auto"/>
              <w:right w:val="single" w:sz="8" w:space="0" w:color="auto"/>
            </w:tcBorders>
            <w:shd w:val="clear" w:color="auto" w:fill="auto"/>
            <w:vAlign w:val="center"/>
            <w:hideMark/>
          </w:tcPr>
          <w:p w14:paraId="0A67E3DB"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218.081.973,07</w:t>
            </w:r>
          </w:p>
        </w:tc>
        <w:tc>
          <w:tcPr>
            <w:tcW w:w="1353" w:type="dxa"/>
            <w:tcBorders>
              <w:top w:val="nil"/>
              <w:left w:val="nil"/>
              <w:bottom w:val="single" w:sz="8" w:space="0" w:color="auto"/>
              <w:right w:val="single" w:sz="8" w:space="0" w:color="auto"/>
            </w:tcBorders>
            <w:shd w:val="clear" w:color="auto" w:fill="auto"/>
            <w:vAlign w:val="center"/>
            <w:hideMark/>
          </w:tcPr>
          <w:p w14:paraId="4E9CF06B"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155.323.902,13</w:t>
            </w:r>
          </w:p>
        </w:tc>
        <w:tc>
          <w:tcPr>
            <w:tcW w:w="1580" w:type="dxa"/>
            <w:tcBorders>
              <w:top w:val="nil"/>
              <w:left w:val="nil"/>
              <w:bottom w:val="single" w:sz="8" w:space="0" w:color="auto"/>
              <w:right w:val="single" w:sz="8" w:space="0" w:color="auto"/>
            </w:tcBorders>
            <w:shd w:val="clear" w:color="auto" w:fill="auto"/>
            <w:vAlign w:val="center"/>
            <w:hideMark/>
          </w:tcPr>
          <w:p w14:paraId="75C02AFC"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263.665.193,29</w:t>
            </w:r>
          </w:p>
        </w:tc>
        <w:tc>
          <w:tcPr>
            <w:tcW w:w="1353" w:type="dxa"/>
            <w:tcBorders>
              <w:top w:val="nil"/>
              <w:left w:val="nil"/>
              <w:bottom w:val="single" w:sz="8" w:space="0" w:color="auto"/>
              <w:right w:val="single" w:sz="8" w:space="0" w:color="auto"/>
            </w:tcBorders>
            <w:shd w:val="clear" w:color="auto" w:fill="auto"/>
            <w:vAlign w:val="center"/>
            <w:hideMark/>
          </w:tcPr>
          <w:p w14:paraId="683DF7E3"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169.388.939,41</w:t>
            </w:r>
          </w:p>
        </w:tc>
        <w:tc>
          <w:tcPr>
            <w:tcW w:w="1580" w:type="dxa"/>
            <w:tcBorders>
              <w:top w:val="nil"/>
              <w:left w:val="nil"/>
              <w:bottom w:val="single" w:sz="8" w:space="0" w:color="auto"/>
              <w:right w:val="single" w:sz="8" w:space="0" w:color="auto"/>
            </w:tcBorders>
            <w:shd w:val="clear" w:color="auto" w:fill="auto"/>
            <w:vAlign w:val="center"/>
            <w:hideMark/>
          </w:tcPr>
          <w:p w14:paraId="2C5BA080"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139.858.121,36</w:t>
            </w:r>
          </w:p>
        </w:tc>
        <w:tc>
          <w:tcPr>
            <w:tcW w:w="1353" w:type="dxa"/>
            <w:tcBorders>
              <w:top w:val="nil"/>
              <w:left w:val="nil"/>
              <w:bottom w:val="single" w:sz="8" w:space="0" w:color="auto"/>
              <w:right w:val="single" w:sz="8" w:space="0" w:color="auto"/>
            </w:tcBorders>
            <w:shd w:val="clear" w:color="auto" w:fill="auto"/>
            <w:vAlign w:val="center"/>
            <w:hideMark/>
          </w:tcPr>
          <w:p w14:paraId="52290A97"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57.704.143,31</w:t>
            </w:r>
          </w:p>
        </w:tc>
        <w:tc>
          <w:tcPr>
            <w:tcW w:w="1647" w:type="dxa"/>
            <w:tcBorders>
              <w:top w:val="nil"/>
              <w:left w:val="nil"/>
              <w:bottom w:val="single" w:sz="8" w:space="0" w:color="auto"/>
              <w:right w:val="single" w:sz="8" w:space="0" w:color="auto"/>
            </w:tcBorders>
            <w:shd w:val="clear" w:color="auto" w:fill="auto"/>
            <w:vAlign w:val="center"/>
            <w:hideMark/>
          </w:tcPr>
          <w:p w14:paraId="0B8836A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-123.807.071,93</w:t>
            </w:r>
          </w:p>
        </w:tc>
        <w:tc>
          <w:tcPr>
            <w:tcW w:w="1418" w:type="dxa"/>
            <w:tcBorders>
              <w:top w:val="nil"/>
              <w:left w:val="nil"/>
              <w:bottom w:val="single" w:sz="8" w:space="0" w:color="auto"/>
              <w:right w:val="single" w:sz="8" w:space="0" w:color="auto"/>
            </w:tcBorders>
            <w:shd w:val="clear" w:color="auto" w:fill="auto"/>
            <w:vAlign w:val="center"/>
            <w:hideMark/>
          </w:tcPr>
          <w:p w14:paraId="03A43D98"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-111.684.796,10</w:t>
            </w:r>
          </w:p>
        </w:tc>
      </w:tr>
      <w:tr w:rsidR="004729C6" w:rsidRPr="008B76D8" w14:paraId="5BF3E8FF" w14:textId="77777777" w:rsidTr="004729C6">
        <w:trPr>
          <w:trHeight w:val="300"/>
        </w:trPr>
        <w:tc>
          <w:tcPr>
            <w:tcW w:w="597" w:type="dxa"/>
            <w:tcBorders>
              <w:top w:val="nil"/>
              <w:left w:val="single" w:sz="8" w:space="0" w:color="auto"/>
              <w:bottom w:val="nil"/>
              <w:right w:val="nil"/>
            </w:tcBorders>
            <w:shd w:val="clear" w:color="auto" w:fill="auto"/>
            <w:vAlign w:val="center"/>
            <w:hideMark/>
          </w:tcPr>
          <w:p w14:paraId="5A1B413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single" w:sz="8" w:space="0" w:color="auto"/>
              <w:bottom w:val="single" w:sz="8" w:space="0" w:color="auto"/>
              <w:right w:val="single" w:sz="8" w:space="0" w:color="auto"/>
            </w:tcBorders>
            <w:shd w:val="clear" w:color="auto" w:fill="auto"/>
            <w:vAlign w:val="center"/>
            <w:hideMark/>
          </w:tcPr>
          <w:p w14:paraId="62A26FB0" w14:textId="4E84800F" w:rsidR="004729C6" w:rsidRPr="008B76D8" w:rsidRDefault="004729C6" w:rsidP="00791937">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w:t>
            </w:r>
            <w:r w:rsidR="00791937" w:rsidRPr="008B76D8">
              <w:rPr>
                <w:rFonts w:ascii="Times New Roman" w:eastAsia="Times New Roman" w:hAnsi="Times New Roman" w:cs="Times New Roman"/>
                <w:color w:val="000000"/>
                <w:sz w:val="18"/>
                <w:szCs w:val="18"/>
              </w:rPr>
              <w:t>A</w:t>
            </w:r>
            <w:r w:rsidRPr="008B76D8">
              <w:rPr>
                <w:rFonts w:ascii="Times New Roman" w:eastAsia="Times New Roman" w:hAnsi="Times New Roman" w:cs="Times New Roman"/>
                <w:color w:val="000000"/>
                <w:sz w:val="18"/>
                <w:szCs w:val="18"/>
              </w:rPr>
              <w:t xml:space="preserve"> "Deana Comrat"</w:t>
            </w:r>
          </w:p>
        </w:tc>
        <w:tc>
          <w:tcPr>
            <w:tcW w:w="1489" w:type="dxa"/>
            <w:tcBorders>
              <w:top w:val="nil"/>
              <w:left w:val="nil"/>
              <w:bottom w:val="single" w:sz="8" w:space="0" w:color="auto"/>
              <w:right w:val="single" w:sz="8" w:space="0" w:color="auto"/>
            </w:tcBorders>
            <w:shd w:val="clear" w:color="auto" w:fill="auto"/>
            <w:vAlign w:val="center"/>
            <w:hideMark/>
          </w:tcPr>
          <w:p w14:paraId="0CA3AB6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353" w:type="dxa"/>
            <w:tcBorders>
              <w:top w:val="nil"/>
              <w:left w:val="nil"/>
              <w:bottom w:val="single" w:sz="8" w:space="0" w:color="auto"/>
              <w:right w:val="single" w:sz="8" w:space="0" w:color="auto"/>
            </w:tcBorders>
            <w:shd w:val="clear" w:color="auto" w:fill="auto"/>
            <w:vAlign w:val="center"/>
            <w:hideMark/>
          </w:tcPr>
          <w:p w14:paraId="7DF42B1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580" w:type="dxa"/>
            <w:tcBorders>
              <w:top w:val="nil"/>
              <w:left w:val="nil"/>
              <w:bottom w:val="single" w:sz="8" w:space="0" w:color="auto"/>
              <w:right w:val="single" w:sz="8" w:space="0" w:color="auto"/>
            </w:tcBorders>
            <w:shd w:val="clear" w:color="auto" w:fill="auto"/>
            <w:vAlign w:val="center"/>
            <w:hideMark/>
          </w:tcPr>
          <w:p w14:paraId="1B252D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353" w:type="dxa"/>
            <w:tcBorders>
              <w:top w:val="nil"/>
              <w:left w:val="nil"/>
              <w:bottom w:val="single" w:sz="8" w:space="0" w:color="auto"/>
              <w:right w:val="single" w:sz="8" w:space="0" w:color="auto"/>
            </w:tcBorders>
            <w:shd w:val="clear" w:color="auto" w:fill="auto"/>
            <w:vAlign w:val="center"/>
            <w:hideMark/>
          </w:tcPr>
          <w:p w14:paraId="7C4B96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580" w:type="dxa"/>
            <w:tcBorders>
              <w:top w:val="nil"/>
              <w:left w:val="nil"/>
              <w:bottom w:val="single" w:sz="8" w:space="0" w:color="auto"/>
              <w:right w:val="single" w:sz="8" w:space="0" w:color="auto"/>
            </w:tcBorders>
            <w:shd w:val="clear" w:color="auto" w:fill="auto"/>
            <w:vAlign w:val="center"/>
            <w:hideMark/>
          </w:tcPr>
          <w:p w14:paraId="7ADC23D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353" w:type="dxa"/>
            <w:tcBorders>
              <w:top w:val="nil"/>
              <w:left w:val="nil"/>
              <w:bottom w:val="single" w:sz="8" w:space="0" w:color="auto"/>
              <w:right w:val="single" w:sz="8" w:space="0" w:color="auto"/>
            </w:tcBorders>
            <w:shd w:val="clear" w:color="auto" w:fill="auto"/>
            <w:vAlign w:val="center"/>
            <w:hideMark/>
          </w:tcPr>
          <w:p w14:paraId="6A5725E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3.920.412,99</w:t>
            </w:r>
          </w:p>
        </w:tc>
        <w:tc>
          <w:tcPr>
            <w:tcW w:w="1647" w:type="dxa"/>
            <w:tcBorders>
              <w:top w:val="nil"/>
              <w:left w:val="nil"/>
              <w:bottom w:val="single" w:sz="8" w:space="0" w:color="auto"/>
              <w:right w:val="single" w:sz="8" w:space="0" w:color="auto"/>
            </w:tcBorders>
            <w:shd w:val="clear" w:color="auto" w:fill="auto"/>
            <w:vAlign w:val="center"/>
            <w:hideMark/>
          </w:tcPr>
          <w:p w14:paraId="2C55D71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7428CAA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B354B0A" w14:textId="77777777" w:rsidTr="004729C6">
        <w:trPr>
          <w:trHeight w:val="300"/>
        </w:trPr>
        <w:tc>
          <w:tcPr>
            <w:tcW w:w="597" w:type="dxa"/>
            <w:tcBorders>
              <w:top w:val="single" w:sz="8" w:space="0" w:color="auto"/>
              <w:left w:val="single" w:sz="8" w:space="0" w:color="auto"/>
              <w:bottom w:val="nil"/>
              <w:right w:val="single" w:sz="8" w:space="0" w:color="auto"/>
            </w:tcBorders>
            <w:shd w:val="clear" w:color="auto" w:fill="auto"/>
            <w:vAlign w:val="center"/>
            <w:hideMark/>
          </w:tcPr>
          <w:p w14:paraId="373E679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nil"/>
              <w:left w:val="nil"/>
              <w:bottom w:val="nil"/>
              <w:right w:val="single" w:sz="8" w:space="0" w:color="auto"/>
            </w:tcBorders>
            <w:shd w:val="clear" w:color="auto" w:fill="auto"/>
            <w:vAlign w:val="center"/>
            <w:hideMark/>
          </w:tcPr>
          <w:p w14:paraId="7019B7DE" w14:textId="3E58C643"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w:t>
            </w:r>
            <w:r w:rsidR="004729C6" w:rsidRPr="008B76D8">
              <w:rPr>
                <w:rFonts w:ascii="Times New Roman" w:eastAsia="Times New Roman" w:hAnsi="Times New Roman" w:cs="Times New Roman"/>
                <w:color w:val="000000"/>
                <w:sz w:val="18"/>
                <w:szCs w:val="18"/>
              </w:rPr>
              <w:t xml:space="preserve"> "Becon-Basarabia", Criuleni</w:t>
            </w:r>
          </w:p>
        </w:tc>
        <w:tc>
          <w:tcPr>
            <w:tcW w:w="1489" w:type="dxa"/>
            <w:tcBorders>
              <w:top w:val="nil"/>
              <w:left w:val="nil"/>
              <w:bottom w:val="nil"/>
              <w:right w:val="single" w:sz="8" w:space="0" w:color="auto"/>
            </w:tcBorders>
            <w:shd w:val="clear" w:color="auto" w:fill="auto"/>
            <w:vAlign w:val="center"/>
            <w:hideMark/>
          </w:tcPr>
          <w:p w14:paraId="25AFA49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99.991.641,19</w:t>
            </w:r>
          </w:p>
        </w:tc>
        <w:tc>
          <w:tcPr>
            <w:tcW w:w="1353" w:type="dxa"/>
            <w:tcBorders>
              <w:top w:val="nil"/>
              <w:left w:val="nil"/>
              <w:bottom w:val="single" w:sz="8" w:space="0" w:color="auto"/>
              <w:right w:val="single" w:sz="8" w:space="0" w:color="auto"/>
            </w:tcBorders>
            <w:shd w:val="clear" w:color="auto" w:fill="auto"/>
            <w:vAlign w:val="center"/>
            <w:hideMark/>
          </w:tcPr>
          <w:p w14:paraId="5E498F0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99.991.641,19</w:t>
            </w:r>
          </w:p>
        </w:tc>
        <w:tc>
          <w:tcPr>
            <w:tcW w:w="1580" w:type="dxa"/>
            <w:tcBorders>
              <w:top w:val="nil"/>
              <w:left w:val="nil"/>
              <w:bottom w:val="nil"/>
              <w:right w:val="single" w:sz="8" w:space="0" w:color="auto"/>
            </w:tcBorders>
            <w:shd w:val="clear" w:color="auto" w:fill="auto"/>
            <w:vAlign w:val="center"/>
            <w:hideMark/>
          </w:tcPr>
          <w:p w14:paraId="470070B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107.937.778,07</w:t>
            </w:r>
          </w:p>
        </w:tc>
        <w:tc>
          <w:tcPr>
            <w:tcW w:w="1353" w:type="dxa"/>
            <w:tcBorders>
              <w:top w:val="nil"/>
              <w:left w:val="nil"/>
              <w:bottom w:val="single" w:sz="8" w:space="0" w:color="auto"/>
              <w:right w:val="single" w:sz="8" w:space="0" w:color="auto"/>
            </w:tcBorders>
            <w:shd w:val="clear" w:color="auto" w:fill="auto"/>
            <w:vAlign w:val="center"/>
            <w:hideMark/>
          </w:tcPr>
          <w:p w14:paraId="76F0AAF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107.937.778,07</w:t>
            </w:r>
          </w:p>
        </w:tc>
        <w:tc>
          <w:tcPr>
            <w:tcW w:w="1580" w:type="dxa"/>
            <w:tcBorders>
              <w:top w:val="nil"/>
              <w:left w:val="nil"/>
              <w:bottom w:val="single" w:sz="8" w:space="0" w:color="auto"/>
              <w:right w:val="single" w:sz="8" w:space="0" w:color="auto"/>
            </w:tcBorders>
            <w:shd w:val="clear" w:color="auto" w:fill="auto"/>
            <w:vAlign w:val="center"/>
            <w:hideMark/>
          </w:tcPr>
          <w:p w14:paraId="09DABB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275A5F4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104EF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-107.937.778,07</w:t>
            </w:r>
          </w:p>
        </w:tc>
        <w:tc>
          <w:tcPr>
            <w:tcW w:w="1418" w:type="dxa"/>
            <w:tcBorders>
              <w:top w:val="nil"/>
              <w:left w:val="nil"/>
              <w:bottom w:val="single" w:sz="8" w:space="0" w:color="auto"/>
              <w:right w:val="single" w:sz="8" w:space="0" w:color="auto"/>
            </w:tcBorders>
            <w:shd w:val="clear" w:color="auto" w:fill="auto"/>
            <w:vAlign w:val="center"/>
            <w:hideMark/>
          </w:tcPr>
          <w:p w14:paraId="455A106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-107.937.778,07</w:t>
            </w:r>
          </w:p>
        </w:tc>
      </w:tr>
      <w:tr w:rsidR="004729C6" w:rsidRPr="008B76D8" w14:paraId="66B21291"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C9AD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w:t>
            </w:r>
          </w:p>
        </w:tc>
        <w:tc>
          <w:tcPr>
            <w:tcW w:w="3221" w:type="dxa"/>
            <w:tcBorders>
              <w:top w:val="single" w:sz="8" w:space="0" w:color="auto"/>
              <w:left w:val="nil"/>
              <w:bottom w:val="single" w:sz="8" w:space="0" w:color="auto"/>
              <w:right w:val="single" w:sz="8" w:space="0" w:color="auto"/>
            </w:tcBorders>
            <w:shd w:val="clear" w:color="auto" w:fill="auto"/>
            <w:vAlign w:val="center"/>
            <w:hideMark/>
          </w:tcPr>
          <w:p w14:paraId="4B1E277D" w14:textId="047EC54D"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w:t>
            </w:r>
            <w:r w:rsidR="004729C6" w:rsidRPr="008B76D8">
              <w:rPr>
                <w:rFonts w:ascii="Times New Roman" w:eastAsia="Times New Roman" w:hAnsi="Times New Roman" w:cs="Times New Roman"/>
                <w:color w:val="000000"/>
                <w:sz w:val="18"/>
                <w:szCs w:val="18"/>
              </w:rPr>
              <w:t xml:space="preserve"> "Resursele Moldovei"</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14:paraId="5EDDD56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19.395.837,03</w:t>
            </w:r>
          </w:p>
        </w:tc>
        <w:tc>
          <w:tcPr>
            <w:tcW w:w="1353" w:type="dxa"/>
            <w:tcBorders>
              <w:top w:val="nil"/>
              <w:left w:val="nil"/>
              <w:bottom w:val="single" w:sz="8" w:space="0" w:color="auto"/>
              <w:right w:val="single" w:sz="8" w:space="0" w:color="auto"/>
            </w:tcBorders>
            <w:shd w:val="clear" w:color="auto" w:fill="auto"/>
            <w:vAlign w:val="center"/>
            <w:hideMark/>
          </w:tcPr>
          <w:p w14:paraId="7F4FC4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19.395.837,03</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3230644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20.939.944,68</w:t>
            </w:r>
          </w:p>
        </w:tc>
        <w:tc>
          <w:tcPr>
            <w:tcW w:w="1353" w:type="dxa"/>
            <w:tcBorders>
              <w:top w:val="nil"/>
              <w:left w:val="nil"/>
              <w:bottom w:val="single" w:sz="8" w:space="0" w:color="auto"/>
              <w:right w:val="single" w:sz="8" w:space="0" w:color="auto"/>
            </w:tcBorders>
            <w:shd w:val="clear" w:color="auto" w:fill="auto"/>
            <w:vAlign w:val="center"/>
            <w:hideMark/>
          </w:tcPr>
          <w:p w14:paraId="0584561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20.939.944,68</w:t>
            </w:r>
          </w:p>
        </w:tc>
        <w:tc>
          <w:tcPr>
            <w:tcW w:w="1580" w:type="dxa"/>
            <w:tcBorders>
              <w:top w:val="nil"/>
              <w:left w:val="nil"/>
              <w:bottom w:val="single" w:sz="8" w:space="0" w:color="auto"/>
              <w:right w:val="single" w:sz="8" w:space="0" w:color="auto"/>
            </w:tcBorders>
            <w:shd w:val="clear" w:color="auto" w:fill="auto"/>
            <w:vAlign w:val="center"/>
            <w:hideMark/>
          </w:tcPr>
          <w:p w14:paraId="40E820E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19.025.303,66</w:t>
            </w:r>
          </w:p>
        </w:tc>
        <w:tc>
          <w:tcPr>
            <w:tcW w:w="1353" w:type="dxa"/>
            <w:tcBorders>
              <w:top w:val="nil"/>
              <w:left w:val="nil"/>
              <w:bottom w:val="single" w:sz="8" w:space="0" w:color="auto"/>
              <w:right w:val="single" w:sz="8" w:space="0" w:color="auto"/>
            </w:tcBorders>
            <w:shd w:val="clear" w:color="auto" w:fill="auto"/>
            <w:vAlign w:val="center"/>
            <w:hideMark/>
          </w:tcPr>
          <w:p w14:paraId="24420DC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19.025.303,66</w:t>
            </w:r>
          </w:p>
        </w:tc>
        <w:tc>
          <w:tcPr>
            <w:tcW w:w="1647" w:type="dxa"/>
            <w:tcBorders>
              <w:top w:val="nil"/>
              <w:left w:val="nil"/>
              <w:bottom w:val="single" w:sz="8" w:space="0" w:color="auto"/>
              <w:right w:val="single" w:sz="8" w:space="0" w:color="auto"/>
            </w:tcBorders>
            <w:shd w:val="clear" w:color="auto" w:fill="auto"/>
            <w:vAlign w:val="center"/>
            <w:hideMark/>
          </w:tcPr>
          <w:p w14:paraId="1516CA4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-1.914.641,02</w:t>
            </w:r>
          </w:p>
        </w:tc>
        <w:tc>
          <w:tcPr>
            <w:tcW w:w="1418" w:type="dxa"/>
            <w:tcBorders>
              <w:top w:val="nil"/>
              <w:left w:val="nil"/>
              <w:bottom w:val="single" w:sz="8" w:space="0" w:color="auto"/>
              <w:right w:val="single" w:sz="8" w:space="0" w:color="auto"/>
            </w:tcBorders>
            <w:shd w:val="clear" w:color="auto" w:fill="auto"/>
            <w:vAlign w:val="center"/>
            <w:hideMark/>
          </w:tcPr>
          <w:p w14:paraId="265A065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-1.914.641,02</w:t>
            </w:r>
          </w:p>
        </w:tc>
      </w:tr>
      <w:tr w:rsidR="004729C6" w:rsidRPr="008B76D8" w14:paraId="6EF782C9"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87F322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w:t>
            </w:r>
          </w:p>
        </w:tc>
        <w:tc>
          <w:tcPr>
            <w:tcW w:w="3221" w:type="dxa"/>
            <w:tcBorders>
              <w:top w:val="nil"/>
              <w:left w:val="nil"/>
              <w:bottom w:val="single" w:sz="8" w:space="0" w:color="auto"/>
              <w:right w:val="single" w:sz="8" w:space="0" w:color="auto"/>
            </w:tcBorders>
            <w:shd w:val="clear" w:color="auto" w:fill="auto"/>
            <w:vAlign w:val="center"/>
            <w:hideMark/>
          </w:tcPr>
          <w:p w14:paraId="22B39DBE" w14:textId="4F176EEC"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ÎM</w:t>
            </w:r>
            <w:r w:rsidR="004729C6" w:rsidRPr="008B76D8">
              <w:rPr>
                <w:rFonts w:ascii="Times New Roman" w:eastAsia="Times New Roman" w:hAnsi="Times New Roman" w:cs="Times New Roman"/>
                <w:color w:val="000000"/>
                <w:sz w:val="18"/>
                <w:szCs w:val="18"/>
              </w:rPr>
              <w:t xml:space="preserve"> "Reţelele termice Vulcăneşti"</w:t>
            </w:r>
          </w:p>
        </w:tc>
        <w:tc>
          <w:tcPr>
            <w:tcW w:w="1489" w:type="dxa"/>
            <w:tcBorders>
              <w:top w:val="nil"/>
              <w:left w:val="nil"/>
              <w:bottom w:val="single" w:sz="8" w:space="0" w:color="auto"/>
              <w:right w:val="single" w:sz="8" w:space="0" w:color="auto"/>
            </w:tcBorders>
            <w:shd w:val="clear" w:color="auto" w:fill="auto"/>
            <w:vAlign w:val="center"/>
            <w:hideMark/>
          </w:tcPr>
          <w:p w14:paraId="5FB755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353" w:type="dxa"/>
            <w:tcBorders>
              <w:top w:val="nil"/>
              <w:left w:val="nil"/>
              <w:bottom w:val="single" w:sz="8" w:space="0" w:color="auto"/>
              <w:right w:val="single" w:sz="8" w:space="0" w:color="auto"/>
            </w:tcBorders>
            <w:shd w:val="clear" w:color="auto" w:fill="auto"/>
            <w:vAlign w:val="center"/>
            <w:hideMark/>
          </w:tcPr>
          <w:p w14:paraId="1766094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580" w:type="dxa"/>
            <w:tcBorders>
              <w:top w:val="nil"/>
              <w:left w:val="nil"/>
              <w:bottom w:val="single" w:sz="8" w:space="0" w:color="auto"/>
              <w:right w:val="single" w:sz="8" w:space="0" w:color="auto"/>
            </w:tcBorders>
            <w:shd w:val="clear" w:color="auto" w:fill="auto"/>
            <w:vAlign w:val="center"/>
            <w:hideMark/>
          </w:tcPr>
          <w:p w14:paraId="407FBF2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353" w:type="dxa"/>
            <w:tcBorders>
              <w:top w:val="nil"/>
              <w:left w:val="nil"/>
              <w:bottom w:val="single" w:sz="8" w:space="0" w:color="auto"/>
              <w:right w:val="single" w:sz="8" w:space="0" w:color="auto"/>
            </w:tcBorders>
            <w:shd w:val="clear" w:color="auto" w:fill="auto"/>
            <w:vAlign w:val="center"/>
            <w:hideMark/>
          </w:tcPr>
          <w:p w14:paraId="7FD49EB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580" w:type="dxa"/>
            <w:tcBorders>
              <w:top w:val="nil"/>
              <w:left w:val="nil"/>
              <w:bottom w:val="single" w:sz="8" w:space="0" w:color="auto"/>
              <w:right w:val="single" w:sz="8" w:space="0" w:color="auto"/>
            </w:tcBorders>
            <w:shd w:val="clear" w:color="auto" w:fill="auto"/>
            <w:vAlign w:val="center"/>
            <w:hideMark/>
          </w:tcPr>
          <w:p w14:paraId="1AD8EB9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353" w:type="dxa"/>
            <w:tcBorders>
              <w:top w:val="nil"/>
              <w:left w:val="nil"/>
              <w:bottom w:val="single" w:sz="8" w:space="0" w:color="auto"/>
              <w:right w:val="single" w:sz="8" w:space="0" w:color="auto"/>
            </w:tcBorders>
            <w:shd w:val="clear" w:color="auto" w:fill="auto"/>
            <w:vAlign w:val="center"/>
            <w:hideMark/>
          </w:tcPr>
          <w:p w14:paraId="0ED3642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126.319,29</w:t>
            </w:r>
          </w:p>
        </w:tc>
        <w:tc>
          <w:tcPr>
            <w:tcW w:w="1647" w:type="dxa"/>
            <w:tcBorders>
              <w:top w:val="nil"/>
              <w:left w:val="nil"/>
              <w:bottom w:val="single" w:sz="8" w:space="0" w:color="auto"/>
              <w:right w:val="single" w:sz="8" w:space="0" w:color="auto"/>
            </w:tcBorders>
            <w:shd w:val="clear" w:color="auto" w:fill="auto"/>
            <w:vAlign w:val="center"/>
            <w:hideMark/>
          </w:tcPr>
          <w:p w14:paraId="5EB6645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1634499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42866A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86158E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w:t>
            </w:r>
          </w:p>
        </w:tc>
        <w:tc>
          <w:tcPr>
            <w:tcW w:w="3221" w:type="dxa"/>
            <w:tcBorders>
              <w:top w:val="nil"/>
              <w:left w:val="nil"/>
              <w:bottom w:val="single" w:sz="8" w:space="0" w:color="auto"/>
              <w:right w:val="single" w:sz="8" w:space="0" w:color="auto"/>
            </w:tcBorders>
            <w:shd w:val="clear" w:color="auto" w:fill="auto"/>
            <w:vAlign w:val="center"/>
            <w:hideMark/>
          </w:tcPr>
          <w:p w14:paraId="399D31F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IICCP Sadaclia, Basarabeasca</w:t>
            </w:r>
          </w:p>
        </w:tc>
        <w:tc>
          <w:tcPr>
            <w:tcW w:w="1489" w:type="dxa"/>
            <w:tcBorders>
              <w:top w:val="nil"/>
              <w:left w:val="nil"/>
              <w:bottom w:val="single" w:sz="8" w:space="0" w:color="auto"/>
              <w:right w:val="single" w:sz="8" w:space="0" w:color="auto"/>
            </w:tcBorders>
            <w:shd w:val="clear" w:color="auto" w:fill="auto"/>
            <w:vAlign w:val="center"/>
            <w:hideMark/>
          </w:tcPr>
          <w:p w14:paraId="5E92E7E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353" w:type="dxa"/>
            <w:tcBorders>
              <w:top w:val="nil"/>
              <w:left w:val="nil"/>
              <w:bottom w:val="single" w:sz="8" w:space="0" w:color="auto"/>
              <w:right w:val="single" w:sz="8" w:space="0" w:color="auto"/>
            </w:tcBorders>
            <w:shd w:val="clear" w:color="auto" w:fill="auto"/>
            <w:vAlign w:val="center"/>
            <w:hideMark/>
          </w:tcPr>
          <w:p w14:paraId="44D8AAC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580" w:type="dxa"/>
            <w:tcBorders>
              <w:top w:val="nil"/>
              <w:left w:val="nil"/>
              <w:bottom w:val="single" w:sz="8" w:space="0" w:color="auto"/>
              <w:right w:val="single" w:sz="8" w:space="0" w:color="auto"/>
            </w:tcBorders>
            <w:shd w:val="clear" w:color="auto" w:fill="auto"/>
            <w:vAlign w:val="center"/>
            <w:hideMark/>
          </w:tcPr>
          <w:p w14:paraId="471D07F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353" w:type="dxa"/>
            <w:tcBorders>
              <w:top w:val="nil"/>
              <w:left w:val="nil"/>
              <w:bottom w:val="single" w:sz="8" w:space="0" w:color="auto"/>
              <w:right w:val="single" w:sz="8" w:space="0" w:color="auto"/>
            </w:tcBorders>
            <w:shd w:val="clear" w:color="auto" w:fill="auto"/>
            <w:vAlign w:val="center"/>
            <w:hideMark/>
          </w:tcPr>
          <w:p w14:paraId="3FC7368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580" w:type="dxa"/>
            <w:tcBorders>
              <w:top w:val="nil"/>
              <w:left w:val="nil"/>
              <w:bottom w:val="single" w:sz="8" w:space="0" w:color="auto"/>
              <w:right w:val="single" w:sz="8" w:space="0" w:color="auto"/>
            </w:tcBorders>
            <w:shd w:val="clear" w:color="auto" w:fill="auto"/>
            <w:vAlign w:val="center"/>
            <w:hideMark/>
          </w:tcPr>
          <w:p w14:paraId="5883511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353" w:type="dxa"/>
            <w:tcBorders>
              <w:top w:val="nil"/>
              <w:left w:val="nil"/>
              <w:bottom w:val="single" w:sz="8" w:space="0" w:color="auto"/>
              <w:right w:val="single" w:sz="8" w:space="0" w:color="auto"/>
            </w:tcBorders>
            <w:shd w:val="clear" w:color="auto" w:fill="auto"/>
            <w:vAlign w:val="center"/>
            <w:hideMark/>
          </w:tcPr>
          <w:p w14:paraId="40CB228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1.103.712,14</w:t>
            </w:r>
          </w:p>
        </w:tc>
        <w:tc>
          <w:tcPr>
            <w:tcW w:w="1647" w:type="dxa"/>
            <w:tcBorders>
              <w:top w:val="nil"/>
              <w:left w:val="nil"/>
              <w:bottom w:val="single" w:sz="8" w:space="0" w:color="auto"/>
              <w:right w:val="single" w:sz="8" w:space="0" w:color="auto"/>
            </w:tcBorders>
            <w:shd w:val="clear" w:color="auto" w:fill="auto"/>
            <w:vAlign w:val="center"/>
            <w:hideMark/>
          </w:tcPr>
          <w:p w14:paraId="4BF90F0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2CC1716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6B74C59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CF7775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w:t>
            </w:r>
          </w:p>
        </w:tc>
        <w:tc>
          <w:tcPr>
            <w:tcW w:w="3221" w:type="dxa"/>
            <w:tcBorders>
              <w:top w:val="nil"/>
              <w:left w:val="nil"/>
              <w:bottom w:val="single" w:sz="8" w:space="0" w:color="auto"/>
              <w:right w:val="single" w:sz="8" w:space="0" w:color="auto"/>
            </w:tcBorders>
            <w:shd w:val="clear" w:color="auto" w:fill="auto"/>
            <w:vAlign w:val="center"/>
            <w:hideMark/>
          </w:tcPr>
          <w:p w14:paraId="6CA996BF" w14:textId="2F500CA0"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w:t>
            </w:r>
            <w:r w:rsidR="004729C6" w:rsidRPr="008B76D8">
              <w:rPr>
                <w:rFonts w:ascii="Times New Roman" w:eastAsia="Times New Roman" w:hAnsi="Times New Roman" w:cs="Times New Roman"/>
                <w:color w:val="000000"/>
                <w:sz w:val="18"/>
                <w:szCs w:val="18"/>
              </w:rPr>
              <w:t xml:space="preserve"> ”Avicola Vadul lui Vodă”</w:t>
            </w:r>
          </w:p>
        </w:tc>
        <w:tc>
          <w:tcPr>
            <w:tcW w:w="1489" w:type="dxa"/>
            <w:tcBorders>
              <w:top w:val="nil"/>
              <w:left w:val="nil"/>
              <w:bottom w:val="single" w:sz="8" w:space="0" w:color="auto"/>
              <w:right w:val="single" w:sz="8" w:space="0" w:color="auto"/>
            </w:tcBorders>
            <w:shd w:val="clear" w:color="auto" w:fill="auto"/>
            <w:vAlign w:val="center"/>
            <w:hideMark/>
          </w:tcPr>
          <w:p w14:paraId="410917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c>
          <w:tcPr>
            <w:tcW w:w="1353" w:type="dxa"/>
            <w:tcBorders>
              <w:top w:val="nil"/>
              <w:left w:val="nil"/>
              <w:bottom w:val="single" w:sz="8" w:space="0" w:color="auto"/>
              <w:right w:val="single" w:sz="8" w:space="0" w:color="auto"/>
            </w:tcBorders>
            <w:shd w:val="clear" w:color="auto" w:fill="auto"/>
            <w:vAlign w:val="center"/>
            <w:hideMark/>
          </w:tcPr>
          <w:p w14:paraId="14CF867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c>
          <w:tcPr>
            <w:tcW w:w="1580" w:type="dxa"/>
            <w:tcBorders>
              <w:top w:val="nil"/>
              <w:left w:val="nil"/>
              <w:bottom w:val="single" w:sz="8" w:space="0" w:color="auto"/>
              <w:right w:val="single" w:sz="8" w:space="0" w:color="auto"/>
            </w:tcBorders>
            <w:shd w:val="clear" w:color="auto" w:fill="auto"/>
            <w:vAlign w:val="center"/>
            <w:hideMark/>
          </w:tcPr>
          <w:p w14:paraId="7866647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c>
          <w:tcPr>
            <w:tcW w:w="1353" w:type="dxa"/>
            <w:tcBorders>
              <w:top w:val="nil"/>
              <w:left w:val="nil"/>
              <w:bottom w:val="single" w:sz="8" w:space="0" w:color="auto"/>
              <w:right w:val="single" w:sz="8" w:space="0" w:color="auto"/>
            </w:tcBorders>
            <w:shd w:val="clear" w:color="auto" w:fill="auto"/>
            <w:vAlign w:val="center"/>
            <w:hideMark/>
          </w:tcPr>
          <w:p w14:paraId="0B29E06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c>
          <w:tcPr>
            <w:tcW w:w="1580" w:type="dxa"/>
            <w:tcBorders>
              <w:top w:val="nil"/>
              <w:left w:val="nil"/>
              <w:bottom w:val="single" w:sz="8" w:space="0" w:color="auto"/>
              <w:right w:val="single" w:sz="8" w:space="0" w:color="auto"/>
            </w:tcBorders>
            <w:shd w:val="clear" w:color="auto" w:fill="auto"/>
            <w:vAlign w:val="center"/>
            <w:hideMark/>
          </w:tcPr>
          <w:p w14:paraId="6092DD4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353" w:type="dxa"/>
            <w:tcBorders>
              <w:top w:val="nil"/>
              <w:left w:val="nil"/>
              <w:bottom w:val="single" w:sz="8" w:space="0" w:color="auto"/>
              <w:right w:val="single" w:sz="8" w:space="0" w:color="auto"/>
            </w:tcBorders>
            <w:shd w:val="clear" w:color="auto" w:fill="auto"/>
            <w:vAlign w:val="center"/>
            <w:hideMark/>
          </w:tcPr>
          <w:p w14:paraId="7D3F00E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647" w:type="dxa"/>
            <w:tcBorders>
              <w:top w:val="nil"/>
              <w:left w:val="nil"/>
              <w:bottom w:val="single" w:sz="8" w:space="0" w:color="auto"/>
              <w:right w:val="single" w:sz="8" w:space="0" w:color="auto"/>
            </w:tcBorders>
            <w:shd w:val="clear" w:color="auto" w:fill="auto"/>
            <w:vAlign w:val="center"/>
            <w:hideMark/>
          </w:tcPr>
          <w:p w14:paraId="75123BD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c>
          <w:tcPr>
            <w:tcW w:w="1418" w:type="dxa"/>
            <w:tcBorders>
              <w:top w:val="nil"/>
              <w:left w:val="nil"/>
              <w:bottom w:val="single" w:sz="8" w:space="0" w:color="auto"/>
              <w:right w:val="single" w:sz="8" w:space="0" w:color="auto"/>
            </w:tcBorders>
            <w:shd w:val="clear" w:color="auto" w:fill="auto"/>
            <w:vAlign w:val="center"/>
            <w:hideMark/>
          </w:tcPr>
          <w:p w14:paraId="578D86A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-3.062.871,95</w:t>
            </w:r>
          </w:p>
        </w:tc>
      </w:tr>
      <w:tr w:rsidR="004729C6" w:rsidRPr="008B76D8" w14:paraId="16459119"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9CDC9E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w:t>
            </w:r>
          </w:p>
        </w:tc>
        <w:tc>
          <w:tcPr>
            <w:tcW w:w="3221" w:type="dxa"/>
            <w:tcBorders>
              <w:top w:val="nil"/>
              <w:left w:val="nil"/>
              <w:bottom w:val="single" w:sz="8" w:space="0" w:color="auto"/>
              <w:right w:val="single" w:sz="8" w:space="0" w:color="auto"/>
            </w:tcBorders>
            <w:shd w:val="clear" w:color="auto" w:fill="auto"/>
            <w:vAlign w:val="center"/>
            <w:hideMark/>
          </w:tcPr>
          <w:p w14:paraId="66C8D520" w14:textId="2B601B33"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SA</w:t>
            </w:r>
            <w:r w:rsidR="004729C6" w:rsidRPr="008B76D8">
              <w:rPr>
                <w:rFonts w:ascii="Times New Roman" w:eastAsia="Times New Roman" w:hAnsi="Times New Roman" w:cs="Times New Roman"/>
                <w:color w:val="000000"/>
                <w:sz w:val="18"/>
                <w:szCs w:val="18"/>
              </w:rPr>
              <w:t xml:space="preserve"> ”Aviocla Bucovăţ” Străşeni</w:t>
            </w:r>
          </w:p>
        </w:tc>
        <w:tc>
          <w:tcPr>
            <w:tcW w:w="1489" w:type="dxa"/>
            <w:tcBorders>
              <w:top w:val="nil"/>
              <w:left w:val="nil"/>
              <w:bottom w:val="single" w:sz="8" w:space="0" w:color="auto"/>
              <w:right w:val="single" w:sz="8" w:space="0" w:color="auto"/>
            </w:tcBorders>
            <w:shd w:val="clear" w:color="auto" w:fill="auto"/>
            <w:vAlign w:val="center"/>
            <w:hideMark/>
          </w:tcPr>
          <w:p w14:paraId="41A51DD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6.846.752,35</w:t>
            </w:r>
          </w:p>
        </w:tc>
        <w:tc>
          <w:tcPr>
            <w:tcW w:w="1353" w:type="dxa"/>
            <w:tcBorders>
              <w:top w:val="nil"/>
              <w:left w:val="nil"/>
              <w:bottom w:val="single" w:sz="8" w:space="0" w:color="auto"/>
              <w:right w:val="single" w:sz="8" w:space="0" w:color="auto"/>
            </w:tcBorders>
            <w:shd w:val="clear" w:color="auto" w:fill="auto"/>
            <w:vAlign w:val="center"/>
            <w:hideMark/>
          </w:tcPr>
          <w:p w14:paraId="7676AC8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6.846.752,35</w:t>
            </w:r>
          </w:p>
        </w:tc>
        <w:tc>
          <w:tcPr>
            <w:tcW w:w="1580" w:type="dxa"/>
            <w:tcBorders>
              <w:top w:val="nil"/>
              <w:left w:val="nil"/>
              <w:bottom w:val="single" w:sz="8" w:space="0" w:color="auto"/>
              <w:right w:val="single" w:sz="8" w:space="0" w:color="auto"/>
            </w:tcBorders>
            <w:shd w:val="clear" w:color="auto" w:fill="auto"/>
            <w:vAlign w:val="center"/>
            <w:hideMark/>
          </w:tcPr>
          <w:p w14:paraId="41C6893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6.371.752,35</w:t>
            </w:r>
          </w:p>
        </w:tc>
        <w:tc>
          <w:tcPr>
            <w:tcW w:w="1353" w:type="dxa"/>
            <w:tcBorders>
              <w:top w:val="nil"/>
              <w:left w:val="nil"/>
              <w:bottom w:val="single" w:sz="8" w:space="0" w:color="auto"/>
              <w:right w:val="single" w:sz="8" w:space="0" w:color="auto"/>
            </w:tcBorders>
            <w:shd w:val="clear" w:color="auto" w:fill="auto"/>
            <w:vAlign w:val="center"/>
            <w:hideMark/>
          </w:tcPr>
          <w:p w14:paraId="788A134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6.371.752,35</w:t>
            </w:r>
          </w:p>
        </w:tc>
        <w:tc>
          <w:tcPr>
            <w:tcW w:w="1580" w:type="dxa"/>
            <w:tcBorders>
              <w:top w:val="nil"/>
              <w:left w:val="nil"/>
              <w:bottom w:val="single" w:sz="8" w:space="0" w:color="auto"/>
              <w:right w:val="single" w:sz="8" w:space="0" w:color="auto"/>
            </w:tcBorders>
            <w:shd w:val="clear" w:color="auto" w:fill="auto"/>
            <w:vAlign w:val="center"/>
            <w:hideMark/>
          </w:tcPr>
          <w:p w14:paraId="6411D1D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5.896.752,35</w:t>
            </w:r>
          </w:p>
        </w:tc>
        <w:tc>
          <w:tcPr>
            <w:tcW w:w="1353" w:type="dxa"/>
            <w:tcBorders>
              <w:top w:val="nil"/>
              <w:left w:val="nil"/>
              <w:bottom w:val="single" w:sz="8" w:space="0" w:color="auto"/>
              <w:right w:val="single" w:sz="8" w:space="0" w:color="auto"/>
            </w:tcBorders>
            <w:shd w:val="clear" w:color="auto" w:fill="auto"/>
            <w:vAlign w:val="center"/>
            <w:hideMark/>
          </w:tcPr>
          <w:p w14:paraId="1AAC49E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5.896.752,35</w:t>
            </w:r>
          </w:p>
        </w:tc>
        <w:tc>
          <w:tcPr>
            <w:tcW w:w="1647" w:type="dxa"/>
            <w:tcBorders>
              <w:top w:val="nil"/>
              <w:left w:val="nil"/>
              <w:bottom w:val="single" w:sz="8" w:space="0" w:color="auto"/>
              <w:right w:val="single" w:sz="8" w:space="0" w:color="auto"/>
            </w:tcBorders>
            <w:shd w:val="clear" w:color="auto" w:fill="auto"/>
            <w:vAlign w:val="center"/>
            <w:hideMark/>
          </w:tcPr>
          <w:p w14:paraId="5E9ADA4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-475.000,00</w:t>
            </w:r>
          </w:p>
        </w:tc>
        <w:tc>
          <w:tcPr>
            <w:tcW w:w="1418" w:type="dxa"/>
            <w:tcBorders>
              <w:top w:val="nil"/>
              <w:left w:val="nil"/>
              <w:bottom w:val="single" w:sz="8" w:space="0" w:color="auto"/>
              <w:right w:val="single" w:sz="8" w:space="0" w:color="auto"/>
            </w:tcBorders>
            <w:shd w:val="clear" w:color="auto" w:fill="auto"/>
            <w:vAlign w:val="center"/>
            <w:hideMark/>
          </w:tcPr>
          <w:p w14:paraId="75B4058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-475.000,00</w:t>
            </w:r>
          </w:p>
        </w:tc>
      </w:tr>
      <w:tr w:rsidR="004729C6" w:rsidRPr="008B76D8" w14:paraId="5F7DC3F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5DC194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w:t>
            </w:r>
          </w:p>
        </w:tc>
        <w:tc>
          <w:tcPr>
            <w:tcW w:w="3221" w:type="dxa"/>
            <w:tcBorders>
              <w:top w:val="nil"/>
              <w:left w:val="nil"/>
              <w:bottom w:val="single" w:sz="8" w:space="0" w:color="auto"/>
              <w:right w:val="single" w:sz="8" w:space="0" w:color="auto"/>
            </w:tcBorders>
            <w:shd w:val="clear" w:color="auto" w:fill="auto"/>
            <w:vAlign w:val="center"/>
            <w:hideMark/>
          </w:tcPr>
          <w:p w14:paraId="67C20D7B"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Produse Cerealiere Bălți</w:t>
            </w:r>
          </w:p>
        </w:tc>
        <w:tc>
          <w:tcPr>
            <w:tcW w:w="1489" w:type="dxa"/>
            <w:tcBorders>
              <w:top w:val="nil"/>
              <w:left w:val="nil"/>
              <w:bottom w:val="single" w:sz="8" w:space="0" w:color="auto"/>
              <w:right w:val="single" w:sz="8" w:space="0" w:color="auto"/>
            </w:tcBorders>
            <w:shd w:val="clear" w:color="auto" w:fill="auto"/>
            <w:vAlign w:val="center"/>
            <w:hideMark/>
          </w:tcPr>
          <w:p w14:paraId="1A8C285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353" w:type="dxa"/>
            <w:tcBorders>
              <w:top w:val="nil"/>
              <w:left w:val="nil"/>
              <w:bottom w:val="single" w:sz="8" w:space="0" w:color="auto"/>
              <w:right w:val="single" w:sz="8" w:space="0" w:color="auto"/>
            </w:tcBorders>
            <w:shd w:val="clear" w:color="auto" w:fill="auto"/>
            <w:vAlign w:val="center"/>
            <w:hideMark/>
          </w:tcPr>
          <w:p w14:paraId="0DF4405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580" w:type="dxa"/>
            <w:tcBorders>
              <w:top w:val="nil"/>
              <w:left w:val="nil"/>
              <w:bottom w:val="single" w:sz="8" w:space="0" w:color="auto"/>
              <w:right w:val="single" w:sz="8" w:space="0" w:color="auto"/>
            </w:tcBorders>
            <w:shd w:val="clear" w:color="auto" w:fill="auto"/>
            <w:vAlign w:val="center"/>
            <w:hideMark/>
          </w:tcPr>
          <w:p w14:paraId="6E55F07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353" w:type="dxa"/>
            <w:tcBorders>
              <w:top w:val="nil"/>
              <w:left w:val="nil"/>
              <w:bottom w:val="single" w:sz="8" w:space="0" w:color="auto"/>
              <w:right w:val="single" w:sz="8" w:space="0" w:color="auto"/>
            </w:tcBorders>
            <w:shd w:val="clear" w:color="auto" w:fill="auto"/>
            <w:vAlign w:val="center"/>
            <w:hideMark/>
          </w:tcPr>
          <w:p w14:paraId="71F63C3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580" w:type="dxa"/>
            <w:tcBorders>
              <w:top w:val="nil"/>
              <w:left w:val="nil"/>
              <w:bottom w:val="single" w:sz="8" w:space="0" w:color="auto"/>
              <w:right w:val="single" w:sz="8" w:space="0" w:color="auto"/>
            </w:tcBorders>
            <w:shd w:val="clear" w:color="auto" w:fill="auto"/>
            <w:vAlign w:val="center"/>
            <w:hideMark/>
          </w:tcPr>
          <w:p w14:paraId="0E72406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353" w:type="dxa"/>
            <w:tcBorders>
              <w:top w:val="nil"/>
              <w:left w:val="nil"/>
              <w:bottom w:val="single" w:sz="8" w:space="0" w:color="auto"/>
              <w:right w:val="single" w:sz="8" w:space="0" w:color="auto"/>
            </w:tcBorders>
            <w:shd w:val="clear" w:color="auto" w:fill="auto"/>
            <w:vAlign w:val="center"/>
            <w:hideMark/>
          </w:tcPr>
          <w:p w14:paraId="501CE76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3.999.987,00</w:t>
            </w:r>
          </w:p>
        </w:tc>
        <w:tc>
          <w:tcPr>
            <w:tcW w:w="1647" w:type="dxa"/>
            <w:tcBorders>
              <w:top w:val="nil"/>
              <w:left w:val="nil"/>
              <w:bottom w:val="single" w:sz="8" w:space="0" w:color="auto"/>
              <w:right w:val="single" w:sz="8" w:space="0" w:color="auto"/>
            </w:tcBorders>
            <w:shd w:val="clear" w:color="auto" w:fill="auto"/>
            <w:vAlign w:val="center"/>
            <w:hideMark/>
          </w:tcPr>
          <w:p w14:paraId="7FE691F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4B7B97D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A989F7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6D49E6B"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w:t>
            </w:r>
          </w:p>
        </w:tc>
        <w:tc>
          <w:tcPr>
            <w:tcW w:w="3221" w:type="dxa"/>
            <w:tcBorders>
              <w:top w:val="nil"/>
              <w:left w:val="nil"/>
              <w:bottom w:val="single" w:sz="8" w:space="0" w:color="auto"/>
              <w:right w:val="single" w:sz="8" w:space="0" w:color="auto"/>
            </w:tcBorders>
            <w:shd w:val="clear" w:color="auto" w:fill="auto"/>
            <w:vAlign w:val="center"/>
            <w:hideMark/>
          </w:tcPr>
          <w:p w14:paraId="55CE631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CAPC "Vorniceni-Agrovin"</w:t>
            </w:r>
          </w:p>
        </w:tc>
        <w:tc>
          <w:tcPr>
            <w:tcW w:w="1489" w:type="dxa"/>
            <w:tcBorders>
              <w:top w:val="nil"/>
              <w:left w:val="nil"/>
              <w:bottom w:val="single" w:sz="8" w:space="0" w:color="auto"/>
              <w:right w:val="single" w:sz="8" w:space="0" w:color="auto"/>
            </w:tcBorders>
            <w:shd w:val="clear" w:color="auto" w:fill="auto"/>
            <w:vAlign w:val="center"/>
            <w:hideMark/>
          </w:tcPr>
          <w:p w14:paraId="69BC125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784.328,26</w:t>
            </w:r>
          </w:p>
        </w:tc>
        <w:tc>
          <w:tcPr>
            <w:tcW w:w="1353" w:type="dxa"/>
            <w:tcBorders>
              <w:top w:val="nil"/>
              <w:left w:val="nil"/>
              <w:bottom w:val="single" w:sz="8" w:space="0" w:color="auto"/>
              <w:right w:val="single" w:sz="8" w:space="0" w:color="auto"/>
            </w:tcBorders>
            <w:shd w:val="clear" w:color="auto" w:fill="auto"/>
            <w:vAlign w:val="center"/>
            <w:hideMark/>
          </w:tcPr>
          <w:p w14:paraId="6F187B2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784.328,26</w:t>
            </w:r>
          </w:p>
        </w:tc>
        <w:tc>
          <w:tcPr>
            <w:tcW w:w="1580" w:type="dxa"/>
            <w:tcBorders>
              <w:top w:val="nil"/>
              <w:left w:val="nil"/>
              <w:bottom w:val="single" w:sz="8" w:space="0" w:color="auto"/>
              <w:right w:val="single" w:sz="8" w:space="0" w:color="auto"/>
            </w:tcBorders>
            <w:shd w:val="clear" w:color="auto" w:fill="auto"/>
            <w:vAlign w:val="center"/>
            <w:hideMark/>
          </w:tcPr>
          <w:p w14:paraId="1939886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846.768,83</w:t>
            </w:r>
          </w:p>
        </w:tc>
        <w:tc>
          <w:tcPr>
            <w:tcW w:w="1353" w:type="dxa"/>
            <w:tcBorders>
              <w:top w:val="nil"/>
              <w:left w:val="nil"/>
              <w:bottom w:val="single" w:sz="8" w:space="0" w:color="auto"/>
              <w:right w:val="single" w:sz="8" w:space="0" w:color="auto"/>
            </w:tcBorders>
            <w:shd w:val="clear" w:color="auto" w:fill="auto"/>
            <w:vAlign w:val="center"/>
            <w:hideMark/>
          </w:tcPr>
          <w:p w14:paraId="4F3357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846.768,83</w:t>
            </w:r>
          </w:p>
        </w:tc>
        <w:tc>
          <w:tcPr>
            <w:tcW w:w="1580" w:type="dxa"/>
            <w:tcBorders>
              <w:top w:val="nil"/>
              <w:left w:val="nil"/>
              <w:bottom w:val="single" w:sz="8" w:space="0" w:color="auto"/>
              <w:right w:val="single" w:sz="8" w:space="0" w:color="auto"/>
            </w:tcBorders>
            <w:shd w:val="clear" w:color="auto" w:fill="auto"/>
            <w:vAlign w:val="center"/>
            <w:hideMark/>
          </w:tcPr>
          <w:p w14:paraId="7FAEA3C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769.344,64</w:t>
            </w:r>
          </w:p>
        </w:tc>
        <w:tc>
          <w:tcPr>
            <w:tcW w:w="1353" w:type="dxa"/>
            <w:tcBorders>
              <w:top w:val="nil"/>
              <w:left w:val="nil"/>
              <w:bottom w:val="single" w:sz="8" w:space="0" w:color="auto"/>
              <w:right w:val="single" w:sz="8" w:space="0" w:color="auto"/>
            </w:tcBorders>
            <w:shd w:val="clear" w:color="auto" w:fill="auto"/>
            <w:vAlign w:val="center"/>
            <w:hideMark/>
          </w:tcPr>
          <w:p w14:paraId="69CEE52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769.344,64</w:t>
            </w:r>
          </w:p>
        </w:tc>
        <w:tc>
          <w:tcPr>
            <w:tcW w:w="1647" w:type="dxa"/>
            <w:tcBorders>
              <w:top w:val="nil"/>
              <w:left w:val="nil"/>
              <w:bottom w:val="single" w:sz="8" w:space="0" w:color="auto"/>
              <w:right w:val="single" w:sz="8" w:space="0" w:color="auto"/>
            </w:tcBorders>
            <w:shd w:val="clear" w:color="auto" w:fill="auto"/>
            <w:vAlign w:val="center"/>
            <w:hideMark/>
          </w:tcPr>
          <w:p w14:paraId="413B23B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-77.424,19</w:t>
            </w:r>
          </w:p>
        </w:tc>
        <w:tc>
          <w:tcPr>
            <w:tcW w:w="1418" w:type="dxa"/>
            <w:tcBorders>
              <w:top w:val="nil"/>
              <w:left w:val="nil"/>
              <w:bottom w:val="single" w:sz="8" w:space="0" w:color="auto"/>
              <w:right w:val="single" w:sz="8" w:space="0" w:color="auto"/>
            </w:tcBorders>
            <w:shd w:val="clear" w:color="auto" w:fill="auto"/>
            <w:vAlign w:val="center"/>
            <w:hideMark/>
          </w:tcPr>
          <w:p w14:paraId="14D56BE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-77.424,19</w:t>
            </w:r>
          </w:p>
        </w:tc>
      </w:tr>
      <w:tr w:rsidR="004729C6" w:rsidRPr="008B76D8" w14:paraId="309EED82"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C2B1E7B"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w:t>
            </w:r>
          </w:p>
        </w:tc>
        <w:tc>
          <w:tcPr>
            <w:tcW w:w="3221" w:type="dxa"/>
            <w:tcBorders>
              <w:top w:val="nil"/>
              <w:left w:val="nil"/>
              <w:bottom w:val="single" w:sz="8" w:space="0" w:color="auto"/>
              <w:right w:val="single" w:sz="8" w:space="0" w:color="auto"/>
            </w:tcBorders>
            <w:shd w:val="clear" w:color="auto" w:fill="auto"/>
            <w:vAlign w:val="center"/>
            <w:hideMark/>
          </w:tcPr>
          <w:p w14:paraId="0D3D24A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CAP "Dimitrov"</w:t>
            </w:r>
          </w:p>
        </w:tc>
        <w:tc>
          <w:tcPr>
            <w:tcW w:w="1489" w:type="dxa"/>
            <w:tcBorders>
              <w:top w:val="nil"/>
              <w:left w:val="nil"/>
              <w:bottom w:val="single" w:sz="8" w:space="0" w:color="auto"/>
              <w:right w:val="single" w:sz="8" w:space="0" w:color="auto"/>
            </w:tcBorders>
            <w:shd w:val="clear" w:color="auto" w:fill="auto"/>
            <w:vAlign w:val="center"/>
            <w:hideMark/>
          </w:tcPr>
          <w:p w14:paraId="7DB32D6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4.420.473,59</w:t>
            </w:r>
          </w:p>
        </w:tc>
        <w:tc>
          <w:tcPr>
            <w:tcW w:w="1353" w:type="dxa"/>
            <w:tcBorders>
              <w:top w:val="nil"/>
              <w:left w:val="nil"/>
              <w:bottom w:val="single" w:sz="8" w:space="0" w:color="auto"/>
              <w:right w:val="single" w:sz="8" w:space="0" w:color="auto"/>
            </w:tcBorders>
            <w:shd w:val="clear" w:color="auto" w:fill="auto"/>
            <w:vAlign w:val="center"/>
            <w:hideMark/>
          </w:tcPr>
          <w:p w14:paraId="5DE2688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4.420.473,59</w:t>
            </w:r>
          </w:p>
        </w:tc>
        <w:tc>
          <w:tcPr>
            <w:tcW w:w="1580" w:type="dxa"/>
            <w:tcBorders>
              <w:top w:val="nil"/>
              <w:left w:val="nil"/>
              <w:bottom w:val="single" w:sz="8" w:space="0" w:color="auto"/>
              <w:right w:val="single" w:sz="8" w:space="0" w:color="auto"/>
            </w:tcBorders>
            <w:shd w:val="clear" w:color="auto" w:fill="auto"/>
            <w:vAlign w:val="center"/>
            <w:hideMark/>
          </w:tcPr>
          <w:p w14:paraId="51D0798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4.772.388,64</w:t>
            </w:r>
          </w:p>
        </w:tc>
        <w:tc>
          <w:tcPr>
            <w:tcW w:w="1353" w:type="dxa"/>
            <w:tcBorders>
              <w:top w:val="nil"/>
              <w:left w:val="nil"/>
              <w:bottom w:val="single" w:sz="8" w:space="0" w:color="auto"/>
              <w:right w:val="single" w:sz="8" w:space="0" w:color="auto"/>
            </w:tcBorders>
            <w:shd w:val="clear" w:color="auto" w:fill="auto"/>
            <w:vAlign w:val="center"/>
            <w:hideMark/>
          </w:tcPr>
          <w:p w14:paraId="45D3074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4.772.388,64</w:t>
            </w:r>
          </w:p>
        </w:tc>
        <w:tc>
          <w:tcPr>
            <w:tcW w:w="1580" w:type="dxa"/>
            <w:tcBorders>
              <w:top w:val="nil"/>
              <w:left w:val="nil"/>
              <w:bottom w:val="single" w:sz="8" w:space="0" w:color="auto"/>
              <w:right w:val="single" w:sz="8" w:space="0" w:color="auto"/>
            </w:tcBorders>
            <w:shd w:val="clear" w:color="auto" w:fill="auto"/>
            <w:vAlign w:val="center"/>
            <w:hideMark/>
          </w:tcPr>
          <w:p w14:paraId="4BCA594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4.336.025,93</w:t>
            </w:r>
          </w:p>
        </w:tc>
        <w:tc>
          <w:tcPr>
            <w:tcW w:w="1353" w:type="dxa"/>
            <w:tcBorders>
              <w:top w:val="nil"/>
              <w:left w:val="nil"/>
              <w:bottom w:val="single" w:sz="8" w:space="0" w:color="auto"/>
              <w:right w:val="single" w:sz="8" w:space="0" w:color="auto"/>
            </w:tcBorders>
            <w:shd w:val="clear" w:color="auto" w:fill="auto"/>
            <w:vAlign w:val="center"/>
            <w:hideMark/>
          </w:tcPr>
          <w:p w14:paraId="2CD0AF2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4.336.025,93</w:t>
            </w:r>
          </w:p>
        </w:tc>
        <w:tc>
          <w:tcPr>
            <w:tcW w:w="1647" w:type="dxa"/>
            <w:tcBorders>
              <w:top w:val="nil"/>
              <w:left w:val="nil"/>
              <w:bottom w:val="single" w:sz="8" w:space="0" w:color="auto"/>
              <w:right w:val="single" w:sz="8" w:space="0" w:color="auto"/>
            </w:tcBorders>
            <w:shd w:val="clear" w:color="auto" w:fill="auto"/>
            <w:vAlign w:val="center"/>
            <w:hideMark/>
          </w:tcPr>
          <w:p w14:paraId="5CDC05E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-436.362,71</w:t>
            </w:r>
          </w:p>
        </w:tc>
        <w:tc>
          <w:tcPr>
            <w:tcW w:w="1418" w:type="dxa"/>
            <w:tcBorders>
              <w:top w:val="nil"/>
              <w:left w:val="nil"/>
              <w:bottom w:val="single" w:sz="8" w:space="0" w:color="auto"/>
              <w:right w:val="single" w:sz="8" w:space="0" w:color="auto"/>
            </w:tcBorders>
            <w:shd w:val="clear" w:color="auto" w:fill="auto"/>
            <w:vAlign w:val="center"/>
            <w:hideMark/>
          </w:tcPr>
          <w:p w14:paraId="7FDBDC4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-436.362,71</w:t>
            </w:r>
          </w:p>
        </w:tc>
      </w:tr>
      <w:tr w:rsidR="004729C6" w:rsidRPr="008B76D8" w14:paraId="7ABB654F"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C0A59F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w:t>
            </w:r>
          </w:p>
        </w:tc>
        <w:tc>
          <w:tcPr>
            <w:tcW w:w="3221" w:type="dxa"/>
            <w:tcBorders>
              <w:top w:val="nil"/>
              <w:left w:val="nil"/>
              <w:bottom w:val="single" w:sz="8" w:space="0" w:color="auto"/>
              <w:right w:val="single" w:sz="8" w:space="0" w:color="auto"/>
            </w:tcBorders>
            <w:shd w:val="clear" w:color="auto" w:fill="auto"/>
            <w:vAlign w:val="center"/>
            <w:hideMark/>
          </w:tcPr>
          <w:p w14:paraId="142AF683" w14:textId="1949D047"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w:t>
            </w:r>
            <w:r w:rsidR="004729C6" w:rsidRPr="008B76D8">
              <w:rPr>
                <w:rFonts w:ascii="Times New Roman" w:eastAsia="Times New Roman" w:hAnsi="Times New Roman" w:cs="Times New Roman"/>
                <w:color w:val="000000"/>
                <w:sz w:val="18"/>
                <w:szCs w:val="18"/>
              </w:rPr>
              <w:t xml:space="preserve"> "Mitarix"</w:t>
            </w:r>
          </w:p>
        </w:tc>
        <w:tc>
          <w:tcPr>
            <w:tcW w:w="1489" w:type="dxa"/>
            <w:tcBorders>
              <w:top w:val="nil"/>
              <w:left w:val="nil"/>
              <w:bottom w:val="single" w:sz="8" w:space="0" w:color="auto"/>
              <w:right w:val="single" w:sz="8" w:space="0" w:color="auto"/>
            </w:tcBorders>
            <w:shd w:val="clear" w:color="auto" w:fill="auto"/>
            <w:vAlign w:val="center"/>
            <w:hideMark/>
          </w:tcPr>
          <w:p w14:paraId="4F3FAA8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4.566.265,84</w:t>
            </w:r>
          </w:p>
        </w:tc>
        <w:tc>
          <w:tcPr>
            <w:tcW w:w="1353" w:type="dxa"/>
            <w:tcBorders>
              <w:top w:val="nil"/>
              <w:left w:val="nil"/>
              <w:bottom w:val="single" w:sz="8" w:space="0" w:color="auto"/>
              <w:right w:val="single" w:sz="8" w:space="0" w:color="auto"/>
            </w:tcBorders>
            <w:shd w:val="clear" w:color="auto" w:fill="auto"/>
            <w:vAlign w:val="center"/>
            <w:hideMark/>
          </w:tcPr>
          <w:p w14:paraId="587DB39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4.566.265,84</w:t>
            </w:r>
          </w:p>
        </w:tc>
        <w:tc>
          <w:tcPr>
            <w:tcW w:w="1580" w:type="dxa"/>
            <w:tcBorders>
              <w:top w:val="nil"/>
              <w:left w:val="nil"/>
              <w:bottom w:val="single" w:sz="8" w:space="0" w:color="auto"/>
              <w:right w:val="single" w:sz="8" w:space="0" w:color="auto"/>
            </w:tcBorders>
            <w:shd w:val="clear" w:color="auto" w:fill="auto"/>
            <w:vAlign w:val="center"/>
            <w:hideMark/>
          </w:tcPr>
          <w:p w14:paraId="695F8AA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4.929.787,46</w:t>
            </w:r>
          </w:p>
        </w:tc>
        <w:tc>
          <w:tcPr>
            <w:tcW w:w="1353" w:type="dxa"/>
            <w:tcBorders>
              <w:top w:val="nil"/>
              <w:left w:val="nil"/>
              <w:bottom w:val="single" w:sz="8" w:space="0" w:color="auto"/>
              <w:right w:val="single" w:sz="8" w:space="0" w:color="auto"/>
            </w:tcBorders>
            <w:shd w:val="clear" w:color="auto" w:fill="auto"/>
            <w:vAlign w:val="center"/>
            <w:hideMark/>
          </w:tcPr>
          <w:p w14:paraId="11584BD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4.929.787,46</w:t>
            </w:r>
          </w:p>
        </w:tc>
        <w:tc>
          <w:tcPr>
            <w:tcW w:w="1580" w:type="dxa"/>
            <w:tcBorders>
              <w:top w:val="nil"/>
              <w:left w:val="nil"/>
              <w:bottom w:val="single" w:sz="8" w:space="0" w:color="auto"/>
              <w:right w:val="single" w:sz="8" w:space="0" w:color="auto"/>
            </w:tcBorders>
            <w:shd w:val="clear" w:color="auto" w:fill="auto"/>
            <w:vAlign w:val="center"/>
            <w:hideMark/>
          </w:tcPr>
          <w:p w14:paraId="03616E8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4.479.033,01</w:t>
            </w:r>
          </w:p>
        </w:tc>
        <w:tc>
          <w:tcPr>
            <w:tcW w:w="1353" w:type="dxa"/>
            <w:tcBorders>
              <w:top w:val="nil"/>
              <w:left w:val="nil"/>
              <w:bottom w:val="single" w:sz="8" w:space="0" w:color="auto"/>
              <w:right w:val="single" w:sz="8" w:space="0" w:color="auto"/>
            </w:tcBorders>
            <w:shd w:val="clear" w:color="auto" w:fill="auto"/>
            <w:vAlign w:val="center"/>
            <w:hideMark/>
          </w:tcPr>
          <w:p w14:paraId="4BD96C6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4.479.033,01</w:t>
            </w:r>
          </w:p>
        </w:tc>
        <w:tc>
          <w:tcPr>
            <w:tcW w:w="1647" w:type="dxa"/>
            <w:tcBorders>
              <w:top w:val="nil"/>
              <w:left w:val="nil"/>
              <w:bottom w:val="single" w:sz="8" w:space="0" w:color="auto"/>
              <w:right w:val="single" w:sz="8" w:space="0" w:color="auto"/>
            </w:tcBorders>
            <w:shd w:val="clear" w:color="auto" w:fill="auto"/>
            <w:vAlign w:val="center"/>
            <w:hideMark/>
          </w:tcPr>
          <w:p w14:paraId="6F20C3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-450.754,45</w:t>
            </w:r>
          </w:p>
        </w:tc>
        <w:tc>
          <w:tcPr>
            <w:tcW w:w="1418" w:type="dxa"/>
            <w:tcBorders>
              <w:top w:val="nil"/>
              <w:left w:val="nil"/>
              <w:bottom w:val="single" w:sz="8" w:space="0" w:color="auto"/>
              <w:right w:val="single" w:sz="8" w:space="0" w:color="auto"/>
            </w:tcBorders>
            <w:shd w:val="clear" w:color="auto" w:fill="auto"/>
            <w:vAlign w:val="center"/>
            <w:hideMark/>
          </w:tcPr>
          <w:p w14:paraId="56F11B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-450.754,45</w:t>
            </w:r>
          </w:p>
        </w:tc>
      </w:tr>
      <w:tr w:rsidR="004729C6" w:rsidRPr="008B76D8" w14:paraId="38CC64ED" w14:textId="77777777" w:rsidTr="004729C6">
        <w:trPr>
          <w:trHeight w:val="300"/>
        </w:trPr>
        <w:tc>
          <w:tcPr>
            <w:tcW w:w="597" w:type="dxa"/>
            <w:tcBorders>
              <w:top w:val="nil"/>
              <w:left w:val="single" w:sz="8" w:space="0" w:color="auto"/>
              <w:bottom w:val="nil"/>
              <w:right w:val="nil"/>
            </w:tcBorders>
            <w:shd w:val="clear" w:color="auto" w:fill="auto"/>
            <w:vAlign w:val="center"/>
            <w:hideMark/>
          </w:tcPr>
          <w:p w14:paraId="022A8D86"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w:t>
            </w:r>
          </w:p>
        </w:tc>
        <w:tc>
          <w:tcPr>
            <w:tcW w:w="3221" w:type="dxa"/>
            <w:tcBorders>
              <w:top w:val="nil"/>
              <w:left w:val="single" w:sz="8" w:space="0" w:color="auto"/>
              <w:bottom w:val="single" w:sz="8" w:space="0" w:color="auto"/>
              <w:right w:val="single" w:sz="8" w:space="0" w:color="auto"/>
            </w:tcBorders>
            <w:shd w:val="clear" w:color="auto" w:fill="auto"/>
            <w:vAlign w:val="center"/>
            <w:hideMark/>
          </w:tcPr>
          <w:p w14:paraId="3584110B" w14:textId="12B7C7A5"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ÎM</w:t>
            </w:r>
            <w:r w:rsidR="004729C6" w:rsidRPr="008B76D8">
              <w:rPr>
                <w:rFonts w:ascii="Times New Roman" w:eastAsia="Times New Roman" w:hAnsi="Times New Roman" w:cs="Times New Roman"/>
                <w:color w:val="000000"/>
                <w:sz w:val="18"/>
                <w:szCs w:val="18"/>
              </w:rPr>
              <w:t xml:space="preserve"> Regia Apă Canal Bălţi</w:t>
            </w:r>
          </w:p>
        </w:tc>
        <w:tc>
          <w:tcPr>
            <w:tcW w:w="1489" w:type="dxa"/>
            <w:tcBorders>
              <w:top w:val="nil"/>
              <w:left w:val="nil"/>
              <w:bottom w:val="single" w:sz="8" w:space="0" w:color="auto"/>
              <w:right w:val="single" w:sz="8" w:space="0" w:color="auto"/>
            </w:tcBorders>
            <w:shd w:val="clear" w:color="auto" w:fill="auto"/>
            <w:vAlign w:val="center"/>
            <w:hideMark/>
          </w:tcPr>
          <w:p w14:paraId="268E91C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69.863.371,44</w:t>
            </w:r>
          </w:p>
        </w:tc>
        <w:tc>
          <w:tcPr>
            <w:tcW w:w="1353" w:type="dxa"/>
            <w:tcBorders>
              <w:top w:val="nil"/>
              <w:left w:val="nil"/>
              <w:bottom w:val="single" w:sz="8" w:space="0" w:color="auto"/>
              <w:right w:val="single" w:sz="8" w:space="0" w:color="auto"/>
            </w:tcBorders>
            <w:shd w:val="clear" w:color="auto" w:fill="auto"/>
            <w:vAlign w:val="center"/>
            <w:hideMark/>
          </w:tcPr>
          <w:p w14:paraId="467BC51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2.342.885,44</w:t>
            </w:r>
          </w:p>
        </w:tc>
        <w:tc>
          <w:tcPr>
            <w:tcW w:w="1580" w:type="dxa"/>
            <w:tcBorders>
              <w:top w:val="nil"/>
              <w:left w:val="nil"/>
              <w:bottom w:val="single" w:sz="8" w:space="0" w:color="auto"/>
              <w:right w:val="single" w:sz="8" w:space="0" w:color="auto"/>
            </w:tcBorders>
            <w:shd w:val="clear" w:color="auto" w:fill="auto"/>
            <w:vAlign w:val="center"/>
            <w:hideMark/>
          </w:tcPr>
          <w:p w14:paraId="154564A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75.425.212,67</w:t>
            </w:r>
          </w:p>
        </w:tc>
        <w:tc>
          <w:tcPr>
            <w:tcW w:w="1353" w:type="dxa"/>
            <w:tcBorders>
              <w:top w:val="nil"/>
              <w:left w:val="nil"/>
              <w:bottom w:val="single" w:sz="8" w:space="0" w:color="auto"/>
              <w:right w:val="single" w:sz="8" w:space="0" w:color="auto"/>
            </w:tcBorders>
            <w:shd w:val="clear" w:color="auto" w:fill="auto"/>
            <w:vAlign w:val="center"/>
            <w:hideMark/>
          </w:tcPr>
          <w:p w14:paraId="2233AF0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5.019.930,17</w:t>
            </w:r>
          </w:p>
        </w:tc>
        <w:tc>
          <w:tcPr>
            <w:tcW w:w="1580" w:type="dxa"/>
            <w:tcBorders>
              <w:top w:val="nil"/>
              <w:left w:val="nil"/>
              <w:bottom w:val="single" w:sz="8" w:space="0" w:color="auto"/>
              <w:right w:val="single" w:sz="8" w:space="0" w:color="auto"/>
            </w:tcBorders>
            <w:shd w:val="clear" w:color="auto" w:fill="auto"/>
            <w:vAlign w:val="center"/>
            <w:hideMark/>
          </w:tcPr>
          <w:p w14:paraId="33CDFD7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68.528.718,54</w:t>
            </w:r>
          </w:p>
        </w:tc>
        <w:tc>
          <w:tcPr>
            <w:tcW w:w="1353" w:type="dxa"/>
            <w:tcBorders>
              <w:top w:val="nil"/>
              <w:left w:val="nil"/>
              <w:bottom w:val="single" w:sz="8" w:space="0" w:color="auto"/>
              <w:right w:val="single" w:sz="8" w:space="0" w:color="auto"/>
            </w:tcBorders>
            <w:shd w:val="clear" w:color="auto" w:fill="auto"/>
            <w:vAlign w:val="center"/>
            <w:hideMark/>
          </w:tcPr>
          <w:p w14:paraId="00810C2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6.823.739,54</w:t>
            </w:r>
          </w:p>
        </w:tc>
        <w:tc>
          <w:tcPr>
            <w:tcW w:w="1647" w:type="dxa"/>
            <w:tcBorders>
              <w:top w:val="nil"/>
              <w:left w:val="nil"/>
              <w:bottom w:val="single" w:sz="8" w:space="0" w:color="auto"/>
              <w:right w:val="single" w:sz="8" w:space="0" w:color="auto"/>
            </w:tcBorders>
            <w:shd w:val="clear" w:color="auto" w:fill="auto"/>
            <w:vAlign w:val="center"/>
            <w:hideMark/>
          </w:tcPr>
          <w:p w14:paraId="71BD0DA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-6.896.494,13</w:t>
            </w:r>
          </w:p>
        </w:tc>
        <w:tc>
          <w:tcPr>
            <w:tcW w:w="1418" w:type="dxa"/>
            <w:tcBorders>
              <w:top w:val="nil"/>
              <w:left w:val="nil"/>
              <w:bottom w:val="single" w:sz="8" w:space="0" w:color="auto"/>
              <w:right w:val="single" w:sz="8" w:space="0" w:color="auto"/>
            </w:tcBorders>
            <w:shd w:val="clear" w:color="auto" w:fill="auto"/>
            <w:vAlign w:val="center"/>
            <w:hideMark/>
          </w:tcPr>
          <w:p w14:paraId="7CC1FB2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1.803.809,37</w:t>
            </w:r>
          </w:p>
        </w:tc>
      </w:tr>
      <w:tr w:rsidR="004729C6" w:rsidRPr="008B76D8" w14:paraId="490DB240"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8B1A4"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w:t>
            </w:r>
          </w:p>
        </w:tc>
        <w:tc>
          <w:tcPr>
            <w:tcW w:w="3221" w:type="dxa"/>
            <w:tcBorders>
              <w:top w:val="nil"/>
              <w:left w:val="nil"/>
              <w:bottom w:val="single" w:sz="8" w:space="0" w:color="auto"/>
              <w:right w:val="nil"/>
            </w:tcBorders>
            <w:shd w:val="clear" w:color="auto" w:fill="auto"/>
            <w:vAlign w:val="center"/>
            <w:hideMark/>
          </w:tcPr>
          <w:p w14:paraId="43D39660" w14:textId="002B4AE6" w:rsidR="004729C6" w:rsidRPr="008B76D8" w:rsidRDefault="00791937" w:rsidP="00791937">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w:t>
            </w:r>
            <w:r w:rsidR="004729C6" w:rsidRPr="008B76D8">
              <w:rPr>
                <w:rFonts w:ascii="Times New Roman" w:eastAsia="Times New Roman" w:hAnsi="Times New Roman" w:cs="Times New Roman"/>
                <w:color w:val="000000"/>
                <w:sz w:val="18"/>
                <w:szCs w:val="18"/>
              </w:rPr>
              <w:t>A Regia Apă Canal Soroca</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273CCAC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23.232.922,09</w:t>
            </w:r>
          </w:p>
        </w:tc>
        <w:tc>
          <w:tcPr>
            <w:tcW w:w="1353" w:type="dxa"/>
            <w:tcBorders>
              <w:top w:val="nil"/>
              <w:left w:val="nil"/>
              <w:bottom w:val="single" w:sz="8" w:space="0" w:color="auto"/>
              <w:right w:val="single" w:sz="8" w:space="0" w:color="auto"/>
            </w:tcBorders>
            <w:shd w:val="clear" w:color="auto" w:fill="auto"/>
            <w:vAlign w:val="center"/>
            <w:hideMark/>
          </w:tcPr>
          <w:p w14:paraId="623AF47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AC1C62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25.187.243,64</w:t>
            </w:r>
          </w:p>
        </w:tc>
        <w:tc>
          <w:tcPr>
            <w:tcW w:w="1353" w:type="dxa"/>
            <w:tcBorders>
              <w:top w:val="nil"/>
              <w:left w:val="nil"/>
              <w:bottom w:val="single" w:sz="8" w:space="0" w:color="auto"/>
              <w:right w:val="single" w:sz="8" w:space="0" w:color="auto"/>
            </w:tcBorders>
            <w:shd w:val="clear" w:color="auto" w:fill="auto"/>
            <w:vAlign w:val="center"/>
            <w:hideMark/>
          </w:tcPr>
          <w:p w14:paraId="46DBE4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1.316.272,26</w:t>
            </w:r>
          </w:p>
        </w:tc>
        <w:tc>
          <w:tcPr>
            <w:tcW w:w="1580" w:type="dxa"/>
            <w:tcBorders>
              <w:top w:val="nil"/>
              <w:left w:val="nil"/>
              <w:bottom w:val="single" w:sz="8" w:space="0" w:color="auto"/>
              <w:right w:val="single" w:sz="8" w:space="0" w:color="auto"/>
            </w:tcBorders>
            <w:shd w:val="clear" w:color="auto" w:fill="auto"/>
            <w:vAlign w:val="center"/>
            <w:hideMark/>
          </w:tcPr>
          <w:p w14:paraId="7CDC681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22.884.251,41</w:t>
            </w:r>
          </w:p>
        </w:tc>
        <w:tc>
          <w:tcPr>
            <w:tcW w:w="1353" w:type="dxa"/>
            <w:tcBorders>
              <w:top w:val="nil"/>
              <w:left w:val="nil"/>
              <w:bottom w:val="single" w:sz="8" w:space="0" w:color="auto"/>
              <w:right w:val="single" w:sz="8" w:space="0" w:color="auto"/>
            </w:tcBorders>
            <w:shd w:val="clear" w:color="auto" w:fill="auto"/>
            <w:vAlign w:val="center"/>
            <w:hideMark/>
          </w:tcPr>
          <w:p w14:paraId="2E9122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2.435.252,36</w:t>
            </w:r>
          </w:p>
        </w:tc>
        <w:tc>
          <w:tcPr>
            <w:tcW w:w="1647" w:type="dxa"/>
            <w:tcBorders>
              <w:top w:val="nil"/>
              <w:left w:val="nil"/>
              <w:bottom w:val="single" w:sz="8" w:space="0" w:color="auto"/>
              <w:right w:val="single" w:sz="8" w:space="0" w:color="auto"/>
            </w:tcBorders>
            <w:shd w:val="clear" w:color="auto" w:fill="auto"/>
            <w:vAlign w:val="center"/>
            <w:hideMark/>
          </w:tcPr>
          <w:p w14:paraId="10E195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-2.302.992,23</w:t>
            </w:r>
          </w:p>
        </w:tc>
        <w:tc>
          <w:tcPr>
            <w:tcW w:w="1418" w:type="dxa"/>
            <w:tcBorders>
              <w:top w:val="nil"/>
              <w:left w:val="nil"/>
              <w:bottom w:val="single" w:sz="8" w:space="0" w:color="auto"/>
              <w:right w:val="single" w:sz="8" w:space="0" w:color="auto"/>
            </w:tcBorders>
            <w:shd w:val="clear" w:color="auto" w:fill="auto"/>
            <w:vAlign w:val="center"/>
            <w:hideMark/>
          </w:tcPr>
          <w:p w14:paraId="392484F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1.118.980,10</w:t>
            </w:r>
          </w:p>
        </w:tc>
      </w:tr>
      <w:tr w:rsidR="004729C6" w:rsidRPr="008B76D8" w14:paraId="004C643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D7C15C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w:t>
            </w:r>
          </w:p>
        </w:tc>
        <w:tc>
          <w:tcPr>
            <w:tcW w:w="3221" w:type="dxa"/>
            <w:tcBorders>
              <w:top w:val="nil"/>
              <w:left w:val="nil"/>
              <w:bottom w:val="single" w:sz="8" w:space="0" w:color="auto"/>
              <w:right w:val="nil"/>
            </w:tcBorders>
            <w:shd w:val="clear" w:color="auto" w:fill="auto"/>
            <w:vAlign w:val="center"/>
            <w:hideMark/>
          </w:tcPr>
          <w:p w14:paraId="0C5BFC3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 ,,Univers-Vin”</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3FE76EB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4.762.415,06</w:t>
            </w:r>
          </w:p>
        </w:tc>
        <w:tc>
          <w:tcPr>
            <w:tcW w:w="1353" w:type="dxa"/>
            <w:tcBorders>
              <w:top w:val="nil"/>
              <w:left w:val="nil"/>
              <w:bottom w:val="single" w:sz="8" w:space="0" w:color="auto"/>
              <w:right w:val="single" w:sz="8" w:space="0" w:color="auto"/>
            </w:tcBorders>
            <w:shd w:val="clear" w:color="auto" w:fill="auto"/>
            <w:vAlign w:val="center"/>
            <w:hideMark/>
          </w:tcPr>
          <w:p w14:paraId="2C8E7CA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4.762.415,06</w:t>
            </w:r>
          </w:p>
        </w:tc>
        <w:tc>
          <w:tcPr>
            <w:tcW w:w="1580" w:type="dxa"/>
            <w:tcBorders>
              <w:top w:val="nil"/>
              <w:left w:val="nil"/>
              <w:bottom w:val="single" w:sz="8" w:space="0" w:color="auto"/>
              <w:right w:val="single" w:sz="8" w:space="0" w:color="auto"/>
            </w:tcBorders>
            <w:shd w:val="clear" w:color="auto" w:fill="auto"/>
            <w:vAlign w:val="center"/>
            <w:hideMark/>
          </w:tcPr>
          <w:p w14:paraId="7150F24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5.041.013,59</w:t>
            </w:r>
          </w:p>
        </w:tc>
        <w:tc>
          <w:tcPr>
            <w:tcW w:w="1353" w:type="dxa"/>
            <w:tcBorders>
              <w:top w:val="nil"/>
              <w:left w:val="nil"/>
              <w:bottom w:val="single" w:sz="8" w:space="0" w:color="auto"/>
              <w:right w:val="single" w:sz="8" w:space="0" w:color="auto"/>
            </w:tcBorders>
            <w:shd w:val="clear" w:color="auto" w:fill="auto"/>
            <w:vAlign w:val="center"/>
            <w:hideMark/>
          </w:tcPr>
          <w:p w14:paraId="496B5EF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5.041.013,59</w:t>
            </w:r>
          </w:p>
        </w:tc>
        <w:tc>
          <w:tcPr>
            <w:tcW w:w="1580" w:type="dxa"/>
            <w:tcBorders>
              <w:top w:val="nil"/>
              <w:left w:val="nil"/>
              <w:bottom w:val="single" w:sz="8" w:space="0" w:color="auto"/>
              <w:right w:val="single" w:sz="8" w:space="0" w:color="auto"/>
            </w:tcBorders>
            <w:shd w:val="clear" w:color="auto" w:fill="auto"/>
            <w:vAlign w:val="center"/>
            <w:hideMark/>
          </w:tcPr>
          <w:p w14:paraId="3726129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4.788.260,40</w:t>
            </w:r>
          </w:p>
        </w:tc>
        <w:tc>
          <w:tcPr>
            <w:tcW w:w="1353" w:type="dxa"/>
            <w:tcBorders>
              <w:top w:val="nil"/>
              <w:left w:val="nil"/>
              <w:bottom w:val="single" w:sz="8" w:space="0" w:color="auto"/>
              <w:right w:val="single" w:sz="8" w:space="0" w:color="auto"/>
            </w:tcBorders>
            <w:shd w:val="clear" w:color="auto" w:fill="auto"/>
            <w:vAlign w:val="center"/>
            <w:hideMark/>
          </w:tcPr>
          <w:p w14:paraId="4AA4699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4.788.260,40</w:t>
            </w:r>
          </w:p>
        </w:tc>
        <w:tc>
          <w:tcPr>
            <w:tcW w:w="1647" w:type="dxa"/>
            <w:tcBorders>
              <w:top w:val="nil"/>
              <w:left w:val="nil"/>
              <w:bottom w:val="single" w:sz="8" w:space="0" w:color="auto"/>
              <w:right w:val="single" w:sz="8" w:space="0" w:color="auto"/>
            </w:tcBorders>
            <w:shd w:val="clear" w:color="auto" w:fill="auto"/>
            <w:vAlign w:val="center"/>
            <w:hideMark/>
          </w:tcPr>
          <w:p w14:paraId="2074E42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-252.753,19</w:t>
            </w:r>
          </w:p>
        </w:tc>
        <w:tc>
          <w:tcPr>
            <w:tcW w:w="1418" w:type="dxa"/>
            <w:tcBorders>
              <w:top w:val="nil"/>
              <w:left w:val="nil"/>
              <w:bottom w:val="single" w:sz="8" w:space="0" w:color="auto"/>
              <w:right w:val="single" w:sz="8" w:space="0" w:color="auto"/>
            </w:tcBorders>
            <w:shd w:val="clear" w:color="auto" w:fill="auto"/>
            <w:vAlign w:val="center"/>
            <w:hideMark/>
          </w:tcPr>
          <w:p w14:paraId="3F60D15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-252.753,19</w:t>
            </w:r>
          </w:p>
        </w:tc>
      </w:tr>
      <w:tr w:rsidR="004729C6" w:rsidRPr="008B76D8" w14:paraId="198E0AA6" w14:textId="77777777" w:rsidTr="004729C6">
        <w:trPr>
          <w:trHeight w:val="300"/>
        </w:trPr>
        <w:tc>
          <w:tcPr>
            <w:tcW w:w="597" w:type="dxa"/>
            <w:tcBorders>
              <w:top w:val="nil"/>
              <w:left w:val="single" w:sz="8" w:space="0" w:color="auto"/>
              <w:bottom w:val="single" w:sz="8" w:space="0" w:color="auto"/>
              <w:right w:val="nil"/>
            </w:tcBorders>
            <w:shd w:val="clear" w:color="auto" w:fill="auto"/>
            <w:vAlign w:val="center"/>
            <w:hideMark/>
          </w:tcPr>
          <w:p w14:paraId="0DACF80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3221" w:type="dxa"/>
            <w:tcBorders>
              <w:top w:val="nil"/>
              <w:left w:val="nil"/>
              <w:bottom w:val="single" w:sz="8" w:space="0" w:color="auto"/>
              <w:right w:val="nil"/>
            </w:tcBorders>
            <w:shd w:val="clear" w:color="auto" w:fill="auto"/>
            <w:vAlign w:val="center"/>
            <w:hideMark/>
          </w:tcPr>
          <w:p w14:paraId="3FB510C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489" w:type="dxa"/>
            <w:tcBorders>
              <w:top w:val="nil"/>
              <w:left w:val="nil"/>
              <w:bottom w:val="single" w:sz="8" w:space="0" w:color="auto"/>
              <w:right w:val="single" w:sz="8" w:space="0" w:color="auto"/>
            </w:tcBorders>
            <w:shd w:val="clear" w:color="auto" w:fill="auto"/>
            <w:vAlign w:val="center"/>
            <w:hideMark/>
          </w:tcPr>
          <w:p w14:paraId="20513C0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67798CA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3D15928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7FA3E15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D07E6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431608A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F57441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14:paraId="11DAFFA5"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r>
      <w:tr w:rsidR="004729C6" w:rsidRPr="008B76D8" w14:paraId="2BEA4125" w14:textId="77777777" w:rsidTr="004729C6">
        <w:trPr>
          <w:trHeight w:val="30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3B547F" w14:textId="77777777" w:rsidR="004729C6" w:rsidRPr="008B76D8" w:rsidRDefault="004729C6" w:rsidP="004729C6">
            <w:pPr>
              <w:spacing w:after="0" w:line="240" w:lineRule="auto"/>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 xml:space="preserve">1.3 Întreprinderi potențial falite </w:t>
            </w:r>
          </w:p>
        </w:tc>
        <w:tc>
          <w:tcPr>
            <w:tcW w:w="1489" w:type="dxa"/>
            <w:tcBorders>
              <w:top w:val="nil"/>
              <w:left w:val="nil"/>
              <w:bottom w:val="single" w:sz="8" w:space="0" w:color="auto"/>
              <w:right w:val="single" w:sz="8" w:space="0" w:color="auto"/>
            </w:tcBorders>
            <w:shd w:val="clear" w:color="auto" w:fill="auto"/>
            <w:vAlign w:val="center"/>
            <w:hideMark/>
          </w:tcPr>
          <w:p w14:paraId="7425964D"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73.889.824,10</w:t>
            </w:r>
          </w:p>
        </w:tc>
        <w:tc>
          <w:tcPr>
            <w:tcW w:w="1353" w:type="dxa"/>
            <w:tcBorders>
              <w:top w:val="nil"/>
              <w:left w:val="nil"/>
              <w:bottom w:val="single" w:sz="8" w:space="0" w:color="auto"/>
              <w:right w:val="single" w:sz="8" w:space="0" w:color="auto"/>
            </w:tcBorders>
            <w:shd w:val="clear" w:color="auto" w:fill="auto"/>
            <w:vAlign w:val="center"/>
            <w:hideMark/>
          </w:tcPr>
          <w:p w14:paraId="61040613"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73.889.824,10</w:t>
            </w:r>
          </w:p>
        </w:tc>
        <w:tc>
          <w:tcPr>
            <w:tcW w:w="1580" w:type="dxa"/>
            <w:tcBorders>
              <w:top w:val="nil"/>
              <w:left w:val="nil"/>
              <w:bottom w:val="single" w:sz="8" w:space="0" w:color="auto"/>
              <w:right w:val="single" w:sz="8" w:space="0" w:color="auto"/>
            </w:tcBorders>
            <w:shd w:val="clear" w:color="auto" w:fill="auto"/>
            <w:vAlign w:val="center"/>
            <w:hideMark/>
          </w:tcPr>
          <w:p w14:paraId="7269FBB6"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76.778.003,95</w:t>
            </w:r>
          </w:p>
        </w:tc>
        <w:tc>
          <w:tcPr>
            <w:tcW w:w="1353" w:type="dxa"/>
            <w:tcBorders>
              <w:top w:val="nil"/>
              <w:left w:val="nil"/>
              <w:bottom w:val="single" w:sz="8" w:space="0" w:color="auto"/>
              <w:right w:val="single" w:sz="8" w:space="0" w:color="auto"/>
            </w:tcBorders>
            <w:shd w:val="clear" w:color="auto" w:fill="auto"/>
            <w:vAlign w:val="center"/>
            <w:hideMark/>
          </w:tcPr>
          <w:p w14:paraId="66EA7C23"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76.778.003,95</w:t>
            </w:r>
          </w:p>
        </w:tc>
        <w:tc>
          <w:tcPr>
            <w:tcW w:w="1580" w:type="dxa"/>
            <w:tcBorders>
              <w:top w:val="nil"/>
              <w:left w:val="nil"/>
              <w:bottom w:val="single" w:sz="8" w:space="0" w:color="auto"/>
              <w:right w:val="single" w:sz="8" w:space="0" w:color="auto"/>
            </w:tcBorders>
            <w:shd w:val="clear" w:color="auto" w:fill="auto"/>
            <w:vAlign w:val="center"/>
            <w:hideMark/>
          </w:tcPr>
          <w:p w14:paraId="4CA930D7"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72.519.201,63</w:t>
            </w:r>
          </w:p>
        </w:tc>
        <w:tc>
          <w:tcPr>
            <w:tcW w:w="1353" w:type="dxa"/>
            <w:tcBorders>
              <w:top w:val="nil"/>
              <w:left w:val="nil"/>
              <w:bottom w:val="single" w:sz="8" w:space="0" w:color="auto"/>
              <w:right w:val="single" w:sz="8" w:space="0" w:color="auto"/>
            </w:tcBorders>
            <w:shd w:val="clear" w:color="auto" w:fill="auto"/>
            <w:vAlign w:val="center"/>
            <w:hideMark/>
          </w:tcPr>
          <w:p w14:paraId="11C3980D"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72.519.201,63</w:t>
            </w:r>
          </w:p>
        </w:tc>
        <w:tc>
          <w:tcPr>
            <w:tcW w:w="1647" w:type="dxa"/>
            <w:tcBorders>
              <w:top w:val="nil"/>
              <w:left w:val="nil"/>
              <w:bottom w:val="single" w:sz="8" w:space="0" w:color="auto"/>
              <w:right w:val="single" w:sz="8" w:space="0" w:color="auto"/>
            </w:tcBorders>
            <w:shd w:val="clear" w:color="auto" w:fill="auto"/>
            <w:vAlign w:val="center"/>
            <w:hideMark/>
          </w:tcPr>
          <w:p w14:paraId="17ACEC70"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-2.897.355,48</w:t>
            </w:r>
          </w:p>
        </w:tc>
        <w:tc>
          <w:tcPr>
            <w:tcW w:w="1418" w:type="dxa"/>
            <w:tcBorders>
              <w:top w:val="nil"/>
              <w:left w:val="nil"/>
              <w:bottom w:val="single" w:sz="8" w:space="0" w:color="auto"/>
              <w:right w:val="single" w:sz="8" w:space="0" w:color="auto"/>
            </w:tcBorders>
            <w:shd w:val="clear" w:color="auto" w:fill="auto"/>
            <w:vAlign w:val="center"/>
            <w:hideMark/>
          </w:tcPr>
          <w:p w14:paraId="5FF743A0"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-2.897.355,48</w:t>
            </w:r>
          </w:p>
        </w:tc>
      </w:tr>
      <w:tr w:rsidR="004729C6" w:rsidRPr="008B76D8" w14:paraId="3BD6B41E"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54D1F11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nil"/>
              <w:bottom w:val="nil"/>
              <w:right w:val="single" w:sz="8" w:space="0" w:color="auto"/>
            </w:tcBorders>
            <w:shd w:val="clear" w:color="auto" w:fill="auto"/>
            <w:vAlign w:val="center"/>
            <w:hideMark/>
          </w:tcPr>
          <w:p w14:paraId="151C1372" w14:textId="0E0B9DD9"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ÎS</w:t>
            </w:r>
            <w:r w:rsidR="004729C6" w:rsidRPr="008B76D8">
              <w:rPr>
                <w:rFonts w:ascii="Times New Roman" w:eastAsia="Times New Roman" w:hAnsi="Times New Roman" w:cs="Times New Roman"/>
                <w:color w:val="000000"/>
                <w:sz w:val="18"/>
                <w:szCs w:val="18"/>
              </w:rPr>
              <w:t xml:space="preserve"> "Moldranselectro"</w:t>
            </w:r>
          </w:p>
        </w:tc>
        <w:tc>
          <w:tcPr>
            <w:tcW w:w="1489" w:type="dxa"/>
            <w:tcBorders>
              <w:top w:val="nil"/>
              <w:left w:val="nil"/>
              <w:bottom w:val="nil"/>
              <w:right w:val="single" w:sz="8" w:space="0" w:color="auto"/>
            </w:tcBorders>
            <w:shd w:val="clear" w:color="auto" w:fill="auto"/>
            <w:vAlign w:val="center"/>
            <w:hideMark/>
          </w:tcPr>
          <w:p w14:paraId="7122C67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66.060.028,27</w:t>
            </w:r>
          </w:p>
        </w:tc>
        <w:tc>
          <w:tcPr>
            <w:tcW w:w="1353" w:type="dxa"/>
            <w:tcBorders>
              <w:top w:val="nil"/>
              <w:left w:val="nil"/>
              <w:bottom w:val="single" w:sz="8" w:space="0" w:color="auto"/>
              <w:right w:val="single" w:sz="8" w:space="0" w:color="auto"/>
            </w:tcBorders>
            <w:shd w:val="clear" w:color="auto" w:fill="auto"/>
            <w:vAlign w:val="center"/>
            <w:hideMark/>
          </w:tcPr>
          <w:p w14:paraId="5E23C8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66.060.028,27</w:t>
            </w:r>
          </w:p>
        </w:tc>
        <w:tc>
          <w:tcPr>
            <w:tcW w:w="1580" w:type="dxa"/>
            <w:tcBorders>
              <w:top w:val="nil"/>
              <w:left w:val="nil"/>
              <w:bottom w:val="nil"/>
              <w:right w:val="single" w:sz="8" w:space="0" w:color="auto"/>
            </w:tcBorders>
            <w:shd w:val="clear" w:color="auto" w:fill="auto"/>
            <w:vAlign w:val="center"/>
            <w:hideMark/>
          </w:tcPr>
          <w:p w14:paraId="1DD27C0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68.354.272,16</w:t>
            </w:r>
          </w:p>
        </w:tc>
        <w:tc>
          <w:tcPr>
            <w:tcW w:w="1353" w:type="dxa"/>
            <w:tcBorders>
              <w:top w:val="nil"/>
              <w:left w:val="nil"/>
              <w:bottom w:val="single" w:sz="8" w:space="0" w:color="auto"/>
              <w:right w:val="single" w:sz="8" w:space="0" w:color="auto"/>
            </w:tcBorders>
            <w:shd w:val="clear" w:color="auto" w:fill="auto"/>
            <w:vAlign w:val="center"/>
            <w:hideMark/>
          </w:tcPr>
          <w:p w14:paraId="2EEDF7F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68.354.272,16</w:t>
            </w:r>
          </w:p>
        </w:tc>
        <w:tc>
          <w:tcPr>
            <w:tcW w:w="1580" w:type="dxa"/>
            <w:tcBorders>
              <w:top w:val="nil"/>
              <w:left w:val="nil"/>
              <w:bottom w:val="single" w:sz="8" w:space="0" w:color="auto"/>
              <w:right w:val="single" w:sz="8" w:space="0" w:color="auto"/>
            </w:tcBorders>
            <w:shd w:val="clear" w:color="auto" w:fill="auto"/>
            <w:vAlign w:val="center"/>
            <w:hideMark/>
          </w:tcPr>
          <w:p w14:paraId="7A4E47C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65.509.487,68</w:t>
            </w:r>
          </w:p>
        </w:tc>
        <w:tc>
          <w:tcPr>
            <w:tcW w:w="1353" w:type="dxa"/>
            <w:tcBorders>
              <w:top w:val="nil"/>
              <w:left w:val="nil"/>
              <w:bottom w:val="single" w:sz="8" w:space="0" w:color="auto"/>
              <w:right w:val="single" w:sz="8" w:space="0" w:color="auto"/>
            </w:tcBorders>
            <w:shd w:val="clear" w:color="auto" w:fill="auto"/>
            <w:vAlign w:val="center"/>
            <w:hideMark/>
          </w:tcPr>
          <w:p w14:paraId="2825362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65.509.487,68</w:t>
            </w:r>
          </w:p>
        </w:tc>
        <w:tc>
          <w:tcPr>
            <w:tcW w:w="1647" w:type="dxa"/>
            <w:tcBorders>
              <w:top w:val="nil"/>
              <w:left w:val="nil"/>
              <w:bottom w:val="single" w:sz="8" w:space="0" w:color="auto"/>
              <w:right w:val="single" w:sz="8" w:space="0" w:color="auto"/>
            </w:tcBorders>
            <w:shd w:val="clear" w:color="auto" w:fill="auto"/>
            <w:vAlign w:val="center"/>
            <w:hideMark/>
          </w:tcPr>
          <w:p w14:paraId="369A3B5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-2.844.784,48</w:t>
            </w:r>
          </w:p>
        </w:tc>
        <w:tc>
          <w:tcPr>
            <w:tcW w:w="1418" w:type="dxa"/>
            <w:tcBorders>
              <w:top w:val="nil"/>
              <w:left w:val="nil"/>
              <w:bottom w:val="single" w:sz="8" w:space="0" w:color="auto"/>
              <w:right w:val="single" w:sz="8" w:space="0" w:color="auto"/>
            </w:tcBorders>
            <w:shd w:val="clear" w:color="auto" w:fill="auto"/>
            <w:vAlign w:val="center"/>
            <w:hideMark/>
          </w:tcPr>
          <w:p w14:paraId="55E48B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-2.844.784,48</w:t>
            </w:r>
          </w:p>
        </w:tc>
      </w:tr>
      <w:tr w:rsidR="004729C6" w:rsidRPr="008B76D8" w14:paraId="05A37B3C"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8AF0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single" w:sz="8" w:space="0" w:color="auto"/>
              <w:left w:val="nil"/>
              <w:bottom w:val="single" w:sz="8" w:space="0" w:color="auto"/>
              <w:right w:val="single" w:sz="8" w:space="0" w:color="auto"/>
            </w:tcBorders>
            <w:shd w:val="clear" w:color="auto" w:fill="auto"/>
            <w:vAlign w:val="center"/>
            <w:hideMark/>
          </w:tcPr>
          <w:p w14:paraId="4BEF6800"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CAP ”Prietenia”, Glodeni</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14:paraId="3A7594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4.013.654,49</w:t>
            </w:r>
          </w:p>
        </w:tc>
        <w:tc>
          <w:tcPr>
            <w:tcW w:w="1353" w:type="dxa"/>
            <w:tcBorders>
              <w:top w:val="nil"/>
              <w:left w:val="nil"/>
              <w:bottom w:val="single" w:sz="8" w:space="0" w:color="auto"/>
              <w:right w:val="single" w:sz="8" w:space="0" w:color="auto"/>
            </w:tcBorders>
            <w:shd w:val="clear" w:color="auto" w:fill="auto"/>
            <w:vAlign w:val="center"/>
            <w:hideMark/>
          </w:tcPr>
          <w:p w14:paraId="4BC63E2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4.013.654,49</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0F4C7B7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4.329.347,29</w:t>
            </w:r>
          </w:p>
        </w:tc>
        <w:tc>
          <w:tcPr>
            <w:tcW w:w="1353" w:type="dxa"/>
            <w:tcBorders>
              <w:top w:val="nil"/>
              <w:left w:val="nil"/>
              <w:bottom w:val="single" w:sz="8" w:space="0" w:color="auto"/>
              <w:right w:val="single" w:sz="8" w:space="0" w:color="auto"/>
            </w:tcBorders>
            <w:shd w:val="clear" w:color="auto" w:fill="auto"/>
            <w:vAlign w:val="center"/>
            <w:hideMark/>
          </w:tcPr>
          <w:p w14:paraId="0429A81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4.329.347,29</w:t>
            </w:r>
          </w:p>
        </w:tc>
        <w:tc>
          <w:tcPr>
            <w:tcW w:w="1580" w:type="dxa"/>
            <w:tcBorders>
              <w:top w:val="nil"/>
              <w:left w:val="nil"/>
              <w:bottom w:val="single" w:sz="8" w:space="0" w:color="auto"/>
              <w:right w:val="single" w:sz="8" w:space="0" w:color="auto"/>
            </w:tcBorders>
            <w:shd w:val="clear" w:color="auto" w:fill="auto"/>
            <w:vAlign w:val="center"/>
            <w:hideMark/>
          </w:tcPr>
          <w:p w14:paraId="4D22AA7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4.674.781,19</w:t>
            </w:r>
          </w:p>
        </w:tc>
        <w:tc>
          <w:tcPr>
            <w:tcW w:w="1353" w:type="dxa"/>
            <w:tcBorders>
              <w:top w:val="nil"/>
              <w:left w:val="nil"/>
              <w:bottom w:val="single" w:sz="8" w:space="0" w:color="auto"/>
              <w:right w:val="single" w:sz="8" w:space="0" w:color="auto"/>
            </w:tcBorders>
            <w:shd w:val="clear" w:color="auto" w:fill="auto"/>
            <w:vAlign w:val="center"/>
            <w:hideMark/>
          </w:tcPr>
          <w:p w14:paraId="45F15EF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4.674.781,19</w:t>
            </w:r>
          </w:p>
        </w:tc>
        <w:tc>
          <w:tcPr>
            <w:tcW w:w="1647" w:type="dxa"/>
            <w:tcBorders>
              <w:top w:val="nil"/>
              <w:left w:val="nil"/>
              <w:bottom w:val="single" w:sz="8" w:space="0" w:color="auto"/>
              <w:right w:val="single" w:sz="8" w:space="0" w:color="auto"/>
            </w:tcBorders>
            <w:shd w:val="clear" w:color="auto" w:fill="auto"/>
            <w:vAlign w:val="center"/>
            <w:hideMark/>
          </w:tcPr>
          <w:p w14:paraId="57D5AA4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345.433,90</w:t>
            </w:r>
          </w:p>
        </w:tc>
        <w:tc>
          <w:tcPr>
            <w:tcW w:w="1418" w:type="dxa"/>
            <w:tcBorders>
              <w:top w:val="nil"/>
              <w:left w:val="nil"/>
              <w:bottom w:val="single" w:sz="8" w:space="0" w:color="auto"/>
              <w:right w:val="single" w:sz="8" w:space="0" w:color="auto"/>
            </w:tcBorders>
            <w:shd w:val="clear" w:color="auto" w:fill="auto"/>
            <w:vAlign w:val="center"/>
            <w:hideMark/>
          </w:tcPr>
          <w:p w14:paraId="3AF289F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345.433,90</w:t>
            </w:r>
          </w:p>
        </w:tc>
      </w:tr>
      <w:tr w:rsidR="004729C6" w:rsidRPr="008B76D8" w14:paraId="7E2A04E2"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BBB709B"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w:t>
            </w:r>
          </w:p>
        </w:tc>
        <w:tc>
          <w:tcPr>
            <w:tcW w:w="3221" w:type="dxa"/>
            <w:tcBorders>
              <w:top w:val="nil"/>
              <w:left w:val="nil"/>
              <w:bottom w:val="single" w:sz="8" w:space="0" w:color="auto"/>
              <w:right w:val="single" w:sz="8" w:space="0" w:color="auto"/>
            </w:tcBorders>
            <w:shd w:val="clear" w:color="auto" w:fill="auto"/>
            <w:vAlign w:val="center"/>
            <w:hideMark/>
          </w:tcPr>
          <w:p w14:paraId="10DBD2E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s-z "Caşcalia", Căuşeni</w:t>
            </w:r>
          </w:p>
        </w:tc>
        <w:tc>
          <w:tcPr>
            <w:tcW w:w="1489" w:type="dxa"/>
            <w:tcBorders>
              <w:top w:val="nil"/>
              <w:left w:val="nil"/>
              <w:bottom w:val="single" w:sz="8" w:space="0" w:color="auto"/>
              <w:right w:val="single" w:sz="8" w:space="0" w:color="auto"/>
            </w:tcBorders>
            <w:shd w:val="clear" w:color="auto" w:fill="auto"/>
            <w:vAlign w:val="center"/>
            <w:hideMark/>
          </w:tcPr>
          <w:p w14:paraId="5C36FDF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1.587.206,46</w:t>
            </w:r>
          </w:p>
        </w:tc>
        <w:tc>
          <w:tcPr>
            <w:tcW w:w="1353" w:type="dxa"/>
            <w:tcBorders>
              <w:top w:val="nil"/>
              <w:left w:val="nil"/>
              <w:bottom w:val="single" w:sz="8" w:space="0" w:color="auto"/>
              <w:right w:val="single" w:sz="8" w:space="0" w:color="auto"/>
            </w:tcBorders>
            <w:shd w:val="clear" w:color="auto" w:fill="auto"/>
            <w:vAlign w:val="center"/>
            <w:hideMark/>
          </w:tcPr>
          <w:p w14:paraId="44BB19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1.587.206,46</w:t>
            </w:r>
          </w:p>
        </w:tc>
        <w:tc>
          <w:tcPr>
            <w:tcW w:w="1580" w:type="dxa"/>
            <w:tcBorders>
              <w:top w:val="nil"/>
              <w:left w:val="nil"/>
              <w:bottom w:val="single" w:sz="8" w:space="0" w:color="auto"/>
              <w:right w:val="single" w:sz="8" w:space="0" w:color="auto"/>
            </w:tcBorders>
            <w:shd w:val="clear" w:color="auto" w:fill="auto"/>
            <w:vAlign w:val="center"/>
            <w:hideMark/>
          </w:tcPr>
          <w:p w14:paraId="58C1784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1.744.653,44</w:t>
            </w:r>
          </w:p>
        </w:tc>
        <w:tc>
          <w:tcPr>
            <w:tcW w:w="1353" w:type="dxa"/>
            <w:tcBorders>
              <w:top w:val="nil"/>
              <w:left w:val="nil"/>
              <w:bottom w:val="single" w:sz="8" w:space="0" w:color="auto"/>
              <w:right w:val="single" w:sz="8" w:space="0" w:color="auto"/>
            </w:tcBorders>
            <w:shd w:val="clear" w:color="auto" w:fill="auto"/>
            <w:vAlign w:val="center"/>
            <w:hideMark/>
          </w:tcPr>
          <w:p w14:paraId="1130776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1.744.653,44</w:t>
            </w:r>
          </w:p>
        </w:tc>
        <w:tc>
          <w:tcPr>
            <w:tcW w:w="1580" w:type="dxa"/>
            <w:tcBorders>
              <w:top w:val="nil"/>
              <w:left w:val="nil"/>
              <w:bottom w:val="single" w:sz="8" w:space="0" w:color="auto"/>
              <w:right w:val="single" w:sz="8" w:space="0" w:color="auto"/>
            </w:tcBorders>
            <w:shd w:val="clear" w:color="auto" w:fill="auto"/>
            <w:vAlign w:val="center"/>
            <w:hideMark/>
          </w:tcPr>
          <w:p w14:paraId="0B61F0C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1.613.377,54</w:t>
            </w:r>
          </w:p>
        </w:tc>
        <w:tc>
          <w:tcPr>
            <w:tcW w:w="1353" w:type="dxa"/>
            <w:tcBorders>
              <w:top w:val="nil"/>
              <w:left w:val="nil"/>
              <w:bottom w:val="single" w:sz="8" w:space="0" w:color="auto"/>
              <w:right w:val="single" w:sz="8" w:space="0" w:color="auto"/>
            </w:tcBorders>
            <w:shd w:val="clear" w:color="auto" w:fill="auto"/>
            <w:vAlign w:val="center"/>
            <w:hideMark/>
          </w:tcPr>
          <w:p w14:paraId="475DEE6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1.613.377,54</w:t>
            </w:r>
          </w:p>
        </w:tc>
        <w:tc>
          <w:tcPr>
            <w:tcW w:w="1647" w:type="dxa"/>
            <w:tcBorders>
              <w:top w:val="nil"/>
              <w:left w:val="nil"/>
              <w:bottom w:val="single" w:sz="8" w:space="0" w:color="auto"/>
              <w:right w:val="single" w:sz="8" w:space="0" w:color="auto"/>
            </w:tcBorders>
            <w:shd w:val="clear" w:color="auto" w:fill="auto"/>
            <w:vAlign w:val="center"/>
            <w:hideMark/>
          </w:tcPr>
          <w:p w14:paraId="798F105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-131.275,90</w:t>
            </w:r>
          </w:p>
        </w:tc>
        <w:tc>
          <w:tcPr>
            <w:tcW w:w="1418" w:type="dxa"/>
            <w:tcBorders>
              <w:top w:val="nil"/>
              <w:left w:val="nil"/>
              <w:bottom w:val="single" w:sz="8" w:space="0" w:color="auto"/>
              <w:right w:val="single" w:sz="8" w:space="0" w:color="auto"/>
            </w:tcBorders>
            <w:shd w:val="clear" w:color="auto" w:fill="auto"/>
            <w:vAlign w:val="center"/>
            <w:hideMark/>
          </w:tcPr>
          <w:p w14:paraId="0074068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-131.275,90</w:t>
            </w:r>
          </w:p>
        </w:tc>
      </w:tr>
      <w:tr w:rsidR="004729C6" w:rsidRPr="008B76D8" w14:paraId="7A9FEE66"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D0A4EA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w:t>
            </w:r>
          </w:p>
        </w:tc>
        <w:tc>
          <w:tcPr>
            <w:tcW w:w="3221" w:type="dxa"/>
            <w:tcBorders>
              <w:top w:val="nil"/>
              <w:left w:val="nil"/>
              <w:bottom w:val="single" w:sz="8" w:space="0" w:color="auto"/>
              <w:right w:val="single" w:sz="8" w:space="0" w:color="auto"/>
            </w:tcBorders>
            <w:shd w:val="clear" w:color="auto" w:fill="auto"/>
            <w:vAlign w:val="center"/>
            <w:hideMark/>
          </w:tcPr>
          <w:p w14:paraId="7F777DE1" w14:textId="0770A33C" w:rsidR="004729C6" w:rsidRPr="008B76D8" w:rsidRDefault="00791937"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SRL</w:t>
            </w:r>
            <w:r w:rsidR="004729C6" w:rsidRPr="008B76D8">
              <w:rPr>
                <w:rFonts w:ascii="Times New Roman" w:eastAsia="Times New Roman" w:hAnsi="Times New Roman" w:cs="Times New Roman"/>
                <w:color w:val="000000"/>
                <w:sz w:val="18"/>
                <w:szCs w:val="18"/>
              </w:rPr>
              <w:t xml:space="preserve"> "Vialtos"</w:t>
            </w:r>
          </w:p>
        </w:tc>
        <w:tc>
          <w:tcPr>
            <w:tcW w:w="1489" w:type="dxa"/>
            <w:tcBorders>
              <w:top w:val="nil"/>
              <w:left w:val="nil"/>
              <w:bottom w:val="single" w:sz="8" w:space="0" w:color="auto"/>
              <w:right w:val="single" w:sz="8" w:space="0" w:color="auto"/>
            </w:tcBorders>
            <w:shd w:val="clear" w:color="auto" w:fill="auto"/>
            <w:vAlign w:val="center"/>
            <w:hideMark/>
          </w:tcPr>
          <w:p w14:paraId="2625298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985.021,15</w:t>
            </w:r>
          </w:p>
        </w:tc>
        <w:tc>
          <w:tcPr>
            <w:tcW w:w="1353" w:type="dxa"/>
            <w:tcBorders>
              <w:top w:val="nil"/>
              <w:left w:val="nil"/>
              <w:bottom w:val="single" w:sz="8" w:space="0" w:color="auto"/>
              <w:right w:val="single" w:sz="8" w:space="0" w:color="auto"/>
            </w:tcBorders>
            <w:shd w:val="clear" w:color="auto" w:fill="auto"/>
            <w:vAlign w:val="center"/>
            <w:hideMark/>
          </w:tcPr>
          <w:p w14:paraId="7AB8207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985.021,15</w:t>
            </w:r>
          </w:p>
        </w:tc>
        <w:tc>
          <w:tcPr>
            <w:tcW w:w="1580" w:type="dxa"/>
            <w:tcBorders>
              <w:top w:val="nil"/>
              <w:left w:val="nil"/>
              <w:bottom w:val="single" w:sz="8" w:space="0" w:color="auto"/>
              <w:right w:val="single" w:sz="8" w:space="0" w:color="auto"/>
            </w:tcBorders>
            <w:shd w:val="clear" w:color="auto" w:fill="auto"/>
            <w:vAlign w:val="center"/>
            <w:hideMark/>
          </w:tcPr>
          <w:p w14:paraId="04C3A84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988.284,22</w:t>
            </w:r>
          </w:p>
        </w:tc>
        <w:tc>
          <w:tcPr>
            <w:tcW w:w="1353" w:type="dxa"/>
            <w:tcBorders>
              <w:top w:val="nil"/>
              <w:left w:val="nil"/>
              <w:bottom w:val="single" w:sz="8" w:space="0" w:color="auto"/>
              <w:right w:val="single" w:sz="8" w:space="0" w:color="auto"/>
            </w:tcBorders>
            <w:shd w:val="clear" w:color="auto" w:fill="auto"/>
            <w:vAlign w:val="center"/>
            <w:hideMark/>
          </w:tcPr>
          <w:p w14:paraId="611B038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988.284,22</w:t>
            </w:r>
          </w:p>
        </w:tc>
        <w:tc>
          <w:tcPr>
            <w:tcW w:w="1580" w:type="dxa"/>
            <w:tcBorders>
              <w:top w:val="nil"/>
              <w:left w:val="nil"/>
              <w:bottom w:val="single" w:sz="8" w:space="0" w:color="auto"/>
              <w:right w:val="single" w:sz="8" w:space="0" w:color="auto"/>
            </w:tcBorders>
            <w:shd w:val="clear" w:color="auto" w:fill="auto"/>
            <w:vAlign w:val="center"/>
            <w:hideMark/>
          </w:tcPr>
          <w:p w14:paraId="64644A0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721.555,22</w:t>
            </w:r>
          </w:p>
        </w:tc>
        <w:tc>
          <w:tcPr>
            <w:tcW w:w="1353" w:type="dxa"/>
            <w:tcBorders>
              <w:top w:val="nil"/>
              <w:left w:val="nil"/>
              <w:bottom w:val="single" w:sz="8" w:space="0" w:color="auto"/>
              <w:right w:val="single" w:sz="8" w:space="0" w:color="auto"/>
            </w:tcBorders>
            <w:shd w:val="clear" w:color="auto" w:fill="auto"/>
            <w:vAlign w:val="center"/>
            <w:hideMark/>
          </w:tcPr>
          <w:p w14:paraId="767900E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721.555,22</w:t>
            </w:r>
          </w:p>
        </w:tc>
        <w:tc>
          <w:tcPr>
            <w:tcW w:w="1647" w:type="dxa"/>
            <w:tcBorders>
              <w:top w:val="nil"/>
              <w:left w:val="nil"/>
              <w:bottom w:val="single" w:sz="8" w:space="0" w:color="auto"/>
              <w:right w:val="single" w:sz="8" w:space="0" w:color="auto"/>
            </w:tcBorders>
            <w:shd w:val="clear" w:color="auto" w:fill="auto"/>
            <w:vAlign w:val="center"/>
            <w:hideMark/>
          </w:tcPr>
          <w:p w14:paraId="1B2387C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-266.729,00</w:t>
            </w:r>
          </w:p>
        </w:tc>
        <w:tc>
          <w:tcPr>
            <w:tcW w:w="1418" w:type="dxa"/>
            <w:tcBorders>
              <w:top w:val="nil"/>
              <w:left w:val="nil"/>
              <w:bottom w:val="single" w:sz="8" w:space="0" w:color="auto"/>
              <w:right w:val="single" w:sz="8" w:space="0" w:color="auto"/>
            </w:tcBorders>
            <w:shd w:val="clear" w:color="auto" w:fill="auto"/>
            <w:vAlign w:val="center"/>
            <w:hideMark/>
          </w:tcPr>
          <w:p w14:paraId="3D1C1D6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-266.729,00</w:t>
            </w:r>
          </w:p>
        </w:tc>
      </w:tr>
      <w:tr w:rsidR="004729C6" w:rsidRPr="008B76D8" w14:paraId="18F4938E" w14:textId="77777777" w:rsidTr="004729C6">
        <w:trPr>
          <w:trHeight w:val="300"/>
        </w:trPr>
        <w:tc>
          <w:tcPr>
            <w:tcW w:w="597" w:type="dxa"/>
            <w:tcBorders>
              <w:top w:val="nil"/>
              <w:left w:val="single" w:sz="8" w:space="0" w:color="auto"/>
              <w:bottom w:val="single" w:sz="8" w:space="0" w:color="auto"/>
              <w:right w:val="nil"/>
            </w:tcBorders>
            <w:shd w:val="clear" w:color="auto" w:fill="auto"/>
            <w:vAlign w:val="center"/>
            <w:hideMark/>
          </w:tcPr>
          <w:p w14:paraId="6489A8E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3221" w:type="dxa"/>
            <w:tcBorders>
              <w:top w:val="nil"/>
              <w:left w:val="nil"/>
              <w:bottom w:val="single" w:sz="8" w:space="0" w:color="auto"/>
              <w:right w:val="nil"/>
            </w:tcBorders>
            <w:shd w:val="clear" w:color="auto" w:fill="auto"/>
            <w:vAlign w:val="center"/>
            <w:hideMark/>
          </w:tcPr>
          <w:p w14:paraId="10227F44"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489" w:type="dxa"/>
            <w:tcBorders>
              <w:top w:val="nil"/>
              <w:left w:val="nil"/>
              <w:bottom w:val="single" w:sz="8" w:space="0" w:color="auto"/>
              <w:right w:val="single" w:sz="8" w:space="0" w:color="auto"/>
            </w:tcBorders>
            <w:shd w:val="clear" w:color="auto" w:fill="auto"/>
            <w:vAlign w:val="center"/>
            <w:hideMark/>
          </w:tcPr>
          <w:p w14:paraId="16790E2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3D20955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60E9DD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19C9725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6034EA9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6917B0E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CE9EA1A"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14:paraId="44C6C807"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r>
      <w:tr w:rsidR="004729C6" w:rsidRPr="008B76D8" w14:paraId="7B3F0E60" w14:textId="77777777" w:rsidTr="004729C6">
        <w:trPr>
          <w:trHeight w:val="48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CD6E59" w14:textId="77777777" w:rsidR="004729C6" w:rsidRPr="008B76D8" w:rsidRDefault="004729C6" w:rsidP="004729C6">
            <w:pPr>
              <w:spacing w:after="0" w:line="240" w:lineRule="auto"/>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 xml:space="preserve">1.4 Întreprinderi care lipsesc din Registrul de stat al persoanelor juridice </w:t>
            </w:r>
          </w:p>
        </w:tc>
        <w:tc>
          <w:tcPr>
            <w:tcW w:w="1489" w:type="dxa"/>
            <w:tcBorders>
              <w:top w:val="nil"/>
              <w:left w:val="nil"/>
              <w:bottom w:val="single" w:sz="8" w:space="0" w:color="auto"/>
              <w:right w:val="single" w:sz="8" w:space="0" w:color="auto"/>
            </w:tcBorders>
            <w:shd w:val="clear" w:color="auto" w:fill="auto"/>
            <w:vAlign w:val="center"/>
            <w:hideMark/>
          </w:tcPr>
          <w:p w14:paraId="590F3C46"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9.869.648,58</w:t>
            </w:r>
          </w:p>
        </w:tc>
        <w:tc>
          <w:tcPr>
            <w:tcW w:w="1353" w:type="dxa"/>
            <w:tcBorders>
              <w:top w:val="nil"/>
              <w:left w:val="nil"/>
              <w:bottom w:val="single" w:sz="8" w:space="0" w:color="auto"/>
              <w:right w:val="single" w:sz="8" w:space="0" w:color="auto"/>
            </w:tcBorders>
            <w:shd w:val="clear" w:color="auto" w:fill="auto"/>
            <w:vAlign w:val="center"/>
            <w:hideMark/>
          </w:tcPr>
          <w:p w14:paraId="388831A8"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9.869.648,58</w:t>
            </w:r>
          </w:p>
        </w:tc>
        <w:tc>
          <w:tcPr>
            <w:tcW w:w="1580" w:type="dxa"/>
            <w:tcBorders>
              <w:top w:val="nil"/>
              <w:left w:val="nil"/>
              <w:bottom w:val="single" w:sz="8" w:space="0" w:color="auto"/>
              <w:right w:val="single" w:sz="8" w:space="0" w:color="auto"/>
            </w:tcBorders>
            <w:shd w:val="clear" w:color="auto" w:fill="auto"/>
            <w:vAlign w:val="center"/>
            <w:hideMark/>
          </w:tcPr>
          <w:p w14:paraId="5BE5C6E8"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9.938.356,26</w:t>
            </w:r>
          </w:p>
        </w:tc>
        <w:tc>
          <w:tcPr>
            <w:tcW w:w="1353" w:type="dxa"/>
            <w:tcBorders>
              <w:top w:val="nil"/>
              <w:left w:val="nil"/>
              <w:bottom w:val="single" w:sz="8" w:space="0" w:color="auto"/>
              <w:right w:val="single" w:sz="8" w:space="0" w:color="auto"/>
            </w:tcBorders>
            <w:shd w:val="clear" w:color="auto" w:fill="auto"/>
            <w:vAlign w:val="center"/>
            <w:hideMark/>
          </w:tcPr>
          <w:p w14:paraId="190C9A0F"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9.938.356,26</w:t>
            </w:r>
          </w:p>
        </w:tc>
        <w:tc>
          <w:tcPr>
            <w:tcW w:w="1580" w:type="dxa"/>
            <w:tcBorders>
              <w:top w:val="nil"/>
              <w:left w:val="nil"/>
              <w:bottom w:val="single" w:sz="8" w:space="0" w:color="auto"/>
              <w:right w:val="single" w:sz="8" w:space="0" w:color="auto"/>
            </w:tcBorders>
            <w:shd w:val="clear" w:color="auto" w:fill="auto"/>
            <w:vAlign w:val="center"/>
            <w:hideMark/>
          </w:tcPr>
          <w:p w14:paraId="137EFAE2"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9.853.161,07</w:t>
            </w:r>
          </w:p>
        </w:tc>
        <w:tc>
          <w:tcPr>
            <w:tcW w:w="1353" w:type="dxa"/>
            <w:tcBorders>
              <w:top w:val="nil"/>
              <w:left w:val="nil"/>
              <w:bottom w:val="single" w:sz="8" w:space="0" w:color="auto"/>
              <w:right w:val="single" w:sz="8" w:space="0" w:color="auto"/>
            </w:tcBorders>
            <w:shd w:val="clear" w:color="auto" w:fill="auto"/>
            <w:vAlign w:val="center"/>
            <w:hideMark/>
          </w:tcPr>
          <w:p w14:paraId="096B63E1" w14:textId="77777777" w:rsidR="004729C6" w:rsidRPr="008B76D8" w:rsidRDefault="004729C6" w:rsidP="004729C6">
            <w:pPr>
              <w:spacing w:after="0" w:line="240" w:lineRule="auto"/>
              <w:jc w:val="right"/>
              <w:rPr>
                <w:rFonts w:ascii="Times New Roman" w:eastAsia="Times New Roman" w:hAnsi="Times New Roman" w:cs="Times New Roman"/>
                <w:b/>
                <w:bCs/>
                <w:i/>
                <w:iCs/>
                <w:color w:val="000000"/>
                <w:sz w:val="18"/>
                <w:szCs w:val="18"/>
              </w:rPr>
            </w:pPr>
            <w:r w:rsidRPr="008B76D8">
              <w:rPr>
                <w:rFonts w:ascii="Times New Roman" w:eastAsia="Times New Roman" w:hAnsi="Times New Roman" w:cs="Times New Roman"/>
                <w:b/>
                <w:bCs/>
                <w:i/>
                <w:iCs/>
                <w:color w:val="000000"/>
                <w:sz w:val="18"/>
                <w:szCs w:val="18"/>
              </w:rPr>
              <w:t>9.853.161,07</w:t>
            </w:r>
          </w:p>
        </w:tc>
        <w:tc>
          <w:tcPr>
            <w:tcW w:w="1647" w:type="dxa"/>
            <w:tcBorders>
              <w:top w:val="nil"/>
              <w:left w:val="nil"/>
              <w:bottom w:val="single" w:sz="8" w:space="0" w:color="auto"/>
              <w:right w:val="single" w:sz="8" w:space="0" w:color="auto"/>
            </w:tcBorders>
            <w:shd w:val="clear" w:color="auto" w:fill="auto"/>
            <w:vAlign w:val="center"/>
            <w:hideMark/>
          </w:tcPr>
          <w:p w14:paraId="77E375EB"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-85.195,19</w:t>
            </w:r>
          </w:p>
        </w:tc>
        <w:tc>
          <w:tcPr>
            <w:tcW w:w="1418" w:type="dxa"/>
            <w:tcBorders>
              <w:top w:val="nil"/>
              <w:left w:val="nil"/>
              <w:bottom w:val="single" w:sz="8" w:space="0" w:color="auto"/>
              <w:right w:val="single" w:sz="8" w:space="0" w:color="auto"/>
            </w:tcBorders>
            <w:shd w:val="clear" w:color="auto" w:fill="auto"/>
            <w:vAlign w:val="center"/>
            <w:hideMark/>
          </w:tcPr>
          <w:p w14:paraId="6C2FA7A3"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-85.195,19</w:t>
            </w:r>
          </w:p>
        </w:tc>
      </w:tr>
      <w:tr w:rsidR="004729C6" w:rsidRPr="008B76D8" w14:paraId="585DB0C8"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3D1763F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nil"/>
              <w:bottom w:val="single" w:sz="8" w:space="0" w:color="auto"/>
              <w:right w:val="single" w:sz="8" w:space="0" w:color="auto"/>
            </w:tcBorders>
            <w:shd w:val="clear" w:color="auto" w:fill="auto"/>
            <w:vAlign w:val="center"/>
            <w:hideMark/>
          </w:tcPr>
          <w:p w14:paraId="45622A7B" w14:textId="36B05BE8" w:rsidR="004729C6" w:rsidRPr="008B76D8" w:rsidRDefault="00791937" w:rsidP="00791937">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xml:space="preserve">SA </w:t>
            </w:r>
            <w:r w:rsidRPr="008B76D8">
              <w:rPr>
                <w:rFonts w:ascii="Times New Roman" w:eastAsia="Times New Roman" w:hAnsi="Times New Roman" w:cs="Times New Roman"/>
                <w:color w:val="000000"/>
                <w:sz w:val="18"/>
                <w:szCs w:val="18"/>
                <w:lang w:val="ro-MD"/>
              </w:rPr>
              <w:t>„</w:t>
            </w:r>
            <w:r w:rsidR="004729C6" w:rsidRPr="008B76D8">
              <w:rPr>
                <w:rFonts w:ascii="Times New Roman" w:eastAsia="Times New Roman" w:hAnsi="Times New Roman" w:cs="Times New Roman"/>
                <w:color w:val="000000"/>
                <w:sz w:val="18"/>
                <w:szCs w:val="18"/>
              </w:rPr>
              <w:t>Văleni"</w:t>
            </w:r>
          </w:p>
        </w:tc>
        <w:tc>
          <w:tcPr>
            <w:tcW w:w="1489" w:type="dxa"/>
            <w:tcBorders>
              <w:top w:val="nil"/>
              <w:left w:val="nil"/>
              <w:bottom w:val="single" w:sz="8" w:space="0" w:color="auto"/>
              <w:right w:val="single" w:sz="8" w:space="0" w:color="auto"/>
            </w:tcBorders>
            <w:shd w:val="clear" w:color="auto" w:fill="auto"/>
            <w:vAlign w:val="center"/>
            <w:hideMark/>
          </w:tcPr>
          <w:p w14:paraId="62049C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863.050,58</w:t>
            </w:r>
          </w:p>
        </w:tc>
        <w:tc>
          <w:tcPr>
            <w:tcW w:w="1353" w:type="dxa"/>
            <w:tcBorders>
              <w:top w:val="nil"/>
              <w:left w:val="nil"/>
              <w:bottom w:val="single" w:sz="8" w:space="0" w:color="auto"/>
              <w:right w:val="single" w:sz="8" w:space="0" w:color="auto"/>
            </w:tcBorders>
            <w:shd w:val="clear" w:color="auto" w:fill="auto"/>
            <w:vAlign w:val="center"/>
            <w:hideMark/>
          </w:tcPr>
          <w:p w14:paraId="65EC49B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863.050,58</w:t>
            </w:r>
          </w:p>
        </w:tc>
        <w:tc>
          <w:tcPr>
            <w:tcW w:w="1580" w:type="dxa"/>
            <w:tcBorders>
              <w:top w:val="nil"/>
              <w:left w:val="nil"/>
              <w:bottom w:val="single" w:sz="8" w:space="0" w:color="auto"/>
              <w:right w:val="single" w:sz="8" w:space="0" w:color="auto"/>
            </w:tcBorders>
            <w:shd w:val="clear" w:color="auto" w:fill="auto"/>
            <w:vAlign w:val="center"/>
            <w:hideMark/>
          </w:tcPr>
          <w:p w14:paraId="34D446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931.758,26</w:t>
            </w:r>
          </w:p>
        </w:tc>
        <w:tc>
          <w:tcPr>
            <w:tcW w:w="1353" w:type="dxa"/>
            <w:tcBorders>
              <w:top w:val="nil"/>
              <w:left w:val="nil"/>
              <w:bottom w:val="single" w:sz="8" w:space="0" w:color="auto"/>
              <w:right w:val="single" w:sz="8" w:space="0" w:color="auto"/>
            </w:tcBorders>
            <w:shd w:val="clear" w:color="auto" w:fill="auto"/>
            <w:vAlign w:val="center"/>
            <w:hideMark/>
          </w:tcPr>
          <w:p w14:paraId="4E94E04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931.758,26</w:t>
            </w:r>
          </w:p>
        </w:tc>
        <w:tc>
          <w:tcPr>
            <w:tcW w:w="1580" w:type="dxa"/>
            <w:tcBorders>
              <w:top w:val="nil"/>
              <w:left w:val="nil"/>
              <w:bottom w:val="single" w:sz="8" w:space="0" w:color="auto"/>
              <w:right w:val="single" w:sz="8" w:space="0" w:color="auto"/>
            </w:tcBorders>
            <w:shd w:val="clear" w:color="auto" w:fill="auto"/>
            <w:vAlign w:val="center"/>
            <w:hideMark/>
          </w:tcPr>
          <w:p w14:paraId="406CB28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846.563,07</w:t>
            </w:r>
          </w:p>
        </w:tc>
        <w:tc>
          <w:tcPr>
            <w:tcW w:w="1353" w:type="dxa"/>
            <w:tcBorders>
              <w:top w:val="nil"/>
              <w:left w:val="nil"/>
              <w:bottom w:val="single" w:sz="8" w:space="0" w:color="auto"/>
              <w:right w:val="single" w:sz="8" w:space="0" w:color="auto"/>
            </w:tcBorders>
            <w:shd w:val="clear" w:color="auto" w:fill="auto"/>
            <w:vAlign w:val="center"/>
            <w:hideMark/>
          </w:tcPr>
          <w:p w14:paraId="250A8BE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846.563,07</w:t>
            </w:r>
          </w:p>
        </w:tc>
        <w:tc>
          <w:tcPr>
            <w:tcW w:w="1647" w:type="dxa"/>
            <w:tcBorders>
              <w:top w:val="nil"/>
              <w:left w:val="nil"/>
              <w:bottom w:val="single" w:sz="8" w:space="0" w:color="auto"/>
              <w:right w:val="single" w:sz="8" w:space="0" w:color="auto"/>
            </w:tcBorders>
            <w:shd w:val="clear" w:color="auto" w:fill="auto"/>
            <w:vAlign w:val="center"/>
            <w:hideMark/>
          </w:tcPr>
          <w:p w14:paraId="20A553F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-85.195,19</w:t>
            </w:r>
          </w:p>
        </w:tc>
        <w:tc>
          <w:tcPr>
            <w:tcW w:w="1418" w:type="dxa"/>
            <w:tcBorders>
              <w:top w:val="nil"/>
              <w:left w:val="nil"/>
              <w:bottom w:val="single" w:sz="8" w:space="0" w:color="auto"/>
              <w:right w:val="single" w:sz="8" w:space="0" w:color="auto"/>
            </w:tcBorders>
            <w:shd w:val="clear" w:color="auto" w:fill="auto"/>
            <w:vAlign w:val="center"/>
            <w:hideMark/>
          </w:tcPr>
          <w:p w14:paraId="0191FB2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-85.195,19</w:t>
            </w:r>
          </w:p>
        </w:tc>
      </w:tr>
      <w:tr w:rsidR="004729C6" w:rsidRPr="008B76D8" w14:paraId="6A31B27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D53D4C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nil"/>
              <w:left w:val="nil"/>
              <w:bottom w:val="single" w:sz="8" w:space="0" w:color="auto"/>
              <w:right w:val="single" w:sz="8" w:space="0" w:color="auto"/>
            </w:tcBorders>
            <w:shd w:val="clear" w:color="auto" w:fill="auto"/>
            <w:vAlign w:val="center"/>
            <w:hideMark/>
          </w:tcPr>
          <w:p w14:paraId="3416BFB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IS CPC Bender</w:t>
            </w:r>
          </w:p>
        </w:tc>
        <w:tc>
          <w:tcPr>
            <w:tcW w:w="1489" w:type="dxa"/>
            <w:tcBorders>
              <w:top w:val="nil"/>
              <w:left w:val="nil"/>
              <w:bottom w:val="single" w:sz="8" w:space="0" w:color="auto"/>
              <w:right w:val="single" w:sz="8" w:space="0" w:color="auto"/>
            </w:tcBorders>
            <w:shd w:val="clear" w:color="auto" w:fill="auto"/>
            <w:vAlign w:val="center"/>
            <w:hideMark/>
          </w:tcPr>
          <w:p w14:paraId="67C5BF1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353" w:type="dxa"/>
            <w:tcBorders>
              <w:top w:val="nil"/>
              <w:left w:val="nil"/>
              <w:bottom w:val="single" w:sz="8" w:space="0" w:color="auto"/>
              <w:right w:val="single" w:sz="8" w:space="0" w:color="auto"/>
            </w:tcBorders>
            <w:shd w:val="clear" w:color="auto" w:fill="auto"/>
            <w:vAlign w:val="center"/>
            <w:hideMark/>
          </w:tcPr>
          <w:p w14:paraId="2841FAD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580" w:type="dxa"/>
            <w:tcBorders>
              <w:top w:val="nil"/>
              <w:left w:val="nil"/>
              <w:bottom w:val="single" w:sz="8" w:space="0" w:color="auto"/>
              <w:right w:val="single" w:sz="8" w:space="0" w:color="auto"/>
            </w:tcBorders>
            <w:shd w:val="clear" w:color="auto" w:fill="auto"/>
            <w:vAlign w:val="center"/>
            <w:hideMark/>
          </w:tcPr>
          <w:p w14:paraId="0640667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353" w:type="dxa"/>
            <w:tcBorders>
              <w:top w:val="nil"/>
              <w:left w:val="nil"/>
              <w:bottom w:val="single" w:sz="8" w:space="0" w:color="auto"/>
              <w:right w:val="single" w:sz="8" w:space="0" w:color="auto"/>
            </w:tcBorders>
            <w:shd w:val="clear" w:color="auto" w:fill="auto"/>
            <w:vAlign w:val="center"/>
            <w:hideMark/>
          </w:tcPr>
          <w:p w14:paraId="6FA6C53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580" w:type="dxa"/>
            <w:tcBorders>
              <w:top w:val="nil"/>
              <w:left w:val="nil"/>
              <w:bottom w:val="single" w:sz="8" w:space="0" w:color="auto"/>
              <w:right w:val="single" w:sz="8" w:space="0" w:color="auto"/>
            </w:tcBorders>
            <w:shd w:val="clear" w:color="auto" w:fill="auto"/>
            <w:vAlign w:val="center"/>
            <w:hideMark/>
          </w:tcPr>
          <w:p w14:paraId="6BE859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353" w:type="dxa"/>
            <w:tcBorders>
              <w:top w:val="nil"/>
              <w:left w:val="nil"/>
              <w:bottom w:val="single" w:sz="8" w:space="0" w:color="auto"/>
              <w:right w:val="single" w:sz="8" w:space="0" w:color="auto"/>
            </w:tcBorders>
            <w:shd w:val="clear" w:color="auto" w:fill="auto"/>
            <w:vAlign w:val="center"/>
            <w:hideMark/>
          </w:tcPr>
          <w:p w14:paraId="4BABFBD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9.006.598,00</w:t>
            </w:r>
          </w:p>
        </w:tc>
        <w:tc>
          <w:tcPr>
            <w:tcW w:w="1647" w:type="dxa"/>
            <w:tcBorders>
              <w:top w:val="nil"/>
              <w:left w:val="nil"/>
              <w:bottom w:val="single" w:sz="8" w:space="0" w:color="auto"/>
              <w:right w:val="single" w:sz="8" w:space="0" w:color="auto"/>
            </w:tcBorders>
            <w:shd w:val="clear" w:color="auto" w:fill="auto"/>
            <w:vAlign w:val="center"/>
            <w:hideMark/>
          </w:tcPr>
          <w:p w14:paraId="1FE95E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56C8A36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617209C" w14:textId="77777777" w:rsidTr="004729C6">
        <w:trPr>
          <w:trHeight w:val="300"/>
        </w:trPr>
        <w:tc>
          <w:tcPr>
            <w:tcW w:w="597" w:type="dxa"/>
            <w:tcBorders>
              <w:top w:val="nil"/>
              <w:left w:val="single" w:sz="8" w:space="0" w:color="auto"/>
              <w:bottom w:val="single" w:sz="8" w:space="0" w:color="auto"/>
              <w:right w:val="nil"/>
            </w:tcBorders>
            <w:shd w:val="clear" w:color="auto" w:fill="auto"/>
            <w:vAlign w:val="center"/>
            <w:hideMark/>
          </w:tcPr>
          <w:p w14:paraId="0F981F0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3221" w:type="dxa"/>
            <w:tcBorders>
              <w:top w:val="nil"/>
              <w:left w:val="nil"/>
              <w:bottom w:val="single" w:sz="8" w:space="0" w:color="auto"/>
              <w:right w:val="nil"/>
            </w:tcBorders>
            <w:shd w:val="clear" w:color="auto" w:fill="auto"/>
            <w:vAlign w:val="center"/>
            <w:hideMark/>
          </w:tcPr>
          <w:p w14:paraId="59EA1D70"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489" w:type="dxa"/>
            <w:tcBorders>
              <w:top w:val="nil"/>
              <w:left w:val="nil"/>
              <w:bottom w:val="single" w:sz="8" w:space="0" w:color="auto"/>
              <w:right w:val="single" w:sz="8" w:space="0" w:color="auto"/>
            </w:tcBorders>
            <w:shd w:val="clear" w:color="auto" w:fill="auto"/>
            <w:vAlign w:val="center"/>
            <w:hideMark/>
          </w:tcPr>
          <w:p w14:paraId="057834B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6F8C3BC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1DF456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1D77162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C9AA35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537A6A5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A4EB578"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14:paraId="58948DF7"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r>
      <w:tr w:rsidR="004729C6" w:rsidRPr="008B76D8" w14:paraId="601B9969" w14:textId="77777777" w:rsidTr="004729C6">
        <w:trPr>
          <w:trHeight w:val="300"/>
        </w:trPr>
        <w:tc>
          <w:tcPr>
            <w:tcW w:w="3818" w:type="dxa"/>
            <w:gridSpan w:val="2"/>
            <w:tcBorders>
              <w:top w:val="single" w:sz="8" w:space="0" w:color="auto"/>
              <w:left w:val="single" w:sz="8" w:space="0" w:color="auto"/>
              <w:bottom w:val="single" w:sz="8" w:space="0" w:color="auto"/>
              <w:right w:val="nil"/>
            </w:tcBorders>
            <w:shd w:val="clear" w:color="auto" w:fill="auto"/>
            <w:vAlign w:val="center"/>
            <w:hideMark/>
          </w:tcPr>
          <w:p w14:paraId="504ADF61"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xml:space="preserve">II. Autoritățile Publice Locale </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63687CDB"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615.123.543,74</w:t>
            </w:r>
          </w:p>
        </w:tc>
        <w:tc>
          <w:tcPr>
            <w:tcW w:w="1353" w:type="dxa"/>
            <w:tcBorders>
              <w:top w:val="nil"/>
              <w:left w:val="nil"/>
              <w:bottom w:val="single" w:sz="8" w:space="0" w:color="auto"/>
              <w:right w:val="single" w:sz="8" w:space="0" w:color="auto"/>
            </w:tcBorders>
            <w:shd w:val="clear" w:color="auto" w:fill="auto"/>
            <w:vAlign w:val="center"/>
            <w:hideMark/>
          </w:tcPr>
          <w:p w14:paraId="3A8AB7A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4.005.387,37</w:t>
            </w:r>
          </w:p>
        </w:tc>
        <w:tc>
          <w:tcPr>
            <w:tcW w:w="1580" w:type="dxa"/>
            <w:tcBorders>
              <w:top w:val="nil"/>
              <w:left w:val="nil"/>
              <w:bottom w:val="single" w:sz="8" w:space="0" w:color="auto"/>
              <w:right w:val="single" w:sz="8" w:space="0" w:color="auto"/>
            </w:tcBorders>
            <w:shd w:val="clear" w:color="auto" w:fill="auto"/>
            <w:vAlign w:val="center"/>
            <w:hideMark/>
          </w:tcPr>
          <w:p w14:paraId="76B33556"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562.483.630,91</w:t>
            </w:r>
          </w:p>
        </w:tc>
        <w:tc>
          <w:tcPr>
            <w:tcW w:w="1353" w:type="dxa"/>
            <w:tcBorders>
              <w:top w:val="nil"/>
              <w:left w:val="nil"/>
              <w:bottom w:val="single" w:sz="8" w:space="0" w:color="auto"/>
              <w:right w:val="single" w:sz="8" w:space="0" w:color="auto"/>
            </w:tcBorders>
            <w:shd w:val="clear" w:color="auto" w:fill="auto"/>
            <w:vAlign w:val="center"/>
            <w:hideMark/>
          </w:tcPr>
          <w:p w14:paraId="541217A1"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7.396.906,45</w:t>
            </w:r>
          </w:p>
        </w:tc>
        <w:tc>
          <w:tcPr>
            <w:tcW w:w="1580" w:type="dxa"/>
            <w:tcBorders>
              <w:top w:val="nil"/>
              <w:left w:val="nil"/>
              <w:bottom w:val="single" w:sz="8" w:space="0" w:color="auto"/>
              <w:right w:val="single" w:sz="8" w:space="0" w:color="auto"/>
            </w:tcBorders>
            <w:shd w:val="clear" w:color="auto" w:fill="auto"/>
            <w:vAlign w:val="center"/>
            <w:hideMark/>
          </w:tcPr>
          <w:p w14:paraId="55217133"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460.900.149,56</w:t>
            </w:r>
          </w:p>
        </w:tc>
        <w:tc>
          <w:tcPr>
            <w:tcW w:w="1353" w:type="dxa"/>
            <w:tcBorders>
              <w:top w:val="nil"/>
              <w:left w:val="nil"/>
              <w:bottom w:val="single" w:sz="8" w:space="0" w:color="auto"/>
              <w:right w:val="single" w:sz="8" w:space="0" w:color="auto"/>
            </w:tcBorders>
            <w:shd w:val="clear" w:color="auto" w:fill="auto"/>
            <w:vAlign w:val="center"/>
            <w:hideMark/>
          </w:tcPr>
          <w:p w14:paraId="7F009913"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8.440.139,31</w:t>
            </w:r>
          </w:p>
        </w:tc>
        <w:tc>
          <w:tcPr>
            <w:tcW w:w="1647" w:type="dxa"/>
            <w:tcBorders>
              <w:top w:val="nil"/>
              <w:left w:val="nil"/>
              <w:bottom w:val="single" w:sz="8" w:space="0" w:color="auto"/>
              <w:right w:val="single" w:sz="8" w:space="0" w:color="auto"/>
            </w:tcBorders>
            <w:shd w:val="clear" w:color="auto" w:fill="auto"/>
            <w:vAlign w:val="center"/>
            <w:hideMark/>
          </w:tcPr>
          <w:p w14:paraId="54FD6F27"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-101.583.481,35</w:t>
            </w:r>
          </w:p>
        </w:tc>
        <w:tc>
          <w:tcPr>
            <w:tcW w:w="1418" w:type="dxa"/>
            <w:tcBorders>
              <w:top w:val="nil"/>
              <w:left w:val="nil"/>
              <w:bottom w:val="single" w:sz="8" w:space="0" w:color="auto"/>
              <w:right w:val="single" w:sz="8" w:space="0" w:color="auto"/>
            </w:tcBorders>
            <w:shd w:val="clear" w:color="auto" w:fill="auto"/>
            <w:vAlign w:val="center"/>
            <w:hideMark/>
          </w:tcPr>
          <w:p w14:paraId="199E11BF"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1.043.232,86</w:t>
            </w:r>
          </w:p>
        </w:tc>
      </w:tr>
      <w:tr w:rsidR="004729C6" w:rsidRPr="008B76D8" w14:paraId="6C022537"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DD946D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nil"/>
              <w:bottom w:val="single" w:sz="8" w:space="0" w:color="auto"/>
              <w:right w:val="single" w:sz="8" w:space="0" w:color="auto"/>
            </w:tcBorders>
            <w:shd w:val="clear" w:color="auto" w:fill="auto"/>
            <w:vAlign w:val="center"/>
            <w:hideMark/>
          </w:tcPr>
          <w:p w14:paraId="3380271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Anenii Noi</w:t>
            </w:r>
          </w:p>
        </w:tc>
        <w:tc>
          <w:tcPr>
            <w:tcW w:w="1489" w:type="dxa"/>
            <w:tcBorders>
              <w:top w:val="nil"/>
              <w:left w:val="nil"/>
              <w:bottom w:val="single" w:sz="8" w:space="0" w:color="auto"/>
              <w:right w:val="single" w:sz="8" w:space="0" w:color="auto"/>
            </w:tcBorders>
            <w:shd w:val="clear" w:color="auto" w:fill="auto"/>
            <w:vAlign w:val="center"/>
            <w:hideMark/>
          </w:tcPr>
          <w:p w14:paraId="5669380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6.073.335,40</w:t>
            </w:r>
          </w:p>
        </w:tc>
        <w:tc>
          <w:tcPr>
            <w:tcW w:w="1353" w:type="dxa"/>
            <w:tcBorders>
              <w:top w:val="nil"/>
              <w:left w:val="nil"/>
              <w:bottom w:val="single" w:sz="8" w:space="0" w:color="auto"/>
              <w:right w:val="single" w:sz="8" w:space="0" w:color="auto"/>
            </w:tcBorders>
            <w:shd w:val="clear" w:color="auto" w:fill="auto"/>
            <w:vAlign w:val="center"/>
            <w:hideMark/>
          </w:tcPr>
          <w:p w14:paraId="1D987DF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E24BFB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4.685.006,97</w:t>
            </w:r>
          </w:p>
        </w:tc>
        <w:tc>
          <w:tcPr>
            <w:tcW w:w="1353" w:type="dxa"/>
            <w:tcBorders>
              <w:top w:val="nil"/>
              <w:left w:val="nil"/>
              <w:bottom w:val="single" w:sz="8" w:space="0" w:color="auto"/>
              <w:right w:val="single" w:sz="8" w:space="0" w:color="auto"/>
            </w:tcBorders>
            <w:shd w:val="clear" w:color="auto" w:fill="auto"/>
            <w:vAlign w:val="center"/>
            <w:hideMark/>
          </w:tcPr>
          <w:p w14:paraId="62DB097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808347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2.553.994,32</w:t>
            </w:r>
          </w:p>
        </w:tc>
        <w:tc>
          <w:tcPr>
            <w:tcW w:w="1353" w:type="dxa"/>
            <w:tcBorders>
              <w:top w:val="nil"/>
              <w:left w:val="nil"/>
              <w:bottom w:val="single" w:sz="8" w:space="0" w:color="auto"/>
              <w:right w:val="single" w:sz="8" w:space="0" w:color="auto"/>
            </w:tcBorders>
            <w:shd w:val="clear" w:color="auto" w:fill="auto"/>
            <w:vAlign w:val="center"/>
            <w:hideMark/>
          </w:tcPr>
          <w:p w14:paraId="3DD17F3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90A2D7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-2.131.012,65</w:t>
            </w:r>
          </w:p>
        </w:tc>
        <w:tc>
          <w:tcPr>
            <w:tcW w:w="1418" w:type="dxa"/>
            <w:tcBorders>
              <w:top w:val="nil"/>
              <w:left w:val="nil"/>
              <w:bottom w:val="single" w:sz="8" w:space="0" w:color="auto"/>
              <w:right w:val="single" w:sz="8" w:space="0" w:color="auto"/>
            </w:tcBorders>
            <w:shd w:val="clear" w:color="auto" w:fill="auto"/>
            <w:vAlign w:val="center"/>
            <w:hideMark/>
          </w:tcPr>
          <w:p w14:paraId="067FB2F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4880DF0"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295AAD9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nil"/>
              <w:left w:val="nil"/>
              <w:bottom w:val="single" w:sz="8" w:space="0" w:color="auto"/>
              <w:right w:val="single" w:sz="8" w:space="0" w:color="auto"/>
            </w:tcBorders>
            <w:shd w:val="clear" w:color="auto" w:fill="auto"/>
            <w:vAlign w:val="center"/>
            <w:hideMark/>
          </w:tcPr>
          <w:p w14:paraId="16C3129D"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Cimișlia</w:t>
            </w:r>
          </w:p>
        </w:tc>
        <w:tc>
          <w:tcPr>
            <w:tcW w:w="1489" w:type="dxa"/>
            <w:tcBorders>
              <w:top w:val="nil"/>
              <w:left w:val="nil"/>
              <w:bottom w:val="single" w:sz="8" w:space="0" w:color="auto"/>
              <w:right w:val="single" w:sz="8" w:space="0" w:color="auto"/>
            </w:tcBorders>
            <w:shd w:val="clear" w:color="auto" w:fill="auto"/>
            <w:vAlign w:val="center"/>
            <w:hideMark/>
          </w:tcPr>
          <w:p w14:paraId="54ADDBD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21.353.344,60</w:t>
            </w:r>
          </w:p>
        </w:tc>
        <w:tc>
          <w:tcPr>
            <w:tcW w:w="1353" w:type="dxa"/>
            <w:tcBorders>
              <w:top w:val="nil"/>
              <w:left w:val="nil"/>
              <w:bottom w:val="single" w:sz="8" w:space="0" w:color="auto"/>
              <w:right w:val="single" w:sz="8" w:space="0" w:color="auto"/>
            </w:tcBorders>
            <w:shd w:val="clear" w:color="auto" w:fill="auto"/>
            <w:vAlign w:val="center"/>
            <w:hideMark/>
          </w:tcPr>
          <w:p w14:paraId="2CD69F0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40A032B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19.360.184,85</w:t>
            </w:r>
          </w:p>
        </w:tc>
        <w:tc>
          <w:tcPr>
            <w:tcW w:w="1353" w:type="dxa"/>
            <w:tcBorders>
              <w:top w:val="nil"/>
              <w:left w:val="nil"/>
              <w:bottom w:val="single" w:sz="8" w:space="0" w:color="auto"/>
              <w:right w:val="single" w:sz="8" w:space="0" w:color="auto"/>
            </w:tcBorders>
            <w:shd w:val="clear" w:color="auto" w:fill="auto"/>
            <w:vAlign w:val="center"/>
            <w:hideMark/>
          </w:tcPr>
          <w:p w14:paraId="5CC6D9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38816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15.551.560,54</w:t>
            </w:r>
          </w:p>
        </w:tc>
        <w:tc>
          <w:tcPr>
            <w:tcW w:w="1353" w:type="dxa"/>
            <w:tcBorders>
              <w:top w:val="nil"/>
              <w:left w:val="nil"/>
              <w:bottom w:val="single" w:sz="8" w:space="0" w:color="auto"/>
              <w:right w:val="single" w:sz="8" w:space="0" w:color="auto"/>
            </w:tcBorders>
            <w:shd w:val="clear" w:color="auto" w:fill="auto"/>
            <w:vAlign w:val="center"/>
            <w:hideMark/>
          </w:tcPr>
          <w:p w14:paraId="26D05E3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2BA191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-3.808.624,31</w:t>
            </w:r>
          </w:p>
        </w:tc>
        <w:tc>
          <w:tcPr>
            <w:tcW w:w="1418" w:type="dxa"/>
            <w:tcBorders>
              <w:top w:val="nil"/>
              <w:left w:val="nil"/>
              <w:bottom w:val="single" w:sz="8" w:space="0" w:color="auto"/>
              <w:right w:val="single" w:sz="8" w:space="0" w:color="auto"/>
            </w:tcBorders>
            <w:shd w:val="clear" w:color="auto" w:fill="auto"/>
            <w:vAlign w:val="center"/>
            <w:hideMark/>
          </w:tcPr>
          <w:p w14:paraId="5860CC3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0F852CF6"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8B787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w:t>
            </w:r>
          </w:p>
        </w:tc>
        <w:tc>
          <w:tcPr>
            <w:tcW w:w="3221" w:type="dxa"/>
            <w:tcBorders>
              <w:top w:val="nil"/>
              <w:left w:val="nil"/>
              <w:bottom w:val="single" w:sz="8" w:space="0" w:color="auto"/>
              <w:right w:val="single" w:sz="8" w:space="0" w:color="auto"/>
            </w:tcBorders>
            <w:shd w:val="clear" w:color="auto" w:fill="auto"/>
            <w:vAlign w:val="center"/>
            <w:hideMark/>
          </w:tcPr>
          <w:p w14:paraId="7B9A5E7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Drochia</w:t>
            </w:r>
          </w:p>
        </w:tc>
        <w:tc>
          <w:tcPr>
            <w:tcW w:w="1489" w:type="dxa"/>
            <w:tcBorders>
              <w:top w:val="nil"/>
              <w:left w:val="nil"/>
              <w:bottom w:val="single" w:sz="8" w:space="0" w:color="auto"/>
              <w:right w:val="single" w:sz="8" w:space="0" w:color="auto"/>
            </w:tcBorders>
            <w:shd w:val="clear" w:color="auto" w:fill="auto"/>
            <w:vAlign w:val="center"/>
            <w:hideMark/>
          </w:tcPr>
          <w:p w14:paraId="6C274CF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18.314.824,47</w:t>
            </w:r>
          </w:p>
        </w:tc>
        <w:tc>
          <w:tcPr>
            <w:tcW w:w="1353" w:type="dxa"/>
            <w:tcBorders>
              <w:top w:val="nil"/>
              <w:left w:val="nil"/>
              <w:bottom w:val="single" w:sz="8" w:space="0" w:color="auto"/>
              <w:right w:val="single" w:sz="8" w:space="0" w:color="auto"/>
            </w:tcBorders>
            <w:shd w:val="clear" w:color="auto" w:fill="auto"/>
            <w:vAlign w:val="center"/>
            <w:hideMark/>
          </w:tcPr>
          <w:p w14:paraId="3AC0165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626D30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14.202.917,79</w:t>
            </w:r>
          </w:p>
        </w:tc>
        <w:tc>
          <w:tcPr>
            <w:tcW w:w="1353" w:type="dxa"/>
            <w:tcBorders>
              <w:top w:val="nil"/>
              <w:left w:val="nil"/>
              <w:bottom w:val="single" w:sz="8" w:space="0" w:color="auto"/>
              <w:right w:val="single" w:sz="8" w:space="0" w:color="auto"/>
            </w:tcBorders>
            <w:shd w:val="clear" w:color="auto" w:fill="auto"/>
            <w:vAlign w:val="center"/>
            <w:hideMark/>
          </w:tcPr>
          <w:p w14:paraId="4A7A032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1.021.002,85</w:t>
            </w:r>
          </w:p>
        </w:tc>
        <w:tc>
          <w:tcPr>
            <w:tcW w:w="1580" w:type="dxa"/>
            <w:tcBorders>
              <w:top w:val="nil"/>
              <w:left w:val="nil"/>
              <w:bottom w:val="single" w:sz="8" w:space="0" w:color="auto"/>
              <w:right w:val="single" w:sz="8" w:space="0" w:color="auto"/>
            </w:tcBorders>
            <w:shd w:val="clear" w:color="auto" w:fill="auto"/>
            <w:vAlign w:val="center"/>
            <w:hideMark/>
          </w:tcPr>
          <w:p w14:paraId="45D7490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6.279.230,43</w:t>
            </w:r>
          </w:p>
        </w:tc>
        <w:tc>
          <w:tcPr>
            <w:tcW w:w="1353" w:type="dxa"/>
            <w:tcBorders>
              <w:top w:val="nil"/>
              <w:left w:val="nil"/>
              <w:bottom w:val="single" w:sz="8" w:space="0" w:color="auto"/>
              <w:right w:val="single" w:sz="8" w:space="0" w:color="auto"/>
            </w:tcBorders>
            <w:shd w:val="clear" w:color="auto" w:fill="auto"/>
            <w:vAlign w:val="center"/>
            <w:hideMark/>
          </w:tcPr>
          <w:p w14:paraId="6F19804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290.916,26</w:t>
            </w:r>
          </w:p>
        </w:tc>
        <w:tc>
          <w:tcPr>
            <w:tcW w:w="1647" w:type="dxa"/>
            <w:tcBorders>
              <w:top w:val="nil"/>
              <w:left w:val="nil"/>
              <w:bottom w:val="single" w:sz="8" w:space="0" w:color="auto"/>
              <w:right w:val="single" w:sz="8" w:space="0" w:color="auto"/>
            </w:tcBorders>
            <w:shd w:val="clear" w:color="auto" w:fill="auto"/>
            <w:vAlign w:val="center"/>
            <w:hideMark/>
          </w:tcPr>
          <w:p w14:paraId="405B5C3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-7.923.687,36</w:t>
            </w:r>
          </w:p>
        </w:tc>
        <w:tc>
          <w:tcPr>
            <w:tcW w:w="1418" w:type="dxa"/>
            <w:tcBorders>
              <w:top w:val="nil"/>
              <w:left w:val="nil"/>
              <w:bottom w:val="single" w:sz="8" w:space="0" w:color="auto"/>
              <w:right w:val="single" w:sz="8" w:space="0" w:color="auto"/>
            </w:tcBorders>
            <w:shd w:val="clear" w:color="auto" w:fill="auto"/>
            <w:vAlign w:val="center"/>
            <w:hideMark/>
          </w:tcPr>
          <w:p w14:paraId="0BEC9E6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-730.086,59</w:t>
            </w:r>
          </w:p>
        </w:tc>
      </w:tr>
      <w:tr w:rsidR="004729C6" w:rsidRPr="008B76D8" w14:paraId="2C120213"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31A898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w:t>
            </w:r>
          </w:p>
        </w:tc>
        <w:tc>
          <w:tcPr>
            <w:tcW w:w="3221" w:type="dxa"/>
            <w:tcBorders>
              <w:top w:val="nil"/>
              <w:left w:val="nil"/>
              <w:bottom w:val="single" w:sz="8" w:space="0" w:color="auto"/>
              <w:right w:val="single" w:sz="8" w:space="0" w:color="auto"/>
            </w:tcBorders>
            <w:shd w:val="clear" w:color="auto" w:fill="auto"/>
            <w:vAlign w:val="center"/>
            <w:hideMark/>
          </w:tcPr>
          <w:p w14:paraId="2C1B91D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Ocnița</w:t>
            </w:r>
          </w:p>
        </w:tc>
        <w:tc>
          <w:tcPr>
            <w:tcW w:w="1489" w:type="dxa"/>
            <w:tcBorders>
              <w:top w:val="nil"/>
              <w:left w:val="nil"/>
              <w:bottom w:val="single" w:sz="8" w:space="0" w:color="auto"/>
              <w:right w:val="single" w:sz="8" w:space="0" w:color="auto"/>
            </w:tcBorders>
            <w:shd w:val="clear" w:color="auto" w:fill="auto"/>
            <w:vAlign w:val="center"/>
            <w:hideMark/>
          </w:tcPr>
          <w:p w14:paraId="38B6674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3.391.916,90</w:t>
            </w:r>
          </w:p>
        </w:tc>
        <w:tc>
          <w:tcPr>
            <w:tcW w:w="1353" w:type="dxa"/>
            <w:tcBorders>
              <w:top w:val="nil"/>
              <w:left w:val="nil"/>
              <w:bottom w:val="single" w:sz="8" w:space="0" w:color="auto"/>
              <w:right w:val="single" w:sz="8" w:space="0" w:color="auto"/>
            </w:tcBorders>
            <w:shd w:val="clear" w:color="auto" w:fill="auto"/>
            <w:vAlign w:val="center"/>
            <w:hideMark/>
          </w:tcPr>
          <w:p w14:paraId="48A509E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E79A71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2.441.298,86</w:t>
            </w:r>
          </w:p>
        </w:tc>
        <w:tc>
          <w:tcPr>
            <w:tcW w:w="1353" w:type="dxa"/>
            <w:tcBorders>
              <w:top w:val="nil"/>
              <w:left w:val="nil"/>
              <w:bottom w:val="single" w:sz="8" w:space="0" w:color="auto"/>
              <w:right w:val="single" w:sz="8" w:space="0" w:color="auto"/>
            </w:tcBorders>
            <w:shd w:val="clear" w:color="auto" w:fill="auto"/>
            <w:vAlign w:val="center"/>
            <w:hideMark/>
          </w:tcPr>
          <w:p w14:paraId="1C0C758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50570D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1.109.039,51</w:t>
            </w:r>
          </w:p>
        </w:tc>
        <w:tc>
          <w:tcPr>
            <w:tcW w:w="1353" w:type="dxa"/>
            <w:tcBorders>
              <w:top w:val="nil"/>
              <w:left w:val="nil"/>
              <w:bottom w:val="single" w:sz="8" w:space="0" w:color="auto"/>
              <w:right w:val="single" w:sz="8" w:space="0" w:color="auto"/>
            </w:tcBorders>
            <w:shd w:val="clear" w:color="auto" w:fill="auto"/>
            <w:vAlign w:val="center"/>
            <w:hideMark/>
          </w:tcPr>
          <w:p w14:paraId="5CC7D0A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89CBF5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-1.332.259,35</w:t>
            </w:r>
          </w:p>
        </w:tc>
        <w:tc>
          <w:tcPr>
            <w:tcW w:w="1418" w:type="dxa"/>
            <w:tcBorders>
              <w:top w:val="nil"/>
              <w:left w:val="nil"/>
              <w:bottom w:val="single" w:sz="8" w:space="0" w:color="auto"/>
              <w:right w:val="single" w:sz="8" w:space="0" w:color="auto"/>
            </w:tcBorders>
            <w:shd w:val="clear" w:color="auto" w:fill="auto"/>
            <w:vAlign w:val="center"/>
            <w:hideMark/>
          </w:tcPr>
          <w:p w14:paraId="3064F4D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428A1CA0"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49E6533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w:t>
            </w:r>
          </w:p>
        </w:tc>
        <w:tc>
          <w:tcPr>
            <w:tcW w:w="3221" w:type="dxa"/>
            <w:tcBorders>
              <w:top w:val="nil"/>
              <w:left w:val="nil"/>
              <w:bottom w:val="single" w:sz="8" w:space="0" w:color="auto"/>
              <w:right w:val="single" w:sz="8" w:space="0" w:color="auto"/>
            </w:tcBorders>
            <w:shd w:val="clear" w:color="auto" w:fill="auto"/>
            <w:vAlign w:val="center"/>
            <w:hideMark/>
          </w:tcPr>
          <w:p w14:paraId="241252C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Orhei</w:t>
            </w:r>
          </w:p>
        </w:tc>
        <w:tc>
          <w:tcPr>
            <w:tcW w:w="1489" w:type="dxa"/>
            <w:tcBorders>
              <w:top w:val="nil"/>
              <w:left w:val="nil"/>
              <w:bottom w:val="single" w:sz="8" w:space="0" w:color="auto"/>
              <w:right w:val="single" w:sz="8" w:space="0" w:color="auto"/>
            </w:tcBorders>
            <w:shd w:val="clear" w:color="auto" w:fill="auto"/>
            <w:vAlign w:val="center"/>
            <w:hideMark/>
          </w:tcPr>
          <w:p w14:paraId="6DFF275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29.174.533,44</w:t>
            </w:r>
          </w:p>
        </w:tc>
        <w:tc>
          <w:tcPr>
            <w:tcW w:w="1353" w:type="dxa"/>
            <w:tcBorders>
              <w:top w:val="nil"/>
              <w:left w:val="nil"/>
              <w:bottom w:val="single" w:sz="8" w:space="0" w:color="auto"/>
              <w:right w:val="single" w:sz="8" w:space="0" w:color="auto"/>
            </w:tcBorders>
            <w:shd w:val="clear" w:color="auto" w:fill="auto"/>
            <w:vAlign w:val="center"/>
            <w:hideMark/>
          </w:tcPr>
          <w:p w14:paraId="7094F62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DB4A71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26.155.902,52</w:t>
            </w:r>
          </w:p>
        </w:tc>
        <w:tc>
          <w:tcPr>
            <w:tcW w:w="1353" w:type="dxa"/>
            <w:tcBorders>
              <w:top w:val="nil"/>
              <w:left w:val="nil"/>
              <w:bottom w:val="single" w:sz="8" w:space="0" w:color="auto"/>
              <w:right w:val="single" w:sz="8" w:space="0" w:color="auto"/>
            </w:tcBorders>
            <w:shd w:val="clear" w:color="auto" w:fill="auto"/>
            <w:vAlign w:val="center"/>
            <w:hideMark/>
          </w:tcPr>
          <w:p w14:paraId="3679E9C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E095BE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21.344.287,34</w:t>
            </w:r>
          </w:p>
        </w:tc>
        <w:tc>
          <w:tcPr>
            <w:tcW w:w="1353" w:type="dxa"/>
            <w:tcBorders>
              <w:top w:val="nil"/>
              <w:left w:val="nil"/>
              <w:bottom w:val="single" w:sz="8" w:space="0" w:color="auto"/>
              <w:right w:val="single" w:sz="8" w:space="0" w:color="auto"/>
            </w:tcBorders>
            <w:shd w:val="clear" w:color="auto" w:fill="auto"/>
            <w:vAlign w:val="center"/>
            <w:hideMark/>
          </w:tcPr>
          <w:p w14:paraId="48171E4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9F2868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-4.811.615,18</w:t>
            </w:r>
          </w:p>
        </w:tc>
        <w:tc>
          <w:tcPr>
            <w:tcW w:w="1418" w:type="dxa"/>
            <w:tcBorders>
              <w:top w:val="nil"/>
              <w:left w:val="nil"/>
              <w:bottom w:val="single" w:sz="8" w:space="0" w:color="auto"/>
              <w:right w:val="single" w:sz="8" w:space="0" w:color="auto"/>
            </w:tcBorders>
            <w:shd w:val="clear" w:color="auto" w:fill="auto"/>
            <w:vAlign w:val="center"/>
            <w:hideMark/>
          </w:tcPr>
          <w:p w14:paraId="281ED97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47A79A11"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78F0E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w:t>
            </w:r>
          </w:p>
        </w:tc>
        <w:tc>
          <w:tcPr>
            <w:tcW w:w="3221" w:type="dxa"/>
            <w:tcBorders>
              <w:top w:val="nil"/>
              <w:left w:val="nil"/>
              <w:bottom w:val="single" w:sz="8" w:space="0" w:color="auto"/>
              <w:right w:val="single" w:sz="8" w:space="0" w:color="auto"/>
            </w:tcBorders>
            <w:shd w:val="clear" w:color="auto" w:fill="auto"/>
            <w:vAlign w:val="center"/>
            <w:hideMark/>
          </w:tcPr>
          <w:p w14:paraId="05BEB26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Soldănești</w:t>
            </w:r>
          </w:p>
        </w:tc>
        <w:tc>
          <w:tcPr>
            <w:tcW w:w="1489" w:type="dxa"/>
            <w:tcBorders>
              <w:top w:val="nil"/>
              <w:left w:val="nil"/>
              <w:bottom w:val="single" w:sz="8" w:space="0" w:color="auto"/>
              <w:right w:val="single" w:sz="8" w:space="0" w:color="auto"/>
            </w:tcBorders>
            <w:shd w:val="clear" w:color="auto" w:fill="auto"/>
            <w:vAlign w:val="center"/>
            <w:hideMark/>
          </w:tcPr>
          <w:p w14:paraId="7FCEBCC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5.518.308,42</w:t>
            </w:r>
          </w:p>
        </w:tc>
        <w:tc>
          <w:tcPr>
            <w:tcW w:w="1353" w:type="dxa"/>
            <w:tcBorders>
              <w:top w:val="nil"/>
              <w:left w:val="nil"/>
              <w:bottom w:val="single" w:sz="8" w:space="0" w:color="auto"/>
              <w:right w:val="single" w:sz="8" w:space="0" w:color="auto"/>
            </w:tcBorders>
            <w:shd w:val="clear" w:color="auto" w:fill="auto"/>
            <w:vAlign w:val="center"/>
            <w:hideMark/>
          </w:tcPr>
          <w:p w14:paraId="392D3AA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7308F4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3.858.961,43</w:t>
            </w:r>
          </w:p>
        </w:tc>
        <w:tc>
          <w:tcPr>
            <w:tcW w:w="1353" w:type="dxa"/>
            <w:tcBorders>
              <w:top w:val="nil"/>
              <w:left w:val="nil"/>
              <w:bottom w:val="single" w:sz="8" w:space="0" w:color="auto"/>
              <w:right w:val="single" w:sz="8" w:space="0" w:color="auto"/>
            </w:tcBorders>
            <w:shd w:val="clear" w:color="auto" w:fill="auto"/>
            <w:vAlign w:val="center"/>
            <w:hideMark/>
          </w:tcPr>
          <w:p w14:paraId="3CF4A85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0EB423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1.599.347,63</w:t>
            </w:r>
          </w:p>
        </w:tc>
        <w:tc>
          <w:tcPr>
            <w:tcW w:w="1353" w:type="dxa"/>
            <w:tcBorders>
              <w:top w:val="nil"/>
              <w:left w:val="nil"/>
              <w:bottom w:val="single" w:sz="8" w:space="0" w:color="auto"/>
              <w:right w:val="single" w:sz="8" w:space="0" w:color="auto"/>
            </w:tcBorders>
            <w:shd w:val="clear" w:color="auto" w:fill="auto"/>
            <w:vAlign w:val="center"/>
            <w:hideMark/>
          </w:tcPr>
          <w:p w14:paraId="2C57F05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4AB90C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-2.259.613,80</w:t>
            </w:r>
          </w:p>
        </w:tc>
        <w:tc>
          <w:tcPr>
            <w:tcW w:w="1418" w:type="dxa"/>
            <w:tcBorders>
              <w:top w:val="nil"/>
              <w:left w:val="nil"/>
              <w:bottom w:val="single" w:sz="8" w:space="0" w:color="auto"/>
              <w:right w:val="single" w:sz="8" w:space="0" w:color="auto"/>
            </w:tcBorders>
            <w:shd w:val="clear" w:color="auto" w:fill="auto"/>
            <w:vAlign w:val="center"/>
            <w:hideMark/>
          </w:tcPr>
          <w:p w14:paraId="04DDAFA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8E4BC6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3CE4B3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w:t>
            </w:r>
          </w:p>
        </w:tc>
        <w:tc>
          <w:tcPr>
            <w:tcW w:w="3221" w:type="dxa"/>
            <w:tcBorders>
              <w:top w:val="nil"/>
              <w:left w:val="nil"/>
              <w:bottom w:val="single" w:sz="8" w:space="0" w:color="auto"/>
              <w:right w:val="single" w:sz="8" w:space="0" w:color="auto"/>
            </w:tcBorders>
            <w:shd w:val="clear" w:color="auto" w:fill="auto"/>
            <w:vAlign w:val="center"/>
            <w:hideMark/>
          </w:tcPr>
          <w:p w14:paraId="1C27D93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Ștefan Vodă</w:t>
            </w:r>
          </w:p>
        </w:tc>
        <w:tc>
          <w:tcPr>
            <w:tcW w:w="1489" w:type="dxa"/>
            <w:tcBorders>
              <w:top w:val="nil"/>
              <w:left w:val="nil"/>
              <w:bottom w:val="single" w:sz="8" w:space="0" w:color="auto"/>
              <w:right w:val="single" w:sz="8" w:space="0" w:color="auto"/>
            </w:tcBorders>
            <w:shd w:val="clear" w:color="auto" w:fill="auto"/>
            <w:vAlign w:val="center"/>
            <w:hideMark/>
          </w:tcPr>
          <w:p w14:paraId="3FC5E0B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6.541.214,15</w:t>
            </w:r>
          </w:p>
        </w:tc>
        <w:tc>
          <w:tcPr>
            <w:tcW w:w="1353" w:type="dxa"/>
            <w:tcBorders>
              <w:top w:val="nil"/>
              <w:left w:val="nil"/>
              <w:bottom w:val="single" w:sz="8" w:space="0" w:color="auto"/>
              <w:right w:val="single" w:sz="8" w:space="0" w:color="auto"/>
            </w:tcBorders>
            <w:shd w:val="clear" w:color="auto" w:fill="auto"/>
            <w:vAlign w:val="center"/>
            <w:hideMark/>
          </w:tcPr>
          <w:p w14:paraId="254A810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643E9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5.086.321,68</w:t>
            </w:r>
          </w:p>
        </w:tc>
        <w:tc>
          <w:tcPr>
            <w:tcW w:w="1353" w:type="dxa"/>
            <w:tcBorders>
              <w:top w:val="nil"/>
              <w:left w:val="nil"/>
              <w:bottom w:val="single" w:sz="8" w:space="0" w:color="auto"/>
              <w:right w:val="single" w:sz="8" w:space="0" w:color="auto"/>
            </w:tcBorders>
            <w:shd w:val="clear" w:color="auto" w:fill="auto"/>
            <w:vAlign w:val="center"/>
            <w:hideMark/>
          </w:tcPr>
          <w:p w14:paraId="666FAFB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65B4863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2.773.687,02</w:t>
            </w:r>
          </w:p>
        </w:tc>
        <w:tc>
          <w:tcPr>
            <w:tcW w:w="1353" w:type="dxa"/>
            <w:tcBorders>
              <w:top w:val="nil"/>
              <w:left w:val="nil"/>
              <w:bottom w:val="single" w:sz="8" w:space="0" w:color="auto"/>
              <w:right w:val="single" w:sz="8" w:space="0" w:color="auto"/>
            </w:tcBorders>
            <w:shd w:val="clear" w:color="auto" w:fill="auto"/>
            <w:vAlign w:val="center"/>
            <w:hideMark/>
          </w:tcPr>
          <w:p w14:paraId="598E1FE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C69FF8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-2.312.634,66</w:t>
            </w:r>
          </w:p>
        </w:tc>
        <w:tc>
          <w:tcPr>
            <w:tcW w:w="1418" w:type="dxa"/>
            <w:tcBorders>
              <w:top w:val="nil"/>
              <w:left w:val="nil"/>
              <w:bottom w:val="single" w:sz="8" w:space="0" w:color="auto"/>
              <w:right w:val="single" w:sz="8" w:space="0" w:color="auto"/>
            </w:tcBorders>
            <w:shd w:val="clear" w:color="auto" w:fill="auto"/>
            <w:vAlign w:val="center"/>
            <w:hideMark/>
          </w:tcPr>
          <w:p w14:paraId="497C195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0837CF8"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3A1D86A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w:t>
            </w:r>
          </w:p>
        </w:tc>
        <w:tc>
          <w:tcPr>
            <w:tcW w:w="3221" w:type="dxa"/>
            <w:tcBorders>
              <w:top w:val="nil"/>
              <w:left w:val="nil"/>
              <w:bottom w:val="single" w:sz="8" w:space="0" w:color="auto"/>
              <w:right w:val="single" w:sz="8" w:space="0" w:color="auto"/>
            </w:tcBorders>
            <w:shd w:val="clear" w:color="auto" w:fill="auto"/>
            <w:vAlign w:val="center"/>
            <w:hideMark/>
          </w:tcPr>
          <w:p w14:paraId="19C475F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Taraclia</w:t>
            </w:r>
          </w:p>
        </w:tc>
        <w:tc>
          <w:tcPr>
            <w:tcW w:w="1489" w:type="dxa"/>
            <w:tcBorders>
              <w:top w:val="nil"/>
              <w:left w:val="nil"/>
              <w:bottom w:val="single" w:sz="8" w:space="0" w:color="auto"/>
              <w:right w:val="single" w:sz="8" w:space="0" w:color="auto"/>
            </w:tcBorders>
            <w:shd w:val="clear" w:color="auto" w:fill="auto"/>
            <w:vAlign w:val="center"/>
            <w:hideMark/>
          </w:tcPr>
          <w:p w14:paraId="20EE336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11.821.991,72</w:t>
            </w:r>
          </w:p>
        </w:tc>
        <w:tc>
          <w:tcPr>
            <w:tcW w:w="1353" w:type="dxa"/>
            <w:tcBorders>
              <w:top w:val="nil"/>
              <w:left w:val="nil"/>
              <w:bottom w:val="single" w:sz="8" w:space="0" w:color="auto"/>
              <w:right w:val="single" w:sz="8" w:space="0" w:color="auto"/>
            </w:tcBorders>
            <w:shd w:val="clear" w:color="auto" w:fill="auto"/>
            <w:vAlign w:val="center"/>
            <w:hideMark/>
          </w:tcPr>
          <w:p w14:paraId="6D37233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74E567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9.093.876,95</w:t>
            </w:r>
          </w:p>
        </w:tc>
        <w:tc>
          <w:tcPr>
            <w:tcW w:w="1353" w:type="dxa"/>
            <w:tcBorders>
              <w:top w:val="nil"/>
              <w:left w:val="nil"/>
              <w:bottom w:val="single" w:sz="8" w:space="0" w:color="auto"/>
              <w:right w:val="single" w:sz="8" w:space="0" w:color="auto"/>
            </w:tcBorders>
            <w:shd w:val="clear" w:color="auto" w:fill="auto"/>
            <w:vAlign w:val="center"/>
            <w:hideMark/>
          </w:tcPr>
          <w:p w14:paraId="1358AFB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108,05</w:t>
            </w:r>
          </w:p>
        </w:tc>
        <w:tc>
          <w:tcPr>
            <w:tcW w:w="1580" w:type="dxa"/>
            <w:tcBorders>
              <w:top w:val="nil"/>
              <w:left w:val="nil"/>
              <w:bottom w:val="single" w:sz="8" w:space="0" w:color="auto"/>
              <w:right w:val="single" w:sz="8" w:space="0" w:color="auto"/>
            </w:tcBorders>
            <w:shd w:val="clear" w:color="auto" w:fill="auto"/>
            <w:vAlign w:val="center"/>
            <w:hideMark/>
          </w:tcPr>
          <w:p w14:paraId="4C5A8D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4.928.416,88</w:t>
            </w:r>
          </w:p>
        </w:tc>
        <w:tc>
          <w:tcPr>
            <w:tcW w:w="1353" w:type="dxa"/>
            <w:tcBorders>
              <w:top w:val="nil"/>
              <w:left w:val="nil"/>
              <w:bottom w:val="single" w:sz="8" w:space="0" w:color="auto"/>
              <w:right w:val="single" w:sz="8" w:space="0" w:color="auto"/>
            </w:tcBorders>
            <w:shd w:val="clear" w:color="auto" w:fill="auto"/>
            <w:vAlign w:val="center"/>
            <w:hideMark/>
          </w:tcPr>
          <w:p w14:paraId="48EB79D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0CAD45A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-4.165.460,07</w:t>
            </w:r>
          </w:p>
        </w:tc>
        <w:tc>
          <w:tcPr>
            <w:tcW w:w="1418" w:type="dxa"/>
            <w:tcBorders>
              <w:top w:val="nil"/>
              <w:left w:val="nil"/>
              <w:bottom w:val="single" w:sz="8" w:space="0" w:color="auto"/>
              <w:right w:val="single" w:sz="8" w:space="0" w:color="auto"/>
            </w:tcBorders>
            <w:shd w:val="clear" w:color="auto" w:fill="auto"/>
            <w:vAlign w:val="center"/>
            <w:hideMark/>
          </w:tcPr>
          <w:p w14:paraId="6E55113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-108,05</w:t>
            </w:r>
          </w:p>
        </w:tc>
      </w:tr>
      <w:tr w:rsidR="004729C6" w:rsidRPr="008B76D8" w14:paraId="13FF6474" w14:textId="77777777" w:rsidTr="004729C6">
        <w:trPr>
          <w:trHeight w:val="300"/>
        </w:trPr>
        <w:tc>
          <w:tcPr>
            <w:tcW w:w="597" w:type="dxa"/>
            <w:tcBorders>
              <w:top w:val="single" w:sz="8" w:space="0" w:color="auto"/>
              <w:left w:val="single" w:sz="8" w:space="0" w:color="auto"/>
              <w:bottom w:val="nil"/>
              <w:right w:val="single" w:sz="8" w:space="0" w:color="auto"/>
            </w:tcBorders>
            <w:shd w:val="clear" w:color="auto" w:fill="auto"/>
            <w:vAlign w:val="center"/>
            <w:hideMark/>
          </w:tcPr>
          <w:p w14:paraId="5F5E234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w:t>
            </w:r>
          </w:p>
        </w:tc>
        <w:tc>
          <w:tcPr>
            <w:tcW w:w="3221" w:type="dxa"/>
            <w:tcBorders>
              <w:top w:val="nil"/>
              <w:left w:val="nil"/>
              <w:bottom w:val="single" w:sz="8" w:space="0" w:color="auto"/>
              <w:right w:val="single" w:sz="8" w:space="0" w:color="auto"/>
            </w:tcBorders>
            <w:shd w:val="clear" w:color="auto" w:fill="auto"/>
            <w:vAlign w:val="center"/>
            <w:hideMark/>
          </w:tcPr>
          <w:p w14:paraId="397BB42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Glodeni</w:t>
            </w:r>
          </w:p>
        </w:tc>
        <w:tc>
          <w:tcPr>
            <w:tcW w:w="1489" w:type="dxa"/>
            <w:tcBorders>
              <w:top w:val="nil"/>
              <w:left w:val="nil"/>
              <w:bottom w:val="single" w:sz="8" w:space="0" w:color="auto"/>
              <w:right w:val="single" w:sz="8" w:space="0" w:color="auto"/>
            </w:tcBorders>
            <w:shd w:val="clear" w:color="auto" w:fill="auto"/>
            <w:vAlign w:val="center"/>
            <w:hideMark/>
          </w:tcPr>
          <w:p w14:paraId="59BA3A5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18.438.167,73</w:t>
            </w:r>
          </w:p>
        </w:tc>
        <w:tc>
          <w:tcPr>
            <w:tcW w:w="1353" w:type="dxa"/>
            <w:tcBorders>
              <w:top w:val="nil"/>
              <w:left w:val="nil"/>
              <w:bottom w:val="single" w:sz="8" w:space="0" w:color="auto"/>
              <w:right w:val="single" w:sz="8" w:space="0" w:color="auto"/>
            </w:tcBorders>
            <w:shd w:val="clear" w:color="auto" w:fill="auto"/>
            <w:vAlign w:val="center"/>
            <w:hideMark/>
          </w:tcPr>
          <w:p w14:paraId="585C179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162,16</w:t>
            </w:r>
          </w:p>
        </w:tc>
        <w:tc>
          <w:tcPr>
            <w:tcW w:w="1580" w:type="dxa"/>
            <w:tcBorders>
              <w:top w:val="nil"/>
              <w:left w:val="nil"/>
              <w:bottom w:val="single" w:sz="8" w:space="0" w:color="auto"/>
              <w:right w:val="single" w:sz="8" w:space="0" w:color="auto"/>
            </w:tcBorders>
            <w:shd w:val="clear" w:color="auto" w:fill="auto"/>
            <w:vAlign w:val="center"/>
            <w:hideMark/>
          </w:tcPr>
          <w:p w14:paraId="600187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17.917.489,85</w:t>
            </w:r>
          </w:p>
        </w:tc>
        <w:tc>
          <w:tcPr>
            <w:tcW w:w="1353" w:type="dxa"/>
            <w:tcBorders>
              <w:top w:val="nil"/>
              <w:left w:val="nil"/>
              <w:bottom w:val="single" w:sz="8" w:space="0" w:color="auto"/>
              <w:right w:val="single" w:sz="8" w:space="0" w:color="auto"/>
            </w:tcBorders>
            <w:shd w:val="clear" w:color="auto" w:fill="auto"/>
            <w:vAlign w:val="center"/>
            <w:hideMark/>
          </w:tcPr>
          <w:p w14:paraId="35A5A72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F096E7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15.457.798,73</w:t>
            </w:r>
          </w:p>
        </w:tc>
        <w:tc>
          <w:tcPr>
            <w:tcW w:w="1353" w:type="dxa"/>
            <w:tcBorders>
              <w:top w:val="nil"/>
              <w:left w:val="nil"/>
              <w:bottom w:val="single" w:sz="8" w:space="0" w:color="auto"/>
              <w:right w:val="single" w:sz="8" w:space="0" w:color="auto"/>
            </w:tcBorders>
            <w:shd w:val="clear" w:color="auto" w:fill="auto"/>
            <w:vAlign w:val="center"/>
            <w:hideMark/>
          </w:tcPr>
          <w:p w14:paraId="17DE832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E5B09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-2.459.691,12</w:t>
            </w:r>
          </w:p>
        </w:tc>
        <w:tc>
          <w:tcPr>
            <w:tcW w:w="1418" w:type="dxa"/>
            <w:tcBorders>
              <w:top w:val="nil"/>
              <w:left w:val="nil"/>
              <w:bottom w:val="single" w:sz="8" w:space="0" w:color="auto"/>
              <w:right w:val="single" w:sz="8" w:space="0" w:color="auto"/>
            </w:tcBorders>
            <w:shd w:val="clear" w:color="auto" w:fill="auto"/>
            <w:vAlign w:val="center"/>
            <w:hideMark/>
          </w:tcPr>
          <w:p w14:paraId="158B170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CD94340" w14:textId="77777777" w:rsidTr="004729C6">
        <w:trPr>
          <w:trHeight w:val="300"/>
        </w:trPr>
        <w:tc>
          <w:tcPr>
            <w:tcW w:w="597" w:type="dxa"/>
            <w:tcBorders>
              <w:top w:val="single" w:sz="8" w:space="0" w:color="auto"/>
              <w:left w:val="single" w:sz="8" w:space="0" w:color="auto"/>
              <w:bottom w:val="nil"/>
              <w:right w:val="single" w:sz="8" w:space="0" w:color="auto"/>
            </w:tcBorders>
            <w:shd w:val="clear" w:color="auto" w:fill="auto"/>
            <w:vAlign w:val="center"/>
            <w:hideMark/>
          </w:tcPr>
          <w:p w14:paraId="47BD61C0"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w:t>
            </w:r>
          </w:p>
        </w:tc>
        <w:tc>
          <w:tcPr>
            <w:tcW w:w="3221" w:type="dxa"/>
            <w:tcBorders>
              <w:top w:val="nil"/>
              <w:left w:val="nil"/>
              <w:bottom w:val="single" w:sz="8" w:space="0" w:color="auto"/>
              <w:right w:val="single" w:sz="8" w:space="0" w:color="auto"/>
            </w:tcBorders>
            <w:shd w:val="clear" w:color="auto" w:fill="auto"/>
            <w:vAlign w:val="center"/>
            <w:hideMark/>
          </w:tcPr>
          <w:p w14:paraId="475BD1A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Primăria municipiului Chişinău</w:t>
            </w:r>
          </w:p>
        </w:tc>
        <w:tc>
          <w:tcPr>
            <w:tcW w:w="1489" w:type="dxa"/>
            <w:tcBorders>
              <w:top w:val="nil"/>
              <w:left w:val="nil"/>
              <w:bottom w:val="single" w:sz="8" w:space="0" w:color="auto"/>
              <w:right w:val="single" w:sz="8" w:space="0" w:color="auto"/>
            </w:tcBorders>
            <w:shd w:val="clear" w:color="auto" w:fill="auto"/>
            <w:vAlign w:val="center"/>
            <w:hideMark/>
          </w:tcPr>
          <w:p w14:paraId="2886B16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170.536.661,18</w:t>
            </w:r>
          </w:p>
        </w:tc>
        <w:tc>
          <w:tcPr>
            <w:tcW w:w="1353" w:type="dxa"/>
            <w:tcBorders>
              <w:top w:val="nil"/>
              <w:left w:val="nil"/>
              <w:bottom w:val="single" w:sz="8" w:space="0" w:color="auto"/>
              <w:right w:val="single" w:sz="8" w:space="0" w:color="auto"/>
            </w:tcBorders>
            <w:shd w:val="clear" w:color="auto" w:fill="auto"/>
            <w:vAlign w:val="center"/>
            <w:hideMark/>
          </w:tcPr>
          <w:p w14:paraId="5250D66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23DC4F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156.806.472,93</w:t>
            </w:r>
          </w:p>
        </w:tc>
        <w:tc>
          <w:tcPr>
            <w:tcW w:w="1353" w:type="dxa"/>
            <w:tcBorders>
              <w:top w:val="nil"/>
              <w:left w:val="nil"/>
              <w:bottom w:val="single" w:sz="8" w:space="0" w:color="auto"/>
              <w:right w:val="single" w:sz="8" w:space="0" w:color="auto"/>
            </w:tcBorders>
            <w:shd w:val="clear" w:color="auto" w:fill="auto"/>
            <w:vAlign w:val="center"/>
            <w:hideMark/>
          </w:tcPr>
          <w:p w14:paraId="16B9531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EB5E87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133.624.323,61</w:t>
            </w:r>
          </w:p>
        </w:tc>
        <w:tc>
          <w:tcPr>
            <w:tcW w:w="1353" w:type="dxa"/>
            <w:tcBorders>
              <w:top w:val="nil"/>
              <w:left w:val="nil"/>
              <w:bottom w:val="single" w:sz="8" w:space="0" w:color="auto"/>
              <w:right w:val="single" w:sz="8" w:space="0" w:color="auto"/>
            </w:tcBorders>
            <w:shd w:val="clear" w:color="auto" w:fill="auto"/>
            <w:vAlign w:val="center"/>
            <w:hideMark/>
          </w:tcPr>
          <w:p w14:paraId="03A3C3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C8DB85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-23.182.149,32</w:t>
            </w:r>
          </w:p>
        </w:tc>
        <w:tc>
          <w:tcPr>
            <w:tcW w:w="1418" w:type="dxa"/>
            <w:tcBorders>
              <w:top w:val="nil"/>
              <w:left w:val="nil"/>
              <w:bottom w:val="single" w:sz="8" w:space="0" w:color="auto"/>
              <w:right w:val="single" w:sz="8" w:space="0" w:color="auto"/>
            </w:tcBorders>
            <w:shd w:val="clear" w:color="auto" w:fill="auto"/>
            <w:vAlign w:val="center"/>
            <w:hideMark/>
          </w:tcPr>
          <w:p w14:paraId="23E4D55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6C1FB87D"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F59D2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w:t>
            </w:r>
          </w:p>
        </w:tc>
        <w:tc>
          <w:tcPr>
            <w:tcW w:w="3221" w:type="dxa"/>
            <w:tcBorders>
              <w:top w:val="nil"/>
              <w:left w:val="nil"/>
              <w:bottom w:val="single" w:sz="8" w:space="0" w:color="auto"/>
              <w:right w:val="single" w:sz="8" w:space="0" w:color="auto"/>
            </w:tcBorders>
            <w:shd w:val="clear" w:color="auto" w:fill="auto"/>
            <w:vAlign w:val="center"/>
            <w:hideMark/>
          </w:tcPr>
          <w:p w14:paraId="4A9AD62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Criuleni</w:t>
            </w:r>
          </w:p>
        </w:tc>
        <w:tc>
          <w:tcPr>
            <w:tcW w:w="1489" w:type="dxa"/>
            <w:tcBorders>
              <w:top w:val="nil"/>
              <w:left w:val="nil"/>
              <w:bottom w:val="single" w:sz="8" w:space="0" w:color="auto"/>
              <w:right w:val="single" w:sz="8" w:space="0" w:color="auto"/>
            </w:tcBorders>
            <w:shd w:val="clear" w:color="auto" w:fill="auto"/>
            <w:vAlign w:val="center"/>
            <w:hideMark/>
          </w:tcPr>
          <w:p w14:paraId="31159E9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9.477.804,20</w:t>
            </w:r>
          </w:p>
        </w:tc>
        <w:tc>
          <w:tcPr>
            <w:tcW w:w="1353" w:type="dxa"/>
            <w:tcBorders>
              <w:top w:val="nil"/>
              <w:left w:val="nil"/>
              <w:bottom w:val="single" w:sz="8" w:space="0" w:color="auto"/>
              <w:right w:val="single" w:sz="8" w:space="0" w:color="auto"/>
            </w:tcBorders>
            <w:shd w:val="clear" w:color="auto" w:fill="auto"/>
            <w:vAlign w:val="center"/>
            <w:hideMark/>
          </w:tcPr>
          <w:p w14:paraId="257197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1DBDC0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7.576.646,23</w:t>
            </w:r>
          </w:p>
        </w:tc>
        <w:tc>
          <w:tcPr>
            <w:tcW w:w="1353" w:type="dxa"/>
            <w:tcBorders>
              <w:top w:val="nil"/>
              <w:left w:val="nil"/>
              <w:bottom w:val="single" w:sz="8" w:space="0" w:color="auto"/>
              <w:right w:val="single" w:sz="8" w:space="0" w:color="auto"/>
            </w:tcBorders>
            <w:shd w:val="clear" w:color="auto" w:fill="auto"/>
            <w:vAlign w:val="center"/>
            <w:hideMark/>
          </w:tcPr>
          <w:p w14:paraId="3A9554E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DE729F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5.270.594,93</w:t>
            </w:r>
          </w:p>
        </w:tc>
        <w:tc>
          <w:tcPr>
            <w:tcW w:w="1353" w:type="dxa"/>
            <w:tcBorders>
              <w:top w:val="nil"/>
              <w:left w:val="nil"/>
              <w:bottom w:val="single" w:sz="8" w:space="0" w:color="auto"/>
              <w:right w:val="single" w:sz="8" w:space="0" w:color="auto"/>
            </w:tcBorders>
            <w:shd w:val="clear" w:color="auto" w:fill="auto"/>
            <w:vAlign w:val="center"/>
            <w:hideMark/>
          </w:tcPr>
          <w:p w14:paraId="7842A35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F81A8B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-2.306.051,30</w:t>
            </w:r>
          </w:p>
        </w:tc>
        <w:tc>
          <w:tcPr>
            <w:tcW w:w="1418" w:type="dxa"/>
            <w:tcBorders>
              <w:top w:val="nil"/>
              <w:left w:val="nil"/>
              <w:bottom w:val="single" w:sz="8" w:space="0" w:color="auto"/>
              <w:right w:val="single" w:sz="8" w:space="0" w:color="auto"/>
            </w:tcBorders>
            <w:shd w:val="clear" w:color="auto" w:fill="auto"/>
            <w:vAlign w:val="center"/>
            <w:hideMark/>
          </w:tcPr>
          <w:p w14:paraId="1C3303A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45D87CA"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7F594AA"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w:t>
            </w:r>
          </w:p>
        </w:tc>
        <w:tc>
          <w:tcPr>
            <w:tcW w:w="3221" w:type="dxa"/>
            <w:tcBorders>
              <w:top w:val="nil"/>
              <w:left w:val="nil"/>
              <w:bottom w:val="single" w:sz="8" w:space="0" w:color="auto"/>
              <w:right w:val="single" w:sz="8" w:space="0" w:color="auto"/>
            </w:tcBorders>
            <w:shd w:val="clear" w:color="auto" w:fill="auto"/>
            <w:vAlign w:val="center"/>
            <w:hideMark/>
          </w:tcPr>
          <w:p w14:paraId="4354FDF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Sîngerei</w:t>
            </w:r>
          </w:p>
        </w:tc>
        <w:tc>
          <w:tcPr>
            <w:tcW w:w="1489" w:type="dxa"/>
            <w:tcBorders>
              <w:top w:val="nil"/>
              <w:left w:val="nil"/>
              <w:bottom w:val="single" w:sz="8" w:space="0" w:color="auto"/>
              <w:right w:val="single" w:sz="8" w:space="0" w:color="auto"/>
            </w:tcBorders>
            <w:shd w:val="clear" w:color="auto" w:fill="auto"/>
            <w:vAlign w:val="center"/>
            <w:hideMark/>
          </w:tcPr>
          <w:p w14:paraId="2EA0067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6.686.404,65</w:t>
            </w:r>
          </w:p>
        </w:tc>
        <w:tc>
          <w:tcPr>
            <w:tcW w:w="1353" w:type="dxa"/>
            <w:tcBorders>
              <w:top w:val="nil"/>
              <w:left w:val="nil"/>
              <w:bottom w:val="single" w:sz="8" w:space="0" w:color="auto"/>
              <w:right w:val="single" w:sz="8" w:space="0" w:color="auto"/>
            </w:tcBorders>
            <w:shd w:val="clear" w:color="auto" w:fill="auto"/>
            <w:vAlign w:val="center"/>
            <w:hideMark/>
          </w:tcPr>
          <w:p w14:paraId="4C25926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86E143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5.874.346,18</w:t>
            </w:r>
          </w:p>
        </w:tc>
        <w:tc>
          <w:tcPr>
            <w:tcW w:w="1353" w:type="dxa"/>
            <w:tcBorders>
              <w:top w:val="nil"/>
              <w:left w:val="nil"/>
              <w:bottom w:val="single" w:sz="8" w:space="0" w:color="auto"/>
              <w:right w:val="single" w:sz="8" w:space="0" w:color="auto"/>
            </w:tcBorders>
            <w:shd w:val="clear" w:color="auto" w:fill="auto"/>
            <w:vAlign w:val="center"/>
            <w:hideMark/>
          </w:tcPr>
          <w:p w14:paraId="120B696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AD7C7A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4.718.488,59</w:t>
            </w:r>
          </w:p>
        </w:tc>
        <w:tc>
          <w:tcPr>
            <w:tcW w:w="1353" w:type="dxa"/>
            <w:tcBorders>
              <w:top w:val="nil"/>
              <w:left w:val="nil"/>
              <w:bottom w:val="single" w:sz="8" w:space="0" w:color="auto"/>
              <w:right w:val="single" w:sz="8" w:space="0" w:color="auto"/>
            </w:tcBorders>
            <w:shd w:val="clear" w:color="auto" w:fill="auto"/>
            <w:vAlign w:val="center"/>
            <w:hideMark/>
          </w:tcPr>
          <w:p w14:paraId="2312F15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8C2504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-1.155.857,59</w:t>
            </w:r>
          </w:p>
        </w:tc>
        <w:tc>
          <w:tcPr>
            <w:tcW w:w="1418" w:type="dxa"/>
            <w:tcBorders>
              <w:top w:val="nil"/>
              <w:left w:val="nil"/>
              <w:bottom w:val="single" w:sz="8" w:space="0" w:color="auto"/>
              <w:right w:val="single" w:sz="8" w:space="0" w:color="auto"/>
            </w:tcBorders>
            <w:shd w:val="clear" w:color="auto" w:fill="auto"/>
            <w:vAlign w:val="center"/>
            <w:hideMark/>
          </w:tcPr>
          <w:p w14:paraId="418DB4C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86A82D3"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432F4B7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w:t>
            </w:r>
          </w:p>
        </w:tc>
        <w:tc>
          <w:tcPr>
            <w:tcW w:w="3221" w:type="dxa"/>
            <w:tcBorders>
              <w:top w:val="nil"/>
              <w:left w:val="nil"/>
              <w:bottom w:val="single" w:sz="8" w:space="0" w:color="auto"/>
              <w:right w:val="single" w:sz="8" w:space="0" w:color="auto"/>
            </w:tcBorders>
            <w:shd w:val="clear" w:color="auto" w:fill="auto"/>
            <w:vAlign w:val="center"/>
            <w:hideMark/>
          </w:tcPr>
          <w:p w14:paraId="086FE50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Călărași</w:t>
            </w:r>
          </w:p>
        </w:tc>
        <w:tc>
          <w:tcPr>
            <w:tcW w:w="1489" w:type="dxa"/>
            <w:tcBorders>
              <w:top w:val="nil"/>
              <w:left w:val="nil"/>
              <w:bottom w:val="single" w:sz="8" w:space="0" w:color="auto"/>
              <w:right w:val="single" w:sz="8" w:space="0" w:color="auto"/>
            </w:tcBorders>
            <w:shd w:val="clear" w:color="auto" w:fill="auto"/>
            <w:vAlign w:val="center"/>
            <w:hideMark/>
          </w:tcPr>
          <w:p w14:paraId="47B24FF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13.049.836,43</w:t>
            </w:r>
          </w:p>
        </w:tc>
        <w:tc>
          <w:tcPr>
            <w:tcW w:w="1353" w:type="dxa"/>
            <w:tcBorders>
              <w:top w:val="nil"/>
              <w:left w:val="nil"/>
              <w:bottom w:val="single" w:sz="8" w:space="0" w:color="auto"/>
              <w:right w:val="single" w:sz="8" w:space="0" w:color="auto"/>
            </w:tcBorders>
            <w:shd w:val="clear" w:color="auto" w:fill="auto"/>
            <w:vAlign w:val="center"/>
            <w:hideMark/>
          </w:tcPr>
          <w:p w14:paraId="1EB21AA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1B48E4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11.508.608,67</w:t>
            </w:r>
          </w:p>
        </w:tc>
        <w:tc>
          <w:tcPr>
            <w:tcW w:w="1353" w:type="dxa"/>
            <w:tcBorders>
              <w:top w:val="nil"/>
              <w:left w:val="nil"/>
              <w:bottom w:val="single" w:sz="8" w:space="0" w:color="auto"/>
              <w:right w:val="single" w:sz="8" w:space="0" w:color="auto"/>
            </w:tcBorders>
            <w:shd w:val="clear" w:color="auto" w:fill="auto"/>
            <w:vAlign w:val="center"/>
            <w:hideMark/>
          </w:tcPr>
          <w:p w14:paraId="76C2C99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9BCFF4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9.291.564,39</w:t>
            </w:r>
          </w:p>
        </w:tc>
        <w:tc>
          <w:tcPr>
            <w:tcW w:w="1353" w:type="dxa"/>
            <w:tcBorders>
              <w:top w:val="nil"/>
              <w:left w:val="nil"/>
              <w:bottom w:val="single" w:sz="8" w:space="0" w:color="auto"/>
              <w:right w:val="single" w:sz="8" w:space="0" w:color="auto"/>
            </w:tcBorders>
            <w:shd w:val="clear" w:color="auto" w:fill="auto"/>
            <w:vAlign w:val="center"/>
            <w:hideMark/>
          </w:tcPr>
          <w:p w14:paraId="529AE53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B59652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-2.217.044,28</w:t>
            </w:r>
          </w:p>
        </w:tc>
        <w:tc>
          <w:tcPr>
            <w:tcW w:w="1418" w:type="dxa"/>
            <w:tcBorders>
              <w:top w:val="nil"/>
              <w:left w:val="nil"/>
              <w:bottom w:val="single" w:sz="8" w:space="0" w:color="auto"/>
              <w:right w:val="single" w:sz="8" w:space="0" w:color="auto"/>
            </w:tcBorders>
            <w:shd w:val="clear" w:color="auto" w:fill="auto"/>
            <w:vAlign w:val="center"/>
            <w:hideMark/>
          </w:tcPr>
          <w:p w14:paraId="4F8B272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4C44B16"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929A934"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w:t>
            </w:r>
          </w:p>
        </w:tc>
        <w:tc>
          <w:tcPr>
            <w:tcW w:w="3221" w:type="dxa"/>
            <w:tcBorders>
              <w:top w:val="nil"/>
              <w:left w:val="nil"/>
              <w:bottom w:val="single" w:sz="8" w:space="0" w:color="auto"/>
              <w:right w:val="single" w:sz="8" w:space="0" w:color="auto"/>
            </w:tcBorders>
            <w:shd w:val="clear" w:color="auto" w:fill="auto"/>
            <w:vAlign w:val="center"/>
            <w:hideMark/>
          </w:tcPr>
          <w:p w14:paraId="6E4CED7B"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Hînceşti</w:t>
            </w:r>
          </w:p>
        </w:tc>
        <w:tc>
          <w:tcPr>
            <w:tcW w:w="1489" w:type="dxa"/>
            <w:tcBorders>
              <w:top w:val="nil"/>
              <w:left w:val="nil"/>
              <w:bottom w:val="single" w:sz="8" w:space="0" w:color="auto"/>
              <w:right w:val="single" w:sz="8" w:space="0" w:color="auto"/>
            </w:tcBorders>
            <w:shd w:val="clear" w:color="auto" w:fill="auto"/>
            <w:vAlign w:val="center"/>
            <w:hideMark/>
          </w:tcPr>
          <w:p w14:paraId="183F6D5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31.127.514,96</w:t>
            </w:r>
          </w:p>
        </w:tc>
        <w:tc>
          <w:tcPr>
            <w:tcW w:w="1353" w:type="dxa"/>
            <w:tcBorders>
              <w:top w:val="nil"/>
              <w:left w:val="nil"/>
              <w:bottom w:val="single" w:sz="8" w:space="0" w:color="auto"/>
              <w:right w:val="single" w:sz="8" w:space="0" w:color="auto"/>
            </w:tcBorders>
            <w:shd w:val="clear" w:color="auto" w:fill="auto"/>
            <w:vAlign w:val="center"/>
            <w:hideMark/>
          </w:tcPr>
          <w:p w14:paraId="54534EF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1.479,51</w:t>
            </w:r>
          </w:p>
        </w:tc>
        <w:tc>
          <w:tcPr>
            <w:tcW w:w="1580" w:type="dxa"/>
            <w:tcBorders>
              <w:top w:val="nil"/>
              <w:left w:val="nil"/>
              <w:bottom w:val="single" w:sz="8" w:space="0" w:color="auto"/>
              <w:right w:val="single" w:sz="8" w:space="0" w:color="auto"/>
            </w:tcBorders>
            <w:shd w:val="clear" w:color="auto" w:fill="auto"/>
            <w:vAlign w:val="center"/>
            <w:hideMark/>
          </w:tcPr>
          <w:p w14:paraId="1B0A47A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27.975.152,87</w:t>
            </w:r>
          </w:p>
        </w:tc>
        <w:tc>
          <w:tcPr>
            <w:tcW w:w="1353" w:type="dxa"/>
            <w:tcBorders>
              <w:top w:val="nil"/>
              <w:left w:val="nil"/>
              <w:bottom w:val="single" w:sz="8" w:space="0" w:color="auto"/>
              <w:right w:val="single" w:sz="8" w:space="0" w:color="auto"/>
            </w:tcBorders>
            <w:shd w:val="clear" w:color="auto" w:fill="auto"/>
            <w:vAlign w:val="center"/>
            <w:hideMark/>
          </w:tcPr>
          <w:p w14:paraId="746CBD2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AA1139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23.162.679,24</w:t>
            </w:r>
          </w:p>
        </w:tc>
        <w:tc>
          <w:tcPr>
            <w:tcW w:w="1353" w:type="dxa"/>
            <w:tcBorders>
              <w:top w:val="nil"/>
              <w:left w:val="nil"/>
              <w:bottom w:val="single" w:sz="8" w:space="0" w:color="auto"/>
              <w:right w:val="single" w:sz="8" w:space="0" w:color="auto"/>
            </w:tcBorders>
            <w:shd w:val="clear" w:color="auto" w:fill="auto"/>
            <w:vAlign w:val="center"/>
            <w:hideMark/>
          </w:tcPr>
          <w:p w14:paraId="6079C8C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B19096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-4.812.473,63</w:t>
            </w:r>
          </w:p>
        </w:tc>
        <w:tc>
          <w:tcPr>
            <w:tcW w:w="1418" w:type="dxa"/>
            <w:tcBorders>
              <w:top w:val="nil"/>
              <w:left w:val="nil"/>
              <w:bottom w:val="single" w:sz="8" w:space="0" w:color="auto"/>
              <w:right w:val="single" w:sz="8" w:space="0" w:color="auto"/>
            </w:tcBorders>
            <w:shd w:val="clear" w:color="auto" w:fill="auto"/>
            <w:vAlign w:val="center"/>
            <w:hideMark/>
          </w:tcPr>
          <w:p w14:paraId="4A89D52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0A5885CE"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9814AC2"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w:t>
            </w:r>
          </w:p>
        </w:tc>
        <w:tc>
          <w:tcPr>
            <w:tcW w:w="3221" w:type="dxa"/>
            <w:tcBorders>
              <w:top w:val="nil"/>
              <w:left w:val="nil"/>
              <w:bottom w:val="single" w:sz="8" w:space="0" w:color="auto"/>
              <w:right w:val="single" w:sz="8" w:space="0" w:color="auto"/>
            </w:tcBorders>
            <w:shd w:val="clear" w:color="auto" w:fill="auto"/>
            <w:vAlign w:val="center"/>
            <w:hideMark/>
          </w:tcPr>
          <w:p w14:paraId="101DBE0F"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Briceni</w:t>
            </w:r>
          </w:p>
        </w:tc>
        <w:tc>
          <w:tcPr>
            <w:tcW w:w="1489" w:type="dxa"/>
            <w:tcBorders>
              <w:top w:val="nil"/>
              <w:left w:val="nil"/>
              <w:bottom w:val="single" w:sz="8" w:space="0" w:color="auto"/>
              <w:right w:val="single" w:sz="8" w:space="0" w:color="auto"/>
            </w:tcBorders>
            <w:shd w:val="clear" w:color="auto" w:fill="auto"/>
            <w:vAlign w:val="center"/>
            <w:hideMark/>
          </w:tcPr>
          <w:p w14:paraId="6011072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11.933.202,66</w:t>
            </w:r>
          </w:p>
        </w:tc>
        <w:tc>
          <w:tcPr>
            <w:tcW w:w="1353" w:type="dxa"/>
            <w:tcBorders>
              <w:top w:val="nil"/>
              <w:left w:val="nil"/>
              <w:bottom w:val="single" w:sz="8" w:space="0" w:color="auto"/>
              <w:right w:val="single" w:sz="8" w:space="0" w:color="auto"/>
            </w:tcBorders>
            <w:shd w:val="clear" w:color="auto" w:fill="auto"/>
            <w:vAlign w:val="center"/>
            <w:hideMark/>
          </w:tcPr>
          <w:p w14:paraId="084C953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D048F2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10.551.408,04</w:t>
            </w:r>
          </w:p>
        </w:tc>
        <w:tc>
          <w:tcPr>
            <w:tcW w:w="1353" w:type="dxa"/>
            <w:tcBorders>
              <w:top w:val="nil"/>
              <w:left w:val="nil"/>
              <w:bottom w:val="single" w:sz="8" w:space="0" w:color="auto"/>
              <w:right w:val="single" w:sz="8" w:space="0" w:color="auto"/>
            </w:tcBorders>
            <w:shd w:val="clear" w:color="auto" w:fill="auto"/>
            <w:vAlign w:val="center"/>
            <w:hideMark/>
          </w:tcPr>
          <w:p w14:paraId="32F5C6C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19D6BB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8.546.608,98</w:t>
            </w:r>
          </w:p>
        </w:tc>
        <w:tc>
          <w:tcPr>
            <w:tcW w:w="1353" w:type="dxa"/>
            <w:tcBorders>
              <w:top w:val="nil"/>
              <w:left w:val="nil"/>
              <w:bottom w:val="single" w:sz="8" w:space="0" w:color="auto"/>
              <w:right w:val="single" w:sz="8" w:space="0" w:color="auto"/>
            </w:tcBorders>
            <w:shd w:val="clear" w:color="auto" w:fill="auto"/>
            <w:vAlign w:val="center"/>
            <w:hideMark/>
          </w:tcPr>
          <w:p w14:paraId="5DE1DC6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CD0588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-2.004.799,06</w:t>
            </w:r>
          </w:p>
        </w:tc>
        <w:tc>
          <w:tcPr>
            <w:tcW w:w="1418" w:type="dxa"/>
            <w:tcBorders>
              <w:top w:val="nil"/>
              <w:left w:val="nil"/>
              <w:bottom w:val="single" w:sz="8" w:space="0" w:color="auto"/>
              <w:right w:val="single" w:sz="8" w:space="0" w:color="auto"/>
            </w:tcBorders>
            <w:shd w:val="clear" w:color="auto" w:fill="auto"/>
            <w:vAlign w:val="center"/>
            <w:hideMark/>
          </w:tcPr>
          <w:p w14:paraId="1FE0B3A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1848AFA"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111E08B"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w:t>
            </w:r>
          </w:p>
        </w:tc>
        <w:tc>
          <w:tcPr>
            <w:tcW w:w="3221" w:type="dxa"/>
            <w:tcBorders>
              <w:top w:val="nil"/>
              <w:left w:val="nil"/>
              <w:bottom w:val="single" w:sz="8" w:space="0" w:color="auto"/>
              <w:right w:val="single" w:sz="8" w:space="0" w:color="auto"/>
            </w:tcBorders>
            <w:shd w:val="clear" w:color="auto" w:fill="auto"/>
            <w:vAlign w:val="center"/>
            <w:hideMark/>
          </w:tcPr>
          <w:p w14:paraId="25DFEA8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Soroca</w:t>
            </w:r>
          </w:p>
        </w:tc>
        <w:tc>
          <w:tcPr>
            <w:tcW w:w="1489" w:type="dxa"/>
            <w:tcBorders>
              <w:top w:val="nil"/>
              <w:left w:val="nil"/>
              <w:bottom w:val="single" w:sz="8" w:space="0" w:color="auto"/>
              <w:right w:val="single" w:sz="8" w:space="0" w:color="auto"/>
            </w:tcBorders>
            <w:shd w:val="clear" w:color="auto" w:fill="auto"/>
            <w:vAlign w:val="center"/>
            <w:hideMark/>
          </w:tcPr>
          <w:p w14:paraId="1A34C8B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47.330.983,88</w:t>
            </w:r>
          </w:p>
        </w:tc>
        <w:tc>
          <w:tcPr>
            <w:tcW w:w="1353" w:type="dxa"/>
            <w:tcBorders>
              <w:top w:val="nil"/>
              <w:left w:val="nil"/>
              <w:bottom w:val="single" w:sz="8" w:space="0" w:color="auto"/>
              <w:right w:val="single" w:sz="8" w:space="0" w:color="auto"/>
            </w:tcBorders>
            <w:shd w:val="clear" w:color="auto" w:fill="auto"/>
            <w:vAlign w:val="center"/>
            <w:hideMark/>
          </w:tcPr>
          <w:p w14:paraId="7605A02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4.003.632,78</w:t>
            </w:r>
          </w:p>
        </w:tc>
        <w:tc>
          <w:tcPr>
            <w:tcW w:w="1580" w:type="dxa"/>
            <w:tcBorders>
              <w:top w:val="nil"/>
              <w:left w:val="nil"/>
              <w:bottom w:val="single" w:sz="8" w:space="0" w:color="auto"/>
              <w:right w:val="single" w:sz="8" w:space="0" w:color="auto"/>
            </w:tcBorders>
            <w:shd w:val="clear" w:color="auto" w:fill="auto"/>
            <w:vAlign w:val="center"/>
            <w:hideMark/>
          </w:tcPr>
          <w:p w14:paraId="50DE2E8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45.286.034,43</w:t>
            </w:r>
          </w:p>
        </w:tc>
        <w:tc>
          <w:tcPr>
            <w:tcW w:w="1353" w:type="dxa"/>
            <w:tcBorders>
              <w:top w:val="nil"/>
              <w:left w:val="nil"/>
              <w:bottom w:val="single" w:sz="8" w:space="0" w:color="auto"/>
              <w:right w:val="single" w:sz="8" w:space="0" w:color="auto"/>
            </w:tcBorders>
            <w:shd w:val="clear" w:color="auto" w:fill="auto"/>
            <w:vAlign w:val="center"/>
            <w:hideMark/>
          </w:tcPr>
          <w:p w14:paraId="76AAF8C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5.665.372,15</w:t>
            </w:r>
          </w:p>
        </w:tc>
        <w:tc>
          <w:tcPr>
            <w:tcW w:w="1580" w:type="dxa"/>
            <w:tcBorders>
              <w:top w:val="nil"/>
              <w:left w:val="nil"/>
              <w:bottom w:val="single" w:sz="8" w:space="0" w:color="auto"/>
              <w:right w:val="single" w:sz="8" w:space="0" w:color="auto"/>
            </w:tcBorders>
            <w:shd w:val="clear" w:color="auto" w:fill="auto"/>
            <w:vAlign w:val="center"/>
            <w:hideMark/>
          </w:tcPr>
          <w:p w14:paraId="1816FC6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41.677.953,36</w:t>
            </w:r>
          </w:p>
        </w:tc>
        <w:tc>
          <w:tcPr>
            <w:tcW w:w="1353" w:type="dxa"/>
            <w:tcBorders>
              <w:top w:val="nil"/>
              <w:left w:val="nil"/>
              <w:bottom w:val="single" w:sz="8" w:space="0" w:color="auto"/>
              <w:right w:val="single" w:sz="8" w:space="0" w:color="auto"/>
            </w:tcBorders>
            <w:shd w:val="clear" w:color="auto" w:fill="auto"/>
            <w:vAlign w:val="center"/>
            <w:hideMark/>
          </w:tcPr>
          <w:p w14:paraId="44DDDD0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8.149.223,05</w:t>
            </w:r>
          </w:p>
        </w:tc>
        <w:tc>
          <w:tcPr>
            <w:tcW w:w="1647" w:type="dxa"/>
            <w:tcBorders>
              <w:top w:val="nil"/>
              <w:left w:val="nil"/>
              <w:bottom w:val="single" w:sz="8" w:space="0" w:color="auto"/>
              <w:right w:val="single" w:sz="8" w:space="0" w:color="auto"/>
            </w:tcBorders>
            <w:shd w:val="clear" w:color="auto" w:fill="auto"/>
            <w:vAlign w:val="center"/>
            <w:hideMark/>
          </w:tcPr>
          <w:p w14:paraId="0E76093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-3.608.081,07</w:t>
            </w:r>
          </w:p>
        </w:tc>
        <w:tc>
          <w:tcPr>
            <w:tcW w:w="1418" w:type="dxa"/>
            <w:tcBorders>
              <w:top w:val="nil"/>
              <w:left w:val="nil"/>
              <w:bottom w:val="single" w:sz="8" w:space="0" w:color="auto"/>
              <w:right w:val="single" w:sz="8" w:space="0" w:color="auto"/>
            </w:tcBorders>
            <w:shd w:val="clear" w:color="auto" w:fill="auto"/>
            <w:vAlign w:val="center"/>
            <w:hideMark/>
          </w:tcPr>
          <w:p w14:paraId="614BBC5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2.483.850,90</w:t>
            </w:r>
          </w:p>
        </w:tc>
      </w:tr>
      <w:tr w:rsidR="004729C6" w:rsidRPr="008B76D8" w14:paraId="6E09B829"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44D475F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w:t>
            </w:r>
          </w:p>
        </w:tc>
        <w:tc>
          <w:tcPr>
            <w:tcW w:w="3221" w:type="dxa"/>
            <w:tcBorders>
              <w:top w:val="nil"/>
              <w:left w:val="nil"/>
              <w:bottom w:val="single" w:sz="8" w:space="0" w:color="auto"/>
              <w:right w:val="single" w:sz="8" w:space="0" w:color="auto"/>
            </w:tcBorders>
            <w:shd w:val="clear" w:color="auto" w:fill="auto"/>
            <w:vAlign w:val="center"/>
            <w:hideMark/>
          </w:tcPr>
          <w:p w14:paraId="25BE096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Ialoveni</w:t>
            </w:r>
          </w:p>
        </w:tc>
        <w:tc>
          <w:tcPr>
            <w:tcW w:w="1489" w:type="dxa"/>
            <w:tcBorders>
              <w:top w:val="nil"/>
              <w:left w:val="nil"/>
              <w:bottom w:val="single" w:sz="8" w:space="0" w:color="auto"/>
              <w:right w:val="single" w:sz="8" w:space="0" w:color="auto"/>
            </w:tcBorders>
            <w:shd w:val="clear" w:color="auto" w:fill="auto"/>
            <w:vAlign w:val="center"/>
            <w:hideMark/>
          </w:tcPr>
          <w:p w14:paraId="067A8BC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17.167.408,29</w:t>
            </w:r>
          </w:p>
        </w:tc>
        <w:tc>
          <w:tcPr>
            <w:tcW w:w="1353" w:type="dxa"/>
            <w:tcBorders>
              <w:top w:val="nil"/>
              <w:left w:val="nil"/>
              <w:bottom w:val="single" w:sz="8" w:space="0" w:color="auto"/>
              <w:right w:val="single" w:sz="8" w:space="0" w:color="auto"/>
            </w:tcBorders>
            <w:shd w:val="clear" w:color="auto" w:fill="auto"/>
            <w:vAlign w:val="center"/>
            <w:hideMark/>
          </w:tcPr>
          <w:p w14:paraId="265049D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0,6</w:t>
            </w:r>
          </w:p>
        </w:tc>
        <w:tc>
          <w:tcPr>
            <w:tcW w:w="1580" w:type="dxa"/>
            <w:tcBorders>
              <w:top w:val="nil"/>
              <w:left w:val="nil"/>
              <w:bottom w:val="single" w:sz="8" w:space="0" w:color="auto"/>
              <w:right w:val="single" w:sz="8" w:space="0" w:color="auto"/>
            </w:tcBorders>
            <w:shd w:val="clear" w:color="auto" w:fill="auto"/>
            <w:vAlign w:val="center"/>
            <w:hideMark/>
          </w:tcPr>
          <w:p w14:paraId="712CEDE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15.656.216,87</w:t>
            </w:r>
          </w:p>
        </w:tc>
        <w:tc>
          <w:tcPr>
            <w:tcW w:w="1353" w:type="dxa"/>
            <w:tcBorders>
              <w:top w:val="nil"/>
              <w:left w:val="nil"/>
              <w:bottom w:val="single" w:sz="8" w:space="0" w:color="auto"/>
              <w:right w:val="single" w:sz="8" w:space="0" w:color="auto"/>
            </w:tcBorders>
            <w:shd w:val="clear" w:color="auto" w:fill="auto"/>
            <w:vAlign w:val="center"/>
            <w:hideMark/>
          </w:tcPr>
          <w:p w14:paraId="63AFB75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671991B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8.449.163,83</w:t>
            </w:r>
          </w:p>
        </w:tc>
        <w:tc>
          <w:tcPr>
            <w:tcW w:w="1353" w:type="dxa"/>
            <w:tcBorders>
              <w:top w:val="nil"/>
              <w:left w:val="nil"/>
              <w:bottom w:val="single" w:sz="8" w:space="0" w:color="auto"/>
              <w:right w:val="single" w:sz="8" w:space="0" w:color="auto"/>
            </w:tcBorders>
            <w:shd w:val="clear" w:color="auto" w:fill="auto"/>
            <w:vAlign w:val="center"/>
            <w:hideMark/>
          </w:tcPr>
          <w:p w14:paraId="5AF734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8AACB9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-7.207.053,04</w:t>
            </w:r>
          </w:p>
        </w:tc>
        <w:tc>
          <w:tcPr>
            <w:tcW w:w="1418" w:type="dxa"/>
            <w:tcBorders>
              <w:top w:val="nil"/>
              <w:left w:val="nil"/>
              <w:bottom w:val="single" w:sz="8" w:space="0" w:color="auto"/>
              <w:right w:val="single" w:sz="8" w:space="0" w:color="auto"/>
            </w:tcBorders>
            <w:shd w:val="clear" w:color="auto" w:fill="auto"/>
            <w:vAlign w:val="center"/>
            <w:hideMark/>
          </w:tcPr>
          <w:p w14:paraId="2B516E8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CAE6097"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5EAE08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w:t>
            </w:r>
          </w:p>
        </w:tc>
        <w:tc>
          <w:tcPr>
            <w:tcW w:w="3221" w:type="dxa"/>
            <w:tcBorders>
              <w:top w:val="nil"/>
              <w:left w:val="nil"/>
              <w:bottom w:val="single" w:sz="8" w:space="0" w:color="auto"/>
              <w:right w:val="single" w:sz="8" w:space="0" w:color="auto"/>
            </w:tcBorders>
            <w:shd w:val="clear" w:color="auto" w:fill="auto"/>
            <w:vAlign w:val="center"/>
            <w:hideMark/>
          </w:tcPr>
          <w:p w14:paraId="1EB54B2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Leova</w:t>
            </w:r>
          </w:p>
        </w:tc>
        <w:tc>
          <w:tcPr>
            <w:tcW w:w="1489" w:type="dxa"/>
            <w:tcBorders>
              <w:top w:val="nil"/>
              <w:left w:val="nil"/>
              <w:bottom w:val="single" w:sz="8" w:space="0" w:color="auto"/>
              <w:right w:val="single" w:sz="8" w:space="0" w:color="auto"/>
            </w:tcBorders>
            <w:shd w:val="clear" w:color="auto" w:fill="auto"/>
            <w:vAlign w:val="center"/>
            <w:hideMark/>
          </w:tcPr>
          <w:p w14:paraId="2C11E1E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40.750.387,55</w:t>
            </w:r>
          </w:p>
        </w:tc>
        <w:tc>
          <w:tcPr>
            <w:tcW w:w="1353" w:type="dxa"/>
            <w:tcBorders>
              <w:top w:val="nil"/>
              <w:left w:val="nil"/>
              <w:bottom w:val="single" w:sz="8" w:space="0" w:color="auto"/>
              <w:right w:val="single" w:sz="8" w:space="0" w:color="auto"/>
            </w:tcBorders>
            <w:shd w:val="clear" w:color="auto" w:fill="auto"/>
            <w:vAlign w:val="center"/>
            <w:hideMark/>
          </w:tcPr>
          <w:p w14:paraId="45142B9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1DA17E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38.930.009,36</w:t>
            </w:r>
          </w:p>
        </w:tc>
        <w:tc>
          <w:tcPr>
            <w:tcW w:w="1353" w:type="dxa"/>
            <w:tcBorders>
              <w:top w:val="nil"/>
              <w:left w:val="nil"/>
              <w:bottom w:val="single" w:sz="8" w:space="0" w:color="auto"/>
              <w:right w:val="single" w:sz="8" w:space="0" w:color="auto"/>
            </w:tcBorders>
            <w:shd w:val="clear" w:color="auto" w:fill="auto"/>
            <w:vAlign w:val="center"/>
            <w:hideMark/>
          </w:tcPr>
          <w:p w14:paraId="16D4BC8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A519AA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33.992.423,48</w:t>
            </w:r>
          </w:p>
        </w:tc>
        <w:tc>
          <w:tcPr>
            <w:tcW w:w="1353" w:type="dxa"/>
            <w:tcBorders>
              <w:top w:val="nil"/>
              <w:left w:val="nil"/>
              <w:bottom w:val="single" w:sz="8" w:space="0" w:color="auto"/>
              <w:right w:val="single" w:sz="8" w:space="0" w:color="auto"/>
            </w:tcBorders>
            <w:shd w:val="clear" w:color="auto" w:fill="auto"/>
            <w:vAlign w:val="center"/>
            <w:hideMark/>
          </w:tcPr>
          <w:p w14:paraId="27A6CC1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4EF621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-4.937.585,88</w:t>
            </w:r>
          </w:p>
        </w:tc>
        <w:tc>
          <w:tcPr>
            <w:tcW w:w="1418" w:type="dxa"/>
            <w:tcBorders>
              <w:top w:val="nil"/>
              <w:left w:val="nil"/>
              <w:bottom w:val="single" w:sz="8" w:space="0" w:color="auto"/>
              <w:right w:val="single" w:sz="8" w:space="0" w:color="auto"/>
            </w:tcBorders>
            <w:shd w:val="clear" w:color="auto" w:fill="auto"/>
            <w:vAlign w:val="center"/>
            <w:hideMark/>
          </w:tcPr>
          <w:p w14:paraId="2E931C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1C01008"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8BC6F4D"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w:t>
            </w:r>
          </w:p>
        </w:tc>
        <w:tc>
          <w:tcPr>
            <w:tcW w:w="3221" w:type="dxa"/>
            <w:tcBorders>
              <w:top w:val="nil"/>
              <w:left w:val="nil"/>
              <w:bottom w:val="single" w:sz="8" w:space="0" w:color="auto"/>
              <w:right w:val="single" w:sz="8" w:space="0" w:color="auto"/>
            </w:tcBorders>
            <w:shd w:val="clear" w:color="auto" w:fill="auto"/>
            <w:vAlign w:val="center"/>
            <w:hideMark/>
          </w:tcPr>
          <w:p w14:paraId="6006ACC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Nisporeni</w:t>
            </w:r>
          </w:p>
        </w:tc>
        <w:tc>
          <w:tcPr>
            <w:tcW w:w="1489" w:type="dxa"/>
            <w:tcBorders>
              <w:top w:val="nil"/>
              <w:left w:val="nil"/>
              <w:bottom w:val="single" w:sz="8" w:space="0" w:color="auto"/>
              <w:right w:val="single" w:sz="8" w:space="0" w:color="auto"/>
            </w:tcBorders>
            <w:shd w:val="clear" w:color="auto" w:fill="auto"/>
            <w:vAlign w:val="center"/>
            <w:hideMark/>
          </w:tcPr>
          <w:p w14:paraId="7B1EEC9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38.427.558,14</w:t>
            </w:r>
          </w:p>
        </w:tc>
        <w:tc>
          <w:tcPr>
            <w:tcW w:w="1353" w:type="dxa"/>
            <w:tcBorders>
              <w:top w:val="nil"/>
              <w:left w:val="nil"/>
              <w:bottom w:val="single" w:sz="8" w:space="0" w:color="auto"/>
              <w:right w:val="single" w:sz="8" w:space="0" w:color="auto"/>
            </w:tcBorders>
            <w:shd w:val="clear" w:color="auto" w:fill="auto"/>
            <w:vAlign w:val="center"/>
            <w:hideMark/>
          </w:tcPr>
          <w:p w14:paraId="6C6638D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89F52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36.583.083,01</w:t>
            </w:r>
          </w:p>
        </w:tc>
        <w:tc>
          <w:tcPr>
            <w:tcW w:w="1353" w:type="dxa"/>
            <w:tcBorders>
              <w:top w:val="nil"/>
              <w:left w:val="nil"/>
              <w:bottom w:val="single" w:sz="8" w:space="0" w:color="auto"/>
              <w:right w:val="single" w:sz="8" w:space="0" w:color="auto"/>
            </w:tcBorders>
            <w:shd w:val="clear" w:color="auto" w:fill="auto"/>
            <w:vAlign w:val="center"/>
            <w:hideMark/>
          </w:tcPr>
          <w:p w14:paraId="032F630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4BF637D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31.704.336,21</w:t>
            </w:r>
          </w:p>
        </w:tc>
        <w:tc>
          <w:tcPr>
            <w:tcW w:w="1353" w:type="dxa"/>
            <w:tcBorders>
              <w:top w:val="nil"/>
              <w:left w:val="nil"/>
              <w:bottom w:val="single" w:sz="8" w:space="0" w:color="auto"/>
              <w:right w:val="single" w:sz="8" w:space="0" w:color="auto"/>
            </w:tcBorders>
            <w:shd w:val="clear" w:color="auto" w:fill="auto"/>
            <w:vAlign w:val="center"/>
            <w:hideMark/>
          </w:tcPr>
          <w:p w14:paraId="3FCA07F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4A0175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-4.878.746,80</w:t>
            </w:r>
          </w:p>
        </w:tc>
        <w:tc>
          <w:tcPr>
            <w:tcW w:w="1418" w:type="dxa"/>
            <w:tcBorders>
              <w:top w:val="nil"/>
              <w:left w:val="nil"/>
              <w:bottom w:val="single" w:sz="8" w:space="0" w:color="auto"/>
              <w:right w:val="single" w:sz="8" w:space="0" w:color="auto"/>
            </w:tcBorders>
            <w:shd w:val="clear" w:color="auto" w:fill="auto"/>
            <w:vAlign w:val="center"/>
            <w:hideMark/>
          </w:tcPr>
          <w:p w14:paraId="4CAC86E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A96F07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033BAA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w:t>
            </w:r>
          </w:p>
        </w:tc>
        <w:tc>
          <w:tcPr>
            <w:tcW w:w="3221" w:type="dxa"/>
            <w:tcBorders>
              <w:top w:val="nil"/>
              <w:left w:val="nil"/>
              <w:bottom w:val="single" w:sz="8" w:space="0" w:color="auto"/>
              <w:right w:val="single" w:sz="8" w:space="0" w:color="auto"/>
            </w:tcBorders>
            <w:shd w:val="clear" w:color="auto" w:fill="auto"/>
            <w:vAlign w:val="center"/>
            <w:hideMark/>
          </w:tcPr>
          <w:p w14:paraId="2B8C77E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Fălești</w:t>
            </w:r>
          </w:p>
        </w:tc>
        <w:tc>
          <w:tcPr>
            <w:tcW w:w="1489" w:type="dxa"/>
            <w:tcBorders>
              <w:top w:val="nil"/>
              <w:left w:val="nil"/>
              <w:bottom w:val="single" w:sz="8" w:space="0" w:color="auto"/>
              <w:right w:val="single" w:sz="8" w:space="0" w:color="auto"/>
            </w:tcBorders>
            <w:shd w:val="clear" w:color="auto" w:fill="auto"/>
            <w:vAlign w:val="center"/>
            <w:hideMark/>
          </w:tcPr>
          <w:p w14:paraId="46E0AD9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9.707.645,49</w:t>
            </w:r>
          </w:p>
        </w:tc>
        <w:tc>
          <w:tcPr>
            <w:tcW w:w="1353" w:type="dxa"/>
            <w:tcBorders>
              <w:top w:val="nil"/>
              <w:left w:val="nil"/>
              <w:bottom w:val="single" w:sz="8" w:space="0" w:color="auto"/>
              <w:right w:val="single" w:sz="8" w:space="0" w:color="auto"/>
            </w:tcBorders>
            <w:shd w:val="clear" w:color="auto" w:fill="auto"/>
            <w:vAlign w:val="center"/>
            <w:hideMark/>
          </w:tcPr>
          <w:p w14:paraId="3470371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15,07</w:t>
            </w:r>
          </w:p>
        </w:tc>
        <w:tc>
          <w:tcPr>
            <w:tcW w:w="1580" w:type="dxa"/>
            <w:tcBorders>
              <w:top w:val="nil"/>
              <w:left w:val="nil"/>
              <w:bottom w:val="single" w:sz="8" w:space="0" w:color="auto"/>
              <w:right w:val="single" w:sz="8" w:space="0" w:color="auto"/>
            </w:tcBorders>
            <w:shd w:val="clear" w:color="auto" w:fill="auto"/>
            <w:vAlign w:val="center"/>
            <w:hideMark/>
          </w:tcPr>
          <w:p w14:paraId="4FFD96B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9.479.814,37</w:t>
            </w:r>
          </w:p>
        </w:tc>
        <w:tc>
          <w:tcPr>
            <w:tcW w:w="1353" w:type="dxa"/>
            <w:tcBorders>
              <w:top w:val="nil"/>
              <w:left w:val="nil"/>
              <w:bottom w:val="single" w:sz="8" w:space="0" w:color="auto"/>
              <w:right w:val="single" w:sz="8" w:space="0" w:color="auto"/>
            </w:tcBorders>
            <w:shd w:val="clear" w:color="auto" w:fill="auto"/>
            <w:vAlign w:val="center"/>
            <w:hideMark/>
          </w:tcPr>
          <w:p w14:paraId="4E8CAB6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59840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8.380.912,89</w:t>
            </w:r>
          </w:p>
        </w:tc>
        <w:tc>
          <w:tcPr>
            <w:tcW w:w="1353" w:type="dxa"/>
            <w:tcBorders>
              <w:top w:val="nil"/>
              <w:left w:val="nil"/>
              <w:bottom w:val="single" w:sz="8" w:space="0" w:color="auto"/>
              <w:right w:val="single" w:sz="8" w:space="0" w:color="auto"/>
            </w:tcBorders>
            <w:shd w:val="clear" w:color="auto" w:fill="auto"/>
            <w:vAlign w:val="center"/>
            <w:hideMark/>
          </w:tcPr>
          <w:p w14:paraId="3CF3E21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334528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-1.098.901,48</w:t>
            </w:r>
          </w:p>
        </w:tc>
        <w:tc>
          <w:tcPr>
            <w:tcW w:w="1418" w:type="dxa"/>
            <w:tcBorders>
              <w:top w:val="nil"/>
              <w:left w:val="nil"/>
              <w:bottom w:val="single" w:sz="8" w:space="0" w:color="auto"/>
              <w:right w:val="single" w:sz="8" w:space="0" w:color="auto"/>
            </w:tcBorders>
            <w:shd w:val="clear" w:color="auto" w:fill="auto"/>
            <w:vAlign w:val="center"/>
            <w:hideMark/>
          </w:tcPr>
          <w:p w14:paraId="394F19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913507A"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B93907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21</w:t>
            </w:r>
          </w:p>
        </w:tc>
        <w:tc>
          <w:tcPr>
            <w:tcW w:w="3221" w:type="dxa"/>
            <w:tcBorders>
              <w:top w:val="nil"/>
              <w:left w:val="nil"/>
              <w:bottom w:val="single" w:sz="8" w:space="0" w:color="auto"/>
              <w:right w:val="single" w:sz="8" w:space="0" w:color="auto"/>
            </w:tcBorders>
            <w:shd w:val="clear" w:color="auto" w:fill="auto"/>
            <w:vAlign w:val="center"/>
            <w:hideMark/>
          </w:tcPr>
          <w:p w14:paraId="671A2EDF"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Rezina</w:t>
            </w:r>
          </w:p>
        </w:tc>
        <w:tc>
          <w:tcPr>
            <w:tcW w:w="1489" w:type="dxa"/>
            <w:tcBorders>
              <w:top w:val="nil"/>
              <w:left w:val="nil"/>
              <w:bottom w:val="single" w:sz="8" w:space="0" w:color="auto"/>
              <w:right w:val="single" w:sz="8" w:space="0" w:color="auto"/>
            </w:tcBorders>
            <w:shd w:val="clear" w:color="auto" w:fill="auto"/>
            <w:vAlign w:val="center"/>
            <w:hideMark/>
          </w:tcPr>
          <w:p w14:paraId="728514C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20.958.019,87</w:t>
            </w:r>
          </w:p>
        </w:tc>
        <w:tc>
          <w:tcPr>
            <w:tcW w:w="1353" w:type="dxa"/>
            <w:tcBorders>
              <w:top w:val="nil"/>
              <w:left w:val="nil"/>
              <w:bottom w:val="single" w:sz="8" w:space="0" w:color="auto"/>
              <w:right w:val="single" w:sz="8" w:space="0" w:color="auto"/>
            </w:tcBorders>
            <w:shd w:val="clear" w:color="auto" w:fill="auto"/>
            <w:vAlign w:val="center"/>
            <w:hideMark/>
          </w:tcPr>
          <w:p w14:paraId="767AE21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97,25</w:t>
            </w:r>
          </w:p>
        </w:tc>
        <w:tc>
          <w:tcPr>
            <w:tcW w:w="1580" w:type="dxa"/>
            <w:tcBorders>
              <w:top w:val="nil"/>
              <w:left w:val="nil"/>
              <w:bottom w:val="single" w:sz="8" w:space="0" w:color="auto"/>
              <w:right w:val="single" w:sz="8" w:space="0" w:color="auto"/>
            </w:tcBorders>
            <w:shd w:val="clear" w:color="auto" w:fill="auto"/>
            <w:vAlign w:val="center"/>
            <w:hideMark/>
          </w:tcPr>
          <w:p w14:paraId="6341923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20.717.002,36</w:t>
            </w:r>
          </w:p>
        </w:tc>
        <w:tc>
          <w:tcPr>
            <w:tcW w:w="1353" w:type="dxa"/>
            <w:tcBorders>
              <w:top w:val="nil"/>
              <w:left w:val="nil"/>
              <w:bottom w:val="single" w:sz="8" w:space="0" w:color="auto"/>
              <w:right w:val="single" w:sz="8" w:space="0" w:color="auto"/>
            </w:tcBorders>
            <w:shd w:val="clear" w:color="auto" w:fill="auto"/>
            <w:vAlign w:val="center"/>
            <w:hideMark/>
          </w:tcPr>
          <w:p w14:paraId="6592D81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4D78C6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18.175.990,39</w:t>
            </w:r>
          </w:p>
        </w:tc>
        <w:tc>
          <w:tcPr>
            <w:tcW w:w="1353" w:type="dxa"/>
            <w:tcBorders>
              <w:top w:val="nil"/>
              <w:left w:val="nil"/>
              <w:bottom w:val="single" w:sz="8" w:space="0" w:color="auto"/>
              <w:right w:val="single" w:sz="8" w:space="0" w:color="auto"/>
            </w:tcBorders>
            <w:shd w:val="clear" w:color="auto" w:fill="auto"/>
            <w:vAlign w:val="center"/>
            <w:hideMark/>
          </w:tcPr>
          <w:p w14:paraId="2D59205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F3AAD2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-2.541.011,97</w:t>
            </w:r>
          </w:p>
        </w:tc>
        <w:tc>
          <w:tcPr>
            <w:tcW w:w="1418" w:type="dxa"/>
            <w:tcBorders>
              <w:top w:val="nil"/>
              <w:left w:val="nil"/>
              <w:bottom w:val="single" w:sz="8" w:space="0" w:color="auto"/>
              <w:right w:val="single" w:sz="8" w:space="0" w:color="auto"/>
            </w:tcBorders>
            <w:shd w:val="clear" w:color="auto" w:fill="auto"/>
            <w:vAlign w:val="center"/>
            <w:hideMark/>
          </w:tcPr>
          <w:p w14:paraId="1912960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5DFB45F"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5035DC4"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w:t>
            </w:r>
          </w:p>
        </w:tc>
        <w:tc>
          <w:tcPr>
            <w:tcW w:w="3221" w:type="dxa"/>
            <w:tcBorders>
              <w:top w:val="nil"/>
              <w:left w:val="nil"/>
              <w:bottom w:val="single" w:sz="8" w:space="0" w:color="auto"/>
              <w:right w:val="single" w:sz="8" w:space="0" w:color="auto"/>
            </w:tcBorders>
            <w:shd w:val="clear" w:color="auto" w:fill="auto"/>
            <w:vAlign w:val="center"/>
            <w:hideMark/>
          </w:tcPr>
          <w:p w14:paraId="1D311560"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Cantemir</w:t>
            </w:r>
          </w:p>
        </w:tc>
        <w:tc>
          <w:tcPr>
            <w:tcW w:w="1489" w:type="dxa"/>
            <w:tcBorders>
              <w:top w:val="nil"/>
              <w:left w:val="nil"/>
              <w:bottom w:val="single" w:sz="8" w:space="0" w:color="auto"/>
              <w:right w:val="single" w:sz="8" w:space="0" w:color="auto"/>
            </w:tcBorders>
            <w:shd w:val="clear" w:color="auto" w:fill="auto"/>
            <w:vAlign w:val="center"/>
            <w:hideMark/>
          </w:tcPr>
          <w:p w14:paraId="7F0DD06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3.159.026,67</w:t>
            </w:r>
          </w:p>
        </w:tc>
        <w:tc>
          <w:tcPr>
            <w:tcW w:w="1353" w:type="dxa"/>
            <w:tcBorders>
              <w:top w:val="nil"/>
              <w:left w:val="nil"/>
              <w:bottom w:val="single" w:sz="8" w:space="0" w:color="auto"/>
              <w:right w:val="single" w:sz="8" w:space="0" w:color="auto"/>
            </w:tcBorders>
            <w:shd w:val="clear" w:color="auto" w:fill="auto"/>
            <w:vAlign w:val="center"/>
            <w:hideMark/>
          </w:tcPr>
          <w:p w14:paraId="4FFFDE2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25FB1C0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3.061.241,15</w:t>
            </w:r>
          </w:p>
        </w:tc>
        <w:tc>
          <w:tcPr>
            <w:tcW w:w="1353" w:type="dxa"/>
            <w:tcBorders>
              <w:top w:val="nil"/>
              <w:left w:val="nil"/>
              <w:bottom w:val="single" w:sz="8" w:space="0" w:color="auto"/>
              <w:right w:val="single" w:sz="8" w:space="0" w:color="auto"/>
            </w:tcBorders>
            <w:shd w:val="clear" w:color="auto" w:fill="auto"/>
            <w:vAlign w:val="center"/>
            <w:hideMark/>
          </w:tcPr>
          <w:p w14:paraId="2D6EC41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0D65326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2.772.250,68</w:t>
            </w:r>
          </w:p>
        </w:tc>
        <w:tc>
          <w:tcPr>
            <w:tcW w:w="1353" w:type="dxa"/>
            <w:tcBorders>
              <w:top w:val="nil"/>
              <w:left w:val="nil"/>
              <w:bottom w:val="single" w:sz="8" w:space="0" w:color="auto"/>
              <w:right w:val="single" w:sz="8" w:space="0" w:color="auto"/>
            </w:tcBorders>
            <w:shd w:val="clear" w:color="auto" w:fill="auto"/>
            <w:vAlign w:val="center"/>
            <w:hideMark/>
          </w:tcPr>
          <w:p w14:paraId="7E4C161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7F7C3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-288.990,47</w:t>
            </w:r>
          </w:p>
        </w:tc>
        <w:tc>
          <w:tcPr>
            <w:tcW w:w="1418" w:type="dxa"/>
            <w:tcBorders>
              <w:top w:val="nil"/>
              <w:left w:val="nil"/>
              <w:bottom w:val="single" w:sz="8" w:space="0" w:color="auto"/>
              <w:right w:val="single" w:sz="8" w:space="0" w:color="auto"/>
            </w:tcBorders>
            <w:shd w:val="clear" w:color="auto" w:fill="auto"/>
            <w:vAlign w:val="center"/>
            <w:hideMark/>
          </w:tcPr>
          <w:p w14:paraId="07189A2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BDB514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2177C4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w:t>
            </w:r>
          </w:p>
        </w:tc>
        <w:tc>
          <w:tcPr>
            <w:tcW w:w="3221" w:type="dxa"/>
            <w:tcBorders>
              <w:top w:val="nil"/>
              <w:left w:val="nil"/>
              <w:bottom w:val="single" w:sz="8" w:space="0" w:color="auto"/>
              <w:right w:val="single" w:sz="8" w:space="0" w:color="auto"/>
            </w:tcBorders>
            <w:shd w:val="clear" w:color="auto" w:fill="auto"/>
            <w:vAlign w:val="center"/>
            <w:hideMark/>
          </w:tcPr>
          <w:p w14:paraId="5A085D0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Cahul</w:t>
            </w:r>
          </w:p>
        </w:tc>
        <w:tc>
          <w:tcPr>
            <w:tcW w:w="1489" w:type="dxa"/>
            <w:tcBorders>
              <w:top w:val="nil"/>
              <w:left w:val="nil"/>
              <w:bottom w:val="single" w:sz="8" w:space="0" w:color="auto"/>
              <w:right w:val="single" w:sz="8" w:space="0" w:color="auto"/>
            </w:tcBorders>
            <w:shd w:val="clear" w:color="auto" w:fill="auto"/>
            <w:vAlign w:val="center"/>
            <w:hideMark/>
          </w:tcPr>
          <w:p w14:paraId="0DE4D0B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11.336.397,51</w:t>
            </w:r>
          </w:p>
        </w:tc>
        <w:tc>
          <w:tcPr>
            <w:tcW w:w="1353" w:type="dxa"/>
            <w:tcBorders>
              <w:top w:val="nil"/>
              <w:left w:val="nil"/>
              <w:bottom w:val="single" w:sz="8" w:space="0" w:color="auto"/>
              <w:right w:val="single" w:sz="8" w:space="0" w:color="auto"/>
            </w:tcBorders>
            <w:shd w:val="clear" w:color="auto" w:fill="auto"/>
            <w:vAlign w:val="center"/>
            <w:hideMark/>
          </w:tcPr>
          <w:p w14:paraId="1E272BA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FC1C01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11.157.770,96</w:t>
            </w:r>
          </w:p>
        </w:tc>
        <w:tc>
          <w:tcPr>
            <w:tcW w:w="1353" w:type="dxa"/>
            <w:tcBorders>
              <w:top w:val="nil"/>
              <w:left w:val="nil"/>
              <w:bottom w:val="single" w:sz="8" w:space="0" w:color="auto"/>
              <w:right w:val="single" w:sz="8" w:space="0" w:color="auto"/>
            </w:tcBorders>
            <w:shd w:val="clear" w:color="auto" w:fill="auto"/>
            <w:vAlign w:val="center"/>
            <w:hideMark/>
          </w:tcPr>
          <w:p w14:paraId="26F21A5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0E8CD4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10.275.715,12</w:t>
            </w:r>
          </w:p>
        </w:tc>
        <w:tc>
          <w:tcPr>
            <w:tcW w:w="1353" w:type="dxa"/>
            <w:tcBorders>
              <w:top w:val="nil"/>
              <w:left w:val="nil"/>
              <w:bottom w:val="single" w:sz="8" w:space="0" w:color="auto"/>
              <w:right w:val="single" w:sz="8" w:space="0" w:color="auto"/>
            </w:tcBorders>
            <w:shd w:val="clear" w:color="auto" w:fill="auto"/>
            <w:vAlign w:val="center"/>
            <w:hideMark/>
          </w:tcPr>
          <w:p w14:paraId="6E18D31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9663A0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-882.055,84</w:t>
            </w:r>
          </w:p>
        </w:tc>
        <w:tc>
          <w:tcPr>
            <w:tcW w:w="1418" w:type="dxa"/>
            <w:tcBorders>
              <w:top w:val="nil"/>
              <w:left w:val="nil"/>
              <w:bottom w:val="single" w:sz="8" w:space="0" w:color="auto"/>
              <w:right w:val="single" w:sz="8" w:space="0" w:color="auto"/>
            </w:tcBorders>
            <w:shd w:val="clear" w:color="auto" w:fill="auto"/>
            <w:vAlign w:val="center"/>
            <w:hideMark/>
          </w:tcPr>
          <w:p w14:paraId="71CDB66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756C2DA"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7CAE6B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w:t>
            </w:r>
          </w:p>
        </w:tc>
        <w:tc>
          <w:tcPr>
            <w:tcW w:w="3221" w:type="dxa"/>
            <w:tcBorders>
              <w:top w:val="nil"/>
              <w:left w:val="nil"/>
              <w:bottom w:val="single" w:sz="8" w:space="0" w:color="auto"/>
              <w:right w:val="single" w:sz="8" w:space="0" w:color="auto"/>
            </w:tcBorders>
            <w:shd w:val="clear" w:color="auto" w:fill="auto"/>
            <w:vAlign w:val="center"/>
            <w:hideMark/>
          </w:tcPr>
          <w:p w14:paraId="2E00E78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raional Floreşti</w:t>
            </w:r>
          </w:p>
        </w:tc>
        <w:tc>
          <w:tcPr>
            <w:tcW w:w="1489" w:type="dxa"/>
            <w:tcBorders>
              <w:top w:val="nil"/>
              <w:left w:val="nil"/>
              <w:bottom w:val="single" w:sz="8" w:space="0" w:color="auto"/>
              <w:right w:val="single" w:sz="8" w:space="0" w:color="auto"/>
            </w:tcBorders>
            <w:shd w:val="clear" w:color="auto" w:fill="auto"/>
            <w:vAlign w:val="center"/>
            <w:hideMark/>
          </w:tcPr>
          <w:p w14:paraId="73BFB82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24.955.222,64</w:t>
            </w:r>
          </w:p>
        </w:tc>
        <w:tc>
          <w:tcPr>
            <w:tcW w:w="1353" w:type="dxa"/>
            <w:tcBorders>
              <w:top w:val="nil"/>
              <w:left w:val="nil"/>
              <w:bottom w:val="single" w:sz="8" w:space="0" w:color="auto"/>
              <w:right w:val="single" w:sz="8" w:space="0" w:color="auto"/>
            </w:tcBorders>
            <w:shd w:val="clear" w:color="auto" w:fill="auto"/>
            <w:vAlign w:val="center"/>
            <w:hideMark/>
          </w:tcPr>
          <w:p w14:paraId="1D07B4C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4BAE708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23.609.649,85</w:t>
            </w:r>
          </w:p>
        </w:tc>
        <w:tc>
          <w:tcPr>
            <w:tcW w:w="1353" w:type="dxa"/>
            <w:tcBorders>
              <w:top w:val="nil"/>
              <w:left w:val="nil"/>
              <w:bottom w:val="single" w:sz="8" w:space="0" w:color="auto"/>
              <w:right w:val="single" w:sz="8" w:space="0" w:color="auto"/>
            </w:tcBorders>
            <w:shd w:val="clear" w:color="auto" w:fill="auto"/>
            <w:vAlign w:val="center"/>
            <w:hideMark/>
          </w:tcPr>
          <w:p w14:paraId="7E200D7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710.423,40</w:t>
            </w:r>
          </w:p>
        </w:tc>
        <w:tc>
          <w:tcPr>
            <w:tcW w:w="1580" w:type="dxa"/>
            <w:tcBorders>
              <w:top w:val="nil"/>
              <w:left w:val="nil"/>
              <w:bottom w:val="single" w:sz="8" w:space="0" w:color="auto"/>
              <w:right w:val="single" w:sz="8" w:space="0" w:color="auto"/>
            </w:tcBorders>
            <w:shd w:val="clear" w:color="auto" w:fill="auto"/>
            <w:vAlign w:val="center"/>
            <w:hideMark/>
          </w:tcPr>
          <w:p w14:paraId="2EB2467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19.446.070,64</w:t>
            </w:r>
          </w:p>
        </w:tc>
        <w:tc>
          <w:tcPr>
            <w:tcW w:w="1353" w:type="dxa"/>
            <w:tcBorders>
              <w:top w:val="nil"/>
              <w:left w:val="nil"/>
              <w:bottom w:val="single" w:sz="8" w:space="0" w:color="auto"/>
              <w:right w:val="single" w:sz="8" w:space="0" w:color="auto"/>
            </w:tcBorders>
            <w:shd w:val="clear" w:color="auto" w:fill="auto"/>
            <w:vAlign w:val="center"/>
            <w:hideMark/>
          </w:tcPr>
          <w:p w14:paraId="0845CC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8C1185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-4.163.579,21</w:t>
            </w:r>
          </w:p>
        </w:tc>
        <w:tc>
          <w:tcPr>
            <w:tcW w:w="1418" w:type="dxa"/>
            <w:tcBorders>
              <w:top w:val="nil"/>
              <w:left w:val="nil"/>
              <w:bottom w:val="single" w:sz="8" w:space="0" w:color="auto"/>
              <w:right w:val="single" w:sz="8" w:space="0" w:color="auto"/>
            </w:tcBorders>
            <w:shd w:val="clear" w:color="auto" w:fill="auto"/>
            <w:vAlign w:val="center"/>
            <w:hideMark/>
          </w:tcPr>
          <w:p w14:paraId="22D097A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-710.423,40</w:t>
            </w:r>
          </w:p>
        </w:tc>
      </w:tr>
      <w:tr w:rsidR="004729C6" w:rsidRPr="008B76D8" w14:paraId="592C4572"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67DEF3A"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w:t>
            </w:r>
          </w:p>
        </w:tc>
        <w:tc>
          <w:tcPr>
            <w:tcW w:w="3221" w:type="dxa"/>
            <w:tcBorders>
              <w:top w:val="nil"/>
              <w:left w:val="nil"/>
              <w:bottom w:val="single" w:sz="8" w:space="0" w:color="auto"/>
              <w:right w:val="single" w:sz="8" w:space="0" w:color="auto"/>
            </w:tcBorders>
            <w:shd w:val="clear" w:color="auto" w:fill="auto"/>
            <w:vAlign w:val="center"/>
            <w:hideMark/>
          </w:tcPr>
          <w:p w14:paraId="784F493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Comitetul Executiv al UTA Găgăuzia</w:t>
            </w:r>
          </w:p>
        </w:tc>
        <w:tc>
          <w:tcPr>
            <w:tcW w:w="1489" w:type="dxa"/>
            <w:tcBorders>
              <w:top w:val="nil"/>
              <w:left w:val="nil"/>
              <w:bottom w:val="single" w:sz="8" w:space="0" w:color="auto"/>
              <w:right w:val="single" w:sz="8" w:space="0" w:color="auto"/>
            </w:tcBorders>
            <w:shd w:val="clear" w:color="auto" w:fill="auto"/>
            <w:vAlign w:val="center"/>
            <w:hideMark/>
          </w:tcPr>
          <w:p w14:paraId="14B9290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27.673.229,06</w:t>
            </w:r>
          </w:p>
        </w:tc>
        <w:tc>
          <w:tcPr>
            <w:tcW w:w="1353" w:type="dxa"/>
            <w:tcBorders>
              <w:top w:val="nil"/>
              <w:left w:val="nil"/>
              <w:bottom w:val="single" w:sz="8" w:space="0" w:color="auto"/>
              <w:right w:val="single" w:sz="8" w:space="0" w:color="auto"/>
            </w:tcBorders>
            <w:shd w:val="clear" w:color="auto" w:fill="auto"/>
            <w:vAlign w:val="center"/>
            <w:hideMark/>
          </w:tcPr>
          <w:p w14:paraId="1E67242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5E260E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25.391.733,64</w:t>
            </w:r>
          </w:p>
        </w:tc>
        <w:tc>
          <w:tcPr>
            <w:tcW w:w="1353" w:type="dxa"/>
            <w:tcBorders>
              <w:top w:val="nil"/>
              <w:left w:val="nil"/>
              <w:bottom w:val="single" w:sz="8" w:space="0" w:color="auto"/>
              <w:right w:val="single" w:sz="8" w:space="0" w:color="auto"/>
            </w:tcBorders>
            <w:shd w:val="clear" w:color="auto" w:fill="auto"/>
            <w:vAlign w:val="center"/>
            <w:hideMark/>
          </w:tcPr>
          <w:p w14:paraId="08AD5AD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D83800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21.579.193,46</w:t>
            </w:r>
          </w:p>
        </w:tc>
        <w:tc>
          <w:tcPr>
            <w:tcW w:w="1353" w:type="dxa"/>
            <w:tcBorders>
              <w:top w:val="nil"/>
              <w:left w:val="nil"/>
              <w:bottom w:val="single" w:sz="8" w:space="0" w:color="auto"/>
              <w:right w:val="single" w:sz="8" w:space="0" w:color="auto"/>
            </w:tcBorders>
            <w:shd w:val="clear" w:color="auto" w:fill="auto"/>
            <w:vAlign w:val="center"/>
            <w:hideMark/>
          </w:tcPr>
          <w:p w14:paraId="38D2E7F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0E1A497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-3.812.540,18</w:t>
            </w:r>
          </w:p>
        </w:tc>
        <w:tc>
          <w:tcPr>
            <w:tcW w:w="1418" w:type="dxa"/>
            <w:tcBorders>
              <w:top w:val="nil"/>
              <w:left w:val="nil"/>
              <w:bottom w:val="single" w:sz="8" w:space="0" w:color="auto"/>
              <w:right w:val="single" w:sz="8" w:space="0" w:color="auto"/>
            </w:tcBorders>
            <w:shd w:val="clear" w:color="auto" w:fill="auto"/>
            <w:vAlign w:val="center"/>
            <w:hideMark/>
          </w:tcPr>
          <w:p w14:paraId="21807C4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234C64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271133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w:t>
            </w:r>
          </w:p>
        </w:tc>
        <w:tc>
          <w:tcPr>
            <w:tcW w:w="3221" w:type="dxa"/>
            <w:tcBorders>
              <w:top w:val="nil"/>
              <w:left w:val="nil"/>
              <w:bottom w:val="single" w:sz="8" w:space="0" w:color="auto"/>
              <w:right w:val="single" w:sz="8" w:space="0" w:color="auto"/>
            </w:tcBorders>
            <w:shd w:val="clear" w:color="auto" w:fill="auto"/>
            <w:vAlign w:val="center"/>
            <w:hideMark/>
          </w:tcPr>
          <w:p w14:paraId="16FACE9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comunal Sărata Nouă</w:t>
            </w:r>
          </w:p>
        </w:tc>
        <w:tc>
          <w:tcPr>
            <w:tcW w:w="1489" w:type="dxa"/>
            <w:tcBorders>
              <w:top w:val="nil"/>
              <w:left w:val="nil"/>
              <w:bottom w:val="single" w:sz="8" w:space="0" w:color="auto"/>
              <w:right w:val="single" w:sz="8" w:space="0" w:color="auto"/>
            </w:tcBorders>
            <w:shd w:val="clear" w:color="auto" w:fill="auto"/>
            <w:vAlign w:val="center"/>
            <w:hideMark/>
          </w:tcPr>
          <w:p w14:paraId="2ED3634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332.472,01</w:t>
            </w:r>
          </w:p>
        </w:tc>
        <w:tc>
          <w:tcPr>
            <w:tcW w:w="1353" w:type="dxa"/>
            <w:tcBorders>
              <w:top w:val="nil"/>
              <w:left w:val="nil"/>
              <w:bottom w:val="single" w:sz="8" w:space="0" w:color="auto"/>
              <w:right w:val="single" w:sz="8" w:space="0" w:color="auto"/>
            </w:tcBorders>
            <w:shd w:val="clear" w:color="auto" w:fill="auto"/>
            <w:vAlign w:val="center"/>
            <w:hideMark/>
          </w:tcPr>
          <w:p w14:paraId="7E93482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7344831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305.080,70</w:t>
            </w:r>
          </w:p>
        </w:tc>
        <w:tc>
          <w:tcPr>
            <w:tcW w:w="1353" w:type="dxa"/>
            <w:tcBorders>
              <w:top w:val="nil"/>
              <w:left w:val="nil"/>
              <w:bottom w:val="single" w:sz="8" w:space="0" w:color="auto"/>
              <w:right w:val="single" w:sz="8" w:space="0" w:color="auto"/>
            </w:tcBorders>
            <w:shd w:val="clear" w:color="auto" w:fill="auto"/>
            <w:vAlign w:val="center"/>
            <w:hideMark/>
          </w:tcPr>
          <w:p w14:paraId="26670C8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5A57C5B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259.268,56</w:t>
            </w:r>
          </w:p>
        </w:tc>
        <w:tc>
          <w:tcPr>
            <w:tcW w:w="1353" w:type="dxa"/>
            <w:tcBorders>
              <w:top w:val="nil"/>
              <w:left w:val="nil"/>
              <w:bottom w:val="single" w:sz="8" w:space="0" w:color="auto"/>
              <w:right w:val="single" w:sz="8" w:space="0" w:color="auto"/>
            </w:tcBorders>
            <w:shd w:val="clear" w:color="auto" w:fill="auto"/>
            <w:vAlign w:val="center"/>
            <w:hideMark/>
          </w:tcPr>
          <w:p w14:paraId="744A072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7014A0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-45.812,14</w:t>
            </w:r>
          </w:p>
        </w:tc>
        <w:tc>
          <w:tcPr>
            <w:tcW w:w="1418" w:type="dxa"/>
            <w:tcBorders>
              <w:top w:val="nil"/>
              <w:left w:val="nil"/>
              <w:bottom w:val="single" w:sz="8" w:space="0" w:color="auto"/>
              <w:right w:val="single" w:sz="8" w:space="0" w:color="auto"/>
            </w:tcBorders>
            <w:shd w:val="clear" w:color="auto" w:fill="auto"/>
            <w:vAlign w:val="center"/>
            <w:hideMark/>
          </w:tcPr>
          <w:p w14:paraId="678270F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471701F4"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DA7E9D1"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w:t>
            </w:r>
          </w:p>
        </w:tc>
        <w:tc>
          <w:tcPr>
            <w:tcW w:w="3221" w:type="dxa"/>
            <w:tcBorders>
              <w:top w:val="nil"/>
              <w:left w:val="nil"/>
              <w:bottom w:val="single" w:sz="8" w:space="0" w:color="auto"/>
              <w:right w:val="single" w:sz="8" w:space="0" w:color="auto"/>
            </w:tcBorders>
            <w:shd w:val="clear" w:color="auto" w:fill="auto"/>
            <w:vAlign w:val="center"/>
            <w:hideMark/>
          </w:tcPr>
          <w:p w14:paraId="7DC19DB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Consiliul orășenesc Leova</w:t>
            </w:r>
          </w:p>
        </w:tc>
        <w:tc>
          <w:tcPr>
            <w:tcW w:w="1489" w:type="dxa"/>
            <w:tcBorders>
              <w:top w:val="nil"/>
              <w:left w:val="nil"/>
              <w:bottom w:val="single" w:sz="8" w:space="0" w:color="auto"/>
              <w:right w:val="single" w:sz="8" w:space="0" w:color="auto"/>
            </w:tcBorders>
            <w:shd w:val="clear" w:color="auto" w:fill="auto"/>
            <w:vAlign w:val="center"/>
            <w:hideMark/>
          </w:tcPr>
          <w:p w14:paraId="07CD38F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9.886.131,72</w:t>
            </w:r>
          </w:p>
        </w:tc>
        <w:tc>
          <w:tcPr>
            <w:tcW w:w="1353" w:type="dxa"/>
            <w:tcBorders>
              <w:top w:val="nil"/>
              <w:left w:val="nil"/>
              <w:bottom w:val="single" w:sz="8" w:space="0" w:color="auto"/>
              <w:right w:val="single" w:sz="8" w:space="0" w:color="auto"/>
            </w:tcBorders>
            <w:shd w:val="clear" w:color="auto" w:fill="auto"/>
            <w:vAlign w:val="center"/>
            <w:hideMark/>
          </w:tcPr>
          <w:p w14:paraId="670E7B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19CF53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9.211.398,40</w:t>
            </w:r>
          </w:p>
        </w:tc>
        <w:tc>
          <w:tcPr>
            <w:tcW w:w="1353" w:type="dxa"/>
            <w:tcBorders>
              <w:top w:val="nil"/>
              <w:left w:val="nil"/>
              <w:bottom w:val="single" w:sz="8" w:space="0" w:color="auto"/>
              <w:right w:val="single" w:sz="8" w:space="0" w:color="auto"/>
            </w:tcBorders>
            <w:shd w:val="clear" w:color="auto" w:fill="auto"/>
            <w:vAlign w:val="center"/>
            <w:hideMark/>
          </w:tcPr>
          <w:p w14:paraId="6D781A5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w:t>
            </w:r>
          </w:p>
        </w:tc>
        <w:tc>
          <w:tcPr>
            <w:tcW w:w="1580" w:type="dxa"/>
            <w:tcBorders>
              <w:top w:val="nil"/>
              <w:left w:val="nil"/>
              <w:bottom w:val="single" w:sz="8" w:space="0" w:color="auto"/>
              <w:right w:val="single" w:sz="8" w:space="0" w:color="auto"/>
            </w:tcBorders>
            <w:shd w:val="clear" w:color="auto" w:fill="auto"/>
            <w:vAlign w:val="center"/>
            <w:hideMark/>
          </w:tcPr>
          <w:p w14:paraId="33967F6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7.975.248,80</w:t>
            </w:r>
          </w:p>
        </w:tc>
        <w:tc>
          <w:tcPr>
            <w:tcW w:w="1353" w:type="dxa"/>
            <w:tcBorders>
              <w:top w:val="nil"/>
              <w:left w:val="nil"/>
              <w:bottom w:val="single" w:sz="8" w:space="0" w:color="auto"/>
              <w:right w:val="single" w:sz="8" w:space="0" w:color="auto"/>
            </w:tcBorders>
            <w:shd w:val="clear" w:color="auto" w:fill="auto"/>
            <w:vAlign w:val="center"/>
            <w:hideMark/>
          </w:tcPr>
          <w:p w14:paraId="2FA159B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BFBCB7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-1.236.149,60</w:t>
            </w:r>
          </w:p>
        </w:tc>
        <w:tc>
          <w:tcPr>
            <w:tcW w:w="1418" w:type="dxa"/>
            <w:tcBorders>
              <w:top w:val="nil"/>
              <w:left w:val="nil"/>
              <w:bottom w:val="single" w:sz="8" w:space="0" w:color="auto"/>
              <w:right w:val="single" w:sz="8" w:space="0" w:color="auto"/>
            </w:tcBorders>
            <w:shd w:val="clear" w:color="auto" w:fill="auto"/>
            <w:vAlign w:val="center"/>
            <w:hideMark/>
          </w:tcPr>
          <w:p w14:paraId="65BAB74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8F0B13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8B2C694"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3221" w:type="dxa"/>
            <w:tcBorders>
              <w:top w:val="nil"/>
              <w:left w:val="nil"/>
              <w:bottom w:val="single" w:sz="8" w:space="0" w:color="auto"/>
              <w:right w:val="single" w:sz="8" w:space="0" w:color="auto"/>
            </w:tcBorders>
            <w:shd w:val="clear" w:color="auto" w:fill="auto"/>
            <w:vAlign w:val="center"/>
            <w:hideMark/>
          </w:tcPr>
          <w:p w14:paraId="5D790CE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489" w:type="dxa"/>
            <w:tcBorders>
              <w:top w:val="nil"/>
              <w:left w:val="nil"/>
              <w:bottom w:val="single" w:sz="8" w:space="0" w:color="auto"/>
              <w:right w:val="single" w:sz="8" w:space="0" w:color="auto"/>
            </w:tcBorders>
            <w:shd w:val="clear" w:color="auto" w:fill="auto"/>
            <w:vAlign w:val="center"/>
            <w:hideMark/>
          </w:tcPr>
          <w:p w14:paraId="07F104C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445076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5DE18EB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312BD30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94A71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353" w:type="dxa"/>
            <w:tcBorders>
              <w:top w:val="nil"/>
              <w:left w:val="nil"/>
              <w:bottom w:val="single" w:sz="8" w:space="0" w:color="auto"/>
              <w:right w:val="single" w:sz="8" w:space="0" w:color="auto"/>
            </w:tcBorders>
            <w:shd w:val="clear" w:color="auto" w:fill="auto"/>
            <w:vAlign w:val="center"/>
            <w:hideMark/>
          </w:tcPr>
          <w:p w14:paraId="37ED646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9323B35"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14:paraId="07162E09"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w:t>
            </w:r>
          </w:p>
        </w:tc>
      </w:tr>
      <w:tr w:rsidR="004729C6" w:rsidRPr="008B76D8" w14:paraId="3246D064" w14:textId="77777777" w:rsidTr="004729C6">
        <w:trPr>
          <w:trHeight w:val="612"/>
        </w:trPr>
        <w:tc>
          <w:tcPr>
            <w:tcW w:w="3818" w:type="dxa"/>
            <w:gridSpan w:val="2"/>
            <w:tcBorders>
              <w:top w:val="single" w:sz="8" w:space="0" w:color="auto"/>
              <w:left w:val="single" w:sz="8" w:space="0" w:color="auto"/>
              <w:bottom w:val="single" w:sz="8" w:space="0" w:color="auto"/>
              <w:right w:val="nil"/>
            </w:tcBorders>
            <w:shd w:val="clear" w:color="auto" w:fill="auto"/>
            <w:vAlign w:val="center"/>
            <w:hideMark/>
          </w:tcPr>
          <w:p w14:paraId="44CB4952" w14:textId="77777777" w:rsidR="004729C6" w:rsidRPr="008B76D8" w:rsidRDefault="004729C6" w:rsidP="004729C6">
            <w:pPr>
              <w:spacing w:after="0" w:line="240" w:lineRule="auto"/>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III.  Bănci, organizații de creditare nebancare și asociații de economii și împrumut</w:t>
            </w:r>
          </w:p>
        </w:tc>
        <w:tc>
          <w:tcPr>
            <w:tcW w:w="1489" w:type="dxa"/>
            <w:tcBorders>
              <w:top w:val="nil"/>
              <w:left w:val="single" w:sz="8" w:space="0" w:color="auto"/>
              <w:bottom w:val="single" w:sz="8" w:space="0" w:color="auto"/>
              <w:right w:val="single" w:sz="8" w:space="0" w:color="auto"/>
            </w:tcBorders>
            <w:shd w:val="clear" w:color="auto" w:fill="auto"/>
            <w:vAlign w:val="center"/>
            <w:hideMark/>
          </w:tcPr>
          <w:p w14:paraId="45C8AD6C"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4.264.924.433,00</w:t>
            </w:r>
          </w:p>
        </w:tc>
        <w:tc>
          <w:tcPr>
            <w:tcW w:w="1353" w:type="dxa"/>
            <w:tcBorders>
              <w:top w:val="nil"/>
              <w:left w:val="nil"/>
              <w:bottom w:val="single" w:sz="8" w:space="0" w:color="auto"/>
              <w:right w:val="single" w:sz="8" w:space="0" w:color="auto"/>
            </w:tcBorders>
            <w:shd w:val="clear" w:color="auto" w:fill="auto"/>
            <w:vAlign w:val="center"/>
            <w:hideMark/>
          </w:tcPr>
          <w:p w14:paraId="3EB1F1E2"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1.435.886,00</w:t>
            </w:r>
          </w:p>
        </w:tc>
        <w:tc>
          <w:tcPr>
            <w:tcW w:w="1580" w:type="dxa"/>
            <w:tcBorders>
              <w:top w:val="nil"/>
              <w:left w:val="nil"/>
              <w:bottom w:val="single" w:sz="8" w:space="0" w:color="auto"/>
              <w:right w:val="single" w:sz="8" w:space="0" w:color="auto"/>
            </w:tcBorders>
            <w:shd w:val="clear" w:color="auto" w:fill="auto"/>
            <w:vAlign w:val="center"/>
            <w:hideMark/>
          </w:tcPr>
          <w:p w14:paraId="4B994949"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5.082.360.877,00</w:t>
            </w:r>
          </w:p>
        </w:tc>
        <w:tc>
          <w:tcPr>
            <w:tcW w:w="1353" w:type="dxa"/>
            <w:tcBorders>
              <w:top w:val="nil"/>
              <w:left w:val="nil"/>
              <w:bottom w:val="single" w:sz="8" w:space="0" w:color="auto"/>
              <w:right w:val="single" w:sz="8" w:space="0" w:color="auto"/>
            </w:tcBorders>
            <w:shd w:val="clear" w:color="auto" w:fill="auto"/>
            <w:vAlign w:val="center"/>
            <w:hideMark/>
          </w:tcPr>
          <w:p w14:paraId="529D5BB9"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1.435.886,00</w:t>
            </w:r>
          </w:p>
        </w:tc>
        <w:tc>
          <w:tcPr>
            <w:tcW w:w="1580" w:type="dxa"/>
            <w:tcBorders>
              <w:top w:val="nil"/>
              <w:left w:val="nil"/>
              <w:bottom w:val="single" w:sz="8" w:space="0" w:color="auto"/>
              <w:right w:val="single" w:sz="8" w:space="0" w:color="auto"/>
            </w:tcBorders>
            <w:shd w:val="clear" w:color="auto" w:fill="auto"/>
            <w:vAlign w:val="center"/>
            <w:hideMark/>
          </w:tcPr>
          <w:p w14:paraId="79D498C0"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5.417.508.336,78</w:t>
            </w:r>
          </w:p>
        </w:tc>
        <w:tc>
          <w:tcPr>
            <w:tcW w:w="1353" w:type="dxa"/>
            <w:tcBorders>
              <w:top w:val="nil"/>
              <w:left w:val="nil"/>
              <w:bottom w:val="single" w:sz="8" w:space="0" w:color="auto"/>
              <w:right w:val="single" w:sz="8" w:space="0" w:color="auto"/>
            </w:tcBorders>
            <w:shd w:val="clear" w:color="auto" w:fill="auto"/>
            <w:vAlign w:val="center"/>
            <w:hideMark/>
          </w:tcPr>
          <w:p w14:paraId="6BF50811"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3.806.380,83</w:t>
            </w:r>
          </w:p>
        </w:tc>
        <w:tc>
          <w:tcPr>
            <w:tcW w:w="1647" w:type="dxa"/>
            <w:tcBorders>
              <w:top w:val="nil"/>
              <w:left w:val="nil"/>
              <w:bottom w:val="single" w:sz="8" w:space="0" w:color="auto"/>
              <w:right w:val="single" w:sz="8" w:space="0" w:color="auto"/>
            </w:tcBorders>
            <w:shd w:val="clear" w:color="auto" w:fill="auto"/>
            <w:vAlign w:val="center"/>
            <w:hideMark/>
          </w:tcPr>
          <w:p w14:paraId="32435A01"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335.147.459,78</w:t>
            </w:r>
          </w:p>
        </w:tc>
        <w:tc>
          <w:tcPr>
            <w:tcW w:w="1418" w:type="dxa"/>
            <w:tcBorders>
              <w:top w:val="nil"/>
              <w:left w:val="nil"/>
              <w:bottom w:val="single" w:sz="8" w:space="0" w:color="auto"/>
              <w:right w:val="single" w:sz="8" w:space="0" w:color="auto"/>
            </w:tcBorders>
            <w:shd w:val="clear" w:color="auto" w:fill="auto"/>
            <w:vAlign w:val="center"/>
            <w:hideMark/>
          </w:tcPr>
          <w:p w14:paraId="5CE0AC82"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2.370.494,83</w:t>
            </w:r>
          </w:p>
        </w:tc>
      </w:tr>
      <w:tr w:rsidR="004729C6" w:rsidRPr="008B76D8" w14:paraId="69C4DC0B" w14:textId="77777777" w:rsidTr="004729C6">
        <w:trPr>
          <w:trHeight w:val="300"/>
        </w:trPr>
        <w:tc>
          <w:tcPr>
            <w:tcW w:w="597" w:type="dxa"/>
            <w:tcBorders>
              <w:top w:val="nil"/>
              <w:left w:val="single" w:sz="8" w:space="0" w:color="auto"/>
              <w:bottom w:val="nil"/>
              <w:right w:val="single" w:sz="8" w:space="0" w:color="auto"/>
            </w:tcBorders>
            <w:shd w:val="clear" w:color="auto" w:fill="auto"/>
            <w:vAlign w:val="center"/>
            <w:hideMark/>
          </w:tcPr>
          <w:p w14:paraId="61B56C0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w:t>
            </w:r>
          </w:p>
        </w:tc>
        <w:tc>
          <w:tcPr>
            <w:tcW w:w="3221" w:type="dxa"/>
            <w:tcBorders>
              <w:top w:val="nil"/>
              <w:left w:val="nil"/>
              <w:bottom w:val="single" w:sz="8" w:space="0" w:color="auto"/>
              <w:right w:val="single" w:sz="8" w:space="0" w:color="auto"/>
            </w:tcBorders>
            <w:shd w:val="clear" w:color="auto" w:fill="auto"/>
            <w:vAlign w:val="center"/>
            <w:hideMark/>
          </w:tcPr>
          <w:p w14:paraId="07FD873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MoldovaAgroindbank</w:t>
            </w:r>
          </w:p>
        </w:tc>
        <w:tc>
          <w:tcPr>
            <w:tcW w:w="1489" w:type="dxa"/>
            <w:tcBorders>
              <w:top w:val="nil"/>
              <w:left w:val="nil"/>
              <w:bottom w:val="single" w:sz="8" w:space="0" w:color="auto"/>
              <w:right w:val="single" w:sz="8" w:space="0" w:color="auto"/>
            </w:tcBorders>
            <w:shd w:val="clear" w:color="auto" w:fill="auto"/>
            <w:vAlign w:val="center"/>
            <w:hideMark/>
          </w:tcPr>
          <w:p w14:paraId="2438C71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1.677.204.167,27</w:t>
            </w:r>
          </w:p>
        </w:tc>
        <w:tc>
          <w:tcPr>
            <w:tcW w:w="1353" w:type="dxa"/>
            <w:tcBorders>
              <w:top w:val="nil"/>
              <w:left w:val="nil"/>
              <w:bottom w:val="single" w:sz="8" w:space="0" w:color="auto"/>
              <w:right w:val="single" w:sz="8" w:space="0" w:color="auto"/>
            </w:tcBorders>
            <w:shd w:val="clear" w:color="auto" w:fill="auto"/>
            <w:vAlign w:val="center"/>
            <w:hideMark/>
          </w:tcPr>
          <w:p w14:paraId="313B424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969A39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2.092.182.406,50</w:t>
            </w:r>
          </w:p>
        </w:tc>
        <w:tc>
          <w:tcPr>
            <w:tcW w:w="1353" w:type="dxa"/>
            <w:tcBorders>
              <w:top w:val="nil"/>
              <w:left w:val="nil"/>
              <w:bottom w:val="single" w:sz="8" w:space="0" w:color="auto"/>
              <w:right w:val="single" w:sz="8" w:space="0" w:color="auto"/>
            </w:tcBorders>
            <w:shd w:val="clear" w:color="auto" w:fill="auto"/>
            <w:vAlign w:val="center"/>
            <w:hideMark/>
          </w:tcPr>
          <w:p w14:paraId="74B5818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2367E7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2.361.978.974,55</w:t>
            </w:r>
          </w:p>
        </w:tc>
        <w:tc>
          <w:tcPr>
            <w:tcW w:w="1353" w:type="dxa"/>
            <w:tcBorders>
              <w:top w:val="nil"/>
              <w:left w:val="nil"/>
              <w:bottom w:val="single" w:sz="8" w:space="0" w:color="auto"/>
              <w:right w:val="single" w:sz="8" w:space="0" w:color="auto"/>
            </w:tcBorders>
            <w:shd w:val="clear" w:color="auto" w:fill="auto"/>
            <w:vAlign w:val="center"/>
            <w:hideMark/>
          </w:tcPr>
          <w:p w14:paraId="2F9F840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59831A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269.796.568,05</w:t>
            </w:r>
          </w:p>
        </w:tc>
        <w:tc>
          <w:tcPr>
            <w:tcW w:w="1418" w:type="dxa"/>
            <w:tcBorders>
              <w:top w:val="nil"/>
              <w:left w:val="nil"/>
              <w:bottom w:val="single" w:sz="8" w:space="0" w:color="auto"/>
              <w:right w:val="single" w:sz="8" w:space="0" w:color="auto"/>
            </w:tcBorders>
            <w:shd w:val="clear" w:color="auto" w:fill="auto"/>
            <w:vAlign w:val="center"/>
            <w:hideMark/>
          </w:tcPr>
          <w:p w14:paraId="0AB5568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806CB3B" w14:textId="77777777" w:rsidTr="004729C6">
        <w:trPr>
          <w:trHeight w:val="300"/>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3A86E2"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w:t>
            </w:r>
          </w:p>
        </w:tc>
        <w:tc>
          <w:tcPr>
            <w:tcW w:w="3221" w:type="dxa"/>
            <w:tcBorders>
              <w:top w:val="nil"/>
              <w:left w:val="nil"/>
              <w:bottom w:val="single" w:sz="8" w:space="0" w:color="auto"/>
              <w:right w:val="single" w:sz="8" w:space="0" w:color="auto"/>
            </w:tcBorders>
            <w:shd w:val="clear" w:color="auto" w:fill="auto"/>
            <w:vAlign w:val="center"/>
            <w:hideMark/>
          </w:tcPr>
          <w:p w14:paraId="205573BB"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xml:space="preserve">OTP Bank </w:t>
            </w:r>
          </w:p>
        </w:tc>
        <w:tc>
          <w:tcPr>
            <w:tcW w:w="1489" w:type="dxa"/>
            <w:tcBorders>
              <w:top w:val="nil"/>
              <w:left w:val="nil"/>
              <w:bottom w:val="single" w:sz="8" w:space="0" w:color="auto"/>
              <w:right w:val="single" w:sz="8" w:space="0" w:color="auto"/>
            </w:tcBorders>
            <w:shd w:val="clear" w:color="auto" w:fill="auto"/>
            <w:vAlign w:val="center"/>
            <w:hideMark/>
          </w:tcPr>
          <w:p w14:paraId="0945886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639.856.633,51</w:t>
            </w:r>
          </w:p>
        </w:tc>
        <w:tc>
          <w:tcPr>
            <w:tcW w:w="1353" w:type="dxa"/>
            <w:tcBorders>
              <w:top w:val="nil"/>
              <w:left w:val="nil"/>
              <w:bottom w:val="single" w:sz="8" w:space="0" w:color="auto"/>
              <w:right w:val="single" w:sz="8" w:space="0" w:color="auto"/>
            </w:tcBorders>
            <w:shd w:val="clear" w:color="auto" w:fill="auto"/>
            <w:vAlign w:val="center"/>
            <w:hideMark/>
          </w:tcPr>
          <w:p w14:paraId="4B8F9FF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5FF9269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797.716.643,10</w:t>
            </w:r>
          </w:p>
        </w:tc>
        <w:tc>
          <w:tcPr>
            <w:tcW w:w="1353" w:type="dxa"/>
            <w:tcBorders>
              <w:top w:val="nil"/>
              <w:left w:val="nil"/>
              <w:bottom w:val="single" w:sz="8" w:space="0" w:color="auto"/>
              <w:right w:val="single" w:sz="8" w:space="0" w:color="auto"/>
            </w:tcBorders>
            <w:shd w:val="clear" w:color="auto" w:fill="auto"/>
            <w:vAlign w:val="center"/>
            <w:hideMark/>
          </w:tcPr>
          <w:p w14:paraId="744B4B5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79667E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828.817.168,32</w:t>
            </w:r>
          </w:p>
        </w:tc>
        <w:tc>
          <w:tcPr>
            <w:tcW w:w="1353" w:type="dxa"/>
            <w:tcBorders>
              <w:top w:val="nil"/>
              <w:left w:val="nil"/>
              <w:bottom w:val="single" w:sz="8" w:space="0" w:color="auto"/>
              <w:right w:val="single" w:sz="8" w:space="0" w:color="auto"/>
            </w:tcBorders>
            <w:shd w:val="clear" w:color="auto" w:fill="auto"/>
            <w:vAlign w:val="center"/>
            <w:hideMark/>
          </w:tcPr>
          <w:p w14:paraId="301CE95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6030F2C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31.100.525,22</w:t>
            </w:r>
          </w:p>
        </w:tc>
        <w:tc>
          <w:tcPr>
            <w:tcW w:w="1418" w:type="dxa"/>
            <w:tcBorders>
              <w:top w:val="nil"/>
              <w:left w:val="nil"/>
              <w:bottom w:val="single" w:sz="8" w:space="0" w:color="auto"/>
              <w:right w:val="single" w:sz="8" w:space="0" w:color="auto"/>
            </w:tcBorders>
            <w:shd w:val="clear" w:color="auto" w:fill="auto"/>
            <w:vAlign w:val="center"/>
            <w:hideMark/>
          </w:tcPr>
          <w:p w14:paraId="50DE379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0F8D53C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37AF858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w:t>
            </w:r>
          </w:p>
        </w:tc>
        <w:tc>
          <w:tcPr>
            <w:tcW w:w="3221" w:type="dxa"/>
            <w:tcBorders>
              <w:top w:val="nil"/>
              <w:left w:val="nil"/>
              <w:bottom w:val="single" w:sz="8" w:space="0" w:color="auto"/>
              <w:right w:val="single" w:sz="8" w:space="0" w:color="auto"/>
            </w:tcBorders>
            <w:shd w:val="clear" w:color="auto" w:fill="auto"/>
            <w:vAlign w:val="center"/>
            <w:hideMark/>
          </w:tcPr>
          <w:p w14:paraId="63A35A7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Fincombank</w:t>
            </w:r>
          </w:p>
        </w:tc>
        <w:tc>
          <w:tcPr>
            <w:tcW w:w="1489" w:type="dxa"/>
            <w:tcBorders>
              <w:top w:val="nil"/>
              <w:left w:val="nil"/>
              <w:bottom w:val="single" w:sz="8" w:space="0" w:color="auto"/>
              <w:right w:val="single" w:sz="8" w:space="0" w:color="auto"/>
            </w:tcBorders>
            <w:shd w:val="clear" w:color="auto" w:fill="auto"/>
            <w:vAlign w:val="center"/>
            <w:hideMark/>
          </w:tcPr>
          <w:p w14:paraId="0CD1BAA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364.692.585,63</w:t>
            </w:r>
          </w:p>
        </w:tc>
        <w:tc>
          <w:tcPr>
            <w:tcW w:w="1353" w:type="dxa"/>
            <w:tcBorders>
              <w:top w:val="nil"/>
              <w:left w:val="nil"/>
              <w:bottom w:val="single" w:sz="8" w:space="0" w:color="auto"/>
              <w:right w:val="single" w:sz="8" w:space="0" w:color="auto"/>
            </w:tcBorders>
            <w:shd w:val="clear" w:color="auto" w:fill="auto"/>
            <w:vAlign w:val="center"/>
            <w:hideMark/>
          </w:tcPr>
          <w:p w14:paraId="64F2807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6365ED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373.357.896,03</w:t>
            </w:r>
          </w:p>
        </w:tc>
        <w:tc>
          <w:tcPr>
            <w:tcW w:w="1353" w:type="dxa"/>
            <w:tcBorders>
              <w:top w:val="nil"/>
              <w:left w:val="nil"/>
              <w:bottom w:val="single" w:sz="8" w:space="0" w:color="auto"/>
              <w:right w:val="single" w:sz="8" w:space="0" w:color="auto"/>
            </w:tcBorders>
            <w:shd w:val="clear" w:color="auto" w:fill="auto"/>
            <w:vAlign w:val="center"/>
            <w:hideMark/>
          </w:tcPr>
          <w:p w14:paraId="2EE15E9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16F74DD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430.608.780,59</w:t>
            </w:r>
          </w:p>
        </w:tc>
        <w:tc>
          <w:tcPr>
            <w:tcW w:w="1353" w:type="dxa"/>
            <w:tcBorders>
              <w:top w:val="nil"/>
              <w:left w:val="nil"/>
              <w:bottom w:val="single" w:sz="8" w:space="0" w:color="auto"/>
              <w:right w:val="single" w:sz="8" w:space="0" w:color="auto"/>
            </w:tcBorders>
            <w:shd w:val="clear" w:color="auto" w:fill="auto"/>
            <w:vAlign w:val="center"/>
            <w:hideMark/>
          </w:tcPr>
          <w:p w14:paraId="2872937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E900BF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57.250.884,56</w:t>
            </w:r>
          </w:p>
        </w:tc>
        <w:tc>
          <w:tcPr>
            <w:tcW w:w="1418" w:type="dxa"/>
            <w:tcBorders>
              <w:top w:val="nil"/>
              <w:left w:val="nil"/>
              <w:bottom w:val="single" w:sz="8" w:space="0" w:color="auto"/>
              <w:right w:val="single" w:sz="8" w:space="0" w:color="auto"/>
            </w:tcBorders>
            <w:shd w:val="clear" w:color="auto" w:fill="auto"/>
            <w:vAlign w:val="center"/>
            <w:hideMark/>
          </w:tcPr>
          <w:p w14:paraId="072773A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2F1938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3BD36E94"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w:t>
            </w:r>
          </w:p>
        </w:tc>
        <w:tc>
          <w:tcPr>
            <w:tcW w:w="3221" w:type="dxa"/>
            <w:tcBorders>
              <w:top w:val="nil"/>
              <w:left w:val="nil"/>
              <w:bottom w:val="single" w:sz="8" w:space="0" w:color="auto"/>
              <w:right w:val="single" w:sz="8" w:space="0" w:color="auto"/>
            </w:tcBorders>
            <w:shd w:val="clear" w:color="auto" w:fill="auto"/>
            <w:vAlign w:val="center"/>
            <w:hideMark/>
          </w:tcPr>
          <w:p w14:paraId="3945FE94"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Moldindconbank</w:t>
            </w:r>
          </w:p>
        </w:tc>
        <w:tc>
          <w:tcPr>
            <w:tcW w:w="1489" w:type="dxa"/>
            <w:tcBorders>
              <w:top w:val="nil"/>
              <w:left w:val="nil"/>
              <w:bottom w:val="single" w:sz="8" w:space="0" w:color="auto"/>
              <w:right w:val="single" w:sz="8" w:space="0" w:color="auto"/>
            </w:tcBorders>
            <w:shd w:val="clear" w:color="auto" w:fill="auto"/>
            <w:vAlign w:val="center"/>
            <w:hideMark/>
          </w:tcPr>
          <w:p w14:paraId="4D44534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324.552.362,33</w:t>
            </w:r>
          </w:p>
        </w:tc>
        <w:tc>
          <w:tcPr>
            <w:tcW w:w="1353" w:type="dxa"/>
            <w:tcBorders>
              <w:top w:val="nil"/>
              <w:left w:val="nil"/>
              <w:bottom w:val="single" w:sz="8" w:space="0" w:color="auto"/>
              <w:right w:val="single" w:sz="8" w:space="0" w:color="auto"/>
            </w:tcBorders>
            <w:shd w:val="clear" w:color="auto" w:fill="auto"/>
            <w:vAlign w:val="center"/>
            <w:hideMark/>
          </w:tcPr>
          <w:p w14:paraId="513C7B27"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184D5A4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401.830.141,67</w:t>
            </w:r>
          </w:p>
        </w:tc>
        <w:tc>
          <w:tcPr>
            <w:tcW w:w="1353" w:type="dxa"/>
            <w:tcBorders>
              <w:top w:val="nil"/>
              <w:left w:val="nil"/>
              <w:bottom w:val="single" w:sz="8" w:space="0" w:color="auto"/>
              <w:right w:val="single" w:sz="8" w:space="0" w:color="auto"/>
            </w:tcBorders>
            <w:shd w:val="clear" w:color="auto" w:fill="auto"/>
            <w:vAlign w:val="center"/>
            <w:hideMark/>
          </w:tcPr>
          <w:p w14:paraId="6A8CA70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30F0F74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427.549.348,36</w:t>
            </w:r>
          </w:p>
        </w:tc>
        <w:tc>
          <w:tcPr>
            <w:tcW w:w="1353" w:type="dxa"/>
            <w:tcBorders>
              <w:top w:val="nil"/>
              <w:left w:val="nil"/>
              <w:bottom w:val="single" w:sz="8" w:space="0" w:color="auto"/>
              <w:right w:val="single" w:sz="8" w:space="0" w:color="auto"/>
            </w:tcBorders>
            <w:shd w:val="clear" w:color="auto" w:fill="auto"/>
            <w:vAlign w:val="center"/>
            <w:hideMark/>
          </w:tcPr>
          <w:p w14:paraId="274B7E64"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63C982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25.719.206,69</w:t>
            </w:r>
          </w:p>
        </w:tc>
        <w:tc>
          <w:tcPr>
            <w:tcW w:w="1418" w:type="dxa"/>
            <w:tcBorders>
              <w:top w:val="nil"/>
              <w:left w:val="nil"/>
              <w:bottom w:val="single" w:sz="8" w:space="0" w:color="auto"/>
              <w:right w:val="single" w:sz="8" w:space="0" w:color="auto"/>
            </w:tcBorders>
            <w:shd w:val="clear" w:color="auto" w:fill="auto"/>
            <w:vAlign w:val="center"/>
            <w:hideMark/>
          </w:tcPr>
          <w:p w14:paraId="2DA4B6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7663E97F"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8B5F57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w:t>
            </w:r>
          </w:p>
        </w:tc>
        <w:tc>
          <w:tcPr>
            <w:tcW w:w="3221" w:type="dxa"/>
            <w:tcBorders>
              <w:top w:val="nil"/>
              <w:left w:val="nil"/>
              <w:bottom w:val="single" w:sz="8" w:space="0" w:color="auto"/>
              <w:right w:val="single" w:sz="8" w:space="0" w:color="auto"/>
            </w:tcBorders>
            <w:shd w:val="clear" w:color="auto" w:fill="auto"/>
            <w:vAlign w:val="center"/>
            <w:hideMark/>
          </w:tcPr>
          <w:p w14:paraId="6797ACE0"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Procreditbank</w:t>
            </w:r>
          </w:p>
        </w:tc>
        <w:tc>
          <w:tcPr>
            <w:tcW w:w="1489" w:type="dxa"/>
            <w:tcBorders>
              <w:top w:val="nil"/>
              <w:left w:val="nil"/>
              <w:bottom w:val="single" w:sz="8" w:space="0" w:color="auto"/>
              <w:right w:val="single" w:sz="8" w:space="0" w:color="auto"/>
            </w:tcBorders>
            <w:shd w:val="clear" w:color="auto" w:fill="auto"/>
            <w:vAlign w:val="center"/>
            <w:hideMark/>
          </w:tcPr>
          <w:p w14:paraId="40CFFF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509.608.864,50</w:t>
            </w:r>
          </w:p>
        </w:tc>
        <w:tc>
          <w:tcPr>
            <w:tcW w:w="1353" w:type="dxa"/>
            <w:tcBorders>
              <w:top w:val="nil"/>
              <w:left w:val="nil"/>
              <w:bottom w:val="single" w:sz="8" w:space="0" w:color="auto"/>
              <w:right w:val="single" w:sz="8" w:space="0" w:color="auto"/>
            </w:tcBorders>
            <w:shd w:val="clear" w:color="auto" w:fill="auto"/>
            <w:vAlign w:val="center"/>
            <w:hideMark/>
          </w:tcPr>
          <w:p w14:paraId="0697B01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44BC81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439.643.470,47</w:t>
            </w:r>
          </w:p>
        </w:tc>
        <w:tc>
          <w:tcPr>
            <w:tcW w:w="1353" w:type="dxa"/>
            <w:tcBorders>
              <w:top w:val="nil"/>
              <w:left w:val="nil"/>
              <w:bottom w:val="single" w:sz="8" w:space="0" w:color="auto"/>
              <w:right w:val="single" w:sz="8" w:space="0" w:color="auto"/>
            </w:tcBorders>
            <w:shd w:val="clear" w:color="auto" w:fill="auto"/>
            <w:vAlign w:val="center"/>
            <w:hideMark/>
          </w:tcPr>
          <w:p w14:paraId="6A47CA6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5F2BFC0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349.178.141,06</w:t>
            </w:r>
          </w:p>
        </w:tc>
        <w:tc>
          <w:tcPr>
            <w:tcW w:w="1353" w:type="dxa"/>
            <w:tcBorders>
              <w:top w:val="nil"/>
              <w:left w:val="nil"/>
              <w:bottom w:val="single" w:sz="8" w:space="0" w:color="auto"/>
              <w:right w:val="single" w:sz="8" w:space="0" w:color="auto"/>
            </w:tcBorders>
            <w:shd w:val="clear" w:color="auto" w:fill="auto"/>
            <w:vAlign w:val="center"/>
            <w:hideMark/>
          </w:tcPr>
          <w:p w14:paraId="356F6324"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0D3B3F7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-90.465.329,41</w:t>
            </w:r>
          </w:p>
        </w:tc>
        <w:tc>
          <w:tcPr>
            <w:tcW w:w="1418" w:type="dxa"/>
            <w:tcBorders>
              <w:top w:val="nil"/>
              <w:left w:val="nil"/>
              <w:bottom w:val="single" w:sz="8" w:space="0" w:color="auto"/>
              <w:right w:val="single" w:sz="8" w:space="0" w:color="auto"/>
            </w:tcBorders>
            <w:shd w:val="clear" w:color="auto" w:fill="auto"/>
            <w:vAlign w:val="center"/>
            <w:hideMark/>
          </w:tcPr>
          <w:p w14:paraId="34FD599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05DF5E62"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201AAF0"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w:t>
            </w:r>
          </w:p>
        </w:tc>
        <w:tc>
          <w:tcPr>
            <w:tcW w:w="3221" w:type="dxa"/>
            <w:tcBorders>
              <w:top w:val="nil"/>
              <w:left w:val="nil"/>
              <w:bottom w:val="single" w:sz="8" w:space="0" w:color="auto"/>
              <w:right w:val="single" w:sz="8" w:space="0" w:color="auto"/>
            </w:tcBorders>
            <w:shd w:val="clear" w:color="auto" w:fill="auto"/>
            <w:vAlign w:val="center"/>
            <w:hideMark/>
          </w:tcPr>
          <w:p w14:paraId="4507B87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Comertbank</w:t>
            </w:r>
          </w:p>
        </w:tc>
        <w:tc>
          <w:tcPr>
            <w:tcW w:w="1489" w:type="dxa"/>
            <w:tcBorders>
              <w:top w:val="nil"/>
              <w:left w:val="nil"/>
              <w:bottom w:val="single" w:sz="8" w:space="0" w:color="auto"/>
              <w:right w:val="single" w:sz="8" w:space="0" w:color="auto"/>
            </w:tcBorders>
            <w:shd w:val="clear" w:color="auto" w:fill="auto"/>
            <w:vAlign w:val="center"/>
            <w:hideMark/>
          </w:tcPr>
          <w:p w14:paraId="543D84A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249.756.675,40</w:t>
            </w:r>
          </w:p>
        </w:tc>
        <w:tc>
          <w:tcPr>
            <w:tcW w:w="1353" w:type="dxa"/>
            <w:tcBorders>
              <w:top w:val="nil"/>
              <w:left w:val="nil"/>
              <w:bottom w:val="single" w:sz="8" w:space="0" w:color="auto"/>
              <w:right w:val="single" w:sz="8" w:space="0" w:color="auto"/>
            </w:tcBorders>
            <w:shd w:val="clear" w:color="auto" w:fill="auto"/>
            <w:vAlign w:val="center"/>
            <w:hideMark/>
          </w:tcPr>
          <w:p w14:paraId="5715D99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C48A20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258.956.043,52</w:t>
            </w:r>
          </w:p>
        </w:tc>
        <w:tc>
          <w:tcPr>
            <w:tcW w:w="1353" w:type="dxa"/>
            <w:tcBorders>
              <w:top w:val="nil"/>
              <w:left w:val="nil"/>
              <w:bottom w:val="single" w:sz="8" w:space="0" w:color="auto"/>
              <w:right w:val="single" w:sz="8" w:space="0" w:color="auto"/>
            </w:tcBorders>
            <w:shd w:val="clear" w:color="auto" w:fill="auto"/>
            <w:vAlign w:val="center"/>
            <w:hideMark/>
          </w:tcPr>
          <w:p w14:paraId="097C1D1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975BB12"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259.163.805,25</w:t>
            </w:r>
          </w:p>
        </w:tc>
        <w:tc>
          <w:tcPr>
            <w:tcW w:w="1353" w:type="dxa"/>
            <w:tcBorders>
              <w:top w:val="nil"/>
              <w:left w:val="nil"/>
              <w:bottom w:val="single" w:sz="8" w:space="0" w:color="auto"/>
              <w:right w:val="single" w:sz="8" w:space="0" w:color="auto"/>
            </w:tcBorders>
            <w:shd w:val="clear" w:color="auto" w:fill="auto"/>
            <w:vAlign w:val="center"/>
            <w:hideMark/>
          </w:tcPr>
          <w:p w14:paraId="3496A41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220E3D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207.761,73</w:t>
            </w:r>
          </w:p>
        </w:tc>
        <w:tc>
          <w:tcPr>
            <w:tcW w:w="1418" w:type="dxa"/>
            <w:tcBorders>
              <w:top w:val="nil"/>
              <w:left w:val="nil"/>
              <w:bottom w:val="single" w:sz="8" w:space="0" w:color="auto"/>
              <w:right w:val="single" w:sz="8" w:space="0" w:color="auto"/>
            </w:tcBorders>
            <w:shd w:val="clear" w:color="auto" w:fill="auto"/>
            <w:vAlign w:val="center"/>
            <w:hideMark/>
          </w:tcPr>
          <w:p w14:paraId="12D1636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CF39B48"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53481A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w:t>
            </w:r>
          </w:p>
        </w:tc>
        <w:tc>
          <w:tcPr>
            <w:tcW w:w="3221" w:type="dxa"/>
            <w:tcBorders>
              <w:top w:val="nil"/>
              <w:left w:val="nil"/>
              <w:bottom w:val="single" w:sz="8" w:space="0" w:color="auto"/>
              <w:right w:val="single" w:sz="8" w:space="0" w:color="auto"/>
            </w:tcBorders>
            <w:shd w:val="clear" w:color="auto" w:fill="auto"/>
            <w:vAlign w:val="center"/>
            <w:hideMark/>
          </w:tcPr>
          <w:p w14:paraId="2A5F02B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AEI Grimancauti</w:t>
            </w:r>
          </w:p>
        </w:tc>
        <w:tc>
          <w:tcPr>
            <w:tcW w:w="1489" w:type="dxa"/>
            <w:tcBorders>
              <w:top w:val="nil"/>
              <w:left w:val="nil"/>
              <w:bottom w:val="single" w:sz="8" w:space="0" w:color="auto"/>
              <w:right w:val="single" w:sz="8" w:space="0" w:color="auto"/>
            </w:tcBorders>
            <w:shd w:val="clear" w:color="auto" w:fill="auto"/>
            <w:vAlign w:val="center"/>
            <w:hideMark/>
          </w:tcPr>
          <w:p w14:paraId="19F8FE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6.780.499,91</w:t>
            </w:r>
          </w:p>
        </w:tc>
        <w:tc>
          <w:tcPr>
            <w:tcW w:w="1353" w:type="dxa"/>
            <w:tcBorders>
              <w:top w:val="nil"/>
              <w:left w:val="nil"/>
              <w:bottom w:val="single" w:sz="8" w:space="0" w:color="auto"/>
              <w:right w:val="single" w:sz="8" w:space="0" w:color="auto"/>
            </w:tcBorders>
            <w:shd w:val="clear" w:color="auto" w:fill="auto"/>
            <w:vAlign w:val="center"/>
            <w:hideMark/>
          </w:tcPr>
          <w:p w14:paraId="004484E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5FABFA7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4.137.521,82</w:t>
            </w:r>
          </w:p>
        </w:tc>
        <w:tc>
          <w:tcPr>
            <w:tcW w:w="1353" w:type="dxa"/>
            <w:tcBorders>
              <w:top w:val="nil"/>
              <w:left w:val="nil"/>
              <w:bottom w:val="single" w:sz="8" w:space="0" w:color="auto"/>
              <w:right w:val="single" w:sz="8" w:space="0" w:color="auto"/>
            </w:tcBorders>
            <w:shd w:val="clear" w:color="auto" w:fill="auto"/>
            <w:vAlign w:val="center"/>
            <w:hideMark/>
          </w:tcPr>
          <w:p w14:paraId="63B5ACC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BB26A4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2.944.347,30</w:t>
            </w:r>
          </w:p>
        </w:tc>
        <w:tc>
          <w:tcPr>
            <w:tcW w:w="1353" w:type="dxa"/>
            <w:tcBorders>
              <w:top w:val="nil"/>
              <w:left w:val="nil"/>
              <w:bottom w:val="single" w:sz="8" w:space="0" w:color="auto"/>
              <w:right w:val="single" w:sz="8" w:space="0" w:color="auto"/>
            </w:tcBorders>
            <w:shd w:val="clear" w:color="auto" w:fill="auto"/>
            <w:vAlign w:val="center"/>
            <w:hideMark/>
          </w:tcPr>
          <w:p w14:paraId="16A49FD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2.370.494,82</w:t>
            </w:r>
          </w:p>
        </w:tc>
        <w:tc>
          <w:tcPr>
            <w:tcW w:w="1647" w:type="dxa"/>
            <w:tcBorders>
              <w:top w:val="nil"/>
              <w:left w:val="nil"/>
              <w:bottom w:val="single" w:sz="8" w:space="0" w:color="auto"/>
              <w:right w:val="single" w:sz="8" w:space="0" w:color="auto"/>
            </w:tcBorders>
            <w:shd w:val="clear" w:color="auto" w:fill="auto"/>
            <w:vAlign w:val="center"/>
            <w:hideMark/>
          </w:tcPr>
          <w:p w14:paraId="4494670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-1.193.174,52</w:t>
            </w:r>
          </w:p>
        </w:tc>
        <w:tc>
          <w:tcPr>
            <w:tcW w:w="1418" w:type="dxa"/>
            <w:tcBorders>
              <w:top w:val="nil"/>
              <w:left w:val="nil"/>
              <w:bottom w:val="single" w:sz="8" w:space="0" w:color="auto"/>
              <w:right w:val="single" w:sz="8" w:space="0" w:color="auto"/>
            </w:tcBorders>
            <w:shd w:val="clear" w:color="auto" w:fill="auto"/>
            <w:vAlign w:val="center"/>
            <w:hideMark/>
          </w:tcPr>
          <w:p w14:paraId="0C41374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2.370.494,82</w:t>
            </w:r>
          </w:p>
        </w:tc>
      </w:tr>
      <w:tr w:rsidR="004729C6" w:rsidRPr="008B76D8" w14:paraId="4AA9ED90"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898DAD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w:t>
            </w:r>
          </w:p>
        </w:tc>
        <w:tc>
          <w:tcPr>
            <w:tcW w:w="3221" w:type="dxa"/>
            <w:tcBorders>
              <w:top w:val="nil"/>
              <w:left w:val="nil"/>
              <w:bottom w:val="single" w:sz="8" w:space="0" w:color="auto"/>
              <w:right w:val="single" w:sz="8" w:space="0" w:color="auto"/>
            </w:tcBorders>
            <w:shd w:val="clear" w:color="auto" w:fill="auto"/>
            <w:vAlign w:val="center"/>
            <w:hideMark/>
          </w:tcPr>
          <w:p w14:paraId="4B115BF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AEI Botna</w:t>
            </w:r>
          </w:p>
        </w:tc>
        <w:tc>
          <w:tcPr>
            <w:tcW w:w="1489" w:type="dxa"/>
            <w:tcBorders>
              <w:top w:val="nil"/>
              <w:left w:val="nil"/>
              <w:bottom w:val="single" w:sz="8" w:space="0" w:color="auto"/>
              <w:right w:val="single" w:sz="8" w:space="0" w:color="auto"/>
            </w:tcBorders>
            <w:shd w:val="clear" w:color="auto" w:fill="auto"/>
            <w:vAlign w:val="center"/>
            <w:hideMark/>
          </w:tcPr>
          <w:p w14:paraId="7401694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1.300.000,00</w:t>
            </w:r>
          </w:p>
        </w:tc>
        <w:tc>
          <w:tcPr>
            <w:tcW w:w="1353" w:type="dxa"/>
            <w:tcBorders>
              <w:top w:val="nil"/>
              <w:left w:val="nil"/>
              <w:bottom w:val="single" w:sz="8" w:space="0" w:color="auto"/>
              <w:right w:val="single" w:sz="8" w:space="0" w:color="auto"/>
            </w:tcBorders>
            <w:shd w:val="clear" w:color="auto" w:fill="auto"/>
            <w:vAlign w:val="center"/>
            <w:hideMark/>
          </w:tcPr>
          <w:p w14:paraId="7531514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008653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1.541.838,91</w:t>
            </w:r>
          </w:p>
        </w:tc>
        <w:tc>
          <w:tcPr>
            <w:tcW w:w="1353" w:type="dxa"/>
            <w:tcBorders>
              <w:top w:val="nil"/>
              <w:left w:val="nil"/>
              <w:bottom w:val="single" w:sz="8" w:space="0" w:color="auto"/>
              <w:right w:val="single" w:sz="8" w:space="0" w:color="auto"/>
            </w:tcBorders>
            <w:shd w:val="clear" w:color="auto" w:fill="auto"/>
            <w:vAlign w:val="center"/>
            <w:hideMark/>
          </w:tcPr>
          <w:p w14:paraId="5D1FC70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722F51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2.438.585,22</w:t>
            </w:r>
          </w:p>
        </w:tc>
        <w:tc>
          <w:tcPr>
            <w:tcW w:w="1353" w:type="dxa"/>
            <w:tcBorders>
              <w:top w:val="nil"/>
              <w:left w:val="nil"/>
              <w:bottom w:val="single" w:sz="8" w:space="0" w:color="auto"/>
              <w:right w:val="single" w:sz="8" w:space="0" w:color="auto"/>
            </w:tcBorders>
            <w:shd w:val="clear" w:color="auto" w:fill="auto"/>
            <w:vAlign w:val="center"/>
            <w:hideMark/>
          </w:tcPr>
          <w:p w14:paraId="0320640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0CA9DB4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896.746,31</w:t>
            </w:r>
          </w:p>
        </w:tc>
        <w:tc>
          <w:tcPr>
            <w:tcW w:w="1418" w:type="dxa"/>
            <w:tcBorders>
              <w:top w:val="nil"/>
              <w:left w:val="nil"/>
              <w:bottom w:val="single" w:sz="8" w:space="0" w:color="auto"/>
              <w:right w:val="single" w:sz="8" w:space="0" w:color="auto"/>
            </w:tcBorders>
            <w:shd w:val="clear" w:color="auto" w:fill="auto"/>
            <w:vAlign w:val="center"/>
            <w:hideMark/>
          </w:tcPr>
          <w:p w14:paraId="6B4ED76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72D3836"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40B7A90"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9</w:t>
            </w:r>
          </w:p>
        </w:tc>
        <w:tc>
          <w:tcPr>
            <w:tcW w:w="3221" w:type="dxa"/>
            <w:tcBorders>
              <w:top w:val="nil"/>
              <w:left w:val="nil"/>
              <w:bottom w:val="single" w:sz="8" w:space="0" w:color="auto"/>
              <w:right w:val="single" w:sz="8" w:space="0" w:color="auto"/>
            </w:tcBorders>
            <w:shd w:val="clear" w:color="auto" w:fill="auto"/>
            <w:vAlign w:val="center"/>
            <w:hideMark/>
          </w:tcPr>
          <w:p w14:paraId="7769CA90"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EuroCredit Bank</w:t>
            </w:r>
          </w:p>
        </w:tc>
        <w:tc>
          <w:tcPr>
            <w:tcW w:w="1489" w:type="dxa"/>
            <w:tcBorders>
              <w:top w:val="nil"/>
              <w:left w:val="nil"/>
              <w:bottom w:val="single" w:sz="8" w:space="0" w:color="auto"/>
              <w:right w:val="single" w:sz="8" w:space="0" w:color="auto"/>
            </w:tcBorders>
            <w:shd w:val="clear" w:color="auto" w:fill="auto"/>
            <w:vAlign w:val="center"/>
            <w:hideMark/>
          </w:tcPr>
          <w:p w14:paraId="308CF80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57.957.381,58</w:t>
            </w:r>
          </w:p>
        </w:tc>
        <w:tc>
          <w:tcPr>
            <w:tcW w:w="1353" w:type="dxa"/>
            <w:tcBorders>
              <w:top w:val="nil"/>
              <w:left w:val="nil"/>
              <w:bottom w:val="single" w:sz="8" w:space="0" w:color="auto"/>
              <w:right w:val="single" w:sz="8" w:space="0" w:color="auto"/>
            </w:tcBorders>
            <w:shd w:val="clear" w:color="auto" w:fill="auto"/>
            <w:vAlign w:val="center"/>
            <w:hideMark/>
          </w:tcPr>
          <w:p w14:paraId="2B13751D"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480B43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84.662.628,40</w:t>
            </w:r>
          </w:p>
        </w:tc>
        <w:tc>
          <w:tcPr>
            <w:tcW w:w="1353" w:type="dxa"/>
            <w:tcBorders>
              <w:top w:val="nil"/>
              <w:left w:val="nil"/>
              <w:bottom w:val="single" w:sz="8" w:space="0" w:color="auto"/>
              <w:right w:val="single" w:sz="8" w:space="0" w:color="auto"/>
            </w:tcBorders>
            <w:shd w:val="clear" w:color="auto" w:fill="auto"/>
            <w:vAlign w:val="center"/>
            <w:hideMark/>
          </w:tcPr>
          <w:p w14:paraId="788DDA1F"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4F5D00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73.314.656,59</w:t>
            </w:r>
          </w:p>
        </w:tc>
        <w:tc>
          <w:tcPr>
            <w:tcW w:w="1353" w:type="dxa"/>
            <w:tcBorders>
              <w:top w:val="nil"/>
              <w:left w:val="nil"/>
              <w:bottom w:val="single" w:sz="8" w:space="0" w:color="auto"/>
              <w:right w:val="single" w:sz="8" w:space="0" w:color="auto"/>
            </w:tcBorders>
            <w:shd w:val="clear" w:color="auto" w:fill="auto"/>
            <w:vAlign w:val="center"/>
            <w:hideMark/>
          </w:tcPr>
          <w:p w14:paraId="153B2EB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1A7BA136"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-11.347.971,81</w:t>
            </w:r>
          </w:p>
        </w:tc>
        <w:tc>
          <w:tcPr>
            <w:tcW w:w="1418" w:type="dxa"/>
            <w:tcBorders>
              <w:top w:val="nil"/>
              <w:left w:val="nil"/>
              <w:bottom w:val="single" w:sz="8" w:space="0" w:color="auto"/>
              <w:right w:val="single" w:sz="8" w:space="0" w:color="auto"/>
            </w:tcBorders>
            <w:shd w:val="clear" w:color="auto" w:fill="auto"/>
            <w:vAlign w:val="center"/>
            <w:hideMark/>
          </w:tcPr>
          <w:p w14:paraId="13E444B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BD4D744"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5CD242A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w:t>
            </w:r>
          </w:p>
        </w:tc>
        <w:tc>
          <w:tcPr>
            <w:tcW w:w="3221" w:type="dxa"/>
            <w:tcBorders>
              <w:top w:val="nil"/>
              <w:left w:val="nil"/>
              <w:bottom w:val="single" w:sz="8" w:space="0" w:color="auto"/>
              <w:right w:val="single" w:sz="8" w:space="0" w:color="auto"/>
            </w:tcBorders>
            <w:shd w:val="clear" w:color="auto" w:fill="auto"/>
            <w:vAlign w:val="center"/>
            <w:hideMark/>
          </w:tcPr>
          <w:p w14:paraId="09534AF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OCN Mikro Kapital Company</w:t>
            </w:r>
          </w:p>
        </w:tc>
        <w:tc>
          <w:tcPr>
            <w:tcW w:w="1489" w:type="dxa"/>
            <w:tcBorders>
              <w:top w:val="nil"/>
              <w:left w:val="nil"/>
              <w:bottom w:val="single" w:sz="8" w:space="0" w:color="auto"/>
              <w:right w:val="single" w:sz="8" w:space="0" w:color="auto"/>
            </w:tcBorders>
            <w:shd w:val="clear" w:color="auto" w:fill="auto"/>
            <w:vAlign w:val="center"/>
            <w:hideMark/>
          </w:tcPr>
          <w:p w14:paraId="5B6EF6A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2.938.454,75</w:t>
            </w:r>
          </w:p>
        </w:tc>
        <w:tc>
          <w:tcPr>
            <w:tcW w:w="1353" w:type="dxa"/>
            <w:tcBorders>
              <w:top w:val="nil"/>
              <w:left w:val="nil"/>
              <w:bottom w:val="single" w:sz="8" w:space="0" w:color="auto"/>
              <w:right w:val="single" w:sz="8" w:space="0" w:color="auto"/>
            </w:tcBorders>
            <w:shd w:val="clear" w:color="auto" w:fill="auto"/>
            <w:vAlign w:val="center"/>
            <w:hideMark/>
          </w:tcPr>
          <w:p w14:paraId="4AFA906F"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983CBA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10.768.475,59</w:t>
            </w:r>
          </w:p>
        </w:tc>
        <w:tc>
          <w:tcPr>
            <w:tcW w:w="1353" w:type="dxa"/>
            <w:tcBorders>
              <w:top w:val="nil"/>
              <w:left w:val="nil"/>
              <w:bottom w:val="single" w:sz="8" w:space="0" w:color="auto"/>
              <w:right w:val="single" w:sz="8" w:space="0" w:color="auto"/>
            </w:tcBorders>
            <w:shd w:val="clear" w:color="auto" w:fill="auto"/>
            <w:vAlign w:val="center"/>
            <w:hideMark/>
          </w:tcPr>
          <w:p w14:paraId="202819D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3D73F69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57.688.008,05</w:t>
            </w:r>
          </w:p>
        </w:tc>
        <w:tc>
          <w:tcPr>
            <w:tcW w:w="1353" w:type="dxa"/>
            <w:tcBorders>
              <w:top w:val="nil"/>
              <w:left w:val="nil"/>
              <w:bottom w:val="single" w:sz="8" w:space="0" w:color="auto"/>
              <w:right w:val="single" w:sz="8" w:space="0" w:color="auto"/>
            </w:tcBorders>
            <w:shd w:val="clear" w:color="auto" w:fill="auto"/>
            <w:vAlign w:val="center"/>
            <w:hideMark/>
          </w:tcPr>
          <w:p w14:paraId="24C8D70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7ECFF6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46.919.532,46</w:t>
            </w:r>
          </w:p>
        </w:tc>
        <w:tc>
          <w:tcPr>
            <w:tcW w:w="1418" w:type="dxa"/>
            <w:tcBorders>
              <w:top w:val="nil"/>
              <w:left w:val="nil"/>
              <w:bottom w:val="single" w:sz="8" w:space="0" w:color="auto"/>
              <w:right w:val="single" w:sz="8" w:space="0" w:color="auto"/>
            </w:tcBorders>
            <w:shd w:val="clear" w:color="auto" w:fill="auto"/>
            <w:vAlign w:val="center"/>
            <w:hideMark/>
          </w:tcPr>
          <w:p w14:paraId="6A0EFB8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0B8AB7F5"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F532865"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11</w:t>
            </w:r>
          </w:p>
        </w:tc>
        <w:tc>
          <w:tcPr>
            <w:tcW w:w="3221" w:type="dxa"/>
            <w:tcBorders>
              <w:top w:val="nil"/>
              <w:left w:val="nil"/>
              <w:bottom w:val="single" w:sz="8" w:space="0" w:color="auto"/>
              <w:right w:val="single" w:sz="8" w:space="0" w:color="auto"/>
            </w:tcBorders>
            <w:shd w:val="clear" w:color="auto" w:fill="auto"/>
            <w:vAlign w:val="center"/>
            <w:hideMark/>
          </w:tcPr>
          <w:p w14:paraId="0441524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Victoriabank</w:t>
            </w:r>
          </w:p>
        </w:tc>
        <w:tc>
          <w:tcPr>
            <w:tcW w:w="1489" w:type="dxa"/>
            <w:tcBorders>
              <w:top w:val="nil"/>
              <w:left w:val="nil"/>
              <w:bottom w:val="single" w:sz="8" w:space="0" w:color="auto"/>
              <w:right w:val="single" w:sz="8" w:space="0" w:color="auto"/>
            </w:tcBorders>
            <w:shd w:val="clear" w:color="auto" w:fill="auto"/>
            <w:vAlign w:val="center"/>
            <w:hideMark/>
          </w:tcPr>
          <w:p w14:paraId="58FD5DD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68.294.700,94</w:t>
            </w:r>
          </w:p>
        </w:tc>
        <w:tc>
          <w:tcPr>
            <w:tcW w:w="1353" w:type="dxa"/>
            <w:tcBorders>
              <w:top w:val="nil"/>
              <w:left w:val="nil"/>
              <w:bottom w:val="single" w:sz="8" w:space="0" w:color="auto"/>
              <w:right w:val="single" w:sz="8" w:space="0" w:color="auto"/>
            </w:tcBorders>
            <w:shd w:val="clear" w:color="auto" w:fill="auto"/>
            <w:vAlign w:val="center"/>
            <w:hideMark/>
          </w:tcPr>
          <w:p w14:paraId="0B06770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1210DA3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105.041.269,73</w:t>
            </w:r>
          </w:p>
        </w:tc>
        <w:tc>
          <w:tcPr>
            <w:tcW w:w="1353" w:type="dxa"/>
            <w:tcBorders>
              <w:top w:val="nil"/>
              <w:left w:val="nil"/>
              <w:bottom w:val="single" w:sz="8" w:space="0" w:color="auto"/>
              <w:right w:val="single" w:sz="8" w:space="0" w:color="auto"/>
            </w:tcBorders>
            <w:shd w:val="clear" w:color="auto" w:fill="auto"/>
            <w:vAlign w:val="center"/>
            <w:hideMark/>
          </w:tcPr>
          <w:p w14:paraId="2B8FB92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3BE28B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127.450.509,40</w:t>
            </w:r>
          </w:p>
        </w:tc>
        <w:tc>
          <w:tcPr>
            <w:tcW w:w="1353" w:type="dxa"/>
            <w:tcBorders>
              <w:top w:val="nil"/>
              <w:left w:val="nil"/>
              <w:bottom w:val="single" w:sz="8" w:space="0" w:color="auto"/>
              <w:right w:val="single" w:sz="8" w:space="0" w:color="auto"/>
            </w:tcBorders>
            <w:shd w:val="clear" w:color="auto" w:fill="auto"/>
            <w:vAlign w:val="center"/>
            <w:hideMark/>
          </w:tcPr>
          <w:p w14:paraId="712BD1E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91FC52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22.409.239,67</w:t>
            </w:r>
          </w:p>
        </w:tc>
        <w:tc>
          <w:tcPr>
            <w:tcW w:w="1418" w:type="dxa"/>
            <w:tcBorders>
              <w:top w:val="nil"/>
              <w:left w:val="nil"/>
              <w:bottom w:val="single" w:sz="8" w:space="0" w:color="auto"/>
              <w:right w:val="single" w:sz="8" w:space="0" w:color="auto"/>
            </w:tcBorders>
            <w:shd w:val="clear" w:color="auto" w:fill="auto"/>
            <w:vAlign w:val="center"/>
            <w:hideMark/>
          </w:tcPr>
          <w:p w14:paraId="12DB8BB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ECC4D5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63BFDD63"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w:t>
            </w:r>
          </w:p>
        </w:tc>
        <w:tc>
          <w:tcPr>
            <w:tcW w:w="3221" w:type="dxa"/>
            <w:tcBorders>
              <w:top w:val="nil"/>
              <w:left w:val="nil"/>
              <w:bottom w:val="single" w:sz="8" w:space="0" w:color="auto"/>
              <w:right w:val="single" w:sz="8" w:space="0" w:color="auto"/>
            </w:tcBorders>
            <w:shd w:val="clear" w:color="auto" w:fill="auto"/>
            <w:vAlign w:val="center"/>
            <w:hideMark/>
          </w:tcPr>
          <w:p w14:paraId="529CFF52"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Corporatia de Finantare Rurala</w:t>
            </w:r>
          </w:p>
        </w:tc>
        <w:tc>
          <w:tcPr>
            <w:tcW w:w="1489" w:type="dxa"/>
            <w:tcBorders>
              <w:top w:val="nil"/>
              <w:left w:val="nil"/>
              <w:bottom w:val="single" w:sz="8" w:space="0" w:color="auto"/>
              <w:right w:val="single" w:sz="8" w:space="0" w:color="auto"/>
            </w:tcBorders>
            <w:shd w:val="clear" w:color="auto" w:fill="auto"/>
            <w:vAlign w:val="center"/>
            <w:hideMark/>
          </w:tcPr>
          <w:p w14:paraId="6BFBDD4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27.942.900,23</w:t>
            </w:r>
          </w:p>
        </w:tc>
        <w:tc>
          <w:tcPr>
            <w:tcW w:w="1353" w:type="dxa"/>
            <w:tcBorders>
              <w:top w:val="nil"/>
              <w:left w:val="nil"/>
              <w:bottom w:val="single" w:sz="8" w:space="0" w:color="auto"/>
              <w:right w:val="single" w:sz="8" w:space="0" w:color="auto"/>
            </w:tcBorders>
            <w:shd w:val="clear" w:color="auto" w:fill="auto"/>
            <w:vAlign w:val="center"/>
            <w:hideMark/>
          </w:tcPr>
          <w:p w14:paraId="3863F91B"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6E58494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26.230.082,68</w:t>
            </w:r>
          </w:p>
        </w:tc>
        <w:tc>
          <w:tcPr>
            <w:tcW w:w="1353" w:type="dxa"/>
            <w:tcBorders>
              <w:top w:val="nil"/>
              <w:left w:val="nil"/>
              <w:bottom w:val="single" w:sz="8" w:space="0" w:color="auto"/>
              <w:right w:val="single" w:sz="8" w:space="0" w:color="auto"/>
            </w:tcBorders>
            <w:shd w:val="clear" w:color="auto" w:fill="auto"/>
            <w:vAlign w:val="center"/>
            <w:hideMark/>
          </w:tcPr>
          <w:p w14:paraId="4BFF81FB"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42A50B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17.596.783,34</w:t>
            </w:r>
          </w:p>
        </w:tc>
        <w:tc>
          <w:tcPr>
            <w:tcW w:w="1353" w:type="dxa"/>
            <w:tcBorders>
              <w:top w:val="nil"/>
              <w:left w:val="nil"/>
              <w:bottom w:val="single" w:sz="8" w:space="0" w:color="auto"/>
              <w:right w:val="single" w:sz="8" w:space="0" w:color="auto"/>
            </w:tcBorders>
            <w:shd w:val="clear" w:color="auto" w:fill="auto"/>
            <w:vAlign w:val="center"/>
            <w:hideMark/>
          </w:tcPr>
          <w:p w14:paraId="0667C18C"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5578C065"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-8.633.299,34</w:t>
            </w:r>
          </w:p>
        </w:tc>
        <w:tc>
          <w:tcPr>
            <w:tcW w:w="1418" w:type="dxa"/>
            <w:tcBorders>
              <w:top w:val="nil"/>
              <w:left w:val="nil"/>
              <w:bottom w:val="single" w:sz="8" w:space="0" w:color="auto"/>
              <w:right w:val="single" w:sz="8" w:space="0" w:color="auto"/>
            </w:tcBorders>
            <w:shd w:val="clear" w:color="auto" w:fill="auto"/>
            <w:vAlign w:val="center"/>
            <w:hideMark/>
          </w:tcPr>
          <w:p w14:paraId="1479C6CC"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40729B5B"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1EC0A6AE"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w:t>
            </w:r>
          </w:p>
        </w:tc>
        <w:tc>
          <w:tcPr>
            <w:tcW w:w="3221" w:type="dxa"/>
            <w:tcBorders>
              <w:top w:val="nil"/>
              <w:left w:val="nil"/>
              <w:bottom w:val="single" w:sz="8" w:space="0" w:color="auto"/>
              <w:right w:val="single" w:sz="8" w:space="0" w:color="auto"/>
            </w:tcBorders>
            <w:shd w:val="clear" w:color="auto" w:fill="auto"/>
            <w:vAlign w:val="center"/>
            <w:hideMark/>
          </w:tcPr>
          <w:p w14:paraId="5FC7160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Energbank</w:t>
            </w:r>
          </w:p>
        </w:tc>
        <w:tc>
          <w:tcPr>
            <w:tcW w:w="1489" w:type="dxa"/>
            <w:tcBorders>
              <w:top w:val="nil"/>
              <w:left w:val="nil"/>
              <w:bottom w:val="single" w:sz="8" w:space="0" w:color="auto"/>
              <w:right w:val="single" w:sz="8" w:space="0" w:color="auto"/>
            </w:tcBorders>
            <w:shd w:val="clear" w:color="auto" w:fill="auto"/>
            <w:vAlign w:val="center"/>
            <w:hideMark/>
          </w:tcPr>
          <w:p w14:paraId="73A533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68.227.141,03</w:t>
            </w:r>
          </w:p>
        </w:tc>
        <w:tc>
          <w:tcPr>
            <w:tcW w:w="1353" w:type="dxa"/>
            <w:tcBorders>
              <w:top w:val="nil"/>
              <w:left w:val="nil"/>
              <w:bottom w:val="single" w:sz="8" w:space="0" w:color="auto"/>
              <w:right w:val="single" w:sz="8" w:space="0" w:color="auto"/>
            </w:tcBorders>
            <w:shd w:val="clear" w:color="auto" w:fill="auto"/>
            <w:vAlign w:val="center"/>
            <w:hideMark/>
          </w:tcPr>
          <w:p w14:paraId="23AD2D18"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45A7C6C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73.380.014,94</w:t>
            </w:r>
          </w:p>
        </w:tc>
        <w:tc>
          <w:tcPr>
            <w:tcW w:w="1353" w:type="dxa"/>
            <w:tcBorders>
              <w:top w:val="nil"/>
              <w:left w:val="nil"/>
              <w:bottom w:val="single" w:sz="8" w:space="0" w:color="auto"/>
              <w:right w:val="single" w:sz="8" w:space="0" w:color="auto"/>
            </w:tcBorders>
            <w:shd w:val="clear" w:color="auto" w:fill="auto"/>
            <w:vAlign w:val="center"/>
            <w:hideMark/>
          </w:tcPr>
          <w:p w14:paraId="508106E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0F27A2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71.812.491,71</w:t>
            </w:r>
          </w:p>
        </w:tc>
        <w:tc>
          <w:tcPr>
            <w:tcW w:w="1353" w:type="dxa"/>
            <w:tcBorders>
              <w:top w:val="nil"/>
              <w:left w:val="nil"/>
              <w:bottom w:val="single" w:sz="8" w:space="0" w:color="auto"/>
              <w:right w:val="single" w:sz="8" w:space="0" w:color="auto"/>
            </w:tcBorders>
            <w:shd w:val="clear" w:color="auto" w:fill="auto"/>
            <w:vAlign w:val="center"/>
            <w:hideMark/>
          </w:tcPr>
          <w:p w14:paraId="7144E06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7A622FD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-1.567.523,23</w:t>
            </w:r>
          </w:p>
        </w:tc>
        <w:tc>
          <w:tcPr>
            <w:tcW w:w="1418" w:type="dxa"/>
            <w:tcBorders>
              <w:top w:val="nil"/>
              <w:left w:val="nil"/>
              <w:bottom w:val="single" w:sz="8" w:space="0" w:color="auto"/>
              <w:right w:val="single" w:sz="8" w:space="0" w:color="auto"/>
            </w:tcBorders>
            <w:shd w:val="clear" w:color="auto" w:fill="auto"/>
            <w:vAlign w:val="center"/>
            <w:hideMark/>
          </w:tcPr>
          <w:p w14:paraId="23D1BDF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5C00E8BD"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7BEC2FC"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w:t>
            </w:r>
          </w:p>
        </w:tc>
        <w:tc>
          <w:tcPr>
            <w:tcW w:w="3221" w:type="dxa"/>
            <w:tcBorders>
              <w:top w:val="nil"/>
              <w:left w:val="nil"/>
              <w:bottom w:val="single" w:sz="8" w:space="0" w:color="auto"/>
              <w:right w:val="single" w:sz="8" w:space="0" w:color="auto"/>
            </w:tcBorders>
            <w:shd w:val="clear" w:color="auto" w:fill="auto"/>
            <w:vAlign w:val="center"/>
            <w:hideMark/>
          </w:tcPr>
          <w:p w14:paraId="3C4AF79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Banca Comerciala Romana</w:t>
            </w:r>
          </w:p>
        </w:tc>
        <w:tc>
          <w:tcPr>
            <w:tcW w:w="1489" w:type="dxa"/>
            <w:tcBorders>
              <w:top w:val="nil"/>
              <w:left w:val="nil"/>
              <w:bottom w:val="single" w:sz="8" w:space="0" w:color="auto"/>
              <w:right w:val="single" w:sz="8" w:space="0" w:color="auto"/>
            </w:tcBorders>
            <w:shd w:val="clear" w:color="auto" w:fill="auto"/>
            <w:vAlign w:val="center"/>
            <w:hideMark/>
          </w:tcPr>
          <w:p w14:paraId="230A3979"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50.448.650,68</w:t>
            </w:r>
          </w:p>
        </w:tc>
        <w:tc>
          <w:tcPr>
            <w:tcW w:w="1353" w:type="dxa"/>
            <w:tcBorders>
              <w:top w:val="nil"/>
              <w:left w:val="nil"/>
              <w:bottom w:val="single" w:sz="8" w:space="0" w:color="auto"/>
              <w:right w:val="single" w:sz="8" w:space="0" w:color="auto"/>
            </w:tcBorders>
            <w:shd w:val="clear" w:color="auto" w:fill="auto"/>
            <w:vAlign w:val="center"/>
            <w:hideMark/>
          </w:tcPr>
          <w:p w14:paraId="5A4B9EF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221E329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78.335.466,67</w:t>
            </w:r>
          </w:p>
        </w:tc>
        <w:tc>
          <w:tcPr>
            <w:tcW w:w="1353" w:type="dxa"/>
            <w:tcBorders>
              <w:top w:val="nil"/>
              <w:left w:val="nil"/>
              <w:bottom w:val="single" w:sz="8" w:space="0" w:color="auto"/>
              <w:right w:val="single" w:sz="8" w:space="0" w:color="auto"/>
            </w:tcBorders>
            <w:shd w:val="clear" w:color="auto" w:fill="auto"/>
            <w:vAlign w:val="center"/>
            <w:hideMark/>
          </w:tcPr>
          <w:p w14:paraId="7B868711"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2F87F5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50.920.912,87</w:t>
            </w:r>
          </w:p>
        </w:tc>
        <w:tc>
          <w:tcPr>
            <w:tcW w:w="1353" w:type="dxa"/>
            <w:tcBorders>
              <w:top w:val="nil"/>
              <w:left w:val="nil"/>
              <w:bottom w:val="single" w:sz="8" w:space="0" w:color="auto"/>
              <w:right w:val="single" w:sz="8" w:space="0" w:color="auto"/>
            </w:tcBorders>
            <w:shd w:val="clear" w:color="auto" w:fill="auto"/>
            <w:vAlign w:val="center"/>
            <w:hideMark/>
          </w:tcPr>
          <w:p w14:paraId="42397F9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32DFFDF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-27.414.553,80</w:t>
            </w:r>
          </w:p>
        </w:tc>
        <w:tc>
          <w:tcPr>
            <w:tcW w:w="1418" w:type="dxa"/>
            <w:tcBorders>
              <w:top w:val="nil"/>
              <w:left w:val="nil"/>
              <w:bottom w:val="single" w:sz="8" w:space="0" w:color="auto"/>
              <w:right w:val="single" w:sz="8" w:space="0" w:color="auto"/>
            </w:tcBorders>
            <w:shd w:val="clear" w:color="auto" w:fill="auto"/>
            <w:vAlign w:val="center"/>
            <w:hideMark/>
          </w:tcPr>
          <w:p w14:paraId="561E1B0F"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6FD9B63E"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29ED6FC8"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w:t>
            </w:r>
          </w:p>
        </w:tc>
        <w:tc>
          <w:tcPr>
            <w:tcW w:w="3221" w:type="dxa"/>
            <w:tcBorders>
              <w:top w:val="nil"/>
              <w:left w:val="nil"/>
              <w:bottom w:val="single" w:sz="8" w:space="0" w:color="auto"/>
              <w:right w:val="single" w:sz="8" w:space="0" w:color="auto"/>
            </w:tcBorders>
            <w:shd w:val="clear" w:color="auto" w:fill="auto"/>
            <w:vAlign w:val="center"/>
            <w:hideMark/>
          </w:tcPr>
          <w:p w14:paraId="14E60C5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Moldcredit</w:t>
            </w:r>
          </w:p>
        </w:tc>
        <w:tc>
          <w:tcPr>
            <w:tcW w:w="1489" w:type="dxa"/>
            <w:tcBorders>
              <w:top w:val="nil"/>
              <w:left w:val="nil"/>
              <w:bottom w:val="single" w:sz="8" w:space="0" w:color="auto"/>
              <w:right w:val="single" w:sz="8" w:space="0" w:color="auto"/>
            </w:tcBorders>
            <w:shd w:val="clear" w:color="auto" w:fill="auto"/>
            <w:vAlign w:val="center"/>
            <w:hideMark/>
          </w:tcPr>
          <w:p w14:paraId="5873764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12.604.935,84</w:t>
            </w:r>
          </w:p>
        </w:tc>
        <w:tc>
          <w:tcPr>
            <w:tcW w:w="1353" w:type="dxa"/>
            <w:tcBorders>
              <w:top w:val="nil"/>
              <w:left w:val="nil"/>
              <w:bottom w:val="single" w:sz="8" w:space="0" w:color="auto"/>
              <w:right w:val="single" w:sz="8" w:space="0" w:color="auto"/>
            </w:tcBorders>
            <w:shd w:val="clear" w:color="auto" w:fill="auto"/>
            <w:vAlign w:val="center"/>
            <w:hideMark/>
          </w:tcPr>
          <w:p w14:paraId="608CC55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137AEAF4"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6.809.136,36</w:t>
            </w:r>
          </w:p>
        </w:tc>
        <w:tc>
          <w:tcPr>
            <w:tcW w:w="1353" w:type="dxa"/>
            <w:tcBorders>
              <w:top w:val="nil"/>
              <w:left w:val="nil"/>
              <w:bottom w:val="single" w:sz="8" w:space="0" w:color="auto"/>
              <w:right w:val="single" w:sz="8" w:space="0" w:color="auto"/>
            </w:tcBorders>
            <w:shd w:val="clear" w:color="auto" w:fill="auto"/>
            <w:vAlign w:val="center"/>
            <w:hideMark/>
          </w:tcPr>
          <w:p w14:paraId="6D945865"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6F101F03"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1.318.435,00</w:t>
            </w:r>
          </w:p>
        </w:tc>
        <w:tc>
          <w:tcPr>
            <w:tcW w:w="1353" w:type="dxa"/>
            <w:tcBorders>
              <w:top w:val="nil"/>
              <w:left w:val="nil"/>
              <w:bottom w:val="single" w:sz="8" w:space="0" w:color="auto"/>
              <w:right w:val="single" w:sz="8" w:space="0" w:color="auto"/>
            </w:tcBorders>
            <w:shd w:val="clear" w:color="auto" w:fill="auto"/>
            <w:vAlign w:val="center"/>
            <w:hideMark/>
          </w:tcPr>
          <w:p w14:paraId="5882ADE6"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28563B7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-5.490.701,36</w:t>
            </w:r>
          </w:p>
        </w:tc>
        <w:tc>
          <w:tcPr>
            <w:tcW w:w="1418" w:type="dxa"/>
            <w:tcBorders>
              <w:top w:val="nil"/>
              <w:left w:val="nil"/>
              <w:bottom w:val="single" w:sz="8" w:space="0" w:color="auto"/>
              <w:right w:val="single" w:sz="8" w:space="0" w:color="auto"/>
            </w:tcBorders>
            <w:shd w:val="clear" w:color="auto" w:fill="auto"/>
            <w:vAlign w:val="center"/>
            <w:hideMark/>
          </w:tcPr>
          <w:p w14:paraId="0F3498E1"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3F747656"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0E3165CF"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16</w:t>
            </w:r>
          </w:p>
        </w:tc>
        <w:tc>
          <w:tcPr>
            <w:tcW w:w="3221" w:type="dxa"/>
            <w:tcBorders>
              <w:top w:val="nil"/>
              <w:left w:val="nil"/>
              <w:bottom w:val="single" w:sz="8" w:space="0" w:color="auto"/>
              <w:right w:val="single" w:sz="8" w:space="0" w:color="auto"/>
            </w:tcBorders>
            <w:shd w:val="clear" w:color="auto" w:fill="auto"/>
            <w:vAlign w:val="center"/>
            <w:hideMark/>
          </w:tcPr>
          <w:p w14:paraId="181B5E4A"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Microinvest</w:t>
            </w:r>
          </w:p>
        </w:tc>
        <w:tc>
          <w:tcPr>
            <w:tcW w:w="1489" w:type="dxa"/>
            <w:tcBorders>
              <w:top w:val="nil"/>
              <w:left w:val="nil"/>
              <w:bottom w:val="single" w:sz="8" w:space="0" w:color="auto"/>
              <w:right w:val="single" w:sz="8" w:space="0" w:color="auto"/>
            </w:tcBorders>
            <w:shd w:val="clear" w:color="auto" w:fill="auto"/>
            <w:vAlign w:val="center"/>
            <w:hideMark/>
          </w:tcPr>
          <w:p w14:paraId="6CFCF72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151.322.593,32</w:t>
            </w:r>
          </w:p>
        </w:tc>
        <w:tc>
          <w:tcPr>
            <w:tcW w:w="1353" w:type="dxa"/>
            <w:tcBorders>
              <w:top w:val="nil"/>
              <w:left w:val="nil"/>
              <w:bottom w:val="single" w:sz="8" w:space="0" w:color="auto"/>
              <w:right w:val="single" w:sz="8" w:space="0" w:color="auto"/>
            </w:tcBorders>
            <w:shd w:val="clear" w:color="auto" w:fill="auto"/>
            <w:vAlign w:val="center"/>
            <w:hideMark/>
          </w:tcPr>
          <w:p w14:paraId="3FA35F53"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798CD53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326.331.954,56</w:t>
            </w:r>
          </w:p>
        </w:tc>
        <w:tc>
          <w:tcPr>
            <w:tcW w:w="1353" w:type="dxa"/>
            <w:tcBorders>
              <w:top w:val="nil"/>
              <w:left w:val="nil"/>
              <w:bottom w:val="single" w:sz="8" w:space="0" w:color="auto"/>
              <w:right w:val="single" w:sz="8" w:space="0" w:color="auto"/>
            </w:tcBorders>
            <w:shd w:val="clear" w:color="auto" w:fill="auto"/>
            <w:vAlign w:val="center"/>
            <w:hideMark/>
          </w:tcPr>
          <w:p w14:paraId="2ADD2FB9"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580" w:type="dxa"/>
            <w:tcBorders>
              <w:top w:val="nil"/>
              <w:left w:val="nil"/>
              <w:bottom w:val="single" w:sz="8" w:space="0" w:color="auto"/>
              <w:right w:val="single" w:sz="8" w:space="0" w:color="auto"/>
            </w:tcBorders>
            <w:shd w:val="clear" w:color="auto" w:fill="auto"/>
            <w:vAlign w:val="center"/>
            <w:hideMark/>
          </w:tcPr>
          <w:p w14:paraId="027C864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353.291.503,16</w:t>
            </w:r>
          </w:p>
        </w:tc>
        <w:tc>
          <w:tcPr>
            <w:tcW w:w="1353" w:type="dxa"/>
            <w:tcBorders>
              <w:top w:val="nil"/>
              <w:left w:val="nil"/>
              <w:bottom w:val="single" w:sz="8" w:space="0" w:color="auto"/>
              <w:right w:val="single" w:sz="8" w:space="0" w:color="auto"/>
            </w:tcBorders>
            <w:shd w:val="clear" w:color="auto" w:fill="auto"/>
            <w:vAlign w:val="center"/>
            <w:hideMark/>
          </w:tcPr>
          <w:p w14:paraId="7E3822DD"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 </w:t>
            </w:r>
          </w:p>
        </w:tc>
        <w:tc>
          <w:tcPr>
            <w:tcW w:w="1647" w:type="dxa"/>
            <w:tcBorders>
              <w:top w:val="nil"/>
              <w:left w:val="nil"/>
              <w:bottom w:val="single" w:sz="8" w:space="0" w:color="auto"/>
              <w:right w:val="single" w:sz="8" w:space="0" w:color="auto"/>
            </w:tcBorders>
            <w:shd w:val="clear" w:color="auto" w:fill="auto"/>
            <w:vAlign w:val="center"/>
            <w:hideMark/>
          </w:tcPr>
          <w:p w14:paraId="4A9E66A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26.959.548,60</w:t>
            </w:r>
          </w:p>
        </w:tc>
        <w:tc>
          <w:tcPr>
            <w:tcW w:w="1418" w:type="dxa"/>
            <w:tcBorders>
              <w:top w:val="nil"/>
              <w:left w:val="nil"/>
              <w:bottom w:val="single" w:sz="8" w:space="0" w:color="auto"/>
              <w:right w:val="single" w:sz="8" w:space="0" w:color="auto"/>
            </w:tcBorders>
            <w:shd w:val="clear" w:color="auto" w:fill="auto"/>
            <w:vAlign w:val="center"/>
            <w:hideMark/>
          </w:tcPr>
          <w:p w14:paraId="39D51AD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2572CAC9" w14:textId="77777777" w:rsidTr="004729C6">
        <w:trPr>
          <w:trHeight w:val="300"/>
        </w:trPr>
        <w:tc>
          <w:tcPr>
            <w:tcW w:w="597" w:type="dxa"/>
            <w:tcBorders>
              <w:top w:val="nil"/>
              <w:left w:val="single" w:sz="8" w:space="0" w:color="auto"/>
              <w:bottom w:val="single" w:sz="8" w:space="0" w:color="auto"/>
              <w:right w:val="single" w:sz="8" w:space="0" w:color="auto"/>
            </w:tcBorders>
            <w:shd w:val="clear" w:color="auto" w:fill="auto"/>
            <w:vAlign w:val="center"/>
            <w:hideMark/>
          </w:tcPr>
          <w:p w14:paraId="71ECAA37" w14:textId="77777777" w:rsidR="004729C6" w:rsidRPr="008B76D8" w:rsidRDefault="004729C6" w:rsidP="004729C6">
            <w:pPr>
              <w:spacing w:after="0" w:line="240" w:lineRule="auto"/>
              <w:jc w:val="center"/>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17</w:t>
            </w:r>
          </w:p>
        </w:tc>
        <w:tc>
          <w:tcPr>
            <w:tcW w:w="3221" w:type="dxa"/>
            <w:tcBorders>
              <w:top w:val="nil"/>
              <w:left w:val="nil"/>
              <w:bottom w:val="single" w:sz="8" w:space="0" w:color="auto"/>
              <w:right w:val="single" w:sz="8" w:space="0" w:color="auto"/>
            </w:tcBorders>
            <w:shd w:val="clear" w:color="auto" w:fill="auto"/>
            <w:vAlign w:val="center"/>
            <w:hideMark/>
          </w:tcPr>
          <w:p w14:paraId="1F4AEC2E" w14:textId="77777777" w:rsidR="004729C6" w:rsidRPr="008B76D8" w:rsidRDefault="004729C6" w:rsidP="004729C6">
            <w:pPr>
              <w:spacing w:after="0" w:line="240" w:lineRule="auto"/>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Investprivatbank</w:t>
            </w:r>
          </w:p>
        </w:tc>
        <w:tc>
          <w:tcPr>
            <w:tcW w:w="1489" w:type="dxa"/>
            <w:tcBorders>
              <w:top w:val="nil"/>
              <w:left w:val="nil"/>
              <w:bottom w:val="single" w:sz="8" w:space="0" w:color="auto"/>
              <w:right w:val="single" w:sz="8" w:space="0" w:color="auto"/>
            </w:tcBorders>
            <w:shd w:val="clear" w:color="auto" w:fill="auto"/>
            <w:vAlign w:val="center"/>
            <w:hideMark/>
          </w:tcPr>
          <w:p w14:paraId="18535F47"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353" w:type="dxa"/>
            <w:tcBorders>
              <w:top w:val="nil"/>
              <w:left w:val="nil"/>
              <w:bottom w:val="single" w:sz="8" w:space="0" w:color="auto"/>
              <w:right w:val="single" w:sz="8" w:space="0" w:color="auto"/>
            </w:tcBorders>
            <w:shd w:val="clear" w:color="auto" w:fill="auto"/>
            <w:vAlign w:val="center"/>
            <w:hideMark/>
          </w:tcPr>
          <w:p w14:paraId="517AF3F8"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580" w:type="dxa"/>
            <w:tcBorders>
              <w:top w:val="nil"/>
              <w:left w:val="nil"/>
              <w:bottom w:val="single" w:sz="8" w:space="0" w:color="auto"/>
              <w:right w:val="single" w:sz="8" w:space="0" w:color="auto"/>
            </w:tcBorders>
            <w:shd w:val="clear" w:color="auto" w:fill="auto"/>
            <w:vAlign w:val="center"/>
            <w:hideMark/>
          </w:tcPr>
          <w:p w14:paraId="74EE4E60"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353" w:type="dxa"/>
            <w:tcBorders>
              <w:top w:val="nil"/>
              <w:left w:val="nil"/>
              <w:bottom w:val="single" w:sz="8" w:space="0" w:color="auto"/>
              <w:right w:val="single" w:sz="8" w:space="0" w:color="auto"/>
            </w:tcBorders>
            <w:shd w:val="clear" w:color="auto" w:fill="auto"/>
            <w:vAlign w:val="center"/>
            <w:hideMark/>
          </w:tcPr>
          <w:p w14:paraId="7541BE8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580" w:type="dxa"/>
            <w:tcBorders>
              <w:top w:val="nil"/>
              <w:left w:val="nil"/>
              <w:bottom w:val="single" w:sz="8" w:space="0" w:color="auto"/>
              <w:right w:val="single" w:sz="8" w:space="0" w:color="auto"/>
            </w:tcBorders>
            <w:shd w:val="clear" w:color="auto" w:fill="auto"/>
            <w:vAlign w:val="center"/>
            <w:hideMark/>
          </w:tcPr>
          <w:p w14:paraId="7637DC7E"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353" w:type="dxa"/>
            <w:tcBorders>
              <w:top w:val="nil"/>
              <w:left w:val="nil"/>
              <w:bottom w:val="single" w:sz="8" w:space="0" w:color="auto"/>
              <w:right w:val="single" w:sz="8" w:space="0" w:color="auto"/>
            </w:tcBorders>
            <w:shd w:val="clear" w:color="auto" w:fill="auto"/>
            <w:vAlign w:val="center"/>
            <w:hideMark/>
          </w:tcPr>
          <w:p w14:paraId="5812D3AB"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1.435.886,01</w:t>
            </w:r>
          </w:p>
        </w:tc>
        <w:tc>
          <w:tcPr>
            <w:tcW w:w="1647" w:type="dxa"/>
            <w:tcBorders>
              <w:top w:val="nil"/>
              <w:left w:val="nil"/>
              <w:bottom w:val="single" w:sz="8" w:space="0" w:color="auto"/>
              <w:right w:val="single" w:sz="8" w:space="0" w:color="auto"/>
            </w:tcBorders>
            <w:shd w:val="clear" w:color="auto" w:fill="auto"/>
            <w:vAlign w:val="center"/>
            <w:hideMark/>
          </w:tcPr>
          <w:p w14:paraId="654F37BD"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hideMark/>
          </w:tcPr>
          <w:p w14:paraId="2B1A27BA" w14:textId="77777777" w:rsidR="004729C6" w:rsidRPr="008B76D8" w:rsidRDefault="004729C6" w:rsidP="004729C6">
            <w:pPr>
              <w:spacing w:after="0" w:line="240" w:lineRule="auto"/>
              <w:jc w:val="right"/>
              <w:rPr>
                <w:rFonts w:ascii="Times New Roman" w:eastAsia="Times New Roman" w:hAnsi="Times New Roman" w:cs="Times New Roman"/>
                <w:color w:val="000000"/>
                <w:sz w:val="18"/>
                <w:szCs w:val="18"/>
              </w:rPr>
            </w:pPr>
            <w:r w:rsidRPr="008B76D8">
              <w:rPr>
                <w:rFonts w:ascii="Times New Roman" w:eastAsia="Times New Roman" w:hAnsi="Times New Roman" w:cs="Times New Roman"/>
                <w:color w:val="000000"/>
                <w:sz w:val="18"/>
                <w:szCs w:val="18"/>
              </w:rPr>
              <w:t>0,00</w:t>
            </w:r>
          </w:p>
        </w:tc>
      </w:tr>
      <w:tr w:rsidR="004729C6" w:rsidRPr="008B76D8" w14:paraId="1651BCCE" w14:textId="77777777" w:rsidTr="004729C6">
        <w:trPr>
          <w:trHeight w:val="300"/>
        </w:trPr>
        <w:tc>
          <w:tcPr>
            <w:tcW w:w="3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DA4E0C" w14:textId="77777777" w:rsidR="004729C6" w:rsidRPr="008B76D8" w:rsidRDefault="004729C6" w:rsidP="004729C6">
            <w:pPr>
              <w:spacing w:after="0" w:line="240" w:lineRule="auto"/>
              <w:jc w:val="center"/>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TOTAL GENERAL</w:t>
            </w:r>
          </w:p>
        </w:tc>
        <w:tc>
          <w:tcPr>
            <w:tcW w:w="1489" w:type="dxa"/>
            <w:tcBorders>
              <w:top w:val="nil"/>
              <w:left w:val="nil"/>
              <w:bottom w:val="single" w:sz="8" w:space="0" w:color="auto"/>
              <w:right w:val="single" w:sz="8" w:space="0" w:color="auto"/>
            </w:tcBorders>
            <w:shd w:val="clear" w:color="auto" w:fill="auto"/>
            <w:vAlign w:val="center"/>
            <w:hideMark/>
          </w:tcPr>
          <w:p w14:paraId="34F0F1B6"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7.522.337.556,46</w:t>
            </w:r>
          </w:p>
        </w:tc>
        <w:tc>
          <w:tcPr>
            <w:tcW w:w="1353" w:type="dxa"/>
            <w:tcBorders>
              <w:top w:val="nil"/>
              <w:left w:val="nil"/>
              <w:bottom w:val="single" w:sz="8" w:space="0" w:color="auto"/>
              <w:right w:val="single" w:sz="8" w:space="0" w:color="auto"/>
            </w:tcBorders>
            <w:shd w:val="clear" w:color="auto" w:fill="auto"/>
            <w:vAlign w:val="center"/>
            <w:hideMark/>
          </w:tcPr>
          <w:p w14:paraId="1A75944F"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 xml:space="preserve">295 907 631,58 </w:t>
            </w:r>
          </w:p>
        </w:tc>
        <w:tc>
          <w:tcPr>
            <w:tcW w:w="1580" w:type="dxa"/>
            <w:tcBorders>
              <w:top w:val="nil"/>
              <w:left w:val="nil"/>
              <w:bottom w:val="single" w:sz="8" w:space="0" w:color="auto"/>
              <w:right w:val="single" w:sz="8" w:space="0" w:color="auto"/>
            </w:tcBorders>
            <w:shd w:val="clear" w:color="auto" w:fill="auto"/>
            <w:vAlign w:val="center"/>
            <w:hideMark/>
          </w:tcPr>
          <w:p w14:paraId="2BC74F3A"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11.499.754.280,57</w:t>
            </w:r>
          </w:p>
        </w:tc>
        <w:tc>
          <w:tcPr>
            <w:tcW w:w="1353" w:type="dxa"/>
            <w:tcBorders>
              <w:top w:val="nil"/>
              <w:left w:val="nil"/>
              <w:bottom w:val="single" w:sz="8" w:space="0" w:color="auto"/>
              <w:right w:val="single" w:sz="8" w:space="0" w:color="auto"/>
            </w:tcBorders>
            <w:shd w:val="clear" w:color="auto" w:fill="auto"/>
            <w:vAlign w:val="center"/>
            <w:hideMark/>
          </w:tcPr>
          <w:p w14:paraId="18372436"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273.432.574,61</w:t>
            </w:r>
          </w:p>
        </w:tc>
        <w:tc>
          <w:tcPr>
            <w:tcW w:w="1580" w:type="dxa"/>
            <w:tcBorders>
              <w:top w:val="nil"/>
              <w:left w:val="nil"/>
              <w:bottom w:val="single" w:sz="8" w:space="0" w:color="auto"/>
              <w:right w:val="single" w:sz="8" w:space="0" w:color="auto"/>
            </w:tcBorders>
            <w:shd w:val="clear" w:color="auto" w:fill="auto"/>
            <w:vAlign w:val="center"/>
            <w:hideMark/>
          </w:tcPr>
          <w:p w14:paraId="1674F1AE"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10.291.686.487,13</w:t>
            </w:r>
          </w:p>
        </w:tc>
        <w:tc>
          <w:tcPr>
            <w:tcW w:w="1353" w:type="dxa"/>
            <w:tcBorders>
              <w:top w:val="nil"/>
              <w:left w:val="nil"/>
              <w:bottom w:val="single" w:sz="8" w:space="0" w:color="auto"/>
              <w:right w:val="single" w:sz="8" w:space="0" w:color="auto"/>
            </w:tcBorders>
            <w:shd w:val="clear" w:color="auto" w:fill="auto"/>
            <w:vAlign w:val="center"/>
            <w:hideMark/>
          </w:tcPr>
          <w:p w14:paraId="1F684D52"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159.227.165,53</w:t>
            </w:r>
          </w:p>
        </w:tc>
        <w:tc>
          <w:tcPr>
            <w:tcW w:w="1647" w:type="dxa"/>
            <w:tcBorders>
              <w:top w:val="nil"/>
              <w:left w:val="nil"/>
              <w:bottom w:val="single" w:sz="8" w:space="0" w:color="auto"/>
              <w:right w:val="single" w:sz="8" w:space="0" w:color="auto"/>
            </w:tcBorders>
            <w:shd w:val="clear" w:color="auto" w:fill="auto"/>
            <w:vAlign w:val="center"/>
            <w:hideMark/>
          </w:tcPr>
          <w:p w14:paraId="7F6B0399"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-1.208.067.793,44</w:t>
            </w:r>
          </w:p>
        </w:tc>
        <w:tc>
          <w:tcPr>
            <w:tcW w:w="1418" w:type="dxa"/>
            <w:tcBorders>
              <w:top w:val="nil"/>
              <w:left w:val="nil"/>
              <w:bottom w:val="single" w:sz="8" w:space="0" w:color="auto"/>
              <w:right w:val="single" w:sz="8" w:space="0" w:color="auto"/>
            </w:tcBorders>
            <w:shd w:val="clear" w:color="auto" w:fill="auto"/>
            <w:vAlign w:val="center"/>
            <w:hideMark/>
          </w:tcPr>
          <w:p w14:paraId="4776095B" w14:textId="77777777" w:rsidR="004729C6" w:rsidRPr="008B76D8" w:rsidRDefault="004729C6" w:rsidP="004729C6">
            <w:pPr>
              <w:spacing w:after="0" w:line="240" w:lineRule="auto"/>
              <w:jc w:val="right"/>
              <w:rPr>
                <w:rFonts w:ascii="Times New Roman" w:eastAsia="Times New Roman" w:hAnsi="Times New Roman" w:cs="Times New Roman"/>
                <w:b/>
                <w:bCs/>
                <w:color w:val="000000"/>
                <w:sz w:val="18"/>
                <w:szCs w:val="18"/>
              </w:rPr>
            </w:pPr>
            <w:r w:rsidRPr="008B76D8">
              <w:rPr>
                <w:rFonts w:ascii="Times New Roman" w:eastAsia="Times New Roman" w:hAnsi="Times New Roman" w:cs="Times New Roman"/>
                <w:b/>
                <w:bCs/>
                <w:color w:val="000000"/>
                <w:sz w:val="18"/>
                <w:szCs w:val="18"/>
              </w:rPr>
              <w:t>-114.205.409,08</w:t>
            </w:r>
          </w:p>
        </w:tc>
      </w:tr>
    </w:tbl>
    <w:p w14:paraId="4B7567C2" w14:textId="770AF853" w:rsidR="00543955" w:rsidRPr="000D19A7" w:rsidRDefault="00543955" w:rsidP="00543955">
      <w:pPr>
        <w:jc w:val="both"/>
        <w:rPr>
          <w:lang w:val="ro-MD" w:eastAsia="ru-RU"/>
        </w:rPr>
      </w:pPr>
    </w:p>
    <w:p w14:paraId="7AE57D1D" w14:textId="1621E30D" w:rsidR="00791937" w:rsidRPr="000D19A7" w:rsidRDefault="00791937" w:rsidP="00543955">
      <w:pPr>
        <w:jc w:val="both"/>
        <w:rPr>
          <w:lang w:val="ro-MD" w:eastAsia="ru-RU"/>
        </w:rPr>
      </w:pPr>
    </w:p>
    <w:p w14:paraId="2D10255E" w14:textId="77777777" w:rsidR="00791937" w:rsidRPr="000D19A7" w:rsidRDefault="00791937" w:rsidP="00543955">
      <w:pPr>
        <w:jc w:val="both"/>
        <w:rPr>
          <w:lang w:val="ro-MD" w:eastAsia="ru-RU"/>
        </w:rPr>
      </w:pPr>
    </w:p>
    <w:p w14:paraId="11589F1A" w14:textId="3F03B94C" w:rsidR="0033349E" w:rsidRPr="000D19A7" w:rsidRDefault="0033349E" w:rsidP="0033349E">
      <w:pPr>
        <w:pStyle w:val="3"/>
        <w:numPr>
          <w:ilvl w:val="0"/>
          <w:numId w:val="0"/>
        </w:numPr>
        <w:jc w:val="right"/>
        <w:rPr>
          <w:rFonts w:ascii="Times New Roman" w:hAnsi="Times New Roman" w:cs="Times New Roman"/>
          <w:color w:val="000000" w:themeColor="text1"/>
          <w:sz w:val="22"/>
          <w:lang w:val="ro-MD"/>
        </w:rPr>
      </w:pPr>
      <w:bookmarkStart w:id="33" w:name="_Toc168321563"/>
      <w:r w:rsidRPr="000D19A7">
        <w:rPr>
          <w:rFonts w:ascii="Times New Roman" w:eastAsia="Calibri" w:hAnsi="Times New Roman" w:cs="Times New Roman"/>
          <w:color w:val="000000" w:themeColor="text1"/>
          <w:lang w:val="ro-MD"/>
        </w:rPr>
        <w:t>Anexa nr.</w:t>
      </w:r>
      <w:r w:rsidR="000C4A54" w:rsidRPr="000D19A7">
        <w:rPr>
          <w:rFonts w:ascii="Times New Roman" w:eastAsia="Calibri" w:hAnsi="Times New Roman" w:cs="Times New Roman"/>
          <w:color w:val="000000" w:themeColor="text1"/>
          <w:lang w:val="ro-MD"/>
        </w:rPr>
        <w:t>6</w:t>
      </w:r>
      <w:bookmarkEnd w:id="33"/>
    </w:p>
    <w:p w14:paraId="2A1A4138" w14:textId="2EEE91B5" w:rsidR="00253B1C" w:rsidRPr="000D19A7" w:rsidRDefault="00253B1C" w:rsidP="003127BB">
      <w:pPr>
        <w:jc w:val="center"/>
        <w:rPr>
          <w:rFonts w:ascii="Times New Roman" w:eastAsia="Calibri" w:hAnsi="Times New Roman" w:cs="Times New Roman"/>
          <w:b/>
          <w:lang w:val="ro-MD"/>
        </w:rPr>
      </w:pPr>
      <w:r w:rsidRPr="000D19A7">
        <w:rPr>
          <w:rFonts w:ascii="Times New Roman" w:hAnsi="Times New Roman" w:cs="Times New Roman"/>
          <w:b/>
          <w:lang w:val="ro-MD"/>
        </w:rPr>
        <w:t>Implementarea cerințelor și recomandărilor expuse în H</w:t>
      </w:r>
      <w:r w:rsidR="00D26A83" w:rsidRPr="000D19A7">
        <w:rPr>
          <w:rFonts w:ascii="Times New Roman" w:hAnsi="Times New Roman" w:cs="Times New Roman"/>
          <w:b/>
          <w:lang w:val="ro-MD"/>
        </w:rPr>
        <w:t>otărârea Curții de Conturi nr.20 din 26</w:t>
      </w:r>
      <w:r w:rsidRPr="000D19A7">
        <w:rPr>
          <w:rFonts w:ascii="Times New Roman" w:hAnsi="Times New Roman" w:cs="Times New Roman"/>
          <w:b/>
          <w:lang w:val="ro-MD"/>
        </w:rPr>
        <w:t xml:space="preserve"> mai 202</w:t>
      </w:r>
      <w:r w:rsidR="00D26A83" w:rsidRPr="000D19A7">
        <w:rPr>
          <w:rFonts w:ascii="Times New Roman" w:hAnsi="Times New Roman" w:cs="Times New Roman"/>
          <w:b/>
          <w:lang w:val="ro-MD"/>
        </w:rPr>
        <w:t>3</w:t>
      </w:r>
      <w:r w:rsidRPr="000D19A7">
        <w:rPr>
          <w:rFonts w:ascii="Times New Roman" w:hAnsi="Times New Roman" w:cs="Times New Roman"/>
          <w:b/>
          <w:lang w:val="ro-MD"/>
        </w:rPr>
        <w:t xml:space="preserve"> „Privind aprobarea Raportului auditului  conformității asupra managementului datoriei de stat, garanțiilor de stat și r</w:t>
      </w:r>
      <w:r w:rsidR="00D26A83" w:rsidRPr="000D19A7">
        <w:rPr>
          <w:rFonts w:ascii="Times New Roman" w:hAnsi="Times New Roman" w:cs="Times New Roman"/>
          <w:b/>
          <w:lang w:val="ro-MD"/>
        </w:rPr>
        <w:t>ecreditării de stat în anul 2022</w:t>
      </w:r>
      <w:r w:rsidRPr="000D19A7">
        <w:rPr>
          <w:rFonts w:ascii="Times New Roman" w:hAnsi="Times New Roman" w:cs="Times New Roman"/>
          <w:b/>
          <w:lang w:val="ro-MD"/>
        </w:rPr>
        <w:t>”</w:t>
      </w:r>
    </w:p>
    <w:tbl>
      <w:tblPr>
        <w:tblStyle w:val="TableGrid131"/>
        <w:tblW w:w="15195" w:type="dxa"/>
        <w:tblLook w:val="04A0" w:firstRow="1" w:lastRow="0" w:firstColumn="1" w:lastColumn="0" w:noHBand="0" w:noVBand="1"/>
      </w:tblPr>
      <w:tblGrid>
        <w:gridCol w:w="2814"/>
        <w:gridCol w:w="4694"/>
        <w:gridCol w:w="2517"/>
        <w:gridCol w:w="828"/>
        <w:gridCol w:w="1076"/>
        <w:gridCol w:w="980"/>
        <w:gridCol w:w="2286"/>
      </w:tblGrid>
      <w:tr w:rsidR="00D26A83" w:rsidRPr="000D19A7" w14:paraId="10CB2205" w14:textId="77777777" w:rsidTr="00D26A83">
        <w:tc>
          <w:tcPr>
            <w:tcW w:w="2814" w:type="dxa"/>
            <w:vMerge w:val="restart"/>
            <w:vAlign w:val="center"/>
          </w:tcPr>
          <w:p w14:paraId="5386EA7D"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Recomandarea</w:t>
            </w:r>
          </w:p>
        </w:tc>
        <w:tc>
          <w:tcPr>
            <w:tcW w:w="4694" w:type="dxa"/>
            <w:vMerge w:val="restart"/>
            <w:vAlign w:val="center"/>
          </w:tcPr>
          <w:p w14:paraId="79DEB0DF"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Măsurile întreprinse</w:t>
            </w:r>
          </w:p>
        </w:tc>
        <w:tc>
          <w:tcPr>
            <w:tcW w:w="2517" w:type="dxa"/>
            <w:vMerge w:val="restart"/>
            <w:vAlign w:val="center"/>
          </w:tcPr>
          <w:p w14:paraId="6F3457B1"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Confirmarea documentară a implementării recomandării</w:t>
            </w:r>
          </w:p>
        </w:tc>
        <w:tc>
          <w:tcPr>
            <w:tcW w:w="2880" w:type="dxa"/>
            <w:gridSpan w:val="3"/>
            <w:vAlign w:val="center"/>
          </w:tcPr>
          <w:p w14:paraId="461504BB"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Statutul implementării recomandării</w:t>
            </w:r>
          </w:p>
        </w:tc>
        <w:tc>
          <w:tcPr>
            <w:tcW w:w="2286" w:type="dxa"/>
            <w:vMerge w:val="restart"/>
            <w:vAlign w:val="center"/>
          </w:tcPr>
          <w:p w14:paraId="2F635546"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Măsuri ulterioare</w:t>
            </w:r>
          </w:p>
        </w:tc>
      </w:tr>
      <w:tr w:rsidR="00D26A83" w:rsidRPr="000D19A7" w14:paraId="232D7D1B" w14:textId="77777777" w:rsidTr="00D26A83">
        <w:tc>
          <w:tcPr>
            <w:tcW w:w="2814" w:type="dxa"/>
            <w:vMerge/>
            <w:vAlign w:val="center"/>
          </w:tcPr>
          <w:p w14:paraId="5BE4C726" w14:textId="77777777" w:rsidR="00D26A83" w:rsidRPr="000D19A7" w:rsidRDefault="00D26A83" w:rsidP="00E8120D">
            <w:pPr>
              <w:jc w:val="both"/>
              <w:rPr>
                <w:rFonts w:ascii="Times New Roman" w:hAnsi="Times New Roman" w:cs="Times New Roman"/>
                <w:b/>
                <w:sz w:val="18"/>
                <w:szCs w:val="18"/>
                <w:lang w:val="ro-MD"/>
              </w:rPr>
            </w:pPr>
          </w:p>
        </w:tc>
        <w:tc>
          <w:tcPr>
            <w:tcW w:w="4694" w:type="dxa"/>
            <w:vMerge/>
            <w:vAlign w:val="center"/>
          </w:tcPr>
          <w:p w14:paraId="72B8D285" w14:textId="77777777" w:rsidR="00D26A83" w:rsidRPr="000D19A7" w:rsidRDefault="00D26A83" w:rsidP="00E8120D">
            <w:pPr>
              <w:jc w:val="both"/>
              <w:rPr>
                <w:rFonts w:ascii="Times New Roman" w:hAnsi="Times New Roman" w:cs="Times New Roman"/>
                <w:b/>
                <w:sz w:val="18"/>
                <w:szCs w:val="18"/>
                <w:lang w:val="ro-MD"/>
              </w:rPr>
            </w:pPr>
          </w:p>
        </w:tc>
        <w:tc>
          <w:tcPr>
            <w:tcW w:w="2517" w:type="dxa"/>
            <w:vMerge/>
            <w:vAlign w:val="center"/>
          </w:tcPr>
          <w:p w14:paraId="377130BA" w14:textId="77777777" w:rsidR="00D26A83" w:rsidRPr="000D19A7" w:rsidRDefault="00D26A83" w:rsidP="00E8120D">
            <w:pPr>
              <w:jc w:val="center"/>
              <w:rPr>
                <w:rFonts w:ascii="Times New Roman" w:hAnsi="Times New Roman" w:cs="Times New Roman"/>
                <w:b/>
                <w:sz w:val="18"/>
                <w:szCs w:val="18"/>
                <w:lang w:val="ro-MD"/>
              </w:rPr>
            </w:pPr>
          </w:p>
        </w:tc>
        <w:tc>
          <w:tcPr>
            <w:tcW w:w="828" w:type="dxa"/>
            <w:vAlign w:val="center"/>
          </w:tcPr>
          <w:p w14:paraId="0C672584"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realizat</w:t>
            </w:r>
          </w:p>
        </w:tc>
        <w:tc>
          <w:tcPr>
            <w:tcW w:w="1076" w:type="dxa"/>
            <w:vAlign w:val="center"/>
          </w:tcPr>
          <w:p w14:paraId="6C16F98A" w14:textId="765D20E2"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parțial realizat</w:t>
            </w:r>
          </w:p>
        </w:tc>
        <w:tc>
          <w:tcPr>
            <w:tcW w:w="976" w:type="dxa"/>
            <w:vAlign w:val="center"/>
          </w:tcPr>
          <w:p w14:paraId="48701300"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nerealizat</w:t>
            </w:r>
          </w:p>
        </w:tc>
        <w:tc>
          <w:tcPr>
            <w:tcW w:w="2286" w:type="dxa"/>
            <w:vMerge/>
            <w:vAlign w:val="center"/>
          </w:tcPr>
          <w:p w14:paraId="0E95C82F" w14:textId="77777777" w:rsidR="00D26A83" w:rsidRPr="000D19A7" w:rsidRDefault="00D26A83" w:rsidP="00E8120D">
            <w:pPr>
              <w:jc w:val="center"/>
              <w:rPr>
                <w:rFonts w:ascii="Times New Roman" w:hAnsi="Times New Roman" w:cs="Times New Roman"/>
                <w:b/>
                <w:sz w:val="18"/>
                <w:szCs w:val="18"/>
                <w:lang w:val="ro-MD"/>
              </w:rPr>
            </w:pPr>
          </w:p>
        </w:tc>
      </w:tr>
      <w:tr w:rsidR="00D26A83" w:rsidRPr="000D19A7" w14:paraId="011FB164" w14:textId="77777777" w:rsidTr="00D26A83">
        <w:tc>
          <w:tcPr>
            <w:tcW w:w="12909" w:type="dxa"/>
            <w:gridSpan w:val="6"/>
          </w:tcPr>
          <w:p w14:paraId="232539F8"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Cerințe din partea hotărâtoare</w:t>
            </w:r>
          </w:p>
        </w:tc>
        <w:tc>
          <w:tcPr>
            <w:tcW w:w="2286" w:type="dxa"/>
          </w:tcPr>
          <w:p w14:paraId="662DABAB" w14:textId="77777777" w:rsidR="00D26A83" w:rsidRPr="000D19A7" w:rsidRDefault="00D26A83" w:rsidP="00E8120D">
            <w:pPr>
              <w:jc w:val="center"/>
              <w:rPr>
                <w:rFonts w:ascii="Times New Roman" w:hAnsi="Times New Roman" w:cs="Times New Roman"/>
                <w:b/>
                <w:sz w:val="18"/>
                <w:szCs w:val="18"/>
                <w:lang w:val="ro-MD"/>
              </w:rPr>
            </w:pPr>
          </w:p>
        </w:tc>
      </w:tr>
      <w:tr w:rsidR="00D26A83" w:rsidRPr="000D19A7" w14:paraId="593B95F8" w14:textId="77777777" w:rsidTr="00D26A83">
        <w:tc>
          <w:tcPr>
            <w:tcW w:w="12909" w:type="dxa"/>
            <w:gridSpan w:val="6"/>
          </w:tcPr>
          <w:p w14:paraId="37E4FCE1" w14:textId="77777777" w:rsidR="00D26A83" w:rsidRPr="000D19A7" w:rsidRDefault="00D26A83" w:rsidP="00E8120D">
            <w:pPr>
              <w:jc w:val="both"/>
              <w:rPr>
                <w:rFonts w:ascii="Times New Roman" w:hAnsi="Times New Roman" w:cs="Times New Roman"/>
                <w:b/>
                <w:sz w:val="18"/>
                <w:szCs w:val="18"/>
                <w:lang w:val="ro-MD"/>
              </w:rPr>
            </w:pPr>
            <w:r w:rsidRPr="000D19A7">
              <w:rPr>
                <w:rFonts w:ascii="Times New Roman" w:hAnsi="Times New Roman" w:cs="Times New Roman"/>
                <w:b/>
                <w:sz w:val="18"/>
                <w:szCs w:val="18"/>
                <w:lang w:val="ro-MD"/>
              </w:rPr>
              <w:t>2.4. Ministerul Finanțelor</w:t>
            </w:r>
          </w:p>
        </w:tc>
        <w:tc>
          <w:tcPr>
            <w:tcW w:w="2286" w:type="dxa"/>
          </w:tcPr>
          <w:p w14:paraId="66C61C61" w14:textId="77777777" w:rsidR="00D26A83" w:rsidRPr="000D19A7" w:rsidRDefault="00D26A83" w:rsidP="00E8120D">
            <w:pPr>
              <w:jc w:val="both"/>
              <w:rPr>
                <w:rFonts w:ascii="Times New Roman" w:hAnsi="Times New Roman" w:cs="Times New Roman"/>
                <w:b/>
                <w:sz w:val="18"/>
                <w:szCs w:val="18"/>
                <w:lang w:val="ro-MD"/>
              </w:rPr>
            </w:pPr>
          </w:p>
        </w:tc>
      </w:tr>
      <w:tr w:rsidR="00D26A83" w:rsidRPr="000D19A7" w14:paraId="6B4BF66D" w14:textId="77777777" w:rsidTr="00D26A83">
        <w:tc>
          <w:tcPr>
            <w:tcW w:w="2814" w:type="dxa"/>
          </w:tcPr>
          <w:p w14:paraId="5DF5380A" w14:textId="77777777" w:rsidR="00D26A83" w:rsidRPr="000D19A7" w:rsidRDefault="00D26A83" w:rsidP="00E8120D">
            <w:pPr>
              <w:ind w:left="23"/>
              <w:jc w:val="both"/>
              <w:rPr>
                <w:rFonts w:ascii="Times New Roman" w:hAnsi="Times New Roman" w:cs="Times New Roman"/>
                <w:sz w:val="18"/>
                <w:szCs w:val="18"/>
                <w:lang w:val="ro-MD" w:eastAsia="ru-RU"/>
              </w:rPr>
            </w:pPr>
            <w:r w:rsidRPr="000D19A7">
              <w:rPr>
                <w:rFonts w:ascii="Times New Roman" w:hAnsi="Times New Roman" w:cs="Times New Roman"/>
                <w:sz w:val="18"/>
                <w:szCs w:val="18"/>
                <w:lang w:val="ro-MD" w:eastAsia="ru-RU"/>
              </w:rPr>
              <w:t>2.4 Pentru luare de atitudine și asigurarea implementării recomandărilor cuprinse în Raportul de audit</w:t>
            </w:r>
          </w:p>
        </w:tc>
        <w:tc>
          <w:tcPr>
            <w:tcW w:w="4694" w:type="dxa"/>
          </w:tcPr>
          <w:p w14:paraId="2373B585" w14:textId="77777777" w:rsidR="00D26A83" w:rsidRPr="000D19A7" w:rsidRDefault="00D26A83" w:rsidP="00E8120D">
            <w:pPr>
              <w:jc w:val="both"/>
              <w:rPr>
                <w:rFonts w:ascii="Times New Roman" w:hAnsi="Times New Roman" w:cs="Times New Roman"/>
                <w:sz w:val="18"/>
                <w:szCs w:val="18"/>
                <w:lang w:val="ro-MD"/>
              </w:rPr>
            </w:pPr>
          </w:p>
        </w:tc>
        <w:tc>
          <w:tcPr>
            <w:tcW w:w="2517" w:type="dxa"/>
          </w:tcPr>
          <w:p w14:paraId="290779A6" w14:textId="77777777" w:rsidR="00D26A83" w:rsidRPr="000D19A7" w:rsidRDefault="00D26A83" w:rsidP="00E8120D">
            <w:pPr>
              <w:tabs>
                <w:tab w:val="left" w:pos="288"/>
              </w:tabs>
              <w:contextualSpacing/>
              <w:jc w:val="both"/>
              <w:rPr>
                <w:rFonts w:ascii="Times New Roman" w:hAnsi="Times New Roman" w:cs="Times New Roman"/>
                <w:sz w:val="18"/>
                <w:szCs w:val="18"/>
                <w:lang w:val="ro-MD"/>
              </w:rPr>
            </w:pPr>
          </w:p>
        </w:tc>
        <w:tc>
          <w:tcPr>
            <w:tcW w:w="828" w:type="dxa"/>
          </w:tcPr>
          <w:p w14:paraId="1ED28FFA" w14:textId="666EE215" w:rsidR="00D26A83" w:rsidRPr="000D19A7" w:rsidRDefault="00D77656" w:rsidP="00D77656">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v</w:t>
            </w:r>
          </w:p>
          <w:p w14:paraId="47BD4F69" w14:textId="77777777" w:rsidR="00D26A83" w:rsidRPr="000D19A7" w:rsidRDefault="00D26A83" w:rsidP="00E8120D">
            <w:pPr>
              <w:jc w:val="both"/>
              <w:rPr>
                <w:rFonts w:ascii="Times New Roman" w:hAnsi="Times New Roman" w:cs="Times New Roman"/>
                <w:b/>
                <w:sz w:val="18"/>
                <w:szCs w:val="18"/>
                <w:lang w:val="ro-MD"/>
              </w:rPr>
            </w:pPr>
          </w:p>
          <w:p w14:paraId="449C3AF9" w14:textId="77777777" w:rsidR="00D26A83" w:rsidRPr="000D19A7" w:rsidRDefault="00D26A83" w:rsidP="00E8120D">
            <w:pPr>
              <w:jc w:val="center"/>
              <w:rPr>
                <w:rFonts w:ascii="Times New Roman" w:hAnsi="Times New Roman" w:cs="Times New Roman"/>
                <w:b/>
                <w:sz w:val="18"/>
                <w:szCs w:val="18"/>
                <w:lang w:val="ro-MD"/>
              </w:rPr>
            </w:pPr>
          </w:p>
        </w:tc>
        <w:tc>
          <w:tcPr>
            <w:tcW w:w="1076" w:type="dxa"/>
          </w:tcPr>
          <w:p w14:paraId="388F3567" w14:textId="77777777" w:rsidR="00D26A83" w:rsidRPr="000D19A7" w:rsidRDefault="00D26A83" w:rsidP="00E8120D">
            <w:pPr>
              <w:jc w:val="center"/>
              <w:rPr>
                <w:rFonts w:ascii="Times New Roman" w:hAnsi="Times New Roman" w:cs="Times New Roman"/>
                <w:b/>
                <w:sz w:val="18"/>
                <w:szCs w:val="18"/>
                <w:lang w:val="ro-MD"/>
              </w:rPr>
            </w:pPr>
          </w:p>
        </w:tc>
        <w:tc>
          <w:tcPr>
            <w:tcW w:w="976" w:type="dxa"/>
          </w:tcPr>
          <w:p w14:paraId="69008D2D" w14:textId="77777777" w:rsidR="00D26A83" w:rsidRPr="000D19A7" w:rsidRDefault="00D26A83" w:rsidP="00E8120D">
            <w:pPr>
              <w:jc w:val="both"/>
              <w:rPr>
                <w:rFonts w:ascii="Times New Roman" w:hAnsi="Times New Roman" w:cs="Times New Roman"/>
                <w:b/>
                <w:sz w:val="18"/>
                <w:szCs w:val="18"/>
                <w:lang w:val="ro-MD"/>
              </w:rPr>
            </w:pPr>
          </w:p>
        </w:tc>
        <w:tc>
          <w:tcPr>
            <w:tcW w:w="2286" w:type="dxa"/>
          </w:tcPr>
          <w:p w14:paraId="5534F29B" w14:textId="512FEFC4" w:rsidR="00D26A83" w:rsidRPr="000D19A7" w:rsidRDefault="00A06836" w:rsidP="00E8120D">
            <w:pPr>
              <w:jc w:val="both"/>
              <w:rPr>
                <w:rFonts w:ascii="Times New Roman" w:hAnsi="Times New Roman" w:cs="Times New Roman"/>
                <w:b/>
                <w:sz w:val="18"/>
                <w:szCs w:val="18"/>
                <w:lang w:val="ro-MD"/>
              </w:rPr>
            </w:pPr>
            <w:r w:rsidRPr="000D19A7">
              <w:rPr>
                <w:rFonts w:ascii="Times New Roman" w:hAnsi="Times New Roman" w:cs="Times New Roman"/>
                <w:b/>
                <w:sz w:val="18"/>
                <w:szCs w:val="18"/>
                <w:lang w:val="ro-MD"/>
              </w:rPr>
              <w:t>Excluderea din regim de monitorizare</w:t>
            </w:r>
          </w:p>
        </w:tc>
      </w:tr>
      <w:tr w:rsidR="00D26A83" w:rsidRPr="000D19A7" w14:paraId="3AD77D54" w14:textId="77777777" w:rsidTr="00D26A83">
        <w:tc>
          <w:tcPr>
            <w:tcW w:w="12909" w:type="dxa"/>
            <w:gridSpan w:val="6"/>
          </w:tcPr>
          <w:p w14:paraId="5C39B6CC"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Recomandări din Raportul de audit</w:t>
            </w:r>
          </w:p>
        </w:tc>
        <w:tc>
          <w:tcPr>
            <w:tcW w:w="2286" w:type="dxa"/>
          </w:tcPr>
          <w:p w14:paraId="2D268C0C" w14:textId="77777777" w:rsidR="00D26A83" w:rsidRPr="000D19A7" w:rsidRDefault="00D26A83" w:rsidP="00E8120D">
            <w:pPr>
              <w:jc w:val="center"/>
              <w:rPr>
                <w:rFonts w:ascii="Times New Roman" w:hAnsi="Times New Roman" w:cs="Times New Roman"/>
                <w:b/>
                <w:sz w:val="18"/>
                <w:szCs w:val="18"/>
                <w:lang w:val="ro-MD"/>
              </w:rPr>
            </w:pPr>
          </w:p>
        </w:tc>
      </w:tr>
      <w:tr w:rsidR="00D26A83" w:rsidRPr="000D19A7" w14:paraId="069355A5" w14:textId="77777777" w:rsidTr="00D26A83">
        <w:tc>
          <w:tcPr>
            <w:tcW w:w="2814" w:type="dxa"/>
          </w:tcPr>
          <w:p w14:paraId="77EFD89A" w14:textId="77777777" w:rsidR="00D26A83" w:rsidRPr="000D19A7" w:rsidRDefault="00D26A83" w:rsidP="00E8120D">
            <w:pPr>
              <w:jc w:val="both"/>
              <w:rPr>
                <w:rFonts w:ascii="Times New Roman" w:hAnsi="Times New Roman" w:cs="Times New Roman"/>
                <w:sz w:val="18"/>
                <w:szCs w:val="18"/>
                <w:lang w:val="ro-MD" w:eastAsia="ru-RU"/>
              </w:rPr>
            </w:pPr>
            <w:r w:rsidRPr="000D19A7">
              <w:rPr>
                <w:rFonts w:ascii="Times New Roman" w:hAnsi="Times New Roman" w:cs="Times New Roman"/>
                <w:sz w:val="18"/>
                <w:szCs w:val="18"/>
                <w:lang w:val="ro-MD" w:eastAsia="ru-RU"/>
              </w:rPr>
              <w:t>1. Să asigure în continuare, în comun cu autoritățile responsabile, intensificarea măsurilor de rigoare în vederea valorificării eficiente și implementării în termenele prevăzute a proiectelor finanțate din surse externe (reiterată) (pct. 4.1.5.);</w:t>
            </w:r>
          </w:p>
        </w:tc>
        <w:tc>
          <w:tcPr>
            <w:tcW w:w="4694" w:type="dxa"/>
          </w:tcPr>
          <w:p w14:paraId="47558B06" w14:textId="229EE8ED" w:rsidR="00D26A83" w:rsidRPr="000D19A7" w:rsidRDefault="00D638F9"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Conform prevederilor art. 27</w:t>
            </w:r>
            <w:r w:rsidR="00D26A83" w:rsidRPr="000D19A7">
              <w:rPr>
                <w:rFonts w:ascii="Times New Roman" w:hAnsi="Times New Roman" w:cs="Times New Roman"/>
                <w:sz w:val="18"/>
                <w:szCs w:val="18"/>
                <w:lang w:val="ro-MD"/>
              </w:rPr>
              <w:t xml:space="preserve"> alin. (3) și </w:t>
            </w:r>
            <w:r w:rsidRPr="000D19A7">
              <w:rPr>
                <w:rFonts w:ascii="Times New Roman" w:hAnsi="Times New Roman" w:cs="Times New Roman"/>
                <w:sz w:val="18"/>
                <w:szCs w:val="18"/>
                <w:lang w:val="ro-MD"/>
              </w:rPr>
              <w:t xml:space="preserve">alin. </w:t>
            </w:r>
            <w:r w:rsidR="00D26A83" w:rsidRPr="000D19A7">
              <w:rPr>
                <w:rFonts w:ascii="Times New Roman" w:hAnsi="Times New Roman" w:cs="Times New Roman"/>
                <w:sz w:val="18"/>
                <w:szCs w:val="18"/>
                <w:lang w:val="ro-MD"/>
              </w:rPr>
              <w:t xml:space="preserve">(4), din Legea nr. 419/2006 cu privire la datoria sectorului public, garanțiile de stat și recreditarea de stat, împrumuturile de stat externe contractate, în numele Republicii Moldova, de </w:t>
            </w:r>
            <w:r w:rsidRPr="000D19A7">
              <w:rPr>
                <w:rFonts w:ascii="Times New Roman" w:hAnsi="Times New Roman" w:cs="Times New Roman"/>
                <w:sz w:val="18"/>
                <w:szCs w:val="18"/>
                <w:lang w:val="ro-MD"/>
              </w:rPr>
              <w:t xml:space="preserve">către </w:t>
            </w:r>
            <w:r w:rsidR="00D26A83" w:rsidRPr="000D19A7">
              <w:rPr>
                <w:rFonts w:ascii="Times New Roman" w:hAnsi="Times New Roman" w:cs="Times New Roman"/>
                <w:sz w:val="18"/>
                <w:szCs w:val="18"/>
                <w:lang w:val="ro-MD"/>
              </w:rPr>
              <w:t>Guvern pentru realizarea proiectelor finanțate din surse externe sau a programelor de dezvoltare pot fi debursate direct de către Ministerul Finanțelor sau prin intermediul altor autorități ale administrației publice centrale și al autorităților publice, responsabile de implementarea proiectului. Autoritățile administrației publice centrale/autoritățile publice care beneficiază de mijloace obținute din împrumuturi de stat externe, prin care sânt realizate proiectele finanțate din surse externe, monitorizează implementarea și realizarea scopurilor acestor proiecte.</w:t>
            </w:r>
          </w:p>
        </w:tc>
        <w:tc>
          <w:tcPr>
            <w:tcW w:w="2517" w:type="dxa"/>
          </w:tcPr>
          <w:p w14:paraId="37C3416B" w14:textId="77777777" w:rsidR="00D26A83" w:rsidRPr="000D19A7" w:rsidRDefault="00D26A83" w:rsidP="00E8120D">
            <w:pPr>
              <w:tabs>
                <w:tab w:val="left" w:pos="384"/>
              </w:tabs>
              <w:ind w:left="16"/>
              <w:contextualSpacing/>
              <w:jc w:val="both"/>
              <w:rPr>
                <w:rFonts w:ascii="Times New Roman" w:hAnsi="Times New Roman" w:cs="Times New Roman"/>
                <w:sz w:val="18"/>
                <w:szCs w:val="18"/>
                <w:lang w:val="ro-MD"/>
              </w:rPr>
            </w:pPr>
          </w:p>
        </w:tc>
        <w:tc>
          <w:tcPr>
            <w:tcW w:w="828" w:type="dxa"/>
          </w:tcPr>
          <w:p w14:paraId="58B17059" w14:textId="2EE9D0F5" w:rsidR="00D26A83" w:rsidRPr="000D19A7" w:rsidRDefault="003C003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V</w:t>
            </w:r>
          </w:p>
        </w:tc>
        <w:tc>
          <w:tcPr>
            <w:tcW w:w="1076" w:type="dxa"/>
          </w:tcPr>
          <w:p w14:paraId="2A2FF54D" w14:textId="108CC6B9" w:rsidR="00D26A83" w:rsidRPr="000D19A7" w:rsidRDefault="00D26A83" w:rsidP="00E8120D">
            <w:pPr>
              <w:jc w:val="center"/>
              <w:rPr>
                <w:rFonts w:ascii="Times New Roman" w:hAnsi="Times New Roman" w:cs="Times New Roman"/>
                <w:b/>
                <w:sz w:val="18"/>
                <w:szCs w:val="18"/>
                <w:lang w:val="ro-MD"/>
              </w:rPr>
            </w:pPr>
          </w:p>
        </w:tc>
        <w:tc>
          <w:tcPr>
            <w:tcW w:w="976" w:type="dxa"/>
          </w:tcPr>
          <w:p w14:paraId="0CE26531" w14:textId="77777777" w:rsidR="00D26A83" w:rsidRPr="000D19A7" w:rsidRDefault="00D26A83" w:rsidP="00E8120D">
            <w:pPr>
              <w:jc w:val="both"/>
              <w:rPr>
                <w:rFonts w:ascii="Times New Roman" w:hAnsi="Times New Roman" w:cs="Times New Roman"/>
                <w:b/>
                <w:sz w:val="18"/>
                <w:szCs w:val="18"/>
                <w:lang w:val="ro-MD"/>
              </w:rPr>
            </w:pPr>
          </w:p>
        </w:tc>
        <w:tc>
          <w:tcPr>
            <w:tcW w:w="2286" w:type="dxa"/>
          </w:tcPr>
          <w:p w14:paraId="6450B096" w14:textId="4D915BE3" w:rsidR="00D26A83" w:rsidRPr="000D19A7" w:rsidRDefault="003C0033" w:rsidP="00E8120D">
            <w:pPr>
              <w:jc w:val="both"/>
              <w:rPr>
                <w:rFonts w:ascii="Times New Roman" w:hAnsi="Times New Roman" w:cs="Times New Roman"/>
                <w:b/>
                <w:sz w:val="18"/>
                <w:szCs w:val="18"/>
                <w:lang w:val="ro-MD"/>
              </w:rPr>
            </w:pPr>
            <w:r w:rsidRPr="000D19A7">
              <w:rPr>
                <w:rFonts w:ascii="Times New Roman" w:hAnsi="Times New Roman" w:cs="Times New Roman"/>
                <w:b/>
                <w:sz w:val="18"/>
                <w:szCs w:val="18"/>
                <w:lang w:val="ro-MD"/>
              </w:rPr>
              <w:t>Excluderea din regim de monitorizare</w:t>
            </w:r>
          </w:p>
        </w:tc>
      </w:tr>
      <w:tr w:rsidR="00D26A83" w:rsidRPr="000D19A7" w14:paraId="02302407" w14:textId="77777777" w:rsidTr="00D26A83">
        <w:tc>
          <w:tcPr>
            <w:tcW w:w="2814" w:type="dxa"/>
          </w:tcPr>
          <w:p w14:paraId="5D4944AD" w14:textId="77777777" w:rsidR="00D26A83" w:rsidRPr="000D19A7" w:rsidRDefault="00D26A83" w:rsidP="00E8120D">
            <w:pPr>
              <w:pStyle w:val="Default"/>
              <w:jc w:val="both"/>
              <w:rPr>
                <w:sz w:val="20"/>
                <w:szCs w:val="20"/>
                <w:lang w:val="ro-MD"/>
              </w:rPr>
            </w:pPr>
            <w:r w:rsidRPr="000D19A7">
              <w:rPr>
                <w:sz w:val="20"/>
                <w:szCs w:val="20"/>
                <w:lang w:val="ro-MD"/>
              </w:rPr>
              <w:t xml:space="preserve">2. Să asigure în continuare, în comun cu organele de competență, intensificarea măsurilor rezultative de responsabilizare a beneficiarilor garantați și recreditați, în vederea recuperării la bugetul de stat a datoriilor, în special a datoriilor cu termenul de achitare expirat (reiterată) (pct. 4.3, 4.4); </w:t>
            </w:r>
          </w:p>
          <w:p w14:paraId="5EDC815B" w14:textId="77777777" w:rsidR="00D26A83" w:rsidRPr="000D19A7" w:rsidRDefault="00D26A83" w:rsidP="00E8120D">
            <w:pPr>
              <w:tabs>
                <w:tab w:val="left" w:pos="743"/>
              </w:tabs>
              <w:jc w:val="both"/>
              <w:rPr>
                <w:rFonts w:ascii="Times New Roman" w:hAnsi="Times New Roman" w:cs="Times New Roman"/>
                <w:sz w:val="18"/>
                <w:szCs w:val="18"/>
                <w:lang w:val="ro-MD" w:eastAsia="ru-RU"/>
              </w:rPr>
            </w:pPr>
          </w:p>
        </w:tc>
        <w:tc>
          <w:tcPr>
            <w:tcW w:w="4694" w:type="dxa"/>
          </w:tcPr>
          <w:p w14:paraId="4C5B5819" w14:textId="17DC2351" w:rsidR="00D26A83" w:rsidRPr="000D19A7" w:rsidRDefault="0054519D"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Pentru</w:t>
            </w:r>
            <w:r w:rsidR="00D26A83" w:rsidRPr="000D19A7">
              <w:rPr>
                <w:rFonts w:ascii="Times New Roman" w:hAnsi="Times New Roman" w:cs="Times New Roman"/>
                <w:sz w:val="18"/>
                <w:szCs w:val="18"/>
                <w:lang w:val="ro-MD"/>
              </w:rPr>
              <w:t xml:space="preserve"> recuperarea datoriei expirate, pe parcursul perioadei de raportare, au fost elaborate şi prezentate Serviciului Fiscal de Stat:</w:t>
            </w:r>
          </w:p>
          <w:p w14:paraId="674FA154" w14:textId="48FACD58" w:rsidR="00D26A83" w:rsidRPr="000D19A7" w:rsidRDefault="00D26A83"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 informația privind datoria cu termen</w:t>
            </w:r>
            <w:r w:rsidR="0054519D" w:rsidRPr="000D19A7">
              <w:rPr>
                <w:rFonts w:ascii="Times New Roman" w:hAnsi="Times New Roman" w:cs="Times New Roman"/>
                <w:sz w:val="18"/>
                <w:szCs w:val="18"/>
                <w:lang w:val="ro-MD"/>
              </w:rPr>
              <w:t>ul</w:t>
            </w:r>
            <w:r w:rsidRPr="000D19A7">
              <w:rPr>
                <w:rFonts w:ascii="Times New Roman" w:hAnsi="Times New Roman" w:cs="Times New Roman"/>
                <w:sz w:val="18"/>
                <w:szCs w:val="18"/>
                <w:lang w:val="ro-MD"/>
              </w:rPr>
              <w:t xml:space="preserve"> de achitare expirat a debitorilor recreditați și garantați față de MF pentru împrumuturile externe recreditate și obținute sub garanția statului la situația din 30 iunie 2023 (scr. nr. 11/4-6/28 din 27.07.23);</w:t>
            </w:r>
          </w:p>
          <w:p w14:paraId="74ED0315" w14:textId="77777777" w:rsidR="00D26A83" w:rsidRPr="000D19A7" w:rsidRDefault="00D26A83"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 informația privind datoria cu termen de achitare expirat a debitorilor recreditați și garantați față de MF pentru împrumuturile externe recreditate și obținute sub garanția statului la situația din 30 septembrie 2023 (scr. nr. 11/4-6/194 din 26.10.2023).</w:t>
            </w:r>
          </w:p>
          <w:p w14:paraId="439C283A" w14:textId="3E4DD232" w:rsidR="00D26A83" w:rsidRPr="000D19A7" w:rsidRDefault="00D26A83"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 xml:space="preserve">Ca rezultat, Serviciul Fiscal de Stat a prezentat dările de seamă aferente acțiunilor de executare silită întreprinse </w:t>
            </w:r>
            <w:r w:rsidR="0054519D" w:rsidRPr="000D19A7">
              <w:rPr>
                <w:rFonts w:ascii="Times New Roman" w:hAnsi="Times New Roman" w:cs="Times New Roman"/>
                <w:sz w:val="18"/>
                <w:szCs w:val="18"/>
                <w:lang w:val="ro-MD"/>
              </w:rPr>
              <w:t>pentru</w:t>
            </w:r>
            <w:r w:rsidRPr="000D19A7">
              <w:rPr>
                <w:rFonts w:ascii="Times New Roman" w:hAnsi="Times New Roman" w:cs="Times New Roman"/>
                <w:sz w:val="18"/>
                <w:szCs w:val="18"/>
                <w:lang w:val="ro-MD"/>
              </w:rPr>
              <w:t xml:space="preserve"> rambursarea datoriilor de către beneficiarii recreditați și garantați la situația din 30.06.2023 (scrisoarea nr. 26-20/8-12-105138 din 31 iulie 2023) și </w:t>
            </w:r>
            <w:r w:rsidR="0054519D" w:rsidRPr="000D19A7">
              <w:rPr>
                <w:rFonts w:ascii="Times New Roman" w:hAnsi="Times New Roman" w:cs="Times New Roman"/>
                <w:sz w:val="18"/>
                <w:szCs w:val="18"/>
                <w:lang w:val="ro-MD"/>
              </w:rPr>
              <w:t xml:space="preserve">din </w:t>
            </w:r>
            <w:r w:rsidRPr="000D19A7">
              <w:rPr>
                <w:rFonts w:ascii="Times New Roman" w:hAnsi="Times New Roman" w:cs="Times New Roman"/>
                <w:sz w:val="18"/>
                <w:szCs w:val="18"/>
                <w:lang w:val="ro-MD"/>
              </w:rPr>
              <w:t>30.09.2023 (scrisoarea nr. 26-20/8-12-149557 din 13 octombrie 2023).</w:t>
            </w:r>
          </w:p>
          <w:p w14:paraId="58C00C9D" w14:textId="0D925D52" w:rsidR="00D26A83" w:rsidRPr="000D19A7" w:rsidRDefault="00D26A83" w:rsidP="0054519D">
            <w:pPr>
              <w:jc w:val="both"/>
              <w:rPr>
                <w:rFonts w:ascii="Times New Roman" w:hAnsi="Times New Roman" w:cs="Times New Roman"/>
                <w:i/>
                <w:sz w:val="18"/>
                <w:szCs w:val="18"/>
                <w:lang w:val="ro-MD"/>
              </w:rPr>
            </w:pPr>
            <w:r w:rsidRPr="000D19A7">
              <w:rPr>
                <w:rFonts w:ascii="Times New Roman" w:hAnsi="Times New Roman" w:cs="Times New Roman"/>
                <w:sz w:val="18"/>
                <w:szCs w:val="18"/>
                <w:lang w:val="ro-MD"/>
              </w:rPr>
              <w:t xml:space="preserve">Totodată, în baza hotărârilor judecătorești cu privire la încetarea procesului de insolvabilitate și deciziilor IP ,,Agenția Servicii Publice” privind radierea persoanei juridice din Registrul de stat al persoanelor juridice, conform </w:t>
            </w:r>
            <w:r w:rsidR="0054519D" w:rsidRPr="000D19A7">
              <w:rPr>
                <w:rFonts w:ascii="Times New Roman" w:hAnsi="Times New Roman" w:cs="Times New Roman"/>
                <w:sz w:val="18"/>
                <w:szCs w:val="18"/>
                <w:lang w:val="ro-MD"/>
              </w:rPr>
              <w:t>O</w:t>
            </w:r>
            <w:r w:rsidRPr="000D19A7">
              <w:rPr>
                <w:rFonts w:ascii="Times New Roman" w:hAnsi="Times New Roman" w:cs="Times New Roman"/>
                <w:sz w:val="18"/>
                <w:szCs w:val="18"/>
                <w:lang w:val="ro-MD"/>
              </w:rPr>
              <w:t>rdinului Ministerului Finanțelor nr. 94 din 10 octombrie 2023 cu privire la radierea unor datorii din Raportul de stat privind recreditarea de stat și Raportul privind datoriile debitorilor garantați față de Ministerul Finanțelor s-a considerat stinsă datoria și au fost radiate din registre SA ,,Avicola Vadul lui Vodă”, SA ,,Becon-Basarabia” și ÎM ,,Santek” SA.</w:t>
            </w:r>
          </w:p>
        </w:tc>
        <w:tc>
          <w:tcPr>
            <w:tcW w:w="2517" w:type="dxa"/>
          </w:tcPr>
          <w:p w14:paraId="5AB0D12E" w14:textId="77777777" w:rsidR="00D26A83" w:rsidRPr="000D19A7" w:rsidRDefault="00D26A83" w:rsidP="00E8120D">
            <w:pPr>
              <w:jc w:val="both"/>
              <w:rPr>
                <w:rFonts w:ascii="Times New Roman" w:hAnsi="Times New Roman" w:cs="Times New Roman"/>
                <w:b/>
                <w:sz w:val="18"/>
                <w:szCs w:val="18"/>
                <w:lang w:val="ro-MD"/>
              </w:rPr>
            </w:pPr>
          </w:p>
        </w:tc>
        <w:tc>
          <w:tcPr>
            <w:tcW w:w="828" w:type="dxa"/>
          </w:tcPr>
          <w:p w14:paraId="4C55AC00" w14:textId="77777777" w:rsidR="00D26A83" w:rsidRPr="000D19A7" w:rsidRDefault="00D26A83" w:rsidP="00E8120D">
            <w:pPr>
              <w:jc w:val="center"/>
              <w:rPr>
                <w:rFonts w:ascii="Times New Roman" w:hAnsi="Times New Roman" w:cs="Times New Roman"/>
                <w:b/>
                <w:sz w:val="18"/>
                <w:szCs w:val="18"/>
                <w:lang w:val="ro-MD"/>
              </w:rPr>
            </w:pPr>
          </w:p>
        </w:tc>
        <w:tc>
          <w:tcPr>
            <w:tcW w:w="1076" w:type="dxa"/>
          </w:tcPr>
          <w:p w14:paraId="0DB4511F" w14:textId="139CB812"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V</w:t>
            </w:r>
            <w:r w:rsidR="00B33BEA" w:rsidRPr="000D19A7">
              <w:rPr>
                <w:rFonts w:ascii="Times New Roman" w:hAnsi="Times New Roman" w:cs="Times New Roman"/>
                <w:b/>
                <w:sz w:val="18"/>
                <w:szCs w:val="18"/>
                <w:lang w:val="ro-MD"/>
              </w:rPr>
              <w:t>*</w:t>
            </w:r>
          </w:p>
        </w:tc>
        <w:tc>
          <w:tcPr>
            <w:tcW w:w="976" w:type="dxa"/>
          </w:tcPr>
          <w:p w14:paraId="5998D2EC" w14:textId="77777777" w:rsidR="00D26A83" w:rsidRPr="000D19A7" w:rsidRDefault="00D26A83" w:rsidP="00E8120D">
            <w:pPr>
              <w:jc w:val="both"/>
              <w:rPr>
                <w:rFonts w:ascii="Times New Roman" w:hAnsi="Times New Roman" w:cs="Times New Roman"/>
                <w:b/>
                <w:sz w:val="18"/>
                <w:szCs w:val="18"/>
                <w:lang w:val="ro-MD"/>
              </w:rPr>
            </w:pPr>
          </w:p>
        </w:tc>
        <w:tc>
          <w:tcPr>
            <w:tcW w:w="2286" w:type="dxa"/>
          </w:tcPr>
          <w:p w14:paraId="56E09E92" w14:textId="6DB2B26C" w:rsidR="00D26A83" w:rsidRPr="000D19A7" w:rsidRDefault="00790857" w:rsidP="00E8120D">
            <w:pPr>
              <w:jc w:val="both"/>
              <w:rPr>
                <w:rFonts w:ascii="Times New Roman" w:hAnsi="Times New Roman" w:cs="Times New Roman"/>
                <w:b/>
                <w:sz w:val="18"/>
                <w:szCs w:val="18"/>
                <w:lang w:val="ro-MD"/>
              </w:rPr>
            </w:pPr>
            <w:r w:rsidRPr="000D19A7">
              <w:rPr>
                <w:rFonts w:ascii="Times New Roman" w:hAnsi="Times New Roman" w:cs="Times New Roman"/>
                <w:b/>
                <w:sz w:val="18"/>
                <w:szCs w:val="18"/>
                <w:lang w:val="ro-MD"/>
              </w:rPr>
              <w:t>Reiterată în Raportul actual de audit</w:t>
            </w:r>
          </w:p>
        </w:tc>
      </w:tr>
      <w:tr w:rsidR="00D26A83" w:rsidRPr="000D19A7" w14:paraId="0B4E5B38" w14:textId="77777777" w:rsidTr="00D26A83">
        <w:tc>
          <w:tcPr>
            <w:tcW w:w="2814" w:type="dxa"/>
          </w:tcPr>
          <w:p w14:paraId="0BE2E3FB" w14:textId="0B878251" w:rsidR="00D26A83" w:rsidRPr="000D19A7" w:rsidRDefault="00D26A83" w:rsidP="0054519D">
            <w:pPr>
              <w:tabs>
                <w:tab w:val="left" w:pos="312"/>
              </w:tabs>
              <w:jc w:val="both"/>
              <w:rPr>
                <w:rFonts w:ascii="Times New Roman" w:hAnsi="Times New Roman" w:cs="Times New Roman"/>
                <w:b/>
                <w:sz w:val="18"/>
                <w:szCs w:val="18"/>
                <w:lang w:val="ro-MD" w:eastAsia="ru-RU"/>
              </w:rPr>
            </w:pPr>
            <w:r w:rsidRPr="000D19A7">
              <w:rPr>
                <w:rFonts w:ascii="Times New Roman" w:hAnsi="Times New Roman" w:cs="Times New Roman"/>
                <w:sz w:val="18"/>
                <w:szCs w:val="18"/>
                <w:lang w:val="ro-MD" w:eastAsia="ru-RU"/>
              </w:rPr>
              <w:t>3. Să monitorizeze rambursarea împrumuturilor externe recreditate din surse externe în termen și în volum deplin, în special situația agenților economici care, cu titlu de excepție, în baza cadrului normativ, au fost eliberați de obligația de a garanta rambursarea împrumuturilor (pct. 4.3.1.);</w:t>
            </w:r>
          </w:p>
        </w:tc>
        <w:tc>
          <w:tcPr>
            <w:tcW w:w="4694" w:type="dxa"/>
          </w:tcPr>
          <w:p w14:paraId="1A50D9F2" w14:textId="6D6600CF" w:rsidR="00D26A83" w:rsidRPr="000D19A7" w:rsidRDefault="00D26A83" w:rsidP="00E8120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 xml:space="preserve">În perioada de referință, a fost semnat Amendamentul nr.5 la Contractul de recreditare nr. 6/1 din 09 noiembrie 2016 între Ministerul Finanțelor și Î.S. ,,Calea Ferată din Moldova”, prin care a fost reeșalonată datoria </w:t>
            </w:r>
            <w:r w:rsidR="0054519D" w:rsidRPr="000D19A7">
              <w:rPr>
                <w:rFonts w:ascii="Times New Roman" w:hAnsi="Times New Roman" w:cs="Times New Roman"/>
                <w:sz w:val="18"/>
                <w:szCs w:val="18"/>
                <w:lang w:val="ro-MD"/>
              </w:rPr>
              <w:t xml:space="preserve">întreprinderii </w:t>
            </w:r>
            <w:r w:rsidRPr="000D19A7">
              <w:rPr>
                <w:rFonts w:ascii="Times New Roman" w:hAnsi="Times New Roman" w:cs="Times New Roman"/>
                <w:sz w:val="18"/>
                <w:szCs w:val="18"/>
                <w:lang w:val="ro-MD"/>
              </w:rPr>
              <w:t xml:space="preserve">cu termenul </w:t>
            </w:r>
            <w:r w:rsidR="0054519D" w:rsidRPr="000D19A7">
              <w:rPr>
                <w:rFonts w:ascii="Times New Roman" w:hAnsi="Times New Roman" w:cs="Times New Roman"/>
                <w:sz w:val="18"/>
                <w:szCs w:val="18"/>
                <w:lang w:val="ro-MD"/>
              </w:rPr>
              <w:t xml:space="preserve">de </w:t>
            </w:r>
            <w:r w:rsidRPr="000D19A7">
              <w:rPr>
                <w:rFonts w:ascii="Times New Roman" w:hAnsi="Times New Roman" w:cs="Times New Roman"/>
                <w:sz w:val="18"/>
                <w:szCs w:val="18"/>
                <w:lang w:val="ro-MD"/>
              </w:rPr>
              <w:t>ramburs</w:t>
            </w:r>
            <w:r w:rsidR="0054519D" w:rsidRPr="000D19A7">
              <w:rPr>
                <w:rFonts w:ascii="Times New Roman" w:hAnsi="Times New Roman" w:cs="Times New Roman"/>
                <w:sz w:val="18"/>
                <w:szCs w:val="18"/>
                <w:lang w:val="ro-MD"/>
              </w:rPr>
              <w:t xml:space="preserve">are expirat. </w:t>
            </w:r>
            <w:r w:rsidRPr="000D19A7">
              <w:rPr>
                <w:rFonts w:ascii="Times New Roman" w:hAnsi="Times New Roman" w:cs="Times New Roman"/>
                <w:sz w:val="18"/>
                <w:szCs w:val="18"/>
                <w:lang w:val="ro-MD"/>
              </w:rPr>
              <w:t xml:space="preserve"> </w:t>
            </w:r>
          </w:p>
          <w:p w14:paraId="2AC5E782" w14:textId="277E138D" w:rsidR="00D26A83" w:rsidRPr="000D19A7" w:rsidRDefault="00D26A83" w:rsidP="0054519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La situația din 30 noiembrie 2023, datorii cu termen</w:t>
            </w:r>
            <w:r w:rsidR="0054519D" w:rsidRPr="000D19A7">
              <w:rPr>
                <w:rFonts w:ascii="Times New Roman" w:hAnsi="Times New Roman" w:cs="Times New Roman"/>
                <w:sz w:val="18"/>
                <w:szCs w:val="18"/>
                <w:lang w:val="ro-MD"/>
              </w:rPr>
              <w:t>ul de achitare expirat de Î</w:t>
            </w:r>
            <w:r w:rsidRPr="000D19A7">
              <w:rPr>
                <w:rFonts w:ascii="Times New Roman" w:hAnsi="Times New Roman" w:cs="Times New Roman"/>
                <w:sz w:val="18"/>
                <w:szCs w:val="18"/>
                <w:lang w:val="ro-MD"/>
              </w:rPr>
              <w:t>S ,,Calea Ferată din Moldova” nu se înregistrează.</w:t>
            </w:r>
          </w:p>
        </w:tc>
        <w:tc>
          <w:tcPr>
            <w:tcW w:w="2517" w:type="dxa"/>
          </w:tcPr>
          <w:p w14:paraId="054F1F37" w14:textId="77777777" w:rsidR="00D26A83" w:rsidRPr="000D19A7" w:rsidRDefault="00D26A83" w:rsidP="00E8120D">
            <w:pPr>
              <w:rPr>
                <w:rFonts w:ascii="Times New Roman" w:hAnsi="Times New Roman" w:cs="Times New Roman"/>
                <w:b/>
                <w:sz w:val="18"/>
                <w:szCs w:val="18"/>
                <w:lang w:val="ro-MD"/>
              </w:rPr>
            </w:pPr>
          </w:p>
        </w:tc>
        <w:tc>
          <w:tcPr>
            <w:tcW w:w="828" w:type="dxa"/>
          </w:tcPr>
          <w:p w14:paraId="476D268F"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V</w:t>
            </w:r>
          </w:p>
        </w:tc>
        <w:tc>
          <w:tcPr>
            <w:tcW w:w="1076" w:type="dxa"/>
          </w:tcPr>
          <w:p w14:paraId="416D062A" w14:textId="77777777" w:rsidR="00D26A83" w:rsidRPr="000D19A7" w:rsidRDefault="00D26A83" w:rsidP="00E8120D">
            <w:pPr>
              <w:jc w:val="center"/>
              <w:rPr>
                <w:rFonts w:ascii="Times New Roman" w:hAnsi="Times New Roman" w:cs="Times New Roman"/>
                <w:b/>
                <w:sz w:val="18"/>
                <w:szCs w:val="18"/>
                <w:lang w:val="ro-MD"/>
              </w:rPr>
            </w:pPr>
          </w:p>
        </w:tc>
        <w:tc>
          <w:tcPr>
            <w:tcW w:w="976" w:type="dxa"/>
          </w:tcPr>
          <w:p w14:paraId="0E92630F" w14:textId="77777777" w:rsidR="00D26A83" w:rsidRPr="000D19A7" w:rsidRDefault="00D26A83" w:rsidP="00E8120D">
            <w:pPr>
              <w:jc w:val="center"/>
              <w:rPr>
                <w:rFonts w:ascii="Times New Roman" w:hAnsi="Times New Roman" w:cs="Times New Roman"/>
                <w:b/>
                <w:sz w:val="18"/>
                <w:szCs w:val="18"/>
                <w:lang w:val="ro-MD"/>
              </w:rPr>
            </w:pPr>
          </w:p>
        </w:tc>
        <w:tc>
          <w:tcPr>
            <w:tcW w:w="2286" w:type="dxa"/>
          </w:tcPr>
          <w:p w14:paraId="20EEFC36"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Excluderea din regim de monitorizare</w:t>
            </w:r>
          </w:p>
        </w:tc>
      </w:tr>
      <w:tr w:rsidR="00D26A83" w:rsidRPr="000D19A7" w14:paraId="56A259D2" w14:textId="77777777" w:rsidTr="00D26A83">
        <w:tc>
          <w:tcPr>
            <w:tcW w:w="2814" w:type="dxa"/>
          </w:tcPr>
          <w:p w14:paraId="580E1E47" w14:textId="44ABE2C1" w:rsidR="00D26A83" w:rsidRPr="000D19A7" w:rsidRDefault="00D26A83" w:rsidP="00E8120D">
            <w:pPr>
              <w:tabs>
                <w:tab w:val="left" w:pos="264"/>
              </w:tabs>
              <w:jc w:val="both"/>
              <w:rPr>
                <w:rFonts w:ascii="Times New Roman" w:hAnsi="Times New Roman" w:cs="Times New Roman"/>
                <w:sz w:val="18"/>
                <w:szCs w:val="18"/>
                <w:lang w:val="ro-MD" w:eastAsia="ru-RU"/>
              </w:rPr>
            </w:pPr>
            <w:r w:rsidRPr="000D19A7">
              <w:rPr>
                <w:rFonts w:ascii="Times New Roman" w:hAnsi="Times New Roman" w:cs="Times New Roman"/>
                <w:sz w:val="18"/>
                <w:szCs w:val="18"/>
                <w:lang w:val="ro-MD" w:eastAsia="ru-RU"/>
              </w:rPr>
              <w:t>4. Să asigure monitorizarea situației aferente datoriei externe care la moment se află în imposibilitate</w:t>
            </w:r>
            <w:r w:rsidR="0054519D" w:rsidRPr="000D19A7">
              <w:rPr>
                <w:rFonts w:ascii="Times New Roman" w:hAnsi="Times New Roman" w:cs="Times New Roman"/>
                <w:sz w:val="18"/>
                <w:szCs w:val="18"/>
                <w:lang w:val="ro-MD" w:eastAsia="ru-RU"/>
              </w:rPr>
              <w:t>a</w:t>
            </w:r>
            <w:r w:rsidRPr="000D19A7">
              <w:rPr>
                <w:rFonts w:ascii="Times New Roman" w:hAnsi="Times New Roman" w:cs="Times New Roman"/>
                <w:sz w:val="18"/>
                <w:szCs w:val="18"/>
                <w:lang w:val="ro-MD" w:eastAsia="ru-RU"/>
              </w:rPr>
              <w:t xml:space="preserve"> de achitare din motive ce nu depind de Republica Moldova (pct. 4.1.4.).</w:t>
            </w:r>
          </w:p>
        </w:tc>
        <w:tc>
          <w:tcPr>
            <w:tcW w:w="4694" w:type="dxa"/>
          </w:tcPr>
          <w:p w14:paraId="30AC66B5" w14:textId="09A5938E" w:rsidR="00D26A83" w:rsidRPr="000D19A7" w:rsidRDefault="00D26A83" w:rsidP="0054519D">
            <w:pPr>
              <w:jc w:val="both"/>
              <w:rPr>
                <w:rFonts w:ascii="Times New Roman" w:hAnsi="Times New Roman" w:cs="Times New Roman"/>
                <w:sz w:val="18"/>
                <w:szCs w:val="18"/>
                <w:lang w:val="ro-MD"/>
              </w:rPr>
            </w:pPr>
            <w:r w:rsidRPr="000D19A7">
              <w:rPr>
                <w:rFonts w:ascii="Times New Roman" w:hAnsi="Times New Roman" w:cs="Times New Roman"/>
                <w:sz w:val="18"/>
                <w:szCs w:val="18"/>
                <w:lang w:val="ro-MD"/>
              </w:rPr>
              <w:t>La data de 26 mai 2023, în vederea reglementării datoriei Republicii Moldova față de Federația Rusă, a fost organizată o ședință cu partea rusă, la care au participat reprezentanții Ministerului Finanțelor și a Bănci</w:t>
            </w:r>
            <w:r w:rsidR="0054519D" w:rsidRPr="000D19A7">
              <w:rPr>
                <w:rFonts w:ascii="Times New Roman" w:hAnsi="Times New Roman" w:cs="Times New Roman"/>
                <w:sz w:val="18"/>
                <w:szCs w:val="18"/>
                <w:lang w:val="ro-MD"/>
              </w:rPr>
              <w:t>i Naționale a Moldovei. Urmare</w:t>
            </w:r>
            <w:r w:rsidRPr="000D19A7">
              <w:rPr>
                <w:rFonts w:ascii="Times New Roman" w:hAnsi="Times New Roman" w:cs="Times New Roman"/>
                <w:sz w:val="18"/>
                <w:szCs w:val="18"/>
                <w:lang w:val="ro-MD"/>
              </w:rPr>
              <w:t xml:space="preserve"> ședinței respective, partea rusă urma să comunice părții moldovenești </w:t>
            </w:r>
            <w:r w:rsidR="0054519D" w:rsidRPr="000D19A7">
              <w:rPr>
                <w:rFonts w:ascii="Times New Roman" w:hAnsi="Times New Roman" w:cs="Times New Roman"/>
                <w:sz w:val="18"/>
                <w:szCs w:val="18"/>
                <w:lang w:val="ro-MD"/>
              </w:rPr>
              <w:t>despre</w:t>
            </w:r>
            <w:r w:rsidRPr="000D19A7">
              <w:rPr>
                <w:rFonts w:ascii="Times New Roman" w:hAnsi="Times New Roman" w:cs="Times New Roman"/>
                <w:sz w:val="18"/>
                <w:szCs w:val="18"/>
                <w:lang w:val="ro-MD"/>
              </w:rPr>
              <w:t xml:space="preserve"> modalitatea de achitare a datoriei restante în youan chinezi. Până la momentul de față nu au fost recepționate astfel de informații.</w:t>
            </w:r>
          </w:p>
        </w:tc>
        <w:tc>
          <w:tcPr>
            <w:tcW w:w="2517" w:type="dxa"/>
          </w:tcPr>
          <w:p w14:paraId="60ECEA38" w14:textId="77777777" w:rsidR="00D26A83" w:rsidRPr="000D19A7" w:rsidRDefault="00D26A83" w:rsidP="00E8120D">
            <w:pPr>
              <w:rPr>
                <w:rFonts w:ascii="Times New Roman" w:hAnsi="Times New Roman" w:cs="Times New Roman"/>
                <w:sz w:val="18"/>
                <w:szCs w:val="18"/>
                <w:lang w:val="ro-MD"/>
              </w:rPr>
            </w:pPr>
          </w:p>
        </w:tc>
        <w:tc>
          <w:tcPr>
            <w:tcW w:w="828" w:type="dxa"/>
          </w:tcPr>
          <w:p w14:paraId="35209614" w14:textId="77777777" w:rsidR="00D26A83" w:rsidRPr="000D19A7" w:rsidRDefault="00D26A83" w:rsidP="00790857">
            <w:pPr>
              <w:jc w:val="center"/>
              <w:rPr>
                <w:rFonts w:ascii="Times New Roman" w:hAnsi="Times New Roman" w:cs="Times New Roman"/>
                <w:b/>
                <w:sz w:val="18"/>
                <w:szCs w:val="18"/>
                <w:lang w:val="ro-MD"/>
              </w:rPr>
            </w:pPr>
          </w:p>
        </w:tc>
        <w:tc>
          <w:tcPr>
            <w:tcW w:w="1076" w:type="dxa"/>
          </w:tcPr>
          <w:p w14:paraId="1A540857" w14:textId="1A6A08A1" w:rsidR="00790857" w:rsidRPr="000D19A7" w:rsidRDefault="00790857" w:rsidP="00790857">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V</w:t>
            </w:r>
            <w:r w:rsidR="00B33BEA" w:rsidRPr="000D19A7">
              <w:rPr>
                <w:rFonts w:ascii="Times New Roman" w:hAnsi="Times New Roman" w:cs="Times New Roman"/>
                <w:b/>
                <w:sz w:val="18"/>
                <w:szCs w:val="18"/>
                <w:lang w:val="ro-MD"/>
              </w:rPr>
              <w:t>*</w:t>
            </w:r>
          </w:p>
          <w:p w14:paraId="3E2A5229" w14:textId="77777777" w:rsidR="00D26A83" w:rsidRPr="000D19A7" w:rsidRDefault="00D26A83" w:rsidP="00E8120D">
            <w:pPr>
              <w:jc w:val="center"/>
              <w:rPr>
                <w:rFonts w:ascii="Times New Roman" w:hAnsi="Times New Roman" w:cs="Times New Roman"/>
                <w:b/>
                <w:sz w:val="18"/>
                <w:szCs w:val="18"/>
                <w:lang w:val="ro-MD"/>
              </w:rPr>
            </w:pPr>
          </w:p>
        </w:tc>
        <w:tc>
          <w:tcPr>
            <w:tcW w:w="976" w:type="dxa"/>
          </w:tcPr>
          <w:p w14:paraId="789EC103" w14:textId="77777777" w:rsidR="00D26A83" w:rsidRPr="000D19A7" w:rsidRDefault="00D26A83" w:rsidP="00E8120D">
            <w:pPr>
              <w:jc w:val="both"/>
              <w:rPr>
                <w:rFonts w:ascii="Times New Roman" w:hAnsi="Times New Roman" w:cs="Times New Roman"/>
                <w:b/>
                <w:sz w:val="18"/>
                <w:szCs w:val="18"/>
                <w:lang w:val="ro-MD"/>
              </w:rPr>
            </w:pPr>
          </w:p>
        </w:tc>
        <w:tc>
          <w:tcPr>
            <w:tcW w:w="2286" w:type="dxa"/>
          </w:tcPr>
          <w:p w14:paraId="7D5F9349" w14:textId="77777777" w:rsidR="00D26A83" w:rsidRPr="000D19A7" w:rsidRDefault="00D26A83" w:rsidP="00E8120D">
            <w:pPr>
              <w:jc w:val="center"/>
              <w:rPr>
                <w:rFonts w:ascii="Times New Roman" w:hAnsi="Times New Roman" w:cs="Times New Roman"/>
                <w:b/>
                <w:sz w:val="18"/>
                <w:szCs w:val="18"/>
                <w:lang w:val="ro-MD"/>
              </w:rPr>
            </w:pPr>
            <w:r w:rsidRPr="000D19A7">
              <w:rPr>
                <w:rFonts w:ascii="Times New Roman" w:hAnsi="Times New Roman" w:cs="Times New Roman"/>
                <w:b/>
                <w:sz w:val="18"/>
                <w:szCs w:val="18"/>
                <w:lang w:val="ro-MD"/>
              </w:rPr>
              <w:t>Reiterată în Raportul actual de audit</w:t>
            </w:r>
          </w:p>
        </w:tc>
      </w:tr>
    </w:tbl>
    <w:p w14:paraId="70B0E542" w14:textId="23A7FE47" w:rsidR="00253B1C" w:rsidRPr="000D19A7" w:rsidRDefault="00253B1C" w:rsidP="00946026">
      <w:pPr>
        <w:tabs>
          <w:tab w:val="left" w:pos="284"/>
        </w:tabs>
        <w:spacing w:line="276" w:lineRule="auto"/>
        <w:jc w:val="both"/>
        <w:rPr>
          <w:rFonts w:ascii="Times New Roman" w:eastAsia="Calibri" w:hAnsi="Times New Roman" w:cs="Times New Roman"/>
          <w:color w:val="2E74B5" w:themeColor="accent1" w:themeShade="BF"/>
          <w:sz w:val="22"/>
          <w:lang w:val="ro-MD"/>
        </w:rPr>
      </w:pPr>
    </w:p>
    <w:p w14:paraId="7ED2BFE2" w14:textId="4583D716" w:rsidR="00DE26B7" w:rsidRPr="00DE26B7" w:rsidRDefault="00DE26B7" w:rsidP="00DE26B7">
      <w:pPr>
        <w:pStyle w:val="a7"/>
        <w:tabs>
          <w:tab w:val="left" w:pos="284"/>
        </w:tabs>
        <w:spacing w:line="276" w:lineRule="auto"/>
        <w:jc w:val="both"/>
        <w:rPr>
          <w:rFonts w:ascii="Times New Roman" w:eastAsia="Calibri" w:hAnsi="Times New Roman" w:cs="Times New Roman"/>
          <w:sz w:val="22"/>
          <w:lang w:val="ro-MD"/>
        </w:rPr>
      </w:pPr>
      <w:r w:rsidRPr="000D19A7">
        <w:rPr>
          <w:rFonts w:ascii="Times New Roman" w:eastAsia="Calibri" w:hAnsi="Times New Roman" w:cs="Times New Roman"/>
          <w:sz w:val="22"/>
          <w:lang w:val="ro-MD"/>
        </w:rPr>
        <w:t xml:space="preserve">*Notă: </w:t>
      </w:r>
      <w:r w:rsidR="00407C0F" w:rsidRPr="000D19A7">
        <w:rPr>
          <w:rFonts w:ascii="Times New Roman" w:eastAsia="Calibri" w:hAnsi="Times New Roman" w:cs="Times New Roman"/>
          <w:sz w:val="22"/>
          <w:lang w:val="ro-MD"/>
        </w:rPr>
        <w:t>recomandările de audi</w:t>
      </w:r>
      <w:r w:rsidRPr="000D19A7">
        <w:rPr>
          <w:rFonts w:ascii="Times New Roman" w:eastAsia="Calibri" w:hAnsi="Times New Roman" w:cs="Times New Roman"/>
          <w:sz w:val="22"/>
          <w:lang w:val="ro-MD"/>
        </w:rPr>
        <w:t>t se consideră implementate parțial,</w:t>
      </w:r>
      <w:r w:rsidR="0054519D" w:rsidRPr="000D19A7">
        <w:rPr>
          <w:rFonts w:ascii="Times New Roman" w:eastAsia="Calibri" w:hAnsi="Times New Roman" w:cs="Times New Roman"/>
          <w:sz w:val="22"/>
          <w:lang w:val="ro-MD"/>
        </w:rPr>
        <w:t xml:space="preserve"> deoarece țin de un proces perma</w:t>
      </w:r>
      <w:r w:rsidR="005E7645" w:rsidRPr="000D19A7">
        <w:rPr>
          <w:rFonts w:ascii="Times New Roman" w:eastAsia="Calibri" w:hAnsi="Times New Roman" w:cs="Times New Roman"/>
          <w:sz w:val="22"/>
          <w:lang w:val="ro-MD"/>
        </w:rPr>
        <w:t xml:space="preserve"> </w:t>
      </w:r>
      <w:r w:rsidRPr="000D19A7">
        <w:rPr>
          <w:rFonts w:ascii="Times New Roman" w:eastAsia="Calibri" w:hAnsi="Times New Roman" w:cs="Times New Roman"/>
          <w:sz w:val="22"/>
          <w:lang w:val="ro-MD"/>
        </w:rPr>
        <w:t>nent și continuu, care nu depinde doar de MF, de aceea conținutul acestora nu poate fi prea concret.</w:t>
      </w:r>
    </w:p>
    <w:sectPr w:rsidR="00DE26B7" w:rsidRPr="00DE26B7" w:rsidSect="00D26A83">
      <w:pgSz w:w="16838" w:h="11906" w:orient="landscape" w:code="9"/>
      <w:pgMar w:top="170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514A" w14:textId="77777777" w:rsidR="00930280" w:rsidRDefault="00930280" w:rsidP="00C8468E">
      <w:pPr>
        <w:spacing w:after="0" w:line="240" w:lineRule="auto"/>
      </w:pPr>
      <w:r>
        <w:separator/>
      </w:r>
    </w:p>
  </w:endnote>
  <w:endnote w:type="continuationSeparator" w:id="0">
    <w:p w14:paraId="4C4DD050" w14:textId="77777777" w:rsidR="00930280" w:rsidRDefault="00930280"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14:paraId="1657FBA2" w14:textId="60BD25FF" w:rsidR="00580E05" w:rsidRDefault="00580E05">
        <w:pPr>
          <w:pStyle w:val="ac"/>
          <w:jc w:val="right"/>
        </w:pPr>
        <w:r>
          <w:fldChar w:fldCharType="begin"/>
        </w:r>
        <w:r>
          <w:instrText xml:space="preserve"> PAGE   \* MERGEFORMAT </w:instrText>
        </w:r>
        <w:r>
          <w:fldChar w:fldCharType="separate"/>
        </w:r>
        <w:r w:rsidR="00651AC6">
          <w:rPr>
            <w:noProof/>
          </w:rPr>
          <w:t>20</w:t>
        </w:r>
        <w:r>
          <w:rPr>
            <w:noProof/>
          </w:rPr>
          <w:fldChar w:fldCharType="end"/>
        </w:r>
      </w:p>
    </w:sdtContent>
  </w:sdt>
  <w:p w14:paraId="485D235E" w14:textId="77777777" w:rsidR="00580E05" w:rsidRDefault="00580E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05243" w14:textId="77777777" w:rsidR="00930280" w:rsidRDefault="00930280" w:rsidP="00C8468E">
      <w:pPr>
        <w:spacing w:after="0" w:line="240" w:lineRule="auto"/>
      </w:pPr>
      <w:r>
        <w:separator/>
      </w:r>
    </w:p>
  </w:footnote>
  <w:footnote w:type="continuationSeparator" w:id="0">
    <w:p w14:paraId="766D2AB3" w14:textId="77777777" w:rsidR="00930280" w:rsidRDefault="00930280" w:rsidP="00C8468E">
      <w:pPr>
        <w:spacing w:after="0" w:line="240" w:lineRule="auto"/>
      </w:pPr>
      <w:r>
        <w:continuationSeparator/>
      </w:r>
    </w:p>
  </w:footnote>
  <w:footnote w:id="1">
    <w:p w14:paraId="65EB3C56" w14:textId="46896113" w:rsidR="00580E05" w:rsidRPr="00E56DD8" w:rsidRDefault="00580E05">
      <w:pPr>
        <w:pStyle w:val="a4"/>
        <w:rPr>
          <w:rFonts w:cs="Times New Roman"/>
          <w:sz w:val="16"/>
          <w:szCs w:val="16"/>
          <w:lang w:val="ro-MD"/>
        </w:rPr>
      </w:pPr>
      <w:r w:rsidRPr="00E56DD8">
        <w:rPr>
          <w:rStyle w:val="a6"/>
          <w:rFonts w:cs="Times New Roman"/>
          <w:sz w:val="16"/>
          <w:szCs w:val="16"/>
        </w:rPr>
        <w:footnoteRef/>
      </w:r>
      <w:r w:rsidRPr="00E56DD8">
        <w:rPr>
          <w:rFonts w:cs="Times New Roman"/>
          <w:sz w:val="16"/>
          <w:szCs w:val="16"/>
        </w:rPr>
        <w:t xml:space="preserve"> </w:t>
      </w:r>
      <w:r w:rsidRPr="00E56DD8">
        <w:rPr>
          <w:rFonts w:cs="Times New Roman"/>
          <w:sz w:val="16"/>
          <w:szCs w:val="16"/>
          <w:lang w:val="ro-MD"/>
        </w:rPr>
        <w:t>Hotărârea Curții de Contur</w:t>
      </w:r>
      <w:r>
        <w:rPr>
          <w:rFonts w:cs="Times New Roman"/>
          <w:sz w:val="16"/>
          <w:szCs w:val="16"/>
          <w:lang w:val="ro-MD"/>
        </w:rPr>
        <w:t>i nr.55 din 15</w:t>
      </w:r>
      <w:r w:rsidRPr="00E56DD8">
        <w:rPr>
          <w:rFonts w:cs="Times New Roman"/>
          <w:sz w:val="16"/>
          <w:szCs w:val="16"/>
          <w:lang w:val="ro-MD"/>
        </w:rPr>
        <w:t>.12.202</w:t>
      </w:r>
      <w:r>
        <w:rPr>
          <w:rFonts w:cs="Times New Roman"/>
          <w:sz w:val="16"/>
          <w:szCs w:val="16"/>
          <w:lang w:val="ro-MD"/>
        </w:rPr>
        <w:t>3</w:t>
      </w:r>
      <w:r w:rsidRPr="00E56DD8">
        <w:rPr>
          <w:rFonts w:cs="Times New Roman"/>
          <w:sz w:val="16"/>
          <w:szCs w:val="16"/>
          <w:lang w:val="ro-MD"/>
        </w:rPr>
        <w:t xml:space="preserve"> „Privind aprobarea Programului activității de audit a Curții de Conturi pe anul 202</w:t>
      </w:r>
      <w:r>
        <w:rPr>
          <w:rFonts w:cs="Times New Roman"/>
          <w:sz w:val="16"/>
          <w:szCs w:val="16"/>
          <w:lang w:val="ro-MD"/>
        </w:rPr>
        <w:t>4</w:t>
      </w:r>
      <w:r w:rsidRPr="00E56DD8">
        <w:rPr>
          <w:rFonts w:cs="Times New Roman"/>
          <w:sz w:val="16"/>
          <w:szCs w:val="16"/>
          <w:lang w:val="ro-MD"/>
        </w:rPr>
        <w:t>”.</w:t>
      </w:r>
    </w:p>
  </w:footnote>
  <w:footnote w:id="2">
    <w:p w14:paraId="6D06A69B" w14:textId="7BABA8F6" w:rsidR="00580E05" w:rsidRPr="007B3C0A" w:rsidRDefault="00580E05">
      <w:pPr>
        <w:pStyle w:val="a4"/>
        <w:rPr>
          <w:sz w:val="16"/>
          <w:szCs w:val="16"/>
        </w:rPr>
      </w:pPr>
      <w:r w:rsidRPr="007B3C0A">
        <w:rPr>
          <w:rStyle w:val="a6"/>
          <w:sz w:val="16"/>
          <w:szCs w:val="16"/>
        </w:rPr>
        <w:footnoteRef/>
      </w:r>
      <w:r w:rsidRPr="007B3C0A">
        <w:rPr>
          <w:sz w:val="16"/>
          <w:szCs w:val="16"/>
        </w:rPr>
        <w:t xml:space="preserve"> Grecia – 161,9%, Italia – 137,7%, Franța – 110,6%, Spania – 107,7%, Belgia – 105,2%</w:t>
      </w:r>
      <w:r>
        <w:rPr>
          <w:sz w:val="16"/>
          <w:szCs w:val="16"/>
        </w:rPr>
        <w:t>, România – 48,8%, Estonia – 19,6%, Bulgaria – 23,1%, Luxemburg – 25,7%, Danemarca – 29,3%.</w:t>
      </w:r>
    </w:p>
  </w:footnote>
  <w:footnote w:id="3">
    <w:p w14:paraId="4C1BD81D" w14:textId="0F24F9D6" w:rsidR="00580E05" w:rsidRPr="00EE10AD" w:rsidRDefault="00580E05">
      <w:pPr>
        <w:pStyle w:val="a4"/>
        <w:rPr>
          <w:sz w:val="16"/>
          <w:szCs w:val="16"/>
        </w:rPr>
      </w:pPr>
      <w:r w:rsidRPr="00EE10AD">
        <w:rPr>
          <w:rStyle w:val="a6"/>
          <w:sz w:val="16"/>
          <w:szCs w:val="16"/>
        </w:rPr>
        <w:footnoteRef/>
      </w:r>
      <w:r w:rsidRPr="00EE10AD">
        <w:rPr>
          <w:sz w:val="16"/>
          <w:szCs w:val="16"/>
        </w:rPr>
        <w:t xml:space="preserve"> Legea bugetului de stat pentru anul 2023 nr.359 din 22.12.2022</w:t>
      </w:r>
      <w:r>
        <w:rPr>
          <w:sz w:val="16"/>
          <w:szCs w:val="16"/>
        </w:rPr>
        <w:t xml:space="preserve"> (cu modificările și completările ulterioare).</w:t>
      </w:r>
    </w:p>
  </w:footnote>
  <w:footnote w:id="4">
    <w:p w14:paraId="7C5A2D7E" w14:textId="0EA7016B" w:rsidR="00580E05" w:rsidRPr="00403DA0" w:rsidRDefault="00580E05">
      <w:pPr>
        <w:pStyle w:val="a4"/>
        <w:rPr>
          <w:lang w:val="ro-MD"/>
        </w:rPr>
      </w:pPr>
      <w:r>
        <w:rPr>
          <w:rStyle w:val="a6"/>
        </w:rPr>
        <w:footnoteRef/>
      </w:r>
      <w:r>
        <w:t xml:space="preserve"> </w:t>
      </w:r>
      <w:r w:rsidRPr="00452C77">
        <w:rPr>
          <w:sz w:val="16"/>
          <w:szCs w:val="16"/>
        </w:rPr>
        <w:t>PIB</w:t>
      </w:r>
      <w:r>
        <w:rPr>
          <w:sz w:val="16"/>
          <w:szCs w:val="16"/>
        </w:rPr>
        <w:t xml:space="preserve"> în a.2023 (estimat) </w:t>
      </w:r>
      <w:r w:rsidRPr="00452C77">
        <w:rPr>
          <w:sz w:val="16"/>
          <w:szCs w:val="16"/>
        </w:rPr>
        <w:t>– 300 421,3 mil. lei</w:t>
      </w:r>
      <w:r>
        <w:rPr>
          <w:vertAlign w:val="subscript"/>
        </w:rPr>
        <w:t xml:space="preserve">; </w:t>
      </w:r>
      <w:r w:rsidRPr="00452C77">
        <w:rPr>
          <w:sz w:val="16"/>
          <w:szCs w:val="16"/>
        </w:rPr>
        <w:t>PIB</w:t>
      </w:r>
      <w:r>
        <w:rPr>
          <w:sz w:val="16"/>
          <w:szCs w:val="16"/>
        </w:rPr>
        <w:t xml:space="preserve"> în a.2022 – 274 488,1 mil. lei; </w:t>
      </w:r>
      <w:r w:rsidRPr="00452C77">
        <w:rPr>
          <w:sz w:val="16"/>
          <w:szCs w:val="16"/>
        </w:rPr>
        <w:t>PIB</w:t>
      </w:r>
      <w:r>
        <w:rPr>
          <w:sz w:val="16"/>
          <w:szCs w:val="16"/>
        </w:rPr>
        <w:t xml:space="preserve"> în a.2021 – 242 078,6 mil. lei; </w:t>
      </w:r>
      <w:r w:rsidRPr="00452C77">
        <w:rPr>
          <w:sz w:val="16"/>
          <w:szCs w:val="16"/>
        </w:rPr>
        <w:t>PIB</w:t>
      </w:r>
      <w:r>
        <w:rPr>
          <w:sz w:val="16"/>
          <w:szCs w:val="16"/>
        </w:rPr>
        <w:t xml:space="preserve"> în a.2020 – 199 734,0 mil. lei; </w:t>
      </w:r>
      <w:r w:rsidRPr="00452C77">
        <w:rPr>
          <w:sz w:val="16"/>
          <w:szCs w:val="16"/>
        </w:rPr>
        <w:t>PIB</w:t>
      </w:r>
      <w:r>
        <w:rPr>
          <w:sz w:val="16"/>
          <w:szCs w:val="16"/>
        </w:rPr>
        <w:t xml:space="preserve"> în a.2019 – 210 378,1 mil. lei</w:t>
      </w:r>
      <w:r>
        <w:rPr>
          <w:lang w:val="ro-MD"/>
        </w:rPr>
        <w:t>.</w:t>
      </w:r>
    </w:p>
  </w:footnote>
  <w:footnote w:id="5">
    <w:p w14:paraId="162A5073" w14:textId="67ACBE44" w:rsidR="00580E05" w:rsidRPr="00514A6E" w:rsidRDefault="00580E05">
      <w:pPr>
        <w:pStyle w:val="a4"/>
        <w:rPr>
          <w:sz w:val="16"/>
          <w:szCs w:val="16"/>
        </w:rPr>
      </w:pPr>
      <w:r w:rsidRPr="00514A6E">
        <w:rPr>
          <w:rStyle w:val="a6"/>
          <w:sz w:val="16"/>
          <w:szCs w:val="16"/>
        </w:rPr>
        <w:footnoteRef/>
      </w:r>
      <w:r w:rsidRPr="00514A6E">
        <w:rPr>
          <w:sz w:val="16"/>
          <w:szCs w:val="16"/>
        </w:rPr>
        <w:t xml:space="preserve"> Cheltuielile bugetului de stat la situația din 31.12.2023 – 80 727,1 mil. lei</w:t>
      </w:r>
      <w:r>
        <w:rPr>
          <w:sz w:val="16"/>
          <w:szCs w:val="16"/>
        </w:rPr>
        <w:t>.</w:t>
      </w:r>
    </w:p>
  </w:footnote>
  <w:footnote w:id="6">
    <w:p w14:paraId="632B8554" w14:textId="5CA36657" w:rsidR="00580E05" w:rsidRPr="003364BE" w:rsidRDefault="00580E05">
      <w:pPr>
        <w:pStyle w:val="a4"/>
      </w:pPr>
      <w:r w:rsidRPr="00514A6E">
        <w:rPr>
          <w:rStyle w:val="a6"/>
          <w:sz w:val="16"/>
          <w:szCs w:val="16"/>
        </w:rPr>
        <w:footnoteRef/>
      </w:r>
      <w:r w:rsidRPr="00514A6E">
        <w:rPr>
          <w:sz w:val="16"/>
          <w:szCs w:val="16"/>
        </w:rPr>
        <w:t xml:space="preserve"> În calcul s-a utilizat numărul populației cu reședință obișnuită</w:t>
      </w:r>
      <w:r>
        <w:rPr>
          <w:sz w:val="16"/>
          <w:szCs w:val="16"/>
          <w:lang w:val="ro-MD"/>
        </w:rPr>
        <w:t>,</w:t>
      </w:r>
      <w:r w:rsidRPr="00514A6E">
        <w:rPr>
          <w:sz w:val="16"/>
          <w:szCs w:val="16"/>
        </w:rPr>
        <w:t xml:space="preserve"> prezentat de datele statistice ale BNS.</w:t>
      </w:r>
    </w:p>
  </w:footnote>
  <w:footnote w:id="7">
    <w:p w14:paraId="0EAEFE69" w14:textId="3C2617ED" w:rsidR="00580E05" w:rsidRPr="00C64F0B" w:rsidRDefault="00580E05" w:rsidP="00C64F0B">
      <w:pPr>
        <w:pStyle w:val="a4"/>
        <w:jc w:val="both"/>
        <w:rPr>
          <w:sz w:val="16"/>
          <w:szCs w:val="16"/>
        </w:rPr>
      </w:pPr>
      <w:r w:rsidRPr="00C64F0B">
        <w:rPr>
          <w:rStyle w:val="a6"/>
          <w:sz w:val="16"/>
          <w:szCs w:val="16"/>
        </w:rPr>
        <w:footnoteRef/>
      </w:r>
      <w:r w:rsidRPr="00C64F0B">
        <w:rPr>
          <w:sz w:val="16"/>
          <w:szCs w:val="16"/>
        </w:rPr>
        <w:t xml:space="preserve"> Nr. MOLD/OG/1117 din 07.08.20219; Nr. MOLD/2728 din 14.12.2021; Nr. MOLD/1047 din 05.07.2019; Nr. MOLD/2777 din 24.12.2021; Nr. MOLD/1163 din 23.08.2019; Nr. VICB/OG/998 din 20.02.2020; Nr. VICB/OG/1550 din 22.0</w:t>
      </w:r>
      <w:r>
        <w:rPr>
          <w:sz w:val="16"/>
          <w:szCs w:val="16"/>
        </w:rPr>
        <w:t>2.2020; Nr. MOLD din 21.12.2021.</w:t>
      </w:r>
    </w:p>
  </w:footnote>
  <w:footnote w:id="8">
    <w:p w14:paraId="20E7AFA7" w14:textId="6F632F20" w:rsidR="00580E05" w:rsidRPr="00E56DD8" w:rsidRDefault="00580E05" w:rsidP="00C64F0B">
      <w:pPr>
        <w:pStyle w:val="a4"/>
        <w:jc w:val="both"/>
        <w:rPr>
          <w:rFonts w:cs="Times New Roman"/>
          <w:sz w:val="16"/>
          <w:szCs w:val="16"/>
        </w:rPr>
      </w:pPr>
      <w:r w:rsidRPr="00E56DD8">
        <w:rPr>
          <w:rStyle w:val="a6"/>
          <w:rFonts w:cs="Times New Roman"/>
          <w:color w:val="000000" w:themeColor="text1"/>
          <w:sz w:val="16"/>
          <w:szCs w:val="16"/>
        </w:rPr>
        <w:footnoteRef/>
      </w:r>
      <w:r w:rsidRPr="00E56DD8">
        <w:rPr>
          <w:rFonts w:cs="Times New Roman"/>
          <w:color w:val="000000" w:themeColor="text1"/>
          <w:sz w:val="16"/>
          <w:szCs w:val="16"/>
        </w:rPr>
        <w:t xml:space="preserve"> </w:t>
      </w:r>
      <w:r w:rsidRPr="00E02105">
        <w:rPr>
          <w:rFonts w:cs="Times New Roman"/>
          <w:color w:val="000000" w:themeColor="text1"/>
          <w:sz w:val="16"/>
          <w:szCs w:val="16"/>
        </w:rPr>
        <w:t>Hotărârea Curții de Conturi nr.55 din 15.12.2023 „Privind aprobarea Programului activității de audit a Curții de Conturi pe anul 2024”.</w:t>
      </w:r>
    </w:p>
  </w:footnote>
  <w:footnote w:id="9">
    <w:p w14:paraId="640C4E6F" w14:textId="430ED9D8" w:rsidR="00580E05" w:rsidRPr="004559F0" w:rsidRDefault="00580E05" w:rsidP="00C64F0B">
      <w:pPr>
        <w:pStyle w:val="a4"/>
        <w:jc w:val="both"/>
        <w:rPr>
          <w:rFonts w:asciiTheme="majorHAnsi" w:hAnsiTheme="majorHAnsi" w:cstheme="majorHAnsi"/>
          <w:sz w:val="16"/>
          <w:szCs w:val="16"/>
        </w:rPr>
      </w:pPr>
      <w:r w:rsidRPr="00E56DD8">
        <w:rPr>
          <w:rStyle w:val="a6"/>
          <w:rFonts w:cs="Times New Roman"/>
          <w:sz w:val="16"/>
          <w:szCs w:val="16"/>
        </w:rPr>
        <w:footnoteRef/>
      </w:r>
      <w:r w:rsidRPr="00E56DD8">
        <w:rPr>
          <w:rFonts w:cs="Times New Roman"/>
          <w:sz w:val="16"/>
          <w:szCs w:val="16"/>
        </w:rPr>
        <w:t xml:space="preserve"> Hotărârea Curții de Conturi nr.2 din 24.01.2020 „Cu privire la Cadrul Declarațiilor Profesionale ale INTOSAI”.</w:t>
      </w:r>
    </w:p>
  </w:footnote>
  <w:footnote w:id="10">
    <w:p w14:paraId="5698EA9E" w14:textId="1E3AA8F5" w:rsidR="00580E05" w:rsidRPr="00524DAF" w:rsidRDefault="00580E05" w:rsidP="00A70857">
      <w:pPr>
        <w:pStyle w:val="a4"/>
        <w:jc w:val="both"/>
        <w:rPr>
          <w:rFonts w:cs="Times New Roman"/>
          <w:sz w:val="16"/>
          <w:szCs w:val="16"/>
        </w:rPr>
      </w:pPr>
      <w:r w:rsidRPr="00C20591">
        <w:rPr>
          <w:rStyle w:val="a6"/>
          <w:rFonts w:cs="Times New Roman"/>
          <w:sz w:val="16"/>
          <w:szCs w:val="16"/>
        </w:rPr>
        <w:footnoteRef/>
      </w:r>
      <w:r w:rsidRPr="00C20591">
        <w:rPr>
          <w:rFonts w:cs="Times New Roman"/>
          <w:sz w:val="16"/>
          <w:szCs w:val="16"/>
        </w:rPr>
        <w:t xml:space="preserve"> Hotărârea Guvernului nr.69 din 09.02.2022 „Cu privire la ap</w:t>
      </w:r>
      <w:r>
        <w:rPr>
          <w:rFonts w:cs="Times New Roman"/>
          <w:sz w:val="16"/>
          <w:szCs w:val="16"/>
        </w:rPr>
        <w:t>robarea Conceptului Sistemului i</w:t>
      </w:r>
      <w:r w:rsidRPr="00C20591">
        <w:rPr>
          <w:rFonts w:cs="Times New Roman"/>
          <w:sz w:val="16"/>
          <w:szCs w:val="16"/>
        </w:rPr>
        <w:t>nformațional „Programul de vânzare directă a valorilor mobiliare de stat persoanelor fizice în Republica Moldova”</w:t>
      </w:r>
      <w:r>
        <w:rPr>
          <w:rFonts w:cs="Times New Roman"/>
          <w:sz w:val="16"/>
          <w:szCs w:val="16"/>
        </w:rPr>
        <w:t>.</w:t>
      </w:r>
    </w:p>
  </w:footnote>
  <w:footnote w:id="11">
    <w:p w14:paraId="22CAED3D" w14:textId="5FC6FFC4" w:rsidR="00580E05" w:rsidRPr="00C20591" w:rsidRDefault="00580E05" w:rsidP="00A70857">
      <w:pPr>
        <w:pStyle w:val="a4"/>
        <w:jc w:val="both"/>
        <w:rPr>
          <w:rFonts w:cs="Times New Roman"/>
          <w:sz w:val="16"/>
          <w:szCs w:val="16"/>
        </w:rPr>
      </w:pPr>
      <w:r w:rsidRPr="00C20591">
        <w:rPr>
          <w:rStyle w:val="a6"/>
          <w:rFonts w:cs="Times New Roman"/>
          <w:sz w:val="16"/>
          <w:szCs w:val="16"/>
        </w:rPr>
        <w:footnoteRef/>
      </w:r>
      <w:r w:rsidRPr="00C20591">
        <w:rPr>
          <w:rFonts w:cs="Times New Roman"/>
          <w:sz w:val="16"/>
          <w:szCs w:val="16"/>
        </w:rPr>
        <w:t xml:space="preserve"> Hotărârea Guv</w:t>
      </w:r>
      <w:r>
        <w:rPr>
          <w:rFonts w:cs="Times New Roman"/>
          <w:sz w:val="16"/>
          <w:szCs w:val="16"/>
        </w:rPr>
        <w:t>ernului nr.329 din 18.05.2022 „c</w:t>
      </w:r>
      <w:r w:rsidRPr="00C20591">
        <w:rPr>
          <w:rFonts w:cs="Times New Roman"/>
          <w:sz w:val="16"/>
          <w:szCs w:val="16"/>
        </w:rPr>
        <w:t>u privire la aprobarea Regulamentului resursei informaționale formate de Sistemul Informațional „Programul de vânzare directă a valorilor mobiliare de stat persoanelor fizice în Republica Moldova”.</w:t>
      </w:r>
    </w:p>
  </w:footnote>
  <w:footnote w:id="12">
    <w:p w14:paraId="5051B0CD" w14:textId="4F244C65" w:rsidR="00580E05" w:rsidRPr="00C20591" w:rsidRDefault="00580E05" w:rsidP="00FB158C">
      <w:pPr>
        <w:pStyle w:val="a4"/>
        <w:jc w:val="both"/>
        <w:rPr>
          <w:rFonts w:cs="Times New Roman"/>
          <w:sz w:val="16"/>
          <w:szCs w:val="16"/>
        </w:rPr>
      </w:pPr>
      <w:r w:rsidRPr="00C20591">
        <w:rPr>
          <w:rStyle w:val="a6"/>
          <w:rFonts w:cs="Times New Roman"/>
          <w:sz w:val="16"/>
          <w:szCs w:val="16"/>
        </w:rPr>
        <w:footnoteRef/>
      </w:r>
      <w:r>
        <w:rPr>
          <w:rFonts w:cs="Times New Roman"/>
          <w:sz w:val="16"/>
          <w:szCs w:val="16"/>
        </w:rPr>
        <w:t xml:space="preserve"> P</w:t>
      </w:r>
      <w:r w:rsidRPr="00C20591">
        <w:rPr>
          <w:rFonts w:cs="Times New Roman"/>
          <w:sz w:val="16"/>
          <w:szCs w:val="16"/>
        </w:rPr>
        <w:t xml:space="preserve">rin Ordinul MF nr. 109 din 15.11.2022 a fost instituit grupul de lucru care va participa la procesul de </w:t>
      </w:r>
      <w:r>
        <w:rPr>
          <w:rFonts w:cs="Times New Roman"/>
          <w:sz w:val="16"/>
          <w:szCs w:val="16"/>
        </w:rPr>
        <w:t>implementare a soluției tehnice.</w:t>
      </w:r>
    </w:p>
  </w:footnote>
  <w:footnote w:id="13">
    <w:p w14:paraId="3F6E505E" w14:textId="5BA9E4F7" w:rsidR="00580E05" w:rsidRPr="00C20591" w:rsidRDefault="00580E05" w:rsidP="00FB158C">
      <w:pPr>
        <w:pStyle w:val="a4"/>
        <w:jc w:val="both"/>
        <w:rPr>
          <w:rFonts w:cs="Times New Roman"/>
          <w:sz w:val="16"/>
          <w:szCs w:val="16"/>
        </w:rPr>
      </w:pPr>
      <w:r w:rsidRPr="00C20591">
        <w:rPr>
          <w:rStyle w:val="a6"/>
          <w:rFonts w:cs="Times New Roman"/>
          <w:sz w:val="16"/>
          <w:szCs w:val="16"/>
        </w:rPr>
        <w:footnoteRef/>
      </w:r>
      <w:r w:rsidRPr="00C20591">
        <w:rPr>
          <w:rFonts w:cs="Times New Roman"/>
          <w:sz w:val="16"/>
          <w:szCs w:val="16"/>
        </w:rPr>
        <w:t xml:space="preserve"> Ordinul ministrului finanțelor nr.129 din 29.12.2023 cu privire la aprobarea Planului de acțiuni (Matrice) pentru anii 2023-2025.</w:t>
      </w:r>
    </w:p>
  </w:footnote>
  <w:footnote w:id="14">
    <w:p w14:paraId="5AD159B5" w14:textId="6978347E" w:rsidR="00580E05" w:rsidRPr="00C20591" w:rsidRDefault="00580E05">
      <w:pPr>
        <w:pStyle w:val="a4"/>
        <w:rPr>
          <w:sz w:val="16"/>
          <w:szCs w:val="16"/>
        </w:rPr>
      </w:pPr>
      <w:r w:rsidRPr="00C20591">
        <w:rPr>
          <w:rStyle w:val="a6"/>
          <w:rFonts w:cs="Times New Roman"/>
          <w:sz w:val="16"/>
          <w:szCs w:val="16"/>
        </w:rPr>
        <w:footnoteRef/>
      </w:r>
      <w:r w:rsidRPr="00C20591">
        <w:rPr>
          <w:sz w:val="16"/>
          <w:szCs w:val="16"/>
        </w:rPr>
        <w:t xml:space="preserve"> Art. 90</w:t>
      </w:r>
      <w:r w:rsidRPr="00C20591">
        <w:rPr>
          <w:sz w:val="16"/>
          <w:szCs w:val="16"/>
          <w:vertAlign w:val="superscript"/>
        </w:rPr>
        <w:t>1</w:t>
      </w:r>
      <w:r w:rsidRPr="00C20591">
        <w:rPr>
          <w:sz w:val="16"/>
          <w:szCs w:val="16"/>
        </w:rPr>
        <w:t>, alin. (3</w:t>
      </w:r>
      <w:r w:rsidRPr="00C20591">
        <w:rPr>
          <w:sz w:val="16"/>
          <w:szCs w:val="16"/>
          <w:vertAlign w:val="superscript"/>
        </w:rPr>
        <w:t>8</w:t>
      </w:r>
      <w:r w:rsidRPr="00C20591">
        <w:rPr>
          <w:sz w:val="16"/>
          <w:szCs w:val="16"/>
        </w:rPr>
        <w:t>) din Codul fiscal nr.1163 din 24.04.1997</w:t>
      </w:r>
      <w:r>
        <w:rPr>
          <w:sz w:val="16"/>
          <w:szCs w:val="16"/>
        </w:rPr>
        <w:t>.</w:t>
      </w:r>
    </w:p>
  </w:footnote>
  <w:footnote w:id="15">
    <w:p w14:paraId="4C21135C" w14:textId="7AF36CDA" w:rsidR="00580E05" w:rsidRPr="00FB158C" w:rsidRDefault="00580E05" w:rsidP="00FB158C">
      <w:pPr>
        <w:pStyle w:val="a4"/>
        <w:jc w:val="both"/>
        <w:rPr>
          <w:rFonts w:cs="Times New Roman"/>
          <w:sz w:val="16"/>
          <w:szCs w:val="16"/>
        </w:rPr>
      </w:pPr>
      <w:r w:rsidRPr="00FB158C">
        <w:rPr>
          <w:rStyle w:val="a6"/>
          <w:rFonts w:cs="Times New Roman"/>
          <w:sz w:val="16"/>
          <w:szCs w:val="16"/>
        </w:rPr>
        <w:footnoteRef/>
      </w:r>
      <w:r w:rsidRPr="00FB158C">
        <w:rPr>
          <w:rFonts w:cs="Times New Roman"/>
          <w:sz w:val="16"/>
          <w:szCs w:val="16"/>
        </w:rPr>
        <w:t xml:space="preserve"> privind emisiunea obligațiunilor de stat în vederea executării de către MF a obligațiilor de plată derivate din garanțiile de stat</w:t>
      </w:r>
    </w:p>
  </w:footnote>
  <w:footnote w:id="16">
    <w:p w14:paraId="3A894339" w14:textId="52E424E5" w:rsidR="00580E05" w:rsidRPr="00FB158C" w:rsidRDefault="00580E05">
      <w:pPr>
        <w:pStyle w:val="a4"/>
        <w:rPr>
          <w:sz w:val="16"/>
          <w:szCs w:val="16"/>
        </w:rPr>
      </w:pPr>
      <w:r w:rsidRPr="00FB158C">
        <w:rPr>
          <w:rStyle w:val="a6"/>
          <w:sz w:val="16"/>
          <w:szCs w:val="16"/>
        </w:rPr>
        <w:footnoteRef/>
      </w:r>
      <w:r w:rsidRPr="00FB158C">
        <w:rPr>
          <w:sz w:val="16"/>
          <w:szCs w:val="16"/>
        </w:rPr>
        <w:t xml:space="preserve"> Banca de Economii S.A., BC Banca Socială SA, BC Unibank SA</w:t>
      </w:r>
      <w:r>
        <w:rPr>
          <w:sz w:val="16"/>
          <w:szCs w:val="16"/>
        </w:rPr>
        <w:t>,</w:t>
      </w:r>
      <w:r w:rsidRPr="00FB158C">
        <w:t xml:space="preserve"> </w:t>
      </w:r>
      <w:r>
        <w:rPr>
          <w:sz w:val="16"/>
          <w:szCs w:val="16"/>
        </w:rPr>
        <w:t>BC „Investprivatbank” S</w:t>
      </w:r>
      <w:r w:rsidRPr="00FB158C">
        <w:rPr>
          <w:sz w:val="16"/>
          <w:szCs w:val="16"/>
        </w:rPr>
        <w:t>A</w:t>
      </w:r>
      <w:r>
        <w:rPr>
          <w:sz w:val="16"/>
          <w:szCs w:val="16"/>
        </w:rPr>
        <w:t>.</w:t>
      </w:r>
    </w:p>
  </w:footnote>
  <w:footnote w:id="17">
    <w:p w14:paraId="50180BEF" w14:textId="406D80BD" w:rsidR="00580E05" w:rsidRPr="00481E5A" w:rsidRDefault="00580E05">
      <w:pPr>
        <w:pStyle w:val="a4"/>
        <w:rPr>
          <w:sz w:val="16"/>
          <w:szCs w:val="16"/>
        </w:rPr>
      </w:pPr>
      <w:r w:rsidRPr="00481E5A">
        <w:rPr>
          <w:rStyle w:val="a6"/>
          <w:sz w:val="16"/>
          <w:szCs w:val="16"/>
        </w:rPr>
        <w:footnoteRef/>
      </w:r>
      <w:r w:rsidRPr="00481E5A">
        <w:rPr>
          <w:sz w:val="16"/>
          <w:szCs w:val="16"/>
        </w:rPr>
        <w:t xml:space="preserve"> </w:t>
      </w:r>
      <w:r>
        <w:rPr>
          <w:sz w:val="16"/>
          <w:szCs w:val="16"/>
        </w:rPr>
        <w:t>Art. 27, p</w:t>
      </w:r>
      <w:r w:rsidRPr="00481E5A">
        <w:rPr>
          <w:sz w:val="16"/>
          <w:szCs w:val="16"/>
        </w:rPr>
        <w:t>ct. 4 din Legea nr.419 din 22.12.2006 cu privire la datoria sectorului public, garanțiile de stat și rereditarea de stat</w:t>
      </w:r>
    </w:p>
  </w:footnote>
  <w:footnote w:id="18">
    <w:p w14:paraId="68300382" w14:textId="7F19AD09" w:rsidR="00580E05" w:rsidRPr="00114852" w:rsidRDefault="00580E05" w:rsidP="00524DAF">
      <w:pPr>
        <w:pStyle w:val="a4"/>
        <w:jc w:val="both"/>
        <w:rPr>
          <w:sz w:val="16"/>
          <w:szCs w:val="16"/>
        </w:rPr>
      </w:pPr>
      <w:r w:rsidRPr="00114852">
        <w:rPr>
          <w:rStyle w:val="a6"/>
          <w:sz w:val="16"/>
          <w:szCs w:val="16"/>
        </w:rPr>
        <w:footnoteRef/>
      </w:r>
      <w:r w:rsidRPr="00114852">
        <w:rPr>
          <w:sz w:val="16"/>
          <w:szCs w:val="16"/>
        </w:rPr>
        <w:t xml:space="preserve"> Pct. 10 din Regulamentul privind procedura de contractare a datoriei de stat și debursare a împrumuturilor de stat </w:t>
      </w:r>
      <w:r>
        <w:rPr>
          <w:sz w:val="16"/>
          <w:szCs w:val="16"/>
        </w:rPr>
        <w:t>externe și interne (Anexa nr.7).</w:t>
      </w:r>
      <w:r w:rsidRPr="00114852">
        <w:rPr>
          <w:sz w:val="16"/>
          <w:szCs w:val="16"/>
        </w:rPr>
        <w:t xml:space="preserve"> aprobat prin Hotărârea Guvernului nr.1136 din 18.10.2007</w:t>
      </w:r>
      <w:r>
        <w:rPr>
          <w:sz w:val="16"/>
          <w:szCs w:val="16"/>
        </w:rPr>
        <w:t xml:space="preserve"> cu privire la unele măsuri de executar a Legii 419-XVI din 22.12.2006 cu privire la datoria sectorului public, garanțiilor de stat și recreditarea de stat.</w:t>
      </w:r>
    </w:p>
  </w:footnote>
  <w:footnote w:id="19">
    <w:p w14:paraId="68E3C6F3" w14:textId="77777777" w:rsidR="00580E05" w:rsidRPr="00354608" w:rsidRDefault="00580E05" w:rsidP="00A409F0">
      <w:pPr>
        <w:pStyle w:val="a4"/>
        <w:jc w:val="both"/>
        <w:rPr>
          <w:rFonts w:cs="Times New Roman"/>
          <w:sz w:val="16"/>
          <w:szCs w:val="16"/>
          <w:lang w:val="en-US"/>
        </w:rPr>
      </w:pPr>
      <w:r w:rsidRPr="00354608">
        <w:rPr>
          <w:rStyle w:val="a6"/>
          <w:rFonts w:cs="Times New Roman"/>
          <w:sz w:val="16"/>
          <w:szCs w:val="16"/>
        </w:rPr>
        <w:footnoteRef/>
      </w:r>
      <w:r w:rsidRPr="00354608">
        <w:rPr>
          <w:rFonts w:cs="Times New Roman"/>
          <w:sz w:val="16"/>
          <w:szCs w:val="16"/>
        </w:rPr>
        <w:t xml:space="preserve"> Art. 5 din Legea bugetului de stat pentru anul 2023 nr. 359 din 22.12.2022 </w:t>
      </w:r>
      <w:r w:rsidRPr="00354608">
        <w:rPr>
          <w:rFonts w:cs="Times New Roman"/>
          <w:i/>
          <w:sz w:val="16"/>
          <w:szCs w:val="16"/>
        </w:rPr>
        <w:t>(cu modificările ulterioare)</w:t>
      </w:r>
      <w:r w:rsidRPr="00354608">
        <w:rPr>
          <w:rFonts w:cs="Times New Roman"/>
          <w:sz w:val="16"/>
          <w:szCs w:val="16"/>
          <w:lang w:val="en-US"/>
        </w:rPr>
        <w:t>.</w:t>
      </w:r>
    </w:p>
  </w:footnote>
  <w:footnote w:id="20">
    <w:p w14:paraId="45C57402" w14:textId="630F8026" w:rsidR="00580E05" w:rsidRPr="00D80675" w:rsidRDefault="00580E05" w:rsidP="000D4F33">
      <w:pPr>
        <w:pStyle w:val="a4"/>
        <w:jc w:val="both"/>
        <w:rPr>
          <w:rFonts w:asciiTheme="majorHAnsi" w:hAnsiTheme="majorHAnsi" w:cstheme="majorHAnsi"/>
          <w:sz w:val="16"/>
          <w:szCs w:val="16"/>
        </w:rPr>
      </w:pPr>
      <w:r w:rsidRPr="00354608">
        <w:rPr>
          <w:rStyle w:val="a6"/>
          <w:rFonts w:cs="Times New Roman"/>
          <w:sz w:val="16"/>
          <w:szCs w:val="16"/>
        </w:rPr>
        <w:footnoteRef/>
      </w:r>
      <w:r w:rsidRPr="00354608">
        <w:rPr>
          <w:rFonts w:cs="Times New Roman"/>
          <w:sz w:val="16"/>
          <w:szCs w:val="16"/>
        </w:rPr>
        <w:t xml:space="preserve"> BC „Moldindconbank” SA, BC „Moldova-Agroindbank” SA, BC „Victoriabank” SA, BC „OTP Bank” SA și BC „Eximbank” SA și BC „Energbank” SA.</w:t>
      </w:r>
    </w:p>
  </w:footnote>
  <w:footnote w:id="21">
    <w:p w14:paraId="6EC13F03" w14:textId="77777777" w:rsidR="00580E05" w:rsidRPr="00354608" w:rsidRDefault="00580E05" w:rsidP="00BE0795">
      <w:pPr>
        <w:pStyle w:val="a4"/>
        <w:rPr>
          <w:rFonts w:cs="Times New Roman"/>
          <w:sz w:val="16"/>
          <w:szCs w:val="16"/>
          <w:lang w:val="ro-MD"/>
        </w:rPr>
      </w:pPr>
      <w:r w:rsidRPr="00354608">
        <w:rPr>
          <w:rStyle w:val="a6"/>
          <w:rFonts w:cs="Times New Roman"/>
          <w:sz w:val="16"/>
          <w:szCs w:val="16"/>
        </w:rPr>
        <w:footnoteRef/>
      </w:r>
      <w:r w:rsidRPr="00354608">
        <w:rPr>
          <w:rFonts w:cs="Times New Roman"/>
          <w:sz w:val="16"/>
          <w:szCs w:val="16"/>
        </w:rPr>
        <w:t xml:space="preserve"> </w:t>
      </w:r>
      <w:r w:rsidRPr="00354608">
        <w:rPr>
          <w:rFonts w:cs="Times New Roman"/>
          <w:sz w:val="16"/>
          <w:szCs w:val="16"/>
          <w:lang w:val="ro-MD"/>
        </w:rPr>
        <w:t>Art.38 din Legea 419 din 22.12.2006.</w:t>
      </w:r>
    </w:p>
  </w:footnote>
  <w:footnote w:id="22">
    <w:p w14:paraId="069B38A0" w14:textId="77777777" w:rsidR="00580E05" w:rsidRPr="00354608" w:rsidRDefault="00580E05" w:rsidP="00BE0795">
      <w:pPr>
        <w:pStyle w:val="a4"/>
        <w:jc w:val="both"/>
        <w:rPr>
          <w:rFonts w:cs="Times New Roman"/>
          <w:sz w:val="16"/>
          <w:szCs w:val="16"/>
        </w:rPr>
      </w:pPr>
      <w:r w:rsidRPr="00354608">
        <w:rPr>
          <w:rStyle w:val="a6"/>
          <w:rFonts w:cs="Times New Roman"/>
          <w:sz w:val="16"/>
          <w:szCs w:val="16"/>
        </w:rPr>
        <w:footnoteRef/>
      </w:r>
      <w:r w:rsidRPr="00354608">
        <w:rPr>
          <w:rFonts w:cs="Times New Roman"/>
          <w:sz w:val="16"/>
          <w:szCs w:val="16"/>
        </w:rPr>
        <w:t xml:space="preserve"> Nr. VICB/998 din 20.02.2020 - 123 202,33 lei; Nr. VICB/1550 din 22.10.2020 - 209 255,52 lei; Nr. MOLD/2761 din 21.12.2021 - 110 988,61 lei; Nr. MOLD/2728 din 14.12.2021 - 162 968,74 lei; Nr. MOLD/1117 din 07.08.2019 - 302 507,20 lei; Nr. MOLD/1163 din 23.08.2019 - 365 773,24 lei; Nr. MOLD/1047 din 05.07.2019 - 273 793,32 lei; Nr. MOLD/2777 din 24.12.2021 - 383 243,57 lei; Nr. MOLD/2465 din 04.10.2021 - 301 437,43 lei; Nr. VICB/923 din 16.01.2020 - 154 234,4 lei</w:t>
      </w:r>
    </w:p>
  </w:footnote>
  <w:footnote w:id="23">
    <w:p w14:paraId="0BD80036" w14:textId="77777777" w:rsidR="00580E05" w:rsidRPr="00354608" w:rsidRDefault="00580E05" w:rsidP="00BE0795">
      <w:pPr>
        <w:pStyle w:val="a4"/>
        <w:rPr>
          <w:rFonts w:cs="Times New Roman"/>
          <w:sz w:val="16"/>
          <w:szCs w:val="16"/>
        </w:rPr>
      </w:pPr>
      <w:r w:rsidRPr="00354608">
        <w:rPr>
          <w:rStyle w:val="a6"/>
          <w:rFonts w:cs="Times New Roman"/>
          <w:sz w:val="16"/>
          <w:szCs w:val="16"/>
        </w:rPr>
        <w:footnoteRef/>
      </w:r>
      <w:r w:rsidRPr="00354608">
        <w:rPr>
          <w:rFonts w:cs="Times New Roman"/>
          <w:sz w:val="16"/>
          <w:szCs w:val="16"/>
        </w:rPr>
        <w:t xml:space="preserve"> Nr. VICB/998 din 20.02.2020 – 7 637,0 lei; Nr. VICB/1550 din 22.10.2020 – 28 737,55 lei; Nr. MOLD/2761 din 21.12.2021 – 6 721,18 lei; Nr. MOLD/1163 din 23.08.2019 – 8 854,2 lei; Nr. MOLD/2777 din 24.12.2021 – 12 708,48 lei</w:t>
      </w:r>
    </w:p>
  </w:footnote>
  <w:footnote w:id="24">
    <w:p w14:paraId="40FF4BF5" w14:textId="5CE1B206" w:rsidR="00580E05" w:rsidRPr="00F86989" w:rsidRDefault="00580E05" w:rsidP="00B672D5">
      <w:pPr>
        <w:pStyle w:val="a4"/>
        <w:jc w:val="both"/>
        <w:rPr>
          <w:sz w:val="16"/>
          <w:szCs w:val="16"/>
        </w:rPr>
      </w:pPr>
      <w:r w:rsidRPr="00F86989">
        <w:rPr>
          <w:rStyle w:val="a6"/>
          <w:sz w:val="16"/>
          <w:szCs w:val="16"/>
        </w:rPr>
        <w:footnoteRef/>
      </w:r>
      <w:r w:rsidRPr="00F86989">
        <w:rPr>
          <w:sz w:val="16"/>
          <w:szCs w:val="16"/>
        </w:rPr>
        <w:t xml:space="preserve"> </w:t>
      </w:r>
      <w:r>
        <w:rPr>
          <w:sz w:val="16"/>
          <w:szCs w:val="16"/>
        </w:rPr>
        <w:t>Ordinul ministrului finanțelor nr.94 din 10.10.2023 cu privire la radierea unor datorii din Raportul de stat privind recreditarea de stat și Raportul privind datoriile debitorilor garantați față de Ministerul Finanțelor.</w:t>
      </w:r>
    </w:p>
  </w:footnote>
  <w:footnote w:id="25">
    <w:p w14:paraId="72E261F2" w14:textId="35CB78FC" w:rsidR="00580E05" w:rsidRPr="00F86989" w:rsidRDefault="00580E05">
      <w:pPr>
        <w:pStyle w:val="a4"/>
        <w:rPr>
          <w:sz w:val="16"/>
          <w:szCs w:val="16"/>
          <w:lang w:val="ro-MD"/>
        </w:rPr>
      </w:pPr>
      <w:r w:rsidRPr="00F86989">
        <w:rPr>
          <w:rStyle w:val="a6"/>
          <w:sz w:val="16"/>
          <w:szCs w:val="16"/>
        </w:rPr>
        <w:footnoteRef/>
      </w:r>
      <w:r w:rsidRPr="00F86989">
        <w:rPr>
          <w:sz w:val="16"/>
          <w:szCs w:val="16"/>
        </w:rPr>
        <w:t xml:space="preserve"> </w:t>
      </w:r>
      <w:r w:rsidRPr="00F86989">
        <w:rPr>
          <w:sz w:val="16"/>
          <w:szCs w:val="16"/>
          <w:lang w:val="ro-MD"/>
        </w:rPr>
        <w:t>SA „Santek”</w:t>
      </w:r>
    </w:p>
  </w:footnote>
  <w:footnote w:id="26">
    <w:p w14:paraId="76B43DAB" w14:textId="5FB782D7" w:rsidR="00580E05" w:rsidRPr="00B974AD" w:rsidRDefault="00580E05" w:rsidP="00B974AD">
      <w:pPr>
        <w:pStyle w:val="a4"/>
      </w:pPr>
      <w:r w:rsidRPr="00F86989">
        <w:rPr>
          <w:rStyle w:val="a6"/>
          <w:sz w:val="16"/>
          <w:szCs w:val="16"/>
        </w:rPr>
        <w:footnoteRef/>
      </w:r>
      <w:r w:rsidRPr="00F86989">
        <w:rPr>
          <w:sz w:val="16"/>
          <w:szCs w:val="16"/>
        </w:rPr>
        <w:t xml:space="preserve"> Nr</w:t>
      </w:r>
      <w:r w:rsidRPr="00B974AD">
        <w:rPr>
          <w:sz w:val="16"/>
          <w:szCs w:val="16"/>
        </w:rPr>
        <w:t>. VICB/923 din 16.01.2020 – 154,23 mii lei.</w:t>
      </w:r>
    </w:p>
  </w:footnote>
  <w:footnote w:id="27">
    <w:p w14:paraId="1976E858" w14:textId="5733022F" w:rsidR="00580E05" w:rsidRPr="007604AF" w:rsidRDefault="00580E05">
      <w:pPr>
        <w:pStyle w:val="a4"/>
        <w:rPr>
          <w:sz w:val="16"/>
          <w:szCs w:val="16"/>
        </w:rPr>
      </w:pPr>
      <w:r w:rsidRPr="007604AF">
        <w:rPr>
          <w:rStyle w:val="a6"/>
          <w:sz w:val="16"/>
          <w:szCs w:val="16"/>
        </w:rPr>
        <w:footnoteRef/>
      </w:r>
      <w:r w:rsidRPr="007604AF">
        <w:rPr>
          <w:sz w:val="16"/>
          <w:szCs w:val="16"/>
        </w:rPr>
        <w:t xml:space="preserve"> Nr. MOLD/</w:t>
      </w:r>
      <w:r>
        <w:rPr>
          <w:sz w:val="16"/>
          <w:szCs w:val="16"/>
        </w:rPr>
        <w:t>OG/1117</w:t>
      </w:r>
      <w:r w:rsidRPr="007604AF">
        <w:rPr>
          <w:sz w:val="16"/>
          <w:szCs w:val="16"/>
        </w:rPr>
        <w:t xml:space="preserve"> din 0</w:t>
      </w:r>
      <w:r>
        <w:rPr>
          <w:sz w:val="16"/>
          <w:szCs w:val="16"/>
        </w:rPr>
        <w:t>7</w:t>
      </w:r>
      <w:r w:rsidRPr="007604AF">
        <w:rPr>
          <w:sz w:val="16"/>
          <w:szCs w:val="16"/>
        </w:rPr>
        <w:t>.</w:t>
      </w:r>
      <w:r>
        <w:rPr>
          <w:sz w:val="16"/>
          <w:szCs w:val="16"/>
        </w:rPr>
        <w:t>08</w:t>
      </w:r>
      <w:r w:rsidRPr="007604AF">
        <w:rPr>
          <w:sz w:val="16"/>
          <w:szCs w:val="16"/>
        </w:rPr>
        <w:t>.20</w:t>
      </w:r>
      <w:r>
        <w:rPr>
          <w:sz w:val="16"/>
          <w:szCs w:val="16"/>
        </w:rPr>
        <w:t>19 – 302,5 mii lei</w:t>
      </w:r>
    </w:p>
  </w:footnote>
  <w:footnote w:id="28">
    <w:p w14:paraId="2EA161D0" w14:textId="5E29D287" w:rsidR="00580E05" w:rsidRPr="00B974AD" w:rsidRDefault="00580E05" w:rsidP="00D913FA">
      <w:pPr>
        <w:pStyle w:val="a4"/>
        <w:jc w:val="both"/>
        <w:rPr>
          <w:rFonts w:cs="Times New Roman"/>
          <w:sz w:val="16"/>
          <w:szCs w:val="16"/>
          <w:lang w:val="ro-MD"/>
        </w:rPr>
      </w:pPr>
      <w:r w:rsidRPr="006D636C">
        <w:rPr>
          <w:rStyle w:val="a6"/>
          <w:rFonts w:cs="Times New Roman"/>
          <w:sz w:val="16"/>
          <w:szCs w:val="16"/>
        </w:rPr>
        <w:footnoteRef/>
      </w:r>
      <w:r w:rsidRPr="006D636C">
        <w:rPr>
          <w:rFonts w:cs="Times New Roman"/>
          <w:sz w:val="16"/>
          <w:szCs w:val="16"/>
        </w:rPr>
        <w:t xml:space="preserve"> </w:t>
      </w:r>
      <w:r w:rsidRPr="006D636C">
        <w:rPr>
          <w:rFonts w:cs="Times New Roman"/>
          <w:sz w:val="16"/>
          <w:szCs w:val="16"/>
          <w:lang w:val="ro-MD"/>
        </w:rPr>
        <w:t>Pct. 5</w:t>
      </w:r>
      <w:r w:rsidRPr="006D636C">
        <w:rPr>
          <w:rFonts w:cs="Times New Roman"/>
          <w:sz w:val="16"/>
          <w:szCs w:val="16"/>
          <w:vertAlign w:val="superscript"/>
          <w:lang w:val="ro-MD"/>
        </w:rPr>
        <w:t xml:space="preserve">1 </w:t>
      </w:r>
      <w:r w:rsidRPr="006D636C">
        <w:rPr>
          <w:rFonts w:cs="Times New Roman"/>
          <w:sz w:val="16"/>
          <w:szCs w:val="16"/>
          <w:lang w:val="ro-MD"/>
        </w:rPr>
        <w:t xml:space="preserve">din Regulamentul privind raportarea debitorilor garantați față de Ministerul Finanțelor, aprobat prin Hotărârea Guvernului nr.1136 din 18.10.2007 cu privire la unele măsuri de executare a Legii nr.419 din 22.12.2006 cu privire la datoria sectorului public, garanțiile de stat și </w:t>
      </w:r>
      <w:r w:rsidRPr="00B974AD">
        <w:rPr>
          <w:rFonts w:cs="Times New Roman"/>
          <w:sz w:val="16"/>
          <w:szCs w:val="16"/>
          <w:lang w:val="ro-MD"/>
        </w:rPr>
        <w:t>recreditarea de stat</w:t>
      </w:r>
      <w:r>
        <w:rPr>
          <w:rFonts w:cs="Times New Roman"/>
          <w:sz w:val="16"/>
          <w:szCs w:val="16"/>
          <w:lang w:val="ro-MD"/>
        </w:rPr>
        <w:t>.</w:t>
      </w:r>
    </w:p>
  </w:footnote>
  <w:footnote w:id="29">
    <w:p w14:paraId="2C5BE907" w14:textId="52CBB991" w:rsidR="00580E05" w:rsidRPr="00AB0049" w:rsidRDefault="00580E05">
      <w:pPr>
        <w:pStyle w:val="a4"/>
        <w:rPr>
          <w:sz w:val="16"/>
          <w:szCs w:val="16"/>
        </w:rPr>
      </w:pPr>
      <w:r w:rsidRPr="00AB0049">
        <w:rPr>
          <w:rStyle w:val="a6"/>
          <w:sz w:val="16"/>
          <w:szCs w:val="16"/>
        </w:rPr>
        <w:footnoteRef/>
      </w:r>
      <w:r w:rsidRPr="00AB0049">
        <w:rPr>
          <w:sz w:val="16"/>
          <w:szCs w:val="16"/>
        </w:rPr>
        <w:t xml:space="preserve"> S.A. Becon-Basarabia”, Criuleni – 107,94 mil. lei, S.A. Avicola Vadul lui Vodă – 3,06 mil. lei</w:t>
      </w:r>
      <w:r>
        <w:rPr>
          <w:sz w:val="16"/>
          <w:szCs w:val="16"/>
        </w:rPr>
        <w:t>.</w:t>
      </w:r>
    </w:p>
  </w:footnote>
  <w:footnote w:id="30">
    <w:p w14:paraId="6F930DE6" w14:textId="77777777" w:rsidR="00580E05" w:rsidRPr="00995DBF" w:rsidRDefault="00580E05" w:rsidP="00220E95">
      <w:pPr>
        <w:pStyle w:val="a4"/>
        <w:rPr>
          <w:sz w:val="16"/>
          <w:szCs w:val="16"/>
        </w:rPr>
      </w:pPr>
      <w:r w:rsidRPr="00995DBF">
        <w:rPr>
          <w:rStyle w:val="a6"/>
          <w:sz w:val="16"/>
          <w:szCs w:val="16"/>
        </w:rPr>
        <w:footnoteRef/>
      </w:r>
      <w:r w:rsidRPr="00995DBF">
        <w:rPr>
          <w:sz w:val="16"/>
          <w:szCs w:val="16"/>
        </w:rPr>
        <w:t xml:space="preserve"> Î.M Apă Canal Cahul – 0,6 mil. lei, Î.M. Regia Apă Canal Bălți – 1,8 mil. lei, SA Regia Apă Canal Soroca – 1,12 mil. lei, Consiliul Raional Soroca – 2,48 mil. lei, AEI Grimăncăuți – 2,37 mil. lei.</w:t>
      </w:r>
    </w:p>
  </w:footnote>
  <w:footnote w:id="31">
    <w:p w14:paraId="137E9B25" w14:textId="647F3187" w:rsidR="00580E05" w:rsidRPr="00EA7A57" w:rsidRDefault="00580E05">
      <w:pPr>
        <w:pStyle w:val="a4"/>
      </w:pPr>
      <w:r w:rsidRPr="00995DBF">
        <w:rPr>
          <w:rStyle w:val="a6"/>
          <w:sz w:val="16"/>
          <w:szCs w:val="16"/>
        </w:rPr>
        <w:footnoteRef/>
      </w:r>
      <w:r>
        <w:rPr>
          <w:sz w:val="16"/>
          <w:szCs w:val="16"/>
        </w:rPr>
        <w:t xml:space="preserve"> Î</w:t>
      </w:r>
      <w:r w:rsidRPr="00995DBF">
        <w:rPr>
          <w:sz w:val="16"/>
          <w:szCs w:val="16"/>
        </w:rPr>
        <w:t>M Regia Apă Canal Bălți – 1,8 mil. lei, SA Regia Apă Canal Soroca – 1,12</w:t>
      </w:r>
    </w:p>
  </w:footnote>
  <w:footnote w:id="32">
    <w:p w14:paraId="30B63B1E" w14:textId="6CA778A9" w:rsidR="00580E05" w:rsidRPr="00396AD0" w:rsidRDefault="00580E05" w:rsidP="00396AD0">
      <w:pPr>
        <w:pStyle w:val="a4"/>
        <w:jc w:val="both"/>
        <w:rPr>
          <w:sz w:val="16"/>
          <w:szCs w:val="16"/>
        </w:rPr>
      </w:pPr>
      <w:r w:rsidRPr="00396AD0">
        <w:rPr>
          <w:rStyle w:val="a6"/>
          <w:sz w:val="16"/>
          <w:szCs w:val="16"/>
        </w:rPr>
        <w:footnoteRef/>
      </w:r>
      <w:r>
        <w:rPr>
          <w:sz w:val="16"/>
          <w:szCs w:val="16"/>
        </w:rPr>
        <w:t xml:space="preserve"> S</w:t>
      </w:r>
      <w:r w:rsidRPr="00396AD0">
        <w:rPr>
          <w:sz w:val="16"/>
          <w:szCs w:val="16"/>
        </w:rPr>
        <w:t>A „</w:t>
      </w:r>
      <w:r>
        <w:rPr>
          <w:sz w:val="16"/>
          <w:szCs w:val="16"/>
        </w:rPr>
        <w:t>Deana Comrat” – 3,9 mil. lei, ÎM</w:t>
      </w:r>
      <w:r w:rsidRPr="00396AD0">
        <w:rPr>
          <w:sz w:val="16"/>
          <w:szCs w:val="16"/>
        </w:rPr>
        <w:t xml:space="preserve"> „Rețele termice Vulcănești” – 0,13 mil. lei, IICCP Sadaclia, Basarabeasca – 1,1 mil. lei, Produse Cerealiere Bălți – 4,0 mil. lei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68C"/>
    <w:multiLevelType w:val="hybridMultilevel"/>
    <w:tmpl w:val="33AC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F42"/>
    <w:multiLevelType w:val="hybridMultilevel"/>
    <w:tmpl w:val="4A9CD60E"/>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B0"/>
    <w:multiLevelType w:val="hybridMultilevel"/>
    <w:tmpl w:val="076E8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6032F"/>
    <w:multiLevelType w:val="hybridMultilevel"/>
    <w:tmpl w:val="C3CE4AC8"/>
    <w:lvl w:ilvl="0" w:tplc="49E2F9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66C3"/>
    <w:multiLevelType w:val="hybridMultilevel"/>
    <w:tmpl w:val="767E5986"/>
    <w:lvl w:ilvl="0" w:tplc="F2205A3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E551F"/>
    <w:multiLevelType w:val="hybridMultilevel"/>
    <w:tmpl w:val="DBC0CF5E"/>
    <w:lvl w:ilvl="0" w:tplc="C6727F1E">
      <w:start w:val="1"/>
      <w:numFmt w:val="decimal"/>
      <w:lvlText w:val="%1."/>
      <w:lvlJc w:val="left"/>
      <w:pPr>
        <w:ind w:left="1069" w:hanging="360"/>
      </w:pPr>
      <w:rPr>
        <w:rFonts w:ascii="Calibri Light" w:eastAsia="Calibri" w:hAnsi="Calibri Light" w:cs="Calibri Ligh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B9A696C"/>
    <w:multiLevelType w:val="hybridMultilevel"/>
    <w:tmpl w:val="C61C9402"/>
    <w:lvl w:ilvl="0" w:tplc="C77EBE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3D3F32"/>
    <w:multiLevelType w:val="multilevel"/>
    <w:tmpl w:val="924AC3C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D488A"/>
    <w:multiLevelType w:val="hybridMultilevel"/>
    <w:tmpl w:val="271E3844"/>
    <w:lvl w:ilvl="0" w:tplc="DF206012">
      <w:start w:val="1"/>
      <w:numFmt w:val="decimal"/>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D2880"/>
    <w:multiLevelType w:val="hybridMultilevel"/>
    <w:tmpl w:val="EE722A5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86257C9"/>
    <w:multiLevelType w:val="hybridMultilevel"/>
    <w:tmpl w:val="6C2A2A26"/>
    <w:lvl w:ilvl="0" w:tplc="4BE6122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D2CE1"/>
    <w:multiLevelType w:val="hybridMultilevel"/>
    <w:tmpl w:val="BEF8E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47B23"/>
    <w:multiLevelType w:val="hybridMultilevel"/>
    <w:tmpl w:val="3244CC3E"/>
    <w:lvl w:ilvl="0" w:tplc="0BA86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A75F7"/>
    <w:multiLevelType w:val="hybridMultilevel"/>
    <w:tmpl w:val="9BB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91E78"/>
    <w:multiLevelType w:val="hybridMultilevel"/>
    <w:tmpl w:val="0F22F178"/>
    <w:lvl w:ilvl="0" w:tplc="37260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C4097"/>
    <w:multiLevelType w:val="multilevel"/>
    <w:tmpl w:val="BC8277E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i w:val="0"/>
      </w:rPr>
    </w:lvl>
    <w:lvl w:ilvl="2">
      <w:start w:val="1"/>
      <w:numFmt w:val="decimal"/>
      <w:lvlText w:val="%1.%2.%3."/>
      <w:lvlJc w:val="left"/>
      <w:pPr>
        <w:ind w:left="862" w:hanging="720"/>
      </w:pPr>
      <w:rPr>
        <w:rFonts w:hint="default"/>
        <w:b/>
        <w:i/>
        <w:color w:val="000000" w:themeColor="text1"/>
      </w:rPr>
    </w:lvl>
    <w:lvl w:ilvl="3">
      <w:start w:val="1"/>
      <w:numFmt w:val="decimal"/>
      <w:pStyle w:val="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F2DB7"/>
    <w:multiLevelType w:val="hybridMultilevel"/>
    <w:tmpl w:val="BE4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64226"/>
    <w:multiLevelType w:val="hybridMultilevel"/>
    <w:tmpl w:val="6414E6BA"/>
    <w:lvl w:ilvl="0" w:tplc="79DED9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0A767A9"/>
    <w:multiLevelType w:val="hybridMultilevel"/>
    <w:tmpl w:val="6EF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058D7"/>
    <w:multiLevelType w:val="hybridMultilevel"/>
    <w:tmpl w:val="65D29E6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D197B"/>
    <w:multiLevelType w:val="hybridMultilevel"/>
    <w:tmpl w:val="DFAE9F30"/>
    <w:lvl w:ilvl="0" w:tplc="6E702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11131"/>
    <w:multiLevelType w:val="multilevel"/>
    <w:tmpl w:val="3320AA6C"/>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6C6A7D15"/>
    <w:multiLevelType w:val="hybridMultilevel"/>
    <w:tmpl w:val="68A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01958"/>
    <w:multiLevelType w:val="multilevel"/>
    <w:tmpl w:val="FA9E37D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15:restartNumberingAfterBreak="0">
    <w:nsid w:val="7A8626D2"/>
    <w:multiLevelType w:val="hybridMultilevel"/>
    <w:tmpl w:val="6D56F4B4"/>
    <w:lvl w:ilvl="0" w:tplc="FDB6F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73584"/>
    <w:multiLevelType w:val="hybridMultilevel"/>
    <w:tmpl w:val="C14CFCBE"/>
    <w:lvl w:ilvl="0" w:tplc="EFF2A06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301EF"/>
    <w:multiLevelType w:val="multilevel"/>
    <w:tmpl w:val="F97CC3E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i/>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63A42"/>
    <w:multiLevelType w:val="hybridMultilevel"/>
    <w:tmpl w:val="15BC4BEC"/>
    <w:lvl w:ilvl="0" w:tplc="E5A6C1D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61B53"/>
    <w:multiLevelType w:val="hybridMultilevel"/>
    <w:tmpl w:val="8C727EDC"/>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09CF1FE">
      <w:start w:val="1"/>
      <w:numFmt w:val="decimal"/>
      <w:lvlText w:val="%4."/>
      <w:lvlJc w:val="left"/>
      <w:pPr>
        <w:ind w:left="2880" w:hanging="360"/>
      </w:pPr>
      <w:rPr>
        <w:rFonts w:ascii="Times New Roman" w:hAnsi="Times New Roman" w:cs="Times New Roman"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31"/>
  </w:num>
  <w:num w:numId="4">
    <w:abstractNumId w:val="24"/>
  </w:num>
  <w:num w:numId="5">
    <w:abstractNumId w:val="1"/>
  </w:num>
  <w:num w:numId="6">
    <w:abstractNumId w:val="2"/>
  </w:num>
  <w:num w:numId="7">
    <w:abstractNumId w:val="8"/>
  </w:num>
  <w:num w:numId="8">
    <w:abstractNumId w:val="38"/>
  </w:num>
  <w:num w:numId="9">
    <w:abstractNumId w:val="13"/>
  </w:num>
  <w:num w:numId="10">
    <w:abstractNumId w:val="11"/>
  </w:num>
  <w:num w:numId="11">
    <w:abstractNumId w:val="35"/>
  </w:num>
  <w:num w:numId="12">
    <w:abstractNumId w:val="45"/>
  </w:num>
  <w:num w:numId="13">
    <w:abstractNumId w:val="14"/>
  </w:num>
  <w:num w:numId="14">
    <w:abstractNumId w:val="23"/>
  </w:num>
  <w:num w:numId="15">
    <w:abstractNumId w:val="43"/>
  </w:num>
  <w:num w:numId="16">
    <w:abstractNumId w:val="12"/>
  </w:num>
  <w:num w:numId="17">
    <w:abstractNumId w:val="7"/>
  </w:num>
  <w:num w:numId="18">
    <w:abstractNumId w:val="39"/>
  </w:num>
  <w:num w:numId="19">
    <w:abstractNumId w:val="3"/>
  </w:num>
  <w:num w:numId="20">
    <w:abstractNumId w:val="29"/>
  </w:num>
  <w:num w:numId="21">
    <w:abstractNumId w:val="6"/>
  </w:num>
  <w:num w:numId="22">
    <w:abstractNumId w:val="28"/>
  </w:num>
  <w:num w:numId="23">
    <w:abstractNumId w:val="18"/>
  </w:num>
  <w:num w:numId="24">
    <w:abstractNumId w:val="21"/>
  </w:num>
  <w:num w:numId="25">
    <w:abstractNumId w:val="4"/>
  </w:num>
  <w:num w:numId="26">
    <w:abstractNumId w:val="0"/>
  </w:num>
  <w:num w:numId="27">
    <w:abstractNumId w:val="20"/>
  </w:num>
  <w:num w:numId="28">
    <w:abstractNumId w:val="30"/>
  </w:num>
  <w:num w:numId="29">
    <w:abstractNumId w:val="9"/>
  </w:num>
  <w:num w:numId="30">
    <w:abstractNumId w:val="37"/>
  </w:num>
  <w:num w:numId="31">
    <w:abstractNumId w:val="42"/>
  </w:num>
  <w:num w:numId="32">
    <w:abstractNumId w:val="26"/>
  </w:num>
  <w:num w:numId="33">
    <w:abstractNumId w:val="17"/>
  </w:num>
  <w:num w:numId="34">
    <w:abstractNumId w:val="16"/>
  </w:num>
  <w:num w:numId="35">
    <w:abstractNumId w:val="10"/>
  </w:num>
  <w:num w:numId="36">
    <w:abstractNumId w:val="27"/>
  </w:num>
  <w:num w:numId="37">
    <w:abstractNumId w:val="22"/>
  </w:num>
  <w:num w:numId="38">
    <w:abstractNumId w:val="19"/>
  </w:num>
  <w:num w:numId="39">
    <w:abstractNumId w:val="25"/>
  </w:num>
  <w:num w:numId="40">
    <w:abstractNumId w:val="15"/>
  </w:num>
  <w:num w:numId="41">
    <w:abstractNumId w:val="36"/>
  </w:num>
  <w:num w:numId="42">
    <w:abstractNumId w:val="40"/>
  </w:num>
  <w:num w:numId="43">
    <w:abstractNumId w:val="34"/>
  </w:num>
  <w:num w:numId="44">
    <w:abstractNumId w:val="41"/>
  </w:num>
  <w:num w:numId="45">
    <w:abstractNumId w:val="5"/>
  </w:num>
  <w:num w:numId="4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0E2E"/>
    <w:rsid w:val="0000268A"/>
    <w:rsid w:val="00002BAD"/>
    <w:rsid w:val="00002EE9"/>
    <w:rsid w:val="00003C6F"/>
    <w:rsid w:val="00003EAD"/>
    <w:rsid w:val="00003FCA"/>
    <w:rsid w:val="000049FC"/>
    <w:rsid w:val="0000552A"/>
    <w:rsid w:val="00005576"/>
    <w:rsid w:val="00005DB1"/>
    <w:rsid w:val="00005DBC"/>
    <w:rsid w:val="00005E56"/>
    <w:rsid w:val="00005E8C"/>
    <w:rsid w:val="000063DD"/>
    <w:rsid w:val="0000696B"/>
    <w:rsid w:val="00006B73"/>
    <w:rsid w:val="000072F3"/>
    <w:rsid w:val="00007B33"/>
    <w:rsid w:val="00007DA4"/>
    <w:rsid w:val="0001032C"/>
    <w:rsid w:val="0001065A"/>
    <w:rsid w:val="0001142F"/>
    <w:rsid w:val="00011935"/>
    <w:rsid w:val="00012F1E"/>
    <w:rsid w:val="00013032"/>
    <w:rsid w:val="00014010"/>
    <w:rsid w:val="00014F08"/>
    <w:rsid w:val="000151D7"/>
    <w:rsid w:val="00015854"/>
    <w:rsid w:val="00016475"/>
    <w:rsid w:val="000174B6"/>
    <w:rsid w:val="00017C4A"/>
    <w:rsid w:val="00017D61"/>
    <w:rsid w:val="00017DD7"/>
    <w:rsid w:val="00020C8D"/>
    <w:rsid w:val="00021EAB"/>
    <w:rsid w:val="00021FAC"/>
    <w:rsid w:val="000221AE"/>
    <w:rsid w:val="00022573"/>
    <w:rsid w:val="00022EE7"/>
    <w:rsid w:val="00024071"/>
    <w:rsid w:val="000242E9"/>
    <w:rsid w:val="0002458B"/>
    <w:rsid w:val="00024907"/>
    <w:rsid w:val="00024942"/>
    <w:rsid w:val="00024B58"/>
    <w:rsid w:val="00024CA8"/>
    <w:rsid w:val="00024D7D"/>
    <w:rsid w:val="000255D5"/>
    <w:rsid w:val="00025BFE"/>
    <w:rsid w:val="00025FD6"/>
    <w:rsid w:val="0002606C"/>
    <w:rsid w:val="000261B9"/>
    <w:rsid w:val="00026651"/>
    <w:rsid w:val="00026884"/>
    <w:rsid w:val="00026994"/>
    <w:rsid w:val="00026E56"/>
    <w:rsid w:val="00027E30"/>
    <w:rsid w:val="00030127"/>
    <w:rsid w:val="000307CC"/>
    <w:rsid w:val="00030E68"/>
    <w:rsid w:val="00032048"/>
    <w:rsid w:val="000320E6"/>
    <w:rsid w:val="00032292"/>
    <w:rsid w:val="0003259F"/>
    <w:rsid w:val="00032E20"/>
    <w:rsid w:val="00033A80"/>
    <w:rsid w:val="00033CD7"/>
    <w:rsid w:val="0003421C"/>
    <w:rsid w:val="000347F5"/>
    <w:rsid w:val="0003484A"/>
    <w:rsid w:val="00034BC8"/>
    <w:rsid w:val="00034E32"/>
    <w:rsid w:val="00035C8A"/>
    <w:rsid w:val="000367B1"/>
    <w:rsid w:val="00037384"/>
    <w:rsid w:val="000374B8"/>
    <w:rsid w:val="00042821"/>
    <w:rsid w:val="00042FB8"/>
    <w:rsid w:val="0004441B"/>
    <w:rsid w:val="000446EB"/>
    <w:rsid w:val="000456DB"/>
    <w:rsid w:val="00045E7C"/>
    <w:rsid w:val="0004710B"/>
    <w:rsid w:val="00047133"/>
    <w:rsid w:val="000472AD"/>
    <w:rsid w:val="00047CBA"/>
    <w:rsid w:val="0005017D"/>
    <w:rsid w:val="000504F5"/>
    <w:rsid w:val="000516C2"/>
    <w:rsid w:val="00053273"/>
    <w:rsid w:val="00053290"/>
    <w:rsid w:val="000532A3"/>
    <w:rsid w:val="00053A02"/>
    <w:rsid w:val="00053C04"/>
    <w:rsid w:val="00053C3B"/>
    <w:rsid w:val="00054B2D"/>
    <w:rsid w:val="00054F4B"/>
    <w:rsid w:val="00055139"/>
    <w:rsid w:val="00055335"/>
    <w:rsid w:val="0005555B"/>
    <w:rsid w:val="00055934"/>
    <w:rsid w:val="00055C32"/>
    <w:rsid w:val="000561FB"/>
    <w:rsid w:val="0005778D"/>
    <w:rsid w:val="0006033B"/>
    <w:rsid w:val="0006038E"/>
    <w:rsid w:val="000603AE"/>
    <w:rsid w:val="00060653"/>
    <w:rsid w:val="000612FF"/>
    <w:rsid w:val="00061848"/>
    <w:rsid w:val="00061DE5"/>
    <w:rsid w:val="00062319"/>
    <w:rsid w:val="00062370"/>
    <w:rsid w:val="00063322"/>
    <w:rsid w:val="000634C5"/>
    <w:rsid w:val="00064983"/>
    <w:rsid w:val="000663F2"/>
    <w:rsid w:val="0006647E"/>
    <w:rsid w:val="000674A2"/>
    <w:rsid w:val="0007078A"/>
    <w:rsid w:val="000708D4"/>
    <w:rsid w:val="00070A5E"/>
    <w:rsid w:val="000711BB"/>
    <w:rsid w:val="0007139E"/>
    <w:rsid w:val="00071BB4"/>
    <w:rsid w:val="00071EEF"/>
    <w:rsid w:val="00072319"/>
    <w:rsid w:val="0007282C"/>
    <w:rsid w:val="00072BA2"/>
    <w:rsid w:val="000734A7"/>
    <w:rsid w:val="000736C5"/>
    <w:rsid w:val="00074E4A"/>
    <w:rsid w:val="00075906"/>
    <w:rsid w:val="000762CA"/>
    <w:rsid w:val="000766DD"/>
    <w:rsid w:val="000768AA"/>
    <w:rsid w:val="000773E9"/>
    <w:rsid w:val="0007763C"/>
    <w:rsid w:val="00077955"/>
    <w:rsid w:val="00077A89"/>
    <w:rsid w:val="000801D7"/>
    <w:rsid w:val="0008065B"/>
    <w:rsid w:val="00080792"/>
    <w:rsid w:val="00081549"/>
    <w:rsid w:val="00081558"/>
    <w:rsid w:val="000815A7"/>
    <w:rsid w:val="00081AA7"/>
    <w:rsid w:val="00081C98"/>
    <w:rsid w:val="0008238E"/>
    <w:rsid w:val="000839D3"/>
    <w:rsid w:val="00083CAE"/>
    <w:rsid w:val="00083D29"/>
    <w:rsid w:val="00083D36"/>
    <w:rsid w:val="000845E5"/>
    <w:rsid w:val="00084F45"/>
    <w:rsid w:val="00085796"/>
    <w:rsid w:val="0008678E"/>
    <w:rsid w:val="000869BA"/>
    <w:rsid w:val="00086FE3"/>
    <w:rsid w:val="00087303"/>
    <w:rsid w:val="00087CA8"/>
    <w:rsid w:val="00090267"/>
    <w:rsid w:val="00090CC4"/>
    <w:rsid w:val="00090DE6"/>
    <w:rsid w:val="0009164C"/>
    <w:rsid w:val="0009184E"/>
    <w:rsid w:val="00091979"/>
    <w:rsid w:val="000919D6"/>
    <w:rsid w:val="00091FDC"/>
    <w:rsid w:val="000926A1"/>
    <w:rsid w:val="000929A5"/>
    <w:rsid w:val="00092EAF"/>
    <w:rsid w:val="00092EC8"/>
    <w:rsid w:val="00093177"/>
    <w:rsid w:val="000931EE"/>
    <w:rsid w:val="00095048"/>
    <w:rsid w:val="00095134"/>
    <w:rsid w:val="00095DC8"/>
    <w:rsid w:val="00096380"/>
    <w:rsid w:val="00096E66"/>
    <w:rsid w:val="000976F2"/>
    <w:rsid w:val="00097B7E"/>
    <w:rsid w:val="000A063A"/>
    <w:rsid w:val="000A275F"/>
    <w:rsid w:val="000A2B31"/>
    <w:rsid w:val="000A366A"/>
    <w:rsid w:val="000A44BB"/>
    <w:rsid w:val="000A4733"/>
    <w:rsid w:val="000A4DDB"/>
    <w:rsid w:val="000A5447"/>
    <w:rsid w:val="000A5620"/>
    <w:rsid w:val="000A5F8C"/>
    <w:rsid w:val="000A6BF3"/>
    <w:rsid w:val="000A7DC7"/>
    <w:rsid w:val="000B0B6A"/>
    <w:rsid w:val="000B0BAA"/>
    <w:rsid w:val="000B0F11"/>
    <w:rsid w:val="000B2AE3"/>
    <w:rsid w:val="000B2E16"/>
    <w:rsid w:val="000B34E4"/>
    <w:rsid w:val="000B38BB"/>
    <w:rsid w:val="000B398B"/>
    <w:rsid w:val="000B3AAE"/>
    <w:rsid w:val="000B4733"/>
    <w:rsid w:val="000B488E"/>
    <w:rsid w:val="000B55D2"/>
    <w:rsid w:val="000B5AA1"/>
    <w:rsid w:val="000B5BEA"/>
    <w:rsid w:val="000B631D"/>
    <w:rsid w:val="000B6562"/>
    <w:rsid w:val="000B782B"/>
    <w:rsid w:val="000C00BD"/>
    <w:rsid w:val="000C02A0"/>
    <w:rsid w:val="000C040B"/>
    <w:rsid w:val="000C11DB"/>
    <w:rsid w:val="000C19ED"/>
    <w:rsid w:val="000C47AB"/>
    <w:rsid w:val="000C4856"/>
    <w:rsid w:val="000C4A54"/>
    <w:rsid w:val="000C4A74"/>
    <w:rsid w:val="000C52D3"/>
    <w:rsid w:val="000C5D6A"/>
    <w:rsid w:val="000C6853"/>
    <w:rsid w:val="000C6D3C"/>
    <w:rsid w:val="000C7911"/>
    <w:rsid w:val="000C7A6A"/>
    <w:rsid w:val="000D058E"/>
    <w:rsid w:val="000D05EE"/>
    <w:rsid w:val="000D10A1"/>
    <w:rsid w:val="000D1145"/>
    <w:rsid w:val="000D19A7"/>
    <w:rsid w:val="000D2208"/>
    <w:rsid w:val="000D2606"/>
    <w:rsid w:val="000D2804"/>
    <w:rsid w:val="000D321C"/>
    <w:rsid w:val="000D359E"/>
    <w:rsid w:val="000D3C2C"/>
    <w:rsid w:val="000D3CA2"/>
    <w:rsid w:val="000D3D3E"/>
    <w:rsid w:val="000D42C6"/>
    <w:rsid w:val="000D4513"/>
    <w:rsid w:val="000D4F33"/>
    <w:rsid w:val="000D6F47"/>
    <w:rsid w:val="000D70D9"/>
    <w:rsid w:val="000D70F4"/>
    <w:rsid w:val="000D763E"/>
    <w:rsid w:val="000D778C"/>
    <w:rsid w:val="000D7A51"/>
    <w:rsid w:val="000E02DA"/>
    <w:rsid w:val="000E0CB6"/>
    <w:rsid w:val="000E16E4"/>
    <w:rsid w:val="000E1785"/>
    <w:rsid w:val="000E1E56"/>
    <w:rsid w:val="000E1E92"/>
    <w:rsid w:val="000E222E"/>
    <w:rsid w:val="000E28F9"/>
    <w:rsid w:val="000E32A9"/>
    <w:rsid w:val="000E339D"/>
    <w:rsid w:val="000E3BCE"/>
    <w:rsid w:val="000E3C6E"/>
    <w:rsid w:val="000E3C93"/>
    <w:rsid w:val="000E46D0"/>
    <w:rsid w:val="000E501B"/>
    <w:rsid w:val="000E561C"/>
    <w:rsid w:val="000E593D"/>
    <w:rsid w:val="000E6148"/>
    <w:rsid w:val="000E6486"/>
    <w:rsid w:val="000E698C"/>
    <w:rsid w:val="000E6A18"/>
    <w:rsid w:val="000E6F57"/>
    <w:rsid w:val="000F0601"/>
    <w:rsid w:val="000F0B59"/>
    <w:rsid w:val="000F1541"/>
    <w:rsid w:val="000F1D58"/>
    <w:rsid w:val="000F2391"/>
    <w:rsid w:val="000F263A"/>
    <w:rsid w:val="000F2C65"/>
    <w:rsid w:val="000F3288"/>
    <w:rsid w:val="000F34AE"/>
    <w:rsid w:val="000F3709"/>
    <w:rsid w:val="000F3CD9"/>
    <w:rsid w:val="000F3FE6"/>
    <w:rsid w:val="000F4BA7"/>
    <w:rsid w:val="000F4BCE"/>
    <w:rsid w:val="000F5764"/>
    <w:rsid w:val="000F5AE2"/>
    <w:rsid w:val="000F5FBD"/>
    <w:rsid w:val="000F6997"/>
    <w:rsid w:val="000F6A54"/>
    <w:rsid w:val="000F6E0B"/>
    <w:rsid w:val="000F7110"/>
    <w:rsid w:val="000F773C"/>
    <w:rsid w:val="000F7C41"/>
    <w:rsid w:val="00100009"/>
    <w:rsid w:val="001002CE"/>
    <w:rsid w:val="001008D7"/>
    <w:rsid w:val="00102485"/>
    <w:rsid w:val="00102C50"/>
    <w:rsid w:val="00102EBE"/>
    <w:rsid w:val="00103650"/>
    <w:rsid w:val="00103BEE"/>
    <w:rsid w:val="0010469B"/>
    <w:rsid w:val="0010473A"/>
    <w:rsid w:val="001048F0"/>
    <w:rsid w:val="00105281"/>
    <w:rsid w:val="00105521"/>
    <w:rsid w:val="00105D36"/>
    <w:rsid w:val="00106333"/>
    <w:rsid w:val="00107024"/>
    <w:rsid w:val="001073EE"/>
    <w:rsid w:val="00107586"/>
    <w:rsid w:val="00107DCC"/>
    <w:rsid w:val="00110018"/>
    <w:rsid w:val="00110489"/>
    <w:rsid w:val="0011048A"/>
    <w:rsid w:val="00110D67"/>
    <w:rsid w:val="001111F6"/>
    <w:rsid w:val="00112517"/>
    <w:rsid w:val="001128A6"/>
    <w:rsid w:val="001130F8"/>
    <w:rsid w:val="00113163"/>
    <w:rsid w:val="001132F4"/>
    <w:rsid w:val="00113E43"/>
    <w:rsid w:val="00114852"/>
    <w:rsid w:val="00114A62"/>
    <w:rsid w:val="00114BF6"/>
    <w:rsid w:val="0011561F"/>
    <w:rsid w:val="00115ADF"/>
    <w:rsid w:val="00115EF2"/>
    <w:rsid w:val="001163DC"/>
    <w:rsid w:val="00116417"/>
    <w:rsid w:val="00117094"/>
    <w:rsid w:val="0011786B"/>
    <w:rsid w:val="00117ED0"/>
    <w:rsid w:val="001200D9"/>
    <w:rsid w:val="0012079B"/>
    <w:rsid w:val="00121DE7"/>
    <w:rsid w:val="0012229B"/>
    <w:rsid w:val="00122E36"/>
    <w:rsid w:val="00123432"/>
    <w:rsid w:val="00123740"/>
    <w:rsid w:val="00123BCC"/>
    <w:rsid w:val="00124A40"/>
    <w:rsid w:val="00125126"/>
    <w:rsid w:val="00125809"/>
    <w:rsid w:val="00126573"/>
    <w:rsid w:val="00126CDE"/>
    <w:rsid w:val="00127B60"/>
    <w:rsid w:val="0013044B"/>
    <w:rsid w:val="00131233"/>
    <w:rsid w:val="00131E29"/>
    <w:rsid w:val="00132AB6"/>
    <w:rsid w:val="00133A99"/>
    <w:rsid w:val="00135841"/>
    <w:rsid w:val="00135F7A"/>
    <w:rsid w:val="00136251"/>
    <w:rsid w:val="001365B9"/>
    <w:rsid w:val="001369A3"/>
    <w:rsid w:val="00137782"/>
    <w:rsid w:val="00137BDD"/>
    <w:rsid w:val="00137D33"/>
    <w:rsid w:val="0014067E"/>
    <w:rsid w:val="0014116E"/>
    <w:rsid w:val="00141C4B"/>
    <w:rsid w:val="00141EA1"/>
    <w:rsid w:val="0014266E"/>
    <w:rsid w:val="00142675"/>
    <w:rsid w:val="00142785"/>
    <w:rsid w:val="001428CC"/>
    <w:rsid w:val="00142AC6"/>
    <w:rsid w:val="00142B94"/>
    <w:rsid w:val="001435C5"/>
    <w:rsid w:val="001435CE"/>
    <w:rsid w:val="00143B1C"/>
    <w:rsid w:val="00143BB8"/>
    <w:rsid w:val="00144EA1"/>
    <w:rsid w:val="001455A2"/>
    <w:rsid w:val="00145648"/>
    <w:rsid w:val="00145A92"/>
    <w:rsid w:val="001464B4"/>
    <w:rsid w:val="00146E27"/>
    <w:rsid w:val="0014794C"/>
    <w:rsid w:val="00147A4A"/>
    <w:rsid w:val="00147A6B"/>
    <w:rsid w:val="00147B21"/>
    <w:rsid w:val="00147B9D"/>
    <w:rsid w:val="00147CB5"/>
    <w:rsid w:val="00147D69"/>
    <w:rsid w:val="001505F8"/>
    <w:rsid w:val="00150BB4"/>
    <w:rsid w:val="00151374"/>
    <w:rsid w:val="001516E3"/>
    <w:rsid w:val="001517CA"/>
    <w:rsid w:val="00151BAF"/>
    <w:rsid w:val="00152020"/>
    <w:rsid w:val="00152A8D"/>
    <w:rsid w:val="00155148"/>
    <w:rsid w:val="00155BF0"/>
    <w:rsid w:val="00156115"/>
    <w:rsid w:val="00156BA7"/>
    <w:rsid w:val="00157F16"/>
    <w:rsid w:val="001602ED"/>
    <w:rsid w:val="001605A7"/>
    <w:rsid w:val="00160CE6"/>
    <w:rsid w:val="00161143"/>
    <w:rsid w:val="0016162C"/>
    <w:rsid w:val="001619EA"/>
    <w:rsid w:val="001626B2"/>
    <w:rsid w:val="00162C42"/>
    <w:rsid w:val="001634BB"/>
    <w:rsid w:val="00163D6D"/>
    <w:rsid w:val="00163FE8"/>
    <w:rsid w:val="001644CC"/>
    <w:rsid w:val="00164F90"/>
    <w:rsid w:val="00165C2F"/>
    <w:rsid w:val="00165DAF"/>
    <w:rsid w:val="0016601E"/>
    <w:rsid w:val="00166148"/>
    <w:rsid w:val="0016771E"/>
    <w:rsid w:val="0016784A"/>
    <w:rsid w:val="001708BA"/>
    <w:rsid w:val="001713DE"/>
    <w:rsid w:val="00171438"/>
    <w:rsid w:val="00171661"/>
    <w:rsid w:val="001716CD"/>
    <w:rsid w:val="00171D0F"/>
    <w:rsid w:val="00171FFB"/>
    <w:rsid w:val="00172038"/>
    <w:rsid w:val="00172210"/>
    <w:rsid w:val="001727A9"/>
    <w:rsid w:val="0017313A"/>
    <w:rsid w:val="00173227"/>
    <w:rsid w:val="00173877"/>
    <w:rsid w:val="001742A5"/>
    <w:rsid w:val="00174ADE"/>
    <w:rsid w:val="00175651"/>
    <w:rsid w:val="00175EE3"/>
    <w:rsid w:val="001763FA"/>
    <w:rsid w:val="00176FFA"/>
    <w:rsid w:val="00177FAE"/>
    <w:rsid w:val="001807B3"/>
    <w:rsid w:val="001809A0"/>
    <w:rsid w:val="00180D21"/>
    <w:rsid w:val="00180F93"/>
    <w:rsid w:val="00181418"/>
    <w:rsid w:val="00181D24"/>
    <w:rsid w:val="0018260B"/>
    <w:rsid w:val="00182F0D"/>
    <w:rsid w:val="001834D9"/>
    <w:rsid w:val="001839DA"/>
    <w:rsid w:val="00183BAA"/>
    <w:rsid w:val="00183C4E"/>
    <w:rsid w:val="00183E0A"/>
    <w:rsid w:val="00184E35"/>
    <w:rsid w:val="001850C2"/>
    <w:rsid w:val="0018553A"/>
    <w:rsid w:val="0018632F"/>
    <w:rsid w:val="00186537"/>
    <w:rsid w:val="001866C2"/>
    <w:rsid w:val="00187EB1"/>
    <w:rsid w:val="001900E7"/>
    <w:rsid w:val="00190153"/>
    <w:rsid w:val="00190D68"/>
    <w:rsid w:val="00191829"/>
    <w:rsid w:val="00191D7B"/>
    <w:rsid w:val="00192344"/>
    <w:rsid w:val="001928DA"/>
    <w:rsid w:val="00193222"/>
    <w:rsid w:val="00193373"/>
    <w:rsid w:val="001942F5"/>
    <w:rsid w:val="001946A6"/>
    <w:rsid w:val="00194723"/>
    <w:rsid w:val="00194F19"/>
    <w:rsid w:val="00195133"/>
    <w:rsid w:val="00195FE1"/>
    <w:rsid w:val="00196070"/>
    <w:rsid w:val="00196360"/>
    <w:rsid w:val="00196C61"/>
    <w:rsid w:val="00197005"/>
    <w:rsid w:val="00197011"/>
    <w:rsid w:val="001971B2"/>
    <w:rsid w:val="001976BD"/>
    <w:rsid w:val="0019781F"/>
    <w:rsid w:val="001A01E4"/>
    <w:rsid w:val="001A149A"/>
    <w:rsid w:val="001A181D"/>
    <w:rsid w:val="001A1A79"/>
    <w:rsid w:val="001A4230"/>
    <w:rsid w:val="001A4D91"/>
    <w:rsid w:val="001A50B3"/>
    <w:rsid w:val="001A6314"/>
    <w:rsid w:val="001A65D7"/>
    <w:rsid w:val="001A70EA"/>
    <w:rsid w:val="001A752E"/>
    <w:rsid w:val="001A78AB"/>
    <w:rsid w:val="001A7DFA"/>
    <w:rsid w:val="001B08FF"/>
    <w:rsid w:val="001B0A1D"/>
    <w:rsid w:val="001B112F"/>
    <w:rsid w:val="001B1A1A"/>
    <w:rsid w:val="001B3138"/>
    <w:rsid w:val="001B3168"/>
    <w:rsid w:val="001B4E2D"/>
    <w:rsid w:val="001B4E6E"/>
    <w:rsid w:val="001B54C2"/>
    <w:rsid w:val="001B6B54"/>
    <w:rsid w:val="001B7AF2"/>
    <w:rsid w:val="001B7C72"/>
    <w:rsid w:val="001B7F2F"/>
    <w:rsid w:val="001C0F87"/>
    <w:rsid w:val="001C19A2"/>
    <w:rsid w:val="001C1DFB"/>
    <w:rsid w:val="001C2454"/>
    <w:rsid w:val="001C2692"/>
    <w:rsid w:val="001C2807"/>
    <w:rsid w:val="001C32F1"/>
    <w:rsid w:val="001C4633"/>
    <w:rsid w:val="001C4BE0"/>
    <w:rsid w:val="001C5D4D"/>
    <w:rsid w:val="001C62E4"/>
    <w:rsid w:val="001C645C"/>
    <w:rsid w:val="001C6603"/>
    <w:rsid w:val="001C6D26"/>
    <w:rsid w:val="001C79C3"/>
    <w:rsid w:val="001C7BF8"/>
    <w:rsid w:val="001D0293"/>
    <w:rsid w:val="001D03CC"/>
    <w:rsid w:val="001D09A7"/>
    <w:rsid w:val="001D0BE7"/>
    <w:rsid w:val="001D0F0A"/>
    <w:rsid w:val="001D124C"/>
    <w:rsid w:val="001D1502"/>
    <w:rsid w:val="001D358A"/>
    <w:rsid w:val="001D381A"/>
    <w:rsid w:val="001D3F98"/>
    <w:rsid w:val="001D40CF"/>
    <w:rsid w:val="001D414E"/>
    <w:rsid w:val="001D528D"/>
    <w:rsid w:val="001D5738"/>
    <w:rsid w:val="001D5C4A"/>
    <w:rsid w:val="001D5D48"/>
    <w:rsid w:val="001D5F59"/>
    <w:rsid w:val="001D64DE"/>
    <w:rsid w:val="001D76FD"/>
    <w:rsid w:val="001E004C"/>
    <w:rsid w:val="001E0E5F"/>
    <w:rsid w:val="001E1199"/>
    <w:rsid w:val="001E1900"/>
    <w:rsid w:val="001E200D"/>
    <w:rsid w:val="001E22EE"/>
    <w:rsid w:val="001E2498"/>
    <w:rsid w:val="001E2BC3"/>
    <w:rsid w:val="001E3713"/>
    <w:rsid w:val="001E373E"/>
    <w:rsid w:val="001E4050"/>
    <w:rsid w:val="001E41B3"/>
    <w:rsid w:val="001E4346"/>
    <w:rsid w:val="001E4457"/>
    <w:rsid w:val="001E50D0"/>
    <w:rsid w:val="001E5A4E"/>
    <w:rsid w:val="001E5FC3"/>
    <w:rsid w:val="001E6EDC"/>
    <w:rsid w:val="001E7362"/>
    <w:rsid w:val="001E7849"/>
    <w:rsid w:val="001F05C3"/>
    <w:rsid w:val="001F0AE3"/>
    <w:rsid w:val="001F183A"/>
    <w:rsid w:val="001F1912"/>
    <w:rsid w:val="001F3483"/>
    <w:rsid w:val="001F35C8"/>
    <w:rsid w:val="001F380B"/>
    <w:rsid w:val="001F52E1"/>
    <w:rsid w:val="001F5481"/>
    <w:rsid w:val="001F574E"/>
    <w:rsid w:val="001F5AE8"/>
    <w:rsid w:val="001F5ECB"/>
    <w:rsid w:val="001F601E"/>
    <w:rsid w:val="001F601F"/>
    <w:rsid w:val="001F6691"/>
    <w:rsid w:val="001F6B2A"/>
    <w:rsid w:val="001F7356"/>
    <w:rsid w:val="001F7E3F"/>
    <w:rsid w:val="001F7FC9"/>
    <w:rsid w:val="001F7FEF"/>
    <w:rsid w:val="002000CF"/>
    <w:rsid w:val="0020024C"/>
    <w:rsid w:val="002007D3"/>
    <w:rsid w:val="0020109D"/>
    <w:rsid w:val="00202108"/>
    <w:rsid w:val="00203749"/>
    <w:rsid w:val="00203C7D"/>
    <w:rsid w:val="0020451B"/>
    <w:rsid w:val="0020497C"/>
    <w:rsid w:val="00204A42"/>
    <w:rsid w:val="00204D8A"/>
    <w:rsid w:val="00205B13"/>
    <w:rsid w:val="00205B18"/>
    <w:rsid w:val="00206937"/>
    <w:rsid w:val="00206FDE"/>
    <w:rsid w:val="00207DAD"/>
    <w:rsid w:val="00210C20"/>
    <w:rsid w:val="0021108A"/>
    <w:rsid w:val="00212343"/>
    <w:rsid w:val="0021243B"/>
    <w:rsid w:val="00212E85"/>
    <w:rsid w:val="00213926"/>
    <w:rsid w:val="00213941"/>
    <w:rsid w:val="00213A84"/>
    <w:rsid w:val="00213C0B"/>
    <w:rsid w:val="00213F9D"/>
    <w:rsid w:val="002148AA"/>
    <w:rsid w:val="00214C14"/>
    <w:rsid w:val="00215374"/>
    <w:rsid w:val="00215B49"/>
    <w:rsid w:val="00215E3F"/>
    <w:rsid w:val="00216FFD"/>
    <w:rsid w:val="0021732B"/>
    <w:rsid w:val="002173ED"/>
    <w:rsid w:val="0021765E"/>
    <w:rsid w:val="00217ABC"/>
    <w:rsid w:val="0022013C"/>
    <w:rsid w:val="002204CF"/>
    <w:rsid w:val="002209CB"/>
    <w:rsid w:val="00220E95"/>
    <w:rsid w:val="00221D88"/>
    <w:rsid w:val="0022268C"/>
    <w:rsid w:val="002227A4"/>
    <w:rsid w:val="00223208"/>
    <w:rsid w:val="0022348C"/>
    <w:rsid w:val="0022356B"/>
    <w:rsid w:val="00224937"/>
    <w:rsid w:val="00224D25"/>
    <w:rsid w:val="00224DFC"/>
    <w:rsid w:val="002250EE"/>
    <w:rsid w:val="0022556B"/>
    <w:rsid w:val="00225E2D"/>
    <w:rsid w:val="00226244"/>
    <w:rsid w:val="0022634C"/>
    <w:rsid w:val="00226918"/>
    <w:rsid w:val="00226DDF"/>
    <w:rsid w:val="00226E06"/>
    <w:rsid w:val="002277B2"/>
    <w:rsid w:val="002302E0"/>
    <w:rsid w:val="00230607"/>
    <w:rsid w:val="00230611"/>
    <w:rsid w:val="00230791"/>
    <w:rsid w:val="0023122A"/>
    <w:rsid w:val="00231315"/>
    <w:rsid w:val="0023145F"/>
    <w:rsid w:val="00231588"/>
    <w:rsid w:val="00231826"/>
    <w:rsid w:val="00232032"/>
    <w:rsid w:val="0023251B"/>
    <w:rsid w:val="002337BE"/>
    <w:rsid w:val="00233F51"/>
    <w:rsid w:val="00233FB9"/>
    <w:rsid w:val="00234665"/>
    <w:rsid w:val="0023466E"/>
    <w:rsid w:val="00234D21"/>
    <w:rsid w:val="002350D4"/>
    <w:rsid w:val="00235796"/>
    <w:rsid w:val="00235F0B"/>
    <w:rsid w:val="00235FC7"/>
    <w:rsid w:val="0023671D"/>
    <w:rsid w:val="00236D23"/>
    <w:rsid w:val="002377C9"/>
    <w:rsid w:val="0023784F"/>
    <w:rsid w:val="00237973"/>
    <w:rsid w:val="00237AC2"/>
    <w:rsid w:val="00237AE7"/>
    <w:rsid w:val="002401DD"/>
    <w:rsid w:val="00240331"/>
    <w:rsid w:val="0024039A"/>
    <w:rsid w:val="002415AD"/>
    <w:rsid w:val="002419CB"/>
    <w:rsid w:val="0024239B"/>
    <w:rsid w:val="00242ED8"/>
    <w:rsid w:val="00243117"/>
    <w:rsid w:val="00245314"/>
    <w:rsid w:val="002457CC"/>
    <w:rsid w:val="00245F61"/>
    <w:rsid w:val="0024670C"/>
    <w:rsid w:val="00246BFA"/>
    <w:rsid w:val="00246FF8"/>
    <w:rsid w:val="002476F8"/>
    <w:rsid w:val="00250D88"/>
    <w:rsid w:val="00251C58"/>
    <w:rsid w:val="00252192"/>
    <w:rsid w:val="00252A13"/>
    <w:rsid w:val="00252A51"/>
    <w:rsid w:val="00252E8E"/>
    <w:rsid w:val="00253B1C"/>
    <w:rsid w:val="00253B41"/>
    <w:rsid w:val="00253DFD"/>
    <w:rsid w:val="002548FD"/>
    <w:rsid w:val="00254B58"/>
    <w:rsid w:val="00254CA7"/>
    <w:rsid w:val="002550F7"/>
    <w:rsid w:val="002576EC"/>
    <w:rsid w:val="00257842"/>
    <w:rsid w:val="002608F5"/>
    <w:rsid w:val="00260C57"/>
    <w:rsid w:val="0026151F"/>
    <w:rsid w:val="002621FC"/>
    <w:rsid w:val="002623E1"/>
    <w:rsid w:val="002626DD"/>
    <w:rsid w:val="00263179"/>
    <w:rsid w:val="0026326C"/>
    <w:rsid w:val="00263626"/>
    <w:rsid w:val="00263684"/>
    <w:rsid w:val="002638EA"/>
    <w:rsid w:val="00263E99"/>
    <w:rsid w:val="00264804"/>
    <w:rsid w:val="00265EF8"/>
    <w:rsid w:val="0026693A"/>
    <w:rsid w:val="00267049"/>
    <w:rsid w:val="00267125"/>
    <w:rsid w:val="002671D3"/>
    <w:rsid w:val="0026728C"/>
    <w:rsid w:val="00267792"/>
    <w:rsid w:val="00267E6F"/>
    <w:rsid w:val="00267F40"/>
    <w:rsid w:val="00270112"/>
    <w:rsid w:val="00270C7B"/>
    <w:rsid w:val="00272265"/>
    <w:rsid w:val="002727FC"/>
    <w:rsid w:val="002734C8"/>
    <w:rsid w:val="00274603"/>
    <w:rsid w:val="002748A3"/>
    <w:rsid w:val="00274B41"/>
    <w:rsid w:val="00274BB2"/>
    <w:rsid w:val="00275559"/>
    <w:rsid w:val="00276A88"/>
    <w:rsid w:val="00276B09"/>
    <w:rsid w:val="00276B10"/>
    <w:rsid w:val="00276BEA"/>
    <w:rsid w:val="00280252"/>
    <w:rsid w:val="002808C0"/>
    <w:rsid w:val="00280EBA"/>
    <w:rsid w:val="00281087"/>
    <w:rsid w:val="0028127C"/>
    <w:rsid w:val="00281689"/>
    <w:rsid w:val="00281BB8"/>
    <w:rsid w:val="002821AF"/>
    <w:rsid w:val="00282858"/>
    <w:rsid w:val="00282F29"/>
    <w:rsid w:val="00283743"/>
    <w:rsid w:val="00284395"/>
    <w:rsid w:val="0028481F"/>
    <w:rsid w:val="00284ED1"/>
    <w:rsid w:val="00286789"/>
    <w:rsid w:val="00287C0B"/>
    <w:rsid w:val="002906AB"/>
    <w:rsid w:val="002907B8"/>
    <w:rsid w:val="00290D4E"/>
    <w:rsid w:val="00291B94"/>
    <w:rsid w:val="00291C6C"/>
    <w:rsid w:val="00292099"/>
    <w:rsid w:val="002921B4"/>
    <w:rsid w:val="002929E1"/>
    <w:rsid w:val="00292C61"/>
    <w:rsid w:val="002937AE"/>
    <w:rsid w:val="0029391F"/>
    <w:rsid w:val="0029404B"/>
    <w:rsid w:val="002944C7"/>
    <w:rsid w:val="002957E8"/>
    <w:rsid w:val="00296BFB"/>
    <w:rsid w:val="0029700E"/>
    <w:rsid w:val="0029703A"/>
    <w:rsid w:val="002971D1"/>
    <w:rsid w:val="00297883"/>
    <w:rsid w:val="00297A0C"/>
    <w:rsid w:val="002A015B"/>
    <w:rsid w:val="002A052A"/>
    <w:rsid w:val="002A08B8"/>
    <w:rsid w:val="002A08FB"/>
    <w:rsid w:val="002A0EB3"/>
    <w:rsid w:val="002A10A1"/>
    <w:rsid w:val="002A1D49"/>
    <w:rsid w:val="002A1D99"/>
    <w:rsid w:val="002A24F9"/>
    <w:rsid w:val="002A2873"/>
    <w:rsid w:val="002A2AE9"/>
    <w:rsid w:val="002A369C"/>
    <w:rsid w:val="002A3A61"/>
    <w:rsid w:val="002A4A0C"/>
    <w:rsid w:val="002A4EC8"/>
    <w:rsid w:val="002A5104"/>
    <w:rsid w:val="002A5137"/>
    <w:rsid w:val="002A68D0"/>
    <w:rsid w:val="002A6A73"/>
    <w:rsid w:val="002A6DC3"/>
    <w:rsid w:val="002A6F14"/>
    <w:rsid w:val="002A719B"/>
    <w:rsid w:val="002A72B5"/>
    <w:rsid w:val="002A79E5"/>
    <w:rsid w:val="002A7CDC"/>
    <w:rsid w:val="002B0683"/>
    <w:rsid w:val="002B0F13"/>
    <w:rsid w:val="002B134A"/>
    <w:rsid w:val="002B2229"/>
    <w:rsid w:val="002B242D"/>
    <w:rsid w:val="002B3C36"/>
    <w:rsid w:val="002B4A0F"/>
    <w:rsid w:val="002B501C"/>
    <w:rsid w:val="002B5090"/>
    <w:rsid w:val="002B5F6B"/>
    <w:rsid w:val="002B6195"/>
    <w:rsid w:val="002B6726"/>
    <w:rsid w:val="002B6B00"/>
    <w:rsid w:val="002B6CFB"/>
    <w:rsid w:val="002B6D74"/>
    <w:rsid w:val="002B6F87"/>
    <w:rsid w:val="002B729C"/>
    <w:rsid w:val="002B768B"/>
    <w:rsid w:val="002C0C90"/>
    <w:rsid w:val="002C107F"/>
    <w:rsid w:val="002C1EF3"/>
    <w:rsid w:val="002C2597"/>
    <w:rsid w:val="002C3461"/>
    <w:rsid w:val="002C34F0"/>
    <w:rsid w:val="002C3802"/>
    <w:rsid w:val="002C395A"/>
    <w:rsid w:val="002C3D84"/>
    <w:rsid w:val="002C3FCC"/>
    <w:rsid w:val="002C4213"/>
    <w:rsid w:val="002C446C"/>
    <w:rsid w:val="002C47E2"/>
    <w:rsid w:val="002C4E06"/>
    <w:rsid w:val="002C5D6A"/>
    <w:rsid w:val="002C6575"/>
    <w:rsid w:val="002C709C"/>
    <w:rsid w:val="002C77CC"/>
    <w:rsid w:val="002D01BD"/>
    <w:rsid w:val="002D01CF"/>
    <w:rsid w:val="002D1084"/>
    <w:rsid w:val="002D2340"/>
    <w:rsid w:val="002D4527"/>
    <w:rsid w:val="002D488A"/>
    <w:rsid w:val="002D4D44"/>
    <w:rsid w:val="002D4DA3"/>
    <w:rsid w:val="002D5332"/>
    <w:rsid w:val="002D554F"/>
    <w:rsid w:val="002D5AFB"/>
    <w:rsid w:val="002D5DC1"/>
    <w:rsid w:val="002D6148"/>
    <w:rsid w:val="002D61A5"/>
    <w:rsid w:val="002D75B5"/>
    <w:rsid w:val="002D774E"/>
    <w:rsid w:val="002E006F"/>
    <w:rsid w:val="002E0D98"/>
    <w:rsid w:val="002E0EEC"/>
    <w:rsid w:val="002E0F91"/>
    <w:rsid w:val="002E175E"/>
    <w:rsid w:val="002E18B6"/>
    <w:rsid w:val="002E22ED"/>
    <w:rsid w:val="002E23D4"/>
    <w:rsid w:val="002E2EF3"/>
    <w:rsid w:val="002E37E8"/>
    <w:rsid w:val="002E52C7"/>
    <w:rsid w:val="002E5604"/>
    <w:rsid w:val="002E6424"/>
    <w:rsid w:val="002E7404"/>
    <w:rsid w:val="002E7620"/>
    <w:rsid w:val="002F0106"/>
    <w:rsid w:val="002F14BC"/>
    <w:rsid w:val="002F1D6E"/>
    <w:rsid w:val="002F2179"/>
    <w:rsid w:val="002F2EC9"/>
    <w:rsid w:val="002F2EDC"/>
    <w:rsid w:val="002F3298"/>
    <w:rsid w:val="002F35CD"/>
    <w:rsid w:val="002F3BD6"/>
    <w:rsid w:val="002F3BE8"/>
    <w:rsid w:val="002F5929"/>
    <w:rsid w:val="002F6A78"/>
    <w:rsid w:val="002F6B88"/>
    <w:rsid w:val="002F78A2"/>
    <w:rsid w:val="002F78F2"/>
    <w:rsid w:val="002F79AC"/>
    <w:rsid w:val="002F7EB4"/>
    <w:rsid w:val="00300BFF"/>
    <w:rsid w:val="00301556"/>
    <w:rsid w:val="00301B57"/>
    <w:rsid w:val="003020A6"/>
    <w:rsid w:val="00302303"/>
    <w:rsid w:val="0030291E"/>
    <w:rsid w:val="00302FCE"/>
    <w:rsid w:val="00303278"/>
    <w:rsid w:val="003039B3"/>
    <w:rsid w:val="00303B83"/>
    <w:rsid w:val="00303E40"/>
    <w:rsid w:val="00303F1D"/>
    <w:rsid w:val="00304474"/>
    <w:rsid w:val="00304D8D"/>
    <w:rsid w:val="00304DB6"/>
    <w:rsid w:val="003053A9"/>
    <w:rsid w:val="003055BF"/>
    <w:rsid w:val="00305728"/>
    <w:rsid w:val="003058CE"/>
    <w:rsid w:val="00305ABC"/>
    <w:rsid w:val="00305C99"/>
    <w:rsid w:val="00306156"/>
    <w:rsid w:val="00306906"/>
    <w:rsid w:val="00306BB9"/>
    <w:rsid w:val="0030708C"/>
    <w:rsid w:val="00310D8E"/>
    <w:rsid w:val="00311F3F"/>
    <w:rsid w:val="003122A6"/>
    <w:rsid w:val="003127BB"/>
    <w:rsid w:val="00312E3E"/>
    <w:rsid w:val="00312F4F"/>
    <w:rsid w:val="00312FB7"/>
    <w:rsid w:val="0031322D"/>
    <w:rsid w:val="00313D36"/>
    <w:rsid w:val="00314497"/>
    <w:rsid w:val="0031458E"/>
    <w:rsid w:val="00314962"/>
    <w:rsid w:val="00315247"/>
    <w:rsid w:val="00315FC3"/>
    <w:rsid w:val="003160B2"/>
    <w:rsid w:val="0031633D"/>
    <w:rsid w:val="003166E9"/>
    <w:rsid w:val="003167E9"/>
    <w:rsid w:val="00316E59"/>
    <w:rsid w:val="00317119"/>
    <w:rsid w:val="00317207"/>
    <w:rsid w:val="003174A1"/>
    <w:rsid w:val="00317523"/>
    <w:rsid w:val="0031764D"/>
    <w:rsid w:val="0031774E"/>
    <w:rsid w:val="0032173F"/>
    <w:rsid w:val="00321DA1"/>
    <w:rsid w:val="0032287F"/>
    <w:rsid w:val="00323B4D"/>
    <w:rsid w:val="003240B0"/>
    <w:rsid w:val="00324723"/>
    <w:rsid w:val="00325788"/>
    <w:rsid w:val="00325BE3"/>
    <w:rsid w:val="00325D29"/>
    <w:rsid w:val="00326E97"/>
    <w:rsid w:val="003273CB"/>
    <w:rsid w:val="00327B85"/>
    <w:rsid w:val="003308A5"/>
    <w:rsid w:val="00330C2C"/>
    <w:rsid w:val="0033102B"/>
    <w:rsid w:val="003319B9"/>
    <w:rsid w:val="00331C50"/>
    <w:rsid w:val="00331E7F"/>
    <w:rsid w:val="00332CDC"/>
    <w:rsid w:val="0033300E"/>
    <w:rsid w:val="0033349E"/>
    <w:rsid w:val="00333ACA"/>
    <w:rsid w:val="00333D82"/>
    <w:rsid w:val="003346A4"/>
    <w:rsid w:val="00334C9E"/>
    <w:rsid w:val="0033533C"/>
    <w:rsid w:val="00335B20"/>
    <w:rsid w:val="0033638C"/>
    <w:rsid w:val="003364BE"/>
    <w:rsid w:val="0033681B"/>
    <w:rsid w:val="003368AA"/>
    <w:rsid w:val="00337885"/>
    <w:rsid w:val="00340D6E"/>
    <w:rsid w:val="0034106C"/>
    <w:rsid w:val="00341929"/>
    <w:rsid w:val="0034246B"/>
    <w:rsid w:val="00342B1C"/>
    <w:rsid w:val="00342C88"/>
    <w:rsid w:val="00342F42"/>
    <w:rsid w:val="00343B8D"/>
    <w:rsid w:val="003442EA"/>
    <w:rsid w:val="00345D24"/>
    <w:rsid w:val="00345E67"/>
    <w:rsid w:val="003460A6"/>
    <w:rsid w:val="003469ED"/>
    <w:rsid w:val="00346B19"/>
    <w:rsid w:val="00346D5F"/>
    <w:rsid w:val="00346E6F"/>
    <w:rsid w:val="00347198"/>
    <w:rsid w:val="003475D9"/>
    <w:rsid w:val="00347873"/>
    <w:rsid w:val="003479EC"/>
    <w:rsid w:val="003501D0"/>
    <w:rsid w:val="00350917"/>
    <w:rsid w:val="00350BA5"/>
    <w:rsid w:val="00351765"/>
    <w:rsid w:val="0035181C"/>
    <w:rsid w:val="003518FB"/>
    <w:rsid w:val="00351A1B"/>
    <w:rsid w:val="0035256A"/>
    <w:rsid w:val="003525BE"/>
    <w:rsid w:val="003527AD"/>
    <w:rsid w:val="00352C6D"/>
    <w:rsid w:val="003533D4"/>
    <w:rsid w:val="00354608"/>
    <w:rsid w:val="00354DCC"/>
    <w:rsid w:val="00355BA8"/>
    <w:rsid w:val="0035616C"/>
    <w:rsid w:val="0035738A"/>
    <w:rsid w:val="003577F9"/>
    <w:rsid w:val="00357C6B"/>
    <w:rsid w:val="00357E91"/>
    <w:rsid w:val="003601BC"/>
    <w:rsid w:val="00360211"/>
    <w:rsid w:val="00361339"/>
    <w:rsid w:val="00361373"/>
    <w:rsid w:val="00361999"/>
    <w:rsid w:val="00361A6E"/>
    <w:rsid w:val="003620D6"/>
    <w:rsid w:val="003627FD"/>
    <w:rsid w:val="0036398F"/>
    <w:rsid w:val="00364275"/>
    <w:rsid w:val="003643CD"/>
    <w:rsid w:val="00364417"/>
    <w:rsid w:val="00364D72"/>
    <w:rsid w:val="003666BD"/>
    <w:rsid w:val="003674BE"/>
    <w:rsid w:val="003676BF"/>
    <w:rsid w:val="003707A5"/>
    <w:rsid w:val="00370B18"/>
    <w:rsid w:val="00370C47"/>
    <w:rsid w:val="0037116A"/>
    <w:rsid w:val="003719B0"/>
    <w:rsid w:val="003719FA"/>
    <w:rsid w:val="00371D38"/>
    <w:rsid w:val="00371E3D"/>
    <w:rsid w:val="00372E29"/>
    <w:rsid w:val="003733C2"/>
    <w:rsid w:val="00373BF8"/>
    <w:rsid w:val="003748C5"/>
    <w:rsid w:val="00374F2E"/>
    <w:rsid w:val="00375092"/>
    <w:rsid w:val="003750E4"/>
    <w:rsid w:val="00375383"/>
    <w:rsid w:val="00375A6E"/>
    <w:rsid w:val="00375D4B"/>
    <w:rsid w:val="0037642C"/>
    <w:rsid w:val="00376677"/>
    <w:rsid w:val="003769E5"/>
    <w:rsid w:val="00377395"/>
    <w:rsid w:val="00380B10"/>
    <w:rsid w:val="00380FED"/>
    <w:rsid w:val="003810B8"/>
    <w:rsid w:val="00381AAA"/>
    <w:rsid w:val="00382214"/>
    <w:rsid w:val="00382628"/>
    <w:rsid w:val="003826A6"/>
    <w:rsid w:val="00382C36"/>
    <w:rsid w:val="00382F46"/>
    <w:rsid w:val="00383ECA"/>
    <w:rsid w:val="0038494E"/>
    <w:rsid w:val="00384C83"/>
    <w:rsid w:val="00384E98"/>
    <w:rsid w:val="00385D7F"/>
    <w:rsid w:val="00385F9A"/>
    <w:rsid w:val="003863EF"/>
    <w:rsid w:val="00386BF4"/>
    <w:rsid w:val="00386C7C"/>
    <w:rsid w:val="00386E24"/>
    <w:rsid w:val="003879A9"/>
    <w:rsid w:val="00387EF1"/>
    <w:rsid w:val="00390097"/>
    <w:rsid w:val="00390265"/>
    <w:rsid w:val="00390B40"/>
    <w:rsid w:val="00390B72"/>
    <w:rsid w:val="0039192E"/>
    <w:rsid w:val="00391965"/>
    <w:rsid w:val="00391A86"/>
    <w:rsid w:val="00391AF1"/>
    <w:rsid w:val="00392765"/>
    <w:rsid w:val="00392B90"/>
    <w:rsid w:val="00393295"/>
    <w:rsid w:val="003939FC"/>
    <w:rsid w:val="003940E3"/>
    <w:rsid w:val="00394867"/>
    <w:rsid w:val="00394CE1"/>
    <w:rsid w:val="00394FC6"/>
    <w:rsid w:val="00395121"/>
    <w:rsid w:val="00395E02"/>
    <w:rsid w:val="00395ED0"/>
    <w:rsid w:val="003967B2"/>
    <w:rsid w:val="00396960"/>
    <w:rsid w:val="00396AD0"/>
    <w:rsid w:val="00396BBC"/>
    <w:rsid w:val="0039709C"/>
    <w:rsid w:val="0039788C"/>
    <w:rsid w:val="003A09D4"/>
    <w:rsid w:val="003A0B09"/>
    <w:rsid w:val="003A150A"/>
    <w:rsid w:val="003A2013"/>
    <w:rsid w:val="003A27C3"/>
    <w:rsid w:val="003A2D94"/>
    <w:rsid w:val="003A350A"/>
    <w:rsid w:val="003A4032"/>
    <w:rsid w:val="003A5365"/>
    <w:rsid w:val="003A574F"/>
    <w:rsid w:val="003A5817"/>
    <w:rsid w:val="003A5AAD"/>
    <w:rsid w:val="003A5B93"/>
    <w:rsid w:val="003A667B"/>
    <w:rsid w:val="003A6B68"/>
    <w:rsid w:val="003A7092"/>
    <w:rsid w:val="003A7AB8"/>
    <w:rsid w:val="003A7B9D"/>
    <w:rsid w:val="003A7BC2"/>
    <w:rsid w:val="003B08EA"/>
    <w:rsid w:val="003B15D0"/>
    <w:rsid w:val="003B2218"/>
    <w:rsid w:val="003B23C6"/>
    <w:rsid w:val="003B3369"/>
    <w:rsid w:val="003B35BF"/>
    <w:rsid w:val="003B3A61"/>
    <w:rsid w:val="003B3F94"/>
    <w:rsid w:val="003B43AF"/>
    <w:rsid w:val="003B4F37"/>
    <w:rsid w:val="003B5176"/>
    <w:rsid w:val="003B5586"/>
    <w:rsid w:val="003B56A2"/>
    <w:rsid w:val="003B5C4D"/>
    <w:rsid w:val="003B61B1"/>
    <w:rsid w:val="003B623D"/>
    <w:rsid w:val="003B7242"/>
    <w:rsid w:val="003B781D"/>
    <w:rsid w:val="003B7CA3"/>
    <w:rsid w:val="003C0033"/>
    <w:rsid w:val="003C0638"/>
    <w:rsid w:val="003C0B09"/>
    <w:rsid w:val="003C10FA"/>
    <w:rsid w:val="003C1945"/>
    <w:rsid w:val="003C3000"/>
    <w:rsid w:val="003C31F1"/>
    <w:rsid w:val="003C3EBE"/>
    <w:rsid w:val="003C410D"/>
    <w:rsid w:val="003C464B"/>
    <w:rsid w:val="003C50F3"/>
    <w:rsid w:val="003C581F"/>
    <w:rsid w:val="003C69DC"/>
    <w:rsid w:val="003C7A60"/>
    <w:rsid w:val="003C7A96"/>
    <w:rsid w:val="003D2197"/>
    <w:rsid w:val="003D2D3B"/>
    <w:rsid w:val="003D2E96"/>
    <w:rsid w:val="003D38C5"/>
    <w:rsid w:val="003D4266"/>
    <w:rsid w:val="003D4286"/>
    <w:rsid w:val="003D45CD"/>
    <w:rsid w:val="003D4BBB"/>
    <w:rsid w:val="003D4C53"/>
    <w:rsid w:val="003D4D32"/>
    <w:rsid w:val="003D564C"/>
    <w:rsid w:val="003D58B9"/>
    <w:rsid w:val="003D5941"/>
    <w:rsid w:val="003D5BDE"/>
    <w:rsid w:val="003D62BD"/>
    <w:rsid w:val="003D7ADB"/>
    <w:rsid w:val="003D7C2D"/>
    <w:rsid w:val="003E04BE"/>
    <w:rsid w:val="003E1018"/>
    <w:rsid w:val="003E2F06"/>
    <w:rsid w:val="003E2F1B"/>
    <w:rsid w:val="003E374F"/>
    <w:rsid w:val="003E4656"/>
    <w:rsid w:val="003E5F16"/>
    <w:rsid w:val="003E609C"/>
    <w:rsid w:val="003E60A7"/>
    <w:rsid w:val="003E6A33"/>
    <w:rsid w:val="003E7903"/>
    <w:rsid w:val="003E7C94"/>
    <w:rsid w:val="003F0616"/>
    <w:rsid w:val="003F0D14"/>
    <w:rsid w:val="003F1007"/>
    <w:rsid w:val="003F123A"/>
    <w:rsid w:val="003F1923"/>
    <w:rsid w:val="003F1AA7"/>
    <w:rsid w:val="003F1D16"/>
    <w:rsid w:val="003F2271"/>
    <w:rsid w:val="003F22C4"/>
    <w:rsid w:val="003F2439"/>
    <w:rsid w:val="003F3A8E"/>
    <w:rsid w:val="003F49AF"/>
    <w:rsid w:val="003F4B2C"/>
    <w:rsid w:val="003F597C"/>
    <w:rsid w:val="003F5F10"/>
    <w:rsid w:val="003F64C3"/>
    <w:rsid w:val="003F6F63"/>
    <w:rsid w:val="003F6FD8"/>
    <w:rsid w:val="00400633"/>
    <w:rsid w:val="004006F4"/>
    <w:rsid w:val="0040102A"/>
    <w:rsid w:val="0040103A"/>
    <w:rsid w:val="0040108D"/>
    <w:rsid w:val="0040118B"/>
    <w:rsid w:val="00401EE9"/>
    <w:rsid w:val="0040249D"/>
    <w:rsid w:val="0040271D"/>
    <w:rsid w:val="00402BFC"/>
    <w:rsid w:val="00403DA0"/>
    <w:rsid w:val="00404699"/>
    <w:rsid w:val="00404FCB"/>
    <w:rsid w:val="00404FFE"/>
    <w:rsid w:val="00405805"/>
    <w:rsid w:val="00405A7A"/>
    <w:rsid w:val="00405ECE"/>
    <w:rsid w:val="004064F4"/>
    <w:rsid w:val="00407A9A"/>
    <w:rsid w:val="00407C0F"/>
    <w:rsid w:val="00407C21"/>
    <w:rsid w:val="00407D35"/>
    <w:rsid w:val="00410C7B"/>
    <w:rsid w:val="00411885"/>
    <w:rsid w:val="00411F41"/>
    <w:rsid w:val="00411F7E"/>
    <w:rsid w:val="00414145"/>
    <w:rsid w:val="004148CE"/>
    <w:rsid w:val="00414E24"/>
    <w:rsid w:val="00415737"/>
    <w:rsid w:val="0041687F"/>
    <w:rsid w:val="00416B98"/>
    <w:rsid w:val="0041727A"/>
    <w:rsid w:val="00417802"/>
    <w:rsid w:val="00417C9F"/>
    <w:rsid w:val="00417D01"/>
    <w:rsid w:val="00417D21"/>
    <w:rsid w:val="00417E69"/>
    <w:rsid w:val="00420F0E"/>
    <w:rsid w:val="004210FD"/>
    <w:rsid w:val="004211A6"/>
    <w:rsid w:val="004215EA"/>
    <w:rsid w:val="004217CE"/>
    <w:rsid w:val="0042197A"/>
    <w:rsid w:val="00421B4C"/>
    <w:rsid w:val="00422014"/>
    <w:rsid w:val="004222F1"/>
    <w:rsid w:val="0042277B"/>
    <w:rsid w:val="0042305D"/>
    <w:rsid w:val="0042398B"/>
    <w:rsid w:val="00423BEB"/>
    <w:rsid w:val="00423ECB"/>
    <w:rsid w:val="0042400D"/>
    <w:rsid w:val="00424143"/>
    <w:rsid w:val="00424635"/>
    <w:rsid w:val="004250B9"/>
    <w:rsid w:val="004261B1"/>
    <w:rsid w:val="00426330"/>
    <w:rsid w:val="004272B4"/>
    <w:rsid w:val="00427A7E"/>
    <w:rsid w:val="00430585"/>
    <w:rsid w:val="00430B87"/>
    <w:rsid w:val="00430C42"/>
    <w:rsid w:val="0043105C"/>
    <w:rsid w:val="00431937"/>
    <w:rsid w:val="00432632"/>
    <w:rsid w:val="00432666"/>
    <w:rsid w:val="0043298B"/>
    <w:rsid w:val="004333F0"/>
    <w:rsid w:val="00433D9E"/>
    <w:rsid w:val="00434271"/>
    <w:rsid w:val="00434AAA"/>
    <w:rsid w:val="00436360"/>
    <w:rsid w:val="004377F2"/>
    <w:rsid w:val="004413AD"/>
    <w:rsid w:val="00441AFD"/>
    <w:rsid w:val="00441BDC"/>
    <w:rsid w:val="00441DCA"/>
    <w:rsid w:val="004421B7"/>
    <w:rsid w:val="004425DF"/>
    <w:rsid w:val="00442ABB"/>
    <w:rsid w:val="00442FF8"/>
    <w:rsid w:val="004430DC"/>
    <w:rsid w:val="004431B6"/>
    <w:rsid w:val="00443449"/>
    <w:rsid w:val="00443663"/>
    <w:rsid w:val="00443EBB"/>
    <w:rsid w:val="004451A2"/>
    <w:rsid w:val="0044540A"/>
    <w:rsid w:val="00445510"/>
    <w:rsid w:val="00445538"/>
    <w:rsid w:val="0044576A"/>
    <w:rsid w:val="0044601E"/>
    <w:rsid w:val="00446060"/>
    <w:rsid w:val="0044613F"/>
    <w:rsid w:val="00447176"/>
    <w:rsid w:val="00450D5C"/>
    <w:rsid w:val="004511C2"/>
    <w:rsid w:val="004516AD"/>
    <w:rsid w:val="0045186F"/>
    <w:rsid w:val="004522DB"/>
    <w:rsid w:val="004527C3"/>
    <w:rsid w:val="00452C46"/>
    <w:rsid w:val="00452C77"/>
    <w:rsid w:val="00452F42"/>
    <w:rsid w:val="0045346D"/>
    <w:rsid w:val="004541F3"/>
    <w:rsid w:val="00454C23"/>
    <w:rsid w:val="00454F52"/>
    <w:rsid w:val="00454FEA"/>
    <w:rsid w:val="00455227"/>
    <w:rsid w:val="004559F0"/>
    <w:rsid w:val="00456B8C"/>
    <w:rsid w:val="00456F1A"/>
    <w:rsid w:val="0045759C"/>
    <w:rsid w:val="0045782B"/>
    <w:rsid w:val="004579E0"/>
    <w:rsid w:val="00460F92"/>
    <w:rsid w:val="00462BCA"/>
    <w:rsid w:val="00462D61"/>
    <w:rsid w:val="004635F1"/>
    <w:rsid w:val="00463816"/>
    <w:rsid w:val="00463C91"/>
    <w:rsid w:val="00463ED4"/>
    <w:rsid w:val="00464001"/>
    <w:rsid w:val="00464317"/>
    <w:rsid w:val="00464362"/>
    <w:rsid w:val="00464C55"/>
    <w:rsid w:val="00464C67"/>
    <w:rsid w:val="00464E3F"/>
    <w:rsid w:val="00465CE2"/>
    <w:rsid w:val="00465DE0"/>
    <w:rsid w:val="0046665A"/>
    <w:rsid w:val="00467C4E"/>
    <w:rsid w:val="00470274"/>
    <w:rsid w:val="0047070F"/>
    <w:rsid w:val="004709FB"/>
    <w:rsid w:val="00471C0F"/>
    <w:rsid w:val="0047286D"/>
    <w:rsid w:val="004729C6"/>
    <w:rsid w:val="00473151"/>
    <w:rsid w:val="00473988"/>
    <w:rsid w:val="00474067"/>
    <w:rsid w:val="0047410E"/>
    <w:rsid w:val="00474782"/>
    <w:rsid w:val="00475998"/>
    <w:rsid w:val="0047675A"/>
    <w:rsid w:val="00477957"/>
    <w:rsid w:val="0048000B"/>
    <w:rsid w:val="004803FA"/>
    <w:rsid w:val="00481074"/>
    <w:rsid w:val="004810ED"/>
    <w:rsid w:val="00481CCE"/>
    <w:rsid w:val="00481E5A"/>
    <w:rsid w:val="00482E23"/>
    <w:rsid w:val="00483DE1"/>
    <w:rsid w:val="00484E09"/>
    <w:rsid w:val="00485452"/>
    <w:rsid w:val="004855D4"/>
    <w:rsid w:val="00485884"/>
    <w:rsid w:val="00485D36"/>
    <w:rsid w:val="00486471"/>
    <w:rsid w:val="004865FA"/>
    <w:rsid w:val="00486618"/>
    <w:rsid w:val="00486711"/>
    <w:rsid w:val="0048672D"/>
    <w:rsid w:val="00486CB0"/>
    <w:rsid w:val="00487259"/>
    <w:rsid w:val="00487905"/>
    <w:rsid w:val="00487F33"/>
    <w:rsid w:val="00490233"/>
    <w:rsid w:val="00490499"/>
    <w:rsid w:val="00490A23"/>
    <w:rsid w:val="00490D1B"/>
    <w:rsid w:val="00491240"/>
    <w:rsid w:val="00491317"/>
    <w:rsid w:val="004915EA"/>
    <w:rsid w:val="00491689"/>
    <w:rsid w:val="004918BC"/>
    <w:rsid w:val="00491A8C"/>
    <w:rsid w:val="00491AC0"/>
    <w:rsid w:val="00492C7A"/>
    <w:rsid w:val="00492EA8"/>
    <w:rsid w:val="00492F9E"/>
    <w:rsid w:val="00493251"/>
    <w:rsid w:val="00493D2F"/>
    <w:rsid w:val="0049401C"/>
    <w:rsid w:val="004941F9"/>
    <w:rsid w:val="004949D1"/>
    <w:rsid w:val="0049541A"/>
    <w:rsid w:val="00496D89"/>
    <w:rsid w:val="0049768D"/>
    <w:rsid w:val="00497FE6"/>
    <w:rsid w:val="004A0401"/>
    <w:rsid w:val="004A0DD3"/>
    <w:rsid w:val="004A0E23"/>
    <w:rsid w:val="004A11A4"/>
    <w:rsid w:val="004A140C"/>
    <w:rsid w:val="004A1487"/>
    <w:rsid w:val="004A202D"/>
    <w:rsid w:val="004A299E"/>
    <w:rsid w:val="004A2CE8"/>
    <w:rsid w:val="004A3238"/>
    <w:rsid w:val="004A3891"/>
    <w:rsid w:val="004A3A22"/>
    <w:rsid w:val="004A469A"/>
    <w:rsid w:val="004A4957"/>
    <w:rsid w:val="004A5F70"/>
    <w:rsid w:val="004A674F"/>
    <w:rsid w:val="004A67FA"/>
    <w:rsid w:val="004A72E3"/>
    <w:rsid w:val="004B0515"/>
    <w:rsid w:val="004B08BD"/>
    <w:rsid w:val="004B094D"/>
    <w:rsid w:val="004B0E4C"/>
    <w:rsid w:val="004B1B6A"/>
    <w:rsid w:val="004B218A"/>
    <w:rsid w:val="004B228A"/>
    <w:rsid w:val="004B2944"/>
    <w:rsid w:val="004B2D4B"/>
    <w:rsid w:val="004B3E3B"/>
    <w:rsid w:val="004B4B35"/>
    <w:rsid w:val="004B4F5F"/>
    <w:rsid w:val="004B5235"/>
    <w:rsid w:val="004B6472"/>
    <w:rsid w:val="004B64EF"/>
    <w:rsid w:val="004B68A0"/>
    <w:rsid w:val="004B6A4F"/>
    <w:rsid w:val="004B6CFE"/>
    <w:rsid w:val="004B7660"/>
    <w:rsid w:val="004B787A"/>
    <w:rsid w:val="004B7C18"/>
    <w:rsid w:val="004B7DB5"/>
    <w:rsid w:val="004C03B2"/>
    <w:rsid w:val="004C06EA"/>
    <w:rsid w:val="004C1225"/>
    <w:rsid w:val="004C122C"/>
    <w:rsid w:val="004C33DF"/>
    <w:rsid w:val="004C3414"/>
    <w:rsid w:val="004C35C3"/>
    <w:rsid w:val="004C3A61"/>
    <w:rsid w:val="004C41D4"/>
    <w:rsid w:val="004C5438"/>
    <w:rsid w:val="004C58C3"/>
    <w:rsid w:val="004C6B62"/>
    <w:rsid w:val="004D035D"/>
    <w:rsid w:val="004D03EB"/>
    <w:rsid w:val="004D077B"/>
    <w:rsid w:val="004D135B"/>
    <w:rsid w:val="004D1595"/>
    <w:rsid w:val="004D1CFA"/>
    <w:rsid w:val="004D223D"/>
    <w:rsid w:val="004D348C"/>
    <w:rsid w:val="004D3661"/>
    <w:rsid w:val="004D383B"/>
    <w:rsid w:val="004D4169"/>
    <w:rsid w:val="004D43EB"/>
    <w:rsid w:val="004D4460"/>
    <w:rsid w:val="004D476D"/>
    <w:rsid w:val="004D479E"/>
    <w:rsid w:val="004D4E5A"/>
    <w:rsid w:val="004D531D"/>
    <w:rsid w:val="004D5C2D"/>
    <w:rsid w:val="004D5DC5"/>
    <w:rsid w:val="004D6B4C"/>
    <w:rsid w:val="004D6FCA"/>
    <w:rsid w:val="004D704A"/>
    <w:rsid w:val="004D70BB"/>
    <w:rsid w:val="004E03B1"/>
    <w:rsid w:val="004E12CE"/>
    <w:rsid w:val="004E1785"/>
    <w:rsid w:val="004E1B1D"/>
    <w:rsid w:val="004E2105"/>
    <w:rsid w:val="004E3108"/>
    <w:rsid w:val="004E31C5"/>
    <w:rsid w:val="004E3E8E"/>
    <w:rsid w:val="004E3FFA"/>
    <w:rsid w:val="004E4383"/>
    <w:rsid w:val="004E441C"/>
    <w:rsid w:val="004E49C0"/>
    <w:rsid w:val="004E588A"/>
    <w:rsid w:val="004E58F2"/>
    <w:rsid w:val="004E5F9C"/>
    <w:rsid w:val="004E622A"/>
    <w:rsid w:val="004E698C"/>
    <w:rsid w:val="004E6C41"/>
    <w:rsid w:val="004F04CF"/>
    <w:rsid w:val="004F0A42"/>
    <w:rsid w:val="004F12FD"/>
    <w:rsid w:val="004F1768"/>
    <w:rsid w:val="004F1A02"/>
    <w:rsid w:val="004F2335"/>
    <w:rsid w:val="004F29A4"/>
    <w:rsid w:val="004F311A"/>
    <w:rsid w:val="004F3CA7"/>
    <w:rsid w:val="004F3FB8"/>
    <w:rsid w:val="004F454A"/>
    <w:rsid w:val="004F4C48"/>
    <w:rsid w:val="004F56BC"/>
    <w:rsid w:val="004F6A67"/>
    <w:rsid w:val="004F73BB"/>
    <w:rsid w:val="004F7E84"/>
    <w:rsid w:val="0050003B"/>
    <w:rsid w:val="00500085"/>
    <w:rsid w:val="0050054D"/>
    <w:rsid w:val="005008C8"/>
    <w:rsid w:val="00500B83"/>
    <w:rsid w:val="00500F9A"/>
    <w:rsid w:val="005013B2"/>
    <w:rsid w:val="0050191A"/>
    <w:rsid w:val="00501CF8"/>
    <w:rsid w:val="005029F3"/>
    <w:rsid w:val="005034A0"/>
    <w:rsid w:val="00503B63"/>
    <w:rsid w:val="00503E0A"/>
    <w:rsid w:val="00505F06"/>
    <w:rsid w:val="00506C1B"/>
    <w:rsid w:val="00507136"/>
    <w:rsid w:val="0050796C"/>
    <w:rsid w:val="0051065B"/>
    <w:rsid w:val="00510A8F"/>
    <w:rsid w:val="00510E6F"/>
    <w:rsid w:val="0051153B"/>
    <w:rsid w:val="0051194C"/>
    <w:rsid w:val="005121A6"/>
    <w:rsid w:val="00512489"/>
    <w:rsid w:val="00513B64"/>
    <w:rsid w:val="00514A6E"/>
    <w:rsid w:val="00514F53"/>
    <w:rsid w:val="00515260"/>
    <w:rsid w:val="00515423"/>
    <w:rsid w:val="005154C0"/>
    <w:rsid w:val="00515988"/>
    <w:rsid w:val="005159E2"/>
    <w:rsid w:val="00515D09"/>
    <w:rsid w:val="0051659C"/>
    <w:rsid w:val="005166FA"/>
    <w:rsid w:val="00516718"/>
    <w:rsid w:val="00516F02"/>
    <w:rsid w:val="00517096"/>
    <w:rsid w:val="005174F1"/>
    <w:rsid w:val="005178B5"/>
    <w:rsid w:val="00520A53"/>
    <w:rsid w:val="00520EE5"/>
    <w:rsid w:val="005210E8"/>
    <w:rsid w:val="00521304"/>
    <w:rsid w:val="0052193F"/>
    <w:rsid w:val="00521ADF"/>
    <w:rsid w:val="0052263D"/>
    <w:rsid w:val="00522845"/>
    <w:rsid w:val="00522B29"/>
    <w:rsid w:val="005232AC"/>
    <w:rsid w:val="00524DAF"/>
    <w:rsid w:val="00525F40"/>
    <w:rsid w:val="005266A0"/>
    <w:rsid w:val="00526800"/>
    <w:rsid w:val="00526B5B"/>
    <w:rsid w:val="00527271"/>
    <w:rsid w:val="00527528"/>
    <w:rsid w:val="00527AC4"/>
    <w:rsid w:val="005302FA"/>
    <w:rsid w:val="00530E19"/>
    <w:rsid w:val="00530E61"/>
    <w:rsid w:val="005318B0"/>
    <w:rsid w:val="00531BA0"/>
    <w:rsid w:val="005324B6"/>
    <w:rsid w:val="005324DB"/>
    <w:rsid w:val="00532531"/>
    <w:rsid w:val="00532766"/>
    <w:rsid w:val="00532A37"/>
    <w:rsid w:val="00532A8F"/>
    <w:rsid w:val="00532D8D"/>
    <w:rsid w:val="00533486"/>
    <w:rsid w:val="00533690"/>
    <w:rsid w:val="00533DCF"/>
    <w:rsid w:val="0053482F"/>
    <w:rsid w:val="005350A0"/>
    <w:rsid w:val="0053515C"/>
    <w:rsid w:val="0053519B"/>
    <w:rsid w:val="00535432"/>
    <w:rsid w:val="0053549C"/>
    <w:rsid w:val="0053572D"/>
    <w:rsid w:val="0053770F"/>
    <w:rsid w:val="00537AF7"/>
    <w:rsid w:val="0054021F"/>
    <w:rsid w:val="005403F1"/>
    <w:rsid w:val="0054076F"/>
    <w:rsid w:val="00540E31"/>
    <w:rsid w:val="0054175B"/>
    <w:rsid w:val="00541A55"/>
    <w:rsid w:val="0054246E"/>
    <w:rsid w:val="00542D59"/>
    <w:rsid w:val="00542D5C"/>
    <w:rsid w:val="0054313B"/>
    <w:rsid w:val="005433C4"/>
    <w:rsid w:val="0054365D"/>
    <w:rsid w:val="00543955"/>
    <w:rsid w:val="00543AA5"/>
    <w:rsid w:val="00544635"/>
    <w:rsid w:val="005449CE"/>
    <w:rsid w:val="0054519D"/>
    <w:rsid w:val="005452E2"/>
    <w:rsid w:val="00545C20"/>
    <w:rsid w:val="00545E5B"/>
    <w:rsid w:val="00545FDB"/>
    <w:rsid w:val="005466A4"/>
    <w:rsid w:val="005468AC"/>
    <w:rsid w:val="00546C9A"/>
    <w:rsid w:val="005476BE"/>
    <w:rsid w:val="00547C7A"/>
    <w:rsid w:val="00550F3E"/>
    <w:rsid w:val="00551587"/>
    <w:rsid w:val="0055165A"/>
    <w:rsid w:val="005518AE"/>
    <w:rsid w:val="00551F8C"/>
    <w:rsid w:val="005529CD"/>
    <w:rsid w:val="00552C54"/>
    <w:rsid w:val="00552FE8"/>
    <w:rsid w:val="005538A5"/>
    <w:rsid w:val="00553CD3"/>
    <w:rsid w:val="00553FE7"/>
    <w:rsid w:val="005540B7"/>
    <w:rsid w:val="00554720"/>
    <w:rsid w:val="00554CDD"/>
    <w:rsid w:val="005550F8"/>
    <w:rsid w:val="00555F57"/>
    <w:rsid w:val="00555FED"/>
    <w:rsid w:val="00556240"/>
    <w:rsid w:val="00556A4C"/>
    <w:rsid w:val="00556B10"/>
    <w:rsid w:val="00556CBE"/>
    <w:rsid w:val="005572E7"/>
    <w:rsid w:val="00557300"/>
    <w:rsid w:val="005579F1"/>
    <w:rsid w:val="00557AEA"/>
    <w:rsid w:val="00560D3B"/>
    <w:rsid w:val="005619C6"/>
    <w:rsid w:val="0056333D"/>
    <w:rsid w:val="005637B5"/>
    <w:rsid w:val="005639C9"/>
    <w:rsid w:val="00563D8F"/>
    <w:rsid w:val="0056404A"/>
    <w:rsid w:val="00564098"/>
    <w:rsid w:val="00564439"/>
    <w:rsid w:val="00564AF9"/>
    <w:rsid w:val="005652B6"/>
    <w:rsid w:val="00565D7D"/>
    <w:rsid w:val="00566522"/>
    <w:rsid w:val="00566727"/>
    <w:rsid w:val="00566789"/>
    <w:rsid w:val="00566BAB"/>
    <w:rsid w:val="00566C6A"/>
    <w:rsid w:val="005677B6"/>
    <w:rsid w:val="005707C3"/>
    <w:rsid w:val="005707F2"/>
    <w:rsid w:val="00570B41"/>
    <w:rsid w:val="00570B52"/>
    <w:rsid w:val="00571109"/>
    <w:rsid w:val="00571D3D"/>
    <w:rsid w:val="00571ECA"/>
    <w:rsid w:val="005725FE"/>
    <w:rsid w:val="0057265D"/>
    <w:rsid w:val="005726C2"/>
    <w:rsid w:val="005727C0"/>
    <w:rsid w:val="00572804"/>
    <w:rsid w:val="0057284C"/>
    <w:rsid w:val="00572CD5"/>
    <w:rsid w:val="00572EEE"/>
    <w:rsid w:val="005738B3"/>
    <w:rsid w:val="005740CB"/>
    <w:rsid w:val="00574176"/>
    <w:rsid w:val="00574538"/>
    <w:rsid w:val="005759EA"/>
    <w:rsid w:val="00576248"/>
    <w:rsid w:val="005762F4"/>
    <w:rsid w:val="00576715"/>
    <w:rsid w:val="00576773"/>
    <w:rsid w:val="0057693B"/>
    <w:rsid w:val="005771ED"/>
    <w:rsid w:val="00577ABA"/>
    <w:rsid w:val="0058005C"/>
    <w:rsid w:val="00580ABF"/>
    <w:rsid w:val="00580E05"/>
    <w:rsid w:val="005810F4"/>
    <w:rsid w:val="00581111"/>
    <w:rsid w:val="0058175E"/>
    <w:rsid w:val="00581E3B"/>
    <w:rsid w:val="00582439"/>
    <w:rsid w:val="005824BB"/>
    <w:rsid w:val="00582684"/>
    <w:rsid w:val="005832D9"/>
    <w:rsid w:val="0058386F"/>
    <w:rsid w:val="005844D1"/>
    <w:rsid w:val="00584F9D"/>
    <w:rsid w:val="005850BD"/>
    <w:rsid w:val="005852DD"/>
    <w:rsid w:val="005857CF"/>
    <w:rsid w:val="0058595F"/>
    <w:rsid w:val="00585CE1"/>
    <w:rsid w:val="005864E3"/>
    <w:rsid w:val="005870D8"/>
    <w:rsid w:val="005877B9"/>
    <w:rsid w:val="005901D3"/>
    <w:rsid w:val="00590477"/>
    <w:rsid w:val="005919C7"/>
    <w:rsid w:val="00591EAD"/>
    <w:rsid w:val="005925EA"/>
    <w:rsid w:val="00592B74"/>
    <w:rsid w:val="005948A5"/>
    <w:rsid w:val="00594AE4"/>
    <w:rsid w:val="00594BF6"/>
    <w:rsid w:val="00594E02"/>
    <w:rsid w:val="00595970"/>
    <w:rsid w:val="00596743"/>
    <w:rsid w:val="005972C8"/>
    <w:rsid w:val="005A0327"/>
    <w:rsid w:val="005A0E20"/>
    <w:rsid w:val="005A1B66"/>
    <w:rsid w:val="005A1B6A"/>
    <w:rsid w:val="005A22EF"/>
    <w:rsid w:val="005A2E8A"/>
    <w:rsid w:val="005A2FAD"/>
    <w:rsid w:val="005A3487"/>
    <w:rsid w:val="005A3548"/>
    <w:rsid w:val="005A3AB2"/>
    <w:rsid w:val="005A4334"/>
    <w:rsid w:val="005A49FF"/>
    <w:rsid w:val="005A4BD7"/>
    <w:rsid w:val="005A4D9D"/>
    <w:rsid w:val="005A4FE5"/>
    <w:rsid w:val="005A501F"/>
    <w:rsid w:val="005A5336"/>
    <w:rsid w:val="005A5587"/>
    <w:rsid w:val="005A5A3A"/>
    <w:rsid w:val="005A65E3"/>
    <w:rsid w:val="005A6652"/>
    <w:rsid w:val="005A68EB"/>
    <w:rsid w:val="005A6997"/>
    <w:rsid w:val="005A7193"/>
    <w:rsid w:val="005A72C3"/>
    <w:rsid w:val="005A7369"/>
    <w:rsid w:val="005B0473"/>
    <w:rsid w:val="005B1050"/>
    <w:rsid w:val="005B111C"/>
    <w:rsid w:val="005B1202"/>
    <w:rsid w:val="005B1884"/>
    <w:rsid w:val="005B20F3"/>
    <w:rsid w:val="005B2244"/>
    <w:rsid w:val="005B26D0"/>
    <w:rsid w:val="005B2959"/>
    <w:rsid w:val="005B2C8D"/>
    <w:rsid w:val="005B2DB1"/>
    <w:rsid w:val="005B2ECB"/>
    <w:rsid w:val="005B323E"/>
    <w:rsid w:val="005B39C7"/>
    <w:rsid w:val="005B4A2C"/>
    <w:rsid w:val="005B4A2E"/>
    <w:rsid w:val="005B4DA0"/>
    <w:rsid w:val="005B4E2F"/>
    <w:rsid w:val="005B5897"/>
    <w:rsid w:val="005B5BD4"/>
    <w:rsid w:val="005B5C10"/>
    <w:rsid w:val="005B6074"/>
    <w:rsid w:val="005B6283"/>
    <w:rsid w:val="005B643E"/>
    <w:rsid w:val="005B6A7E"/>
    <w:rsid w:val="005B6D12"/>
    <w:rsid w:val="005B6E82"/>
    <w:rsid w:val="005B7286"/>
    <w:rsid w:val="005B7A1D"/>
    <w:rsid w:val="005B7C87"/>
    <w:rsid w:val="005B7CF5"/>
    <w:rsid w:val="005C0A3D"/>
    <w:rsid w:val="005C0B20"/>
    <w:rsid w:val="005C0E17"/>
    <w:rsid w:val="005C0EAD"/>
    <w:rsid w:val="005C143F"/>
    <w:rsid w:val="005C14A0"/>
    <w:rsid w:val="005C1AF5"/>
    <w:rsid w:val="005C233A"/>
    <w:rsid w:val="005C2446"/>
    <w:rsid w:val="005C2987"/>
    <w:rsid w:val="005C31BE"/>
    <w:rsid w:val="005C31C1"/>
    <w:rsid w:val="005C36A2"/>
    <w:rsid w:val="005C421C"/>
    <w:rsid w:val="005C4661"/>
    <w:rsid w:val="005C51C0"/>
    <w:rsid w:val="005C5379"/>
    <w:rsid w:val="005C5AA5"/>
    <w:rsid w:val="005C5C6A"/>
    <w:rsid w:val="005C777D"/>
    <w:rsid w:val="005C79E8"/>
    <w:rsid w:val="005C7E11"/>
    <w:rsid w:val="005D06BB"/>
    <w:rsid w:val="005D0F8E"/>
    <w:rsid w:val="005D12CE"/>
    <w:rsid w:val="005D13A6"/>
    <w:rsid w:val="005D16BF"/>
    <w:rsid w:val="005D21DA"/>
    <w:rsid w:val="005D2BA4"/>
    <w:rsid w:val="005D2D54"/>
    <w:rsid w:val="005D33A6"/>
    <w:rsid w:val="005D3E18"/>
    <w:rsid w:val="005D4F65"/>
    <w:rsid w:val="005D5264"/>
    <w:rsid w:val="005D5C97"/>
    <w:rsid w:val="005D75CB"/>
    <w:rsid w:val="005D790D"/>
    <w:rsid w:val="005D7E2B"/>
    <w:rsid w:val="005E036F"/>
    <w:rsid w:val="005E0E5C"/>
    <w:rsid w:val="005E0FE5"/>
    <w:rsid w:val="005E1884"/>
    <w:rsid w:val="005E1B37"/>
    <w:rsid w:val="005E1DFB"/>
    <w:rsid w:val="005E20FD"/>
    <w:rsid w:val="005E21CE"/>
    <w:rsid w:val="005E2BA4"/>
    <w:rsid w:val="005E2C55"/>
    <w:rsid w:val="005E40DA"/>
    <w:rsid w:val="005E456B"/>
    <w:rsid w:val="005E464B"/>
    <w:rsid w:val="005E482D"/>
    <w:rsid w:val="005E4CD8"/>
    <w:rsid w:val="005E538C"/>
    <w:rsid w:val="005E555C"/>
    <w:rsid w:val="005E75E7"/>
    <w:rsid w:val="005E75E9"/>
    <w:rsid w:val="005E7645"/>
    <w:rsid w:val="005E7EBD"/>
    <w:rsid w:val="005F06D4"/>
    <w:rsid w:val="005F0776"/>
    <w:rsid w:val="005F079B"/>
    <w:rsid w:val="005F0D9A"/>
    <w:rsid w:val="005F1A66"/>
    <w:rsid w:val="005F1B6E"/>
    <w:rsid w:val="005F20B4"/>
    <w:rsid w:val="005F211C"/>
    <w:rsid w:val="005F2476"/>
    <w:rsid w:val="005F24D3"/>
    <w:rsid w:val="005F2712"/>
    <w:rsid w:val="005F2A03"/>
    <w:rsid w:val="005F2B21"/>
    <w:rsid w:val="005F325C"/>
    <w:rsid w:val="005F3D98"/>
    <w:rsid w:val="005F4175"/>
    <w:rsid w:val="005F4247"/>
    <w:rsid w:val="005F54C3"/>
    <w:rsid w:val="005F57F4"/>
    <w:rsid w:val="005F58A4"/>
    <w:rsid w:val="005F5F76"/>
    <w:rsid w:val="005F6300"/>
    <w:rsid w:val="005F7170"/>
    <w:rsid w:val="005F72CA"/>
    <w:rsid w:val="005F7ED5"/>
    <w:rsid w:val="005F7F4A"/>
    <w:rsid w:val="00600206"/>
    <w:rsid w:val="006006D7"/>
    <w:rsid w:val="0060080E"/>
    <w:rsid w:val="00600FBF"/>
    <w:rsid w:val="0060100B"/>
    <w:rsid w:val="006023D2"/>
    <w:rsid w:val="006026CE"/>
    <w:rsid w:val="0060286D"/>
    <w:rsid w:val="00602BD0"/>
    <w:rsid w:val="00602F5C"/>
    <w:rsid w:val="00603D93"/>
    <w:rsid w:val="0060468D"/>
    <w:rsid w:val="00604E4C"/>
    <w:rsid w:val="006053DC"/>
    <w:rsid w:val="0060592B"/>
    <w:rsid w:val="00606269"/>
    <w:rsid w:val="00606592"/>
    <w:rsid w:val="00606949"/>
    <w:rsid w:val="00607D31"/>
    <w:rsid w:val="00610794"/>
    <w:rsid w:val="00610B65"/>
    <w:rsid w:val="00610EEA"/>
    <w:rsid w:val="006114F5"/>
    <w:rsid w:val="0061296B"/>
    <w:rsid w:val="00613242"/>
    <w:rsid w:val="006144F3"/>
    <w:rsid w:val="00616293"/>
    <w:rsid w:val="006167F5"/>
    <w:rsid w:val="00616B92"/>
    <w:rsid w:val="00616FCC"/>
    <w:rsid w:val="0061747D"/>
    <w:rsid w:val="006176E9"/>
    <w:rsid w:val="006179D9"/>
    <w:rsid w:val="006206D0"/>
    <w:rsid w:val="00621511"/>
    <w:rsid w:val="00621794"/>
    <w:rsid w:val="00621C9D"/>
    <w:rsid w:val="00621D46"/>
    <w:rsid w:val="006222DD"/>
    <w:rsid w:val="00622804"/>
    <w:rsid w:val="006229AA"/>
    <w:rsid w:val="00623057"/>
    <w:rsid w:val="00623291"/>
    <w:rsid w:val="0062332B"/>
    <w:rsid w:val="0062348E"/>
    <w:rsid w:val="00623834"/>
    <w:rsid w:val="00624678"/>
    <w:rsid w:val="006259C3"/>
    <w:rsid w:val="00626287"/>
    <w:rsid w:val="00626EDF"/>
    <w:rsid w:val="006272A4"/>
    <w:rsid w:val="00627A8A"/>
    <w:rsid w:val="006300B5"/>
    <w:rsid w:val="00631083"/>
    <w:rsid w:val="00631862"/>
    <w:rsid w:val="00631FFB"/>
    <w:rsid w:val="00632FCC"/>
    <w:rsid w:val="00633223"/>
    <w:rsid w:val="00633332"/>
    <w:rsid w:val="00633CEF"/>
    <w:rsid w:val="00633E48"/>
    <w:rsid w:val="00633FBC"/>
    <w:rsid w:val="00634057"/>
    <w:rsid w:val="00634178"/>
    <w:rsid w:val="00634924"/>
    <w:rsid w:val="00634AE8"/>
    <w:rsid w:val="00634B85"/>
    <w:rsid w:val="006353FB"/>
    <w:rsid w:val="006355E5"/>
    <w:rsid w:val="00635A73"/>
    <w:rsid w:val="00635D37"/>
    <w:rsid w:val="00635E77"/>
    <w:rsid w:val="00636097"/>
    <w:rsid w:val="0063713D"/>
    <w:rsid w:val="00637C48"/>
    <w:rsid w:val="0064180F"/>
    <w:rsid w:val="00642F23"/>
    <w:rsid w:val="0064330B"/>
    <w:rsid w:val="0064375F"/>
    <w:rsid w:val="006447FE"/>
    <w:rsid w:val="0064578E"/>
    <w:rsid w:val="006464C8"/>
    <w:rsid w:val="00646B96"/>
    <w:rsid w:val="00646C88"/>
    <w:rsid w:val="0064797D"/>
    <w:rsid w:val="0065062F"/>
    <w:rsid w:val="00651290"/>
    <w:rsid w:val="0065167F"/>
    <w:rsid w:val="006519B5"/>
    <w:rsid w:val="00651AC6"/>
    <w:rsid w:val="00652506"/>
    <w:rsid w:val="006529E0"/>
    <w:rsid w:val="0065328D"/>
    <w:rsid w:val="006538EB"/>
    <w:rsid w:val="00653A71"/>
    <w:rsid w:val="00653E1E"/>
    <w:rsid w:val="006540E5"/>
    <w:rsid w:val="00654334"/>
    <w:rsid w:val="00654666"/>
    <w:rsid w:val="0065475B"/>
    <w:rsid w:val="00654A69"/>
    <w:rsid w:val="00654DEC"/>
    <w:rsid w:val="0065580F"/>
    <w:rsid w:val="00655AD8"/>
    <w:rsid w:val="00655F41"/>
    <w:rsid w:val="00656726"/>
    <w:rsid w:val="00656C54"/>
    <w:rsid w:val="00657039"/>
    <w:rsid w:val="00657281"/>
    <w:rsid w:val="00657483"/>
    <w:rsid w:val="00657CC7"/>
    <w:rsid w:val="00657D98"/>
    <w:rsid w:val="00660084"/>
    <w:rsid w:val="006606F2"/>
    <w:rsid w:val="00660994"/>
    <w:rsid w:val="006619CF"/>
    <w:rsid w:val="00662CA8"/>
    <w:rsid w:val="00662D9F"/>
    <w:rsid w:val="00662EC8"/>
    <w:rsid w:val="0066331B"/>
    <w:rsid w:val="00663A02"/>
    <w:rsid w:val="00664233"/>
    <w:rsid w:val="00664F10"/>
    <w:rsid w:val="00664F18"/>
    <w:rsid w:val="00665684"/>
    <w:rsid w:val="0066574D"/>
    <w:rsid w:val="00666BD5"/>
    <w:rsid w:val="00666D4E"/>
    <w:rsid w:val="0066756A"/>
    <w:rsid w:val="00667870"/>
    <w:rsid w:val="00667984"/>
    <w:rsid w:val="00667B9B"/>
    <w:rsid w:val="006701CD"/>
    <w:rsid w:val="0067089A"/>
    <w:rsid w:val="00670C20"/>
    <w:rsid w:val="00670C80"/>
    <w:rsid w:val="00670CA3"/>
    <w:rsid w:val="00671137"/>
    <w:rsid w:val="00671FF8"/>
    <w:rsid w:val="006725A3"/>
    <w:rsid w:val="006729A1"/>
    <w:rsid w:val="00673D07"/>
    <w:rsid w:val="0067405E"/>
    <w:rsid w:val="00674121"/>
    <w:rsid w:val="006741E8"/>
    <w:rsid w:val="00674E0B"/>
    <w:rsid w:val="00675270"/>
    <w:rsid w:val="00675527"/>
    <w:rsid w:val="0067561E"/>
    <w:rsid w:val="00675726"/>
    <w:rsid w:val="00675E5E"/>
    <w:rsid w:val="006767E2"/>
    <w:rsid w:val="00676B00"/>
    <w:rsid w:val="00677E12"/>
    <w:rsid w:val="00680943"/>
    <w:rsid w:val="00681190"/>
    <w:rsid w:val="00681B17"/>
    <w:rsid w:val="00681E06"/>
    <w:rsid w:val="00682114"/>
    <w:rsid w:val="00682379"/>
    <w:rsid w:val="0068244E"/>
    <w:rsid w:val="006828F2"/>
    <w:rsid w:val="00682D09"/>
    <w:rsid w:val="00682E76"/>
    <w:rsid w:val="006840E6"/>
    <w:rsid w:val="0068478C"/>
    <w:rsid w:val="00684C76"/>
    <w:rsid w:val="00685196"/>
    <w:rsid w:val="006857EB"/>
    <w:rsid w:val="00685E65"/>
    <w:rsid w:val="0068606D"/>
    <w:rsid w:val="006860E0"/>
    <w:rsid w:val="00687956"/>
    <w:rsid w:val="00690000"/>
    <w:rsid w:val="00690051"/>
    <w:rsid w:val="00690244"/>
    <w:rsid w:val="006907DF"/>
    <w:rsid w:val="00690D21"/>
    <w:rsid w:val="00692D99"/>
    <w:rsid w:val="006939C6"/>
    <w:rsid w:val="00693ABF"/>
    <w:rsid w:val="00694116"/>
    <w:rsid w:val="00694510"/>
    <w:rsid w:val="00694821"/>
    <w:rsid w:val="00694ADA"/>
    <w:rsid w:val="00694EA4"/>
    <w:rsid w:val="0069535B"/>
    <w:rsid w:val="00695723"/>
    <w:rsid w:val="00695979"/>
    <w:rsid w:val="0069699B"/>
    <w:rsid w:val="00696A09"/>
    <w:rsid w:val="00696B62"/>
    <w:rsid w:val="00697474"/>
    <w:rsid w:val="0069790A"/>
    <w:rsid w:val="00697DB7"/>
    <w:rsid w:val="006A02EE"/>
    <w:rsid w:val="006A08E3"/>
    <w:rsid w:val="006A0B21"/>
    <w:rsid w:val="006A10B0"/>
    <w:rsid w:val="006A1B64"/>
    <w:rsid w:val="006A34E5"/>
    <w:rsid w:val="006A354C"/>
    <w:rsid w:val="006A4486"/>
    <w:rsid w:val="006A5053"/>
    <w:rsid w:val="006A5C53"/>
    <w:rsid w:val="006A6656"/>
    <w:rsid w:val="006A68CA"/>
    <w:rsid w:val="006A6D1D"/>
    <w:rsid w:val="006A79EA"/>
    <w:rsid w:val="006B0343"/>
    <w:rsid w:val="006B0FDF"/>
    <w:rsid w:val="006B173E"/>
    <w:rsid w:val="006B19A3"/>
    <w:rsid w:val="006B1A63"/>
    <w:rsid w:val="006B2A9B"/>
    <w:rsid w:val="006B2D8C"/>
    <w:rsid w:val="006B31FE"/>
    <w:rsid w:val="006B48CC"/>
    <w:rsid w:val="006B4E7B"/>
    <w:rsid w:val="006B5CD0"/>
    <w:rsid w:val="006B6415"/>
    <w:rsid w:val="006B6B93"/>
    <w:rsid w:val="006B6ED7"/>
    <w:rsid w:val="006B6F26"/>
    <w:rsid w:val="006B7D2A"/>
    <w:rsid w:val="006B7DAC"/>
    <w:rsid w:val="006B7E52"/>
    <w:rsid w:val="006C0423"/>
    <w:rsid w:val="006C0ECC"/>
    <w:rsid w:val="006C144C"/>
    <w:rsid w:val="006C14CF"/>
    <w:rsid w:val="006C1AC3"/>
    <w:rsid w:val="006C1E41"/>
    <w:rsid w:val="006C2D42"/>
    <w:rsid w:val="006C30B5"/>
    <w:rsid w:val="006C4658"/>
    <w:rsid w:val="006C4A73"/>
    <w:rsid w:val="006C4ABC"/>
    <w:rsid w:val="006C4EBC"/>
    <w:rsid w:val="006C5ECB"/>
    <w:rsid w:val="006C6071"/>
    <w:rsid w:val="006C6582"/>
    <w:rsid w:val="006C6F72"/>
    <w:rsid w:val="006C71A2"/>
    <w:rsid w:val="006C71B8"/>
    <w:rsid w:val="006C78CB"/>
    <w:rsid w:val="006D1DC5"/>
    <w:rsid w:val="006D2C63"/>
    <w:rsid w:val="006D2CBF"/>
    <w:rsid w:val="006D3AAF"/>
    <w:rsid w:val="006D3C3D"/>
    <w:rsid w:val="006D3C8E"/>
    <w:rsid w:val="006D4314"/>
    <w:rsid w:val="006D44F4"/>
    <w:rsid w:val="006D50D8"/>
    <w:rsid w:val="006D5367"/>
    <w:rsid w:val="006D66D2"/>
    <w:rsid w:val="006D72EA"/>
    <w:rsid w:val="006D7398"/>
    <w:rsid w:val="006D76A9"/>
    <w:rsid w:val="006D7716"/>
    <w:rsid w:val="006E026A"/>
    <w:rsid w:val="006E033A"/>
    <w:rsid w:val="006E04FC"/>
    <w:rsid w:val="006E05B8"/>
    <w:rsid w:val="006E0953"/>
    <w:rsid w:val="006E09FF"/>
    <w:rsid w:val="006E0A21"/>
    <w:rsid w:val="006E10DD"/>
    <w:rsid w:val="006E1E04"/>
    <w:rsid w:val="006E2948"/>
    <w:rsid w:val="006E31BC"/>
    <w:rsid w:val="006E37F8"/>
    <w:rsid w:val="006E3FA4"/>
    <w:rsid w:val="006E45DE"/>
    <w:rsid w:val="006E543E"/>
    <w:rsid w:val="006E66F5"/>
    <w:rsid w:val="006E68D9"/>
    <w:rsid w:val="006E6963"/>
    <w:rsid w:val="006E6EE9"/>
    <w:rsid w:val="006E72EA"/>
    <w:rsid w:val="006E74CB"/>
    <w:rsid w:val="006F00F0"/>
    <w:rsid w:val="006F0248"/>
    <w:rsid w:val="006F04B3"/>
    <w:rsid w:val="006F0922"/>
    <w:rsid w:val="006F1A60"/>
    <w:rsid w:val="006F1E97"/>
    <w:rsid w:val="006F20B9"/>
    <w:rsid w:val="006F21E9"/>
    <w:rsid w:val="006F221C"/>
    <w:rsid w:val="006F23A2"/>
    <w:rsid w:val="006F26F3"/>
    <w:rsid w:val="006F2BF8"/>
    <w:rsid w:val="006F2CE0"/>
    <w:rsid w:val="006F2EC7"/>
    <w:rsid w:val="006F34C2"/>
    <w:rsid w:val="006F3B72"/>
    <w:rsid w:val="006F405E"/>
    <w:rsid w:val="006F4661"/>
    <w:rsid w:val="006F4CBE"/>
    <w:rsid w:val="006F4D97"/>
    <w:rsid w:val="006F52E9"/>
    <w:rsid w:val="006F5516"/>
    <w:rsid w:val="006F55C8"/>
    <w:rsid w:val="006F58D4"/>
    <w:rsid w:val="006F5E45"/>
    <w:rsid w:val="006F69ED"/>
    <w:rsid w:val="006F7615"/>
    <w:rsid w:val="006F7837"/>
    <w:rsid w:val="0070014A"/>
    <w:rsid w:val="00700D64"/>
    <w:rsid w:val="00701393"/>
    <w:rsid w:val="0070143E"/>
    <w:rsid w:val="00701468"/>
    <w:rsid w:val="00701B17"/>
    <w:rsid w:val="00703449"/>
    <w:rsid w:val="007034A7"/>
    <w:rsid w:val="007037DA"/>
    <w:rsid w:val="00704A37"/>
    <w:rsid w:val="00705584"/>
    <w:rsid w:val="00705AA0"/>
    <w:rsid w:val="00706074"/>
    <w:rsid w:val="00706094"/>
    <w:rsid w:val="00706AAF"/>
    <w:rsid w:val="00706AED"/>
    <w:rsid w:val="0070737C"/>
    <w:rsid w:val="007077AE"/>
    <w:rsid w:val="007077FF"/>
    <w:rsid w:val="0071091D"/>
    <w:rsid w:val="00710E9F"/>
    <w:rsid w:val="00711151"/>
    <w:rsid w:val="00711B86"/>
    <w:rsid w:val="00711B87"/>
    <w:rsid w:val="00711CC5"/>
    <w:rsid w:val="00712335"/>
    <w:rsid w:val="00712473"/>
    <w:rsid w:val="00712FA2"/>
    <w:rsid w:val="0071409B"/>
    <w:rsid w:val="00714987"/>
    <w:rsid w:val="00714FB5"/>
    <w:rsid w:val="007150E3"/>
    <w:rsid w:val="00715101"/>
    <w:rsid w:val="00715955"/>
    <w:rsid w:val="00715C0A"/>
    <w:rsid w:val="00715E1C"/>
    <w:rsid w:val="00715E50"/>
    <w:rsid w:val="00716159"/>
    <w:rsid w:val="007169DB"/>
    <w:rsid w:val="00716AD6"/>
    <w:rsid w:val="007170FF"/>
    <w:rsid w:val="00717480"/>
    <w:rsid w:val="00717B4E"/>
    <w:rsid w:val="00717D02"/>
    <w:rsid w:val="00717E0E"/>
    <w:rsid w:val="00717EDC"/>
    <w:rsid w:val="00721BE2"/>
    <w:rsid w:val="007225E3"/>
    <w:rsid w:val="00722655"/>
    <w:rsid w:val="00722E42"/>
    <w:rsid w:val="007233CF"/>
    <w:rsid w:val="00723CC6"/>
    <w:rsid w:val="007248BE"/>
    <w:rsid w:val="007249EF"/>
    <w:rsid w:val="00725613"/>
    <w:rsid w:val="00726634"/>
    <w:rsid w:val="00726C79"/>
    <w:rsid w:val="00726EA1"/>
    <w:rsid w:val="00726F2B"/>
    <w:rsid w:val="00726F68"/>
    <w:rsid w:val="0072705E"/>
    <w:rsid w:val="00727105"/>
    <w:rsid w:val="00727834"/>
    <w:rsid w:val="0072783C"/>
    <w:rsid w:val="00727FF1"/>
    <w:rsid w:val="007306CE"/>
    <w:rsid w:val="0073080D"/>
    <w:rsid w:val="00731AA2"/>
    <w:rsid w:val="007324CC"/>
    <w:rsid w:val="00734223"/>
    <w:rsid w:val="0073463E"/>
    <w:rsid w:val="00735166"/>
    <w:rsid w:val="00736144"/>
    <w:rsid w:val="007368E8"/>
    <w:rsid w:val="00736EE2"/>
    <w:rsid w:val="00737062"/>
    <w:rsid w:val="00737888"/>
    <w:rsid w:val="00740843"/>
    <w:rsid w:val="00740EF6"/>
    <w:rsid w:val="00741103"/>
    <w:rsid w:val="00741755"/>
    <w:rsid w:val="00741A96"/>
    <w:rsid w:val="00741BE7"/>
    <w:rsid w:val="00741FAC"/>
    <w:rsid w:val="0074221F"/>
    <w:rsid w:val="007427B0"/>
    <w:rsid w:val="007429A8"/>
    <w:rsid w:val="007430AA"/>
    <w:rsid w:val="0074352D"/>
    <w:rsid w:val="00743763"/>
    <w:rsid w:val="00743AFF"/>
    <w:rsid w:val="00743BBE"/>
    <w:rsid w:val="00743F99"/>
    <w:rsid w:val="007440E0"/>
    <w:rsid w:val="0074429A"/>
    <w:rsid w:val="007445CF"/>
    <w:rsid w:val="00744A5F"/>
    <w:rsid w:val="007453BF"/>
    <w:rsid w:val="007464C4"/>
    <w:rsid w:val="00746E68"/>
    <w:rsid w:val="00747B03"/>
    <w:rsid w:val="0075029F"/>
    <w:rsid w:val="0075061C"/>
    <w:rsid w:val="0075065F"/>
    <w:rsid w:val="00750B9A"/>
    <w:rsid w:val="007511C3"/>
    <w:rsid w:val="00751428"/>
    <w:rsid w:val="007516B0"/>
    <w:rsid w:val="00751991"/>
    <w:rsid w:val="007519A1"/>
    <w:rsid w:val="0075279E"/>
    <w:rsid w:val="0075367C"/>
    <w:rsid w:val="00754D49"/>
    <w:rsid w:val="0075534A"/>
    <w:rsid w:val="00755730"/>
    <w:rsid w:val="0075598D"/>
    <w:rsid w:val="007568F7"/>
    <w:rsid w:val="00756AD2"/>
    <w:rsid w:val="0075723C"/>
    <w:rsid w:val="00757AF7"/>
    <w:rsid w:val="007604AF"/>
    <w:rsid w:val="00760974"/>
    <w:rsid w:val="00763817"/>
    <w:rsid w:val="0076424A"/>
    <w:rsid w:val="00764443"/>
    <w:rsid w:val="0076484D"/>
    <w:rsid w:val="00766618"/>
    <w:rsid w:val="00767620"/>
    <w:rsid w:val="007678D9"/>
    <w:rsid w:val="00767BF7"/>
    <w:rsid w:val="00767ED9"/>
    <w:rsid w:val="00770108"/>
    <w:rsid w:val="007717A6"/>
    <w:rsid w:val="00771C52"/>
    <w:rsid w:val="00771D9A"/>
    <w:rsid w:val="00771F90"/>
    <w:rsid w:val="007720C7"/>
    <w:rsid w:val="00773253"/>
    <w:rsid w:val="00773498"/>
    <w:rsid w:val="007738F3"/>
    <w:rsid w:val="007739D1"/>
    <w:rsid w:val="00773A52"/>
    <w:rsid w:val="00774991"/>
    <w:rsid w:val="007755F4"/>
    <w:rsid w:val="00775FB0"/>
    <w:rsid w:val="007763DE"/>
    <w:rsid w:val="00776AD1"/>
    <w:rsid w:val="007771FB"/>
    <w:rsid w:val="0078047F"/>
    <w:rsid w:val="007806C4"/>
    <w:rsid w:val="00780B04"/>
    <w:rsid w:val="00780D82"/>
    <w:rsid w:val="00781478"/>
    <w:rsid w:val="00782AFB"/>
    <w:rsid w:val="00784532"/>
    <w:rsid w:val="007846FD"/>
    <w:rsid w:val="00784717"/>
    <w:rsid w:val="00784A62"/>
    <w:rsid w:val="0078696F"/>
    <w:rsid w:val="007876E3"/>
    <w:rsid w:val="00790857"/>
    <w:rsid w:val="007912B7"/>
    <w:rsid w:val="00791858"/>
    <w:rsid w:val="00791937"/>
    <w:rsid w:val="00791EE1"/>
    <w:rsid w:val="0079208E"/>
    <w:rsid w:val="0079276C"/>
    <w:rsid w:val="00792AF0"/>
    <w:rsid w:val="00793149"/>
    <w:rsid w:val="007934C8"/>
    <w:rsid w:val="0079365E"/>
    <w:rsid w:val="00793E39"/>
    <w:rsid w:val="0079459F"/>
    <w:rsid w:val="00794686"/>
    <w:rsid w:val="007949A4"/>
    <w:rsid w:val="00794FF5"/>
    <w:rsid w:val="00795117"/>
    <w:rsid w:val="007952A3"/>
    <w:rsid w:val="007958D3"/>
    <w:rsid w:val="00795AF3"/>
    <w:rsid w:val="00795CC5"/>
    <w:rsid w:val="00795E71"/>
    <w:rsid w:val="007961A3"/>
    <w:rsid w:val="007964DE"/>
    <w:rsid w:val="007965DC"/>
    <w:rsid w:val="007966B6"/>
    <w:rsid w:val="00796BC5"/>
    <w:rsid w:val="00797269"/>
    <w:rsid w:val="00797ABB"/>
    <w:rsid w:val="007A0A93"/>
    <w:rsid w:val="007A0B31"/>
    <w:rsid w:val="007A1396"/>
    <w:rsid w:val="007A1BBE"/>
    <w:rsid w:val="007A1DE3"/>
    <w:rsid w:val="007A1E37"/>
    <w:rsid w:val="007A229E"/>
    <w:rsid w:val="007A265B"/>
    <w:rsid w:val="007A34C8"/>
    <w:rsid w:val="007A44C3"/>
    <w:rsid w:val="007A4B7A"/>
    <w:rsid w:val="007A4C4E"/>
    <w:rsid w:val="007A5DE4"/>
    <w:rsid w:val="007A609D"/>
    <w:rsid w:val="007A6731"/>
    <w:rsid w:val="007A72D5"/>
    <w:rsid w:val="007A7F3E"/>
    <w:rsid w:val="007B189D"/>
    <w:rsid w:val="007B1AC8"/>
    <w:rsid w:val="007B1D48"/>
    <w:rsid w:val="007B1E93"/>
    <w:rsid w:val="007B3C0A"/>
    <w:rsid w:val="007B4167"/>
    <w:rsid w:val="007B43EC"/>
    <w:rsid w:val="007B486E"/>
    <w:rsid w:val="007B49E2"/>
    <w:rsid w:val="007B4C42"/>
    <w:rsid w:val="007B4FBA"/>
    <w:rsid w:val="007B5500"/>
    <w:rsid w:val="007B6052"/>
    <w:rsid w:val="007B77D6"/>
    <w:rsid w:val="007B79AD"/>
    <w:rsid w:val="007B7D8C"/>
    <w:rsid w:val="007C05F7"/>
    <w:rsid w:val="007C093D"/>
    <w:rsid w:val="007C0F3B"/>
    <w:rsid w:val="007C13AE"/>
    <w:rsid w:val="007C13BD"/>
    <w:rsid w:val="007C16A0"/>
    <w:rsid w:val="007C2714"/>
    <w:rsid w:val="007C5272"/>
    <w:rsid w:val="007C537D"/>
    <w:rsid w:val="007C58A2"/>
    <w:rsid w:val="007C599F"/>
    <w:rsid w:val="007C5BB3"/>
    <w:rsid w:val="007C6606"/>
    <w:rsid w:val="007C66BF"/>
    <w:rsid w:val="007C6C21"/>
    <w:rsid w:val="007C6F26"/>
    <w:rsid w:val="007C7756"/>
    <w:rsid w:val="007C7B0F"/>
    <w:rsid w:val="007C7F7D"/>
    <w:rsid w:val="007D0883"/>
    <w:rsid w:val="007D11CD"/>
    <w:rsid w:val="007D3AC1"/>
    <w:rsid w:val="007D5852"/>
    <w:rsid w:val="007D5A59"/>
    <w:rsid w:val="007D5FBE"/>
    <w:rsid w:val="007D6678"/>
    <w:rsid w:val="007D693A"/>
    <w:rsid w:val="007D6FCF"/>
    <w:rsid w:val="007D76F0"/>
    <w:rsid w:val="007D7715"/>
    <w:rsid w:val="007D7820"/>
    <w:rsid w:val="007E1423"/>
    <w:rsid w:val="007E1E33"/>
    <w:rsid w:val="007E2310"/>
    <w:rsid w:val="007E2442"/>
    <w:rsid w:val="007E272D"/>
    <w:rsid w:val="007E2AA0"/>
    <w:rsid w:val="007E39D8"/>
    <w:rsid w:val="007E3F38"/>
    <w:rsid w:val="007E41D9"/>
    <w:rsid w:val="007E52C8"/>
    <w:rsid w:val="007E654D"/>
    <w:rsid w:val="007E67B3"/>
    <w:rsid w:val="007E6CB2"/>
    <w:rsid w:val="007E6EC0"/>
    <w:rsid w:val="007E7322"/>
    <w:rsid w:val="007E7A89"/>
    <w:rsid w:val="007F0E95"/>
    <w:rsid w:val="007F0FB0"/>
    <w:rsid w:val="007F10E1"/>
    <w:rsid w:val="007F16DF"/>
    <w:rsid w:val="007F1A15"/>
    <w:rsid w:val="007F1B51"/>
    <w:rsid w:val="007F2A77"/>
    <w:rsid w:val="007F2B9C"/>
    <w:rsid w:val="007F2E5A"/>
    <w:rsid w:val="007F35BE"/>
    <w:rsid w:val="007F4031"/>
    <w:rsid w:val="007F4132"/>
    <w:rsid w:val="007F43B9"/>
    <w:rsid w:val="007F4A04"/>
    <w:rsid w:val="007F5283"/>
    <w:rsid w:val="007F5444"/>
    <w:rsid w:val="007F5538"/>
    <w:rsid w:val="007F64AA"/>
    <w:rsid w:val="007F6D88"/>
    <w:rsid w:val="007F6E3B"/>
    <w:rsid w:val="007F6FE6"/>
    <w:rsid w:val="007F782A"/>
    <w:rsid w:val="008002CF"/>
    <w:rsid w:val="00800997"/>
    <w:rsid w:val="00800BE7"/>
    <w:rsid w:val="00800F6E"/>
    <w:rsid w:val="00801231"/>
    <w:rsid w:val="00801903"/>
    <w:rsid w:val="00801F81"/>
    <w:rsid w:val="0080263E"/>
    <w:rsid w:val="0080361F"/>
    <w:rsid w:val="0080389D"/>
    <w:rsid w:val="00803CB1"/>
    <w:rsid w:val="00804CF3"/>
    <w:rsid w:val="00805557"/>
    <w:rsid w:val="00805570"/>
    <w:rsid w:val="00805751"/>
    <w:rsid w:val="0080590F"/>
    <w:rsid w:val="0081171D"/>
    <w:rsid w:val="00811962"/>
    <w:rsid w:val="0081248F"/>
    <w:rsid w:val="00812E48"/>
    <w:rsid w:val="00812F93"/>
    <w:rsid w:val="00813016"/>
    <w:rsid w:val="008137AF"/>
    <w:rsid w:val="00813C1E"/>
    <w:rsid w:val="00814193"/>
    <w:rsid w:val="00814C6F"/>
    <w:rsid w:val="0081633D"/>
    <w:rsid w:val="00816352"/>
    <w:rsid w:val="008168A8"/>
    <w:rsid w:val="00816C28"/>
    <w:rsid w:val="00816C37"/>
    <w:rsid w:val="00816E6D"/>
    <w:rsid w:val="00817455"/>
    <w:rsid w:val="0081748D"/>
    <w:rsid w:val="00817894"/>
    <w:rsid w:val="00820AC3"/>
    <w:rsid w:val="00820FC3"/>
    <w:rsid w:val="00821CB1"/>
    <w:rsid w:val="00821F6A"/>
    <w:rsid w:val="0082252F"/>
    <w:rsid w:val="00823507"/>
    <w:rsid w:val="00823B3F"/>
    <w:rsid w:val="008244CF"/>
    <w:rsid w:val="008249E6"/>
    <w:rsid w:val="00824F95"/>
    <w:rsid w:val="008251F8"/>
    <w:rsid w:val="00825654"/>
    <w:rsid w:val="008267BE"/>
    <w:rsid w:val="00826C21"/>
    <w:rsid w:val="00826C93"/>
    <w:rsid w:val="00826F2A"/>
    <w:rsid w:val="0082730A"/>
    <w:rsid w:val="00830DFD"/>
    <w:rsid w:val="00830ED3"/>
    <w:rsid w:val="008319BD"/>
    <w:rsid w:val="008322F4"/>
    <w:rsid w:val="00832597"/>
    <w:rsid w:val="00832646"/>
    <w:rsid w:val="008335CD"/>
    <w:rsid w:val="00833892"/>
    <w:rsid w:val="0083399E"/>
    <w:rsid w:val="00833B07"/>
    <w:rsid w:val="008340E3"/>
    <w:rsid w:val="00834191"/>
    <w:rsid w:val="008344B1"/>
    <w:rsid w:val="00834639"/>
    <w:rsid w:val="00836119"/>
    <w:rsid w:val="008362B5"/>
    <w:rsid w:val="00836896"/>
    <w:rsid w:val="008377CD"/>
    <w:rsid w:val="00837A13"/>
    <w:rsid w:val="008408D6"/>
    <w:rsid w:val="008417EC"/>
    <w:rsid w:val="00841B78"/>
    <w:rsid w:val="008426FF"/>
    <w:rsid w:val="008428EF"/>
    <w:rsid w:val="008432BB"/>
    <w:rsid w:val="0084361E"/>
    <w:rsid w:val="00843B6B"/>
    <w:rsid w:val="0084412A"/>
    <w:rsid w:val="00844FA5"/>
    <w:rsid w:val="008457AC"/>
    <w:rsid w:val="00845E75"/>
    <w:rsid w:val="00846069"/>
    <w:rsid w:val="00846357"/>
    <w:rsid w:val="008466E1"/>
    <w:rsid w:val="00846B0E"/>
    <w:rsid w:val="00846BE9"/>
    <w:rsid w:val="00846C66"/>
    <w:rsid w:val="00847333"/>
    <w:rsid w:val="0084738F"/>
    <w:rsid w:val="008477F1"/>
    <w:rsid w:val="00847BCD"/>
    <w:rsid w:val="0085093E"/>
    <w:rsid w:val="00850C2E"/>
    <w:rsid w:val="00851878"/>
    <w:rsid w:val="00851B37"/>
    <w:rsid w:val="00851FB7"/>
    <w:rsid w:val="008525CE"/>
    <w:rsid w:val="00852F38"/>
    <w:rsid w:val="00853E66"/>
    <w:rsid w:val="00853F59"/>
    <w:rsid w:val="00854021"/>
    <w:rsid w:val="00854357"/>
    <w:rsid w:val="008545AC"/>
    <w:rsid w:val="00854A64"/>
    <w:rsid w:val="008550BF"/>
    <w:rsid w:val="008550E7"/>
    <w:rsid w:val="0085513A"/>
    <w:rsid w:val="008554B9"/>
    <w:rsid w:val="008558C1"/>
    <w:rsid w:val="00855914"/>
    <w:rsid w:val="00855A4A"/>
    <w:rsid w:val="0085650C"/>
    <w:rsid w:val="008569E8"/>
    <w:rsid w:val="00856CBE"/>
    <w:rsid w:val="00856FF2"/>
    <w:rsid w:val="008576E6"/>
    <w:rsid w:val="00860C3F"/>
    <w:rsid w:val="00862981"/>
    <w:rsid w:val="008634C8"/>
    <w:rsid w:val="00863CDD"/>
    <w:rsid w:val="00863CE0"/>
    <w:rsid w:val="00863E8F"/>
    <w:rsid w:val="00864878"/>
    <w:rsid w:val="0086560E"/>
    <w:rsid w:val="00866106"/>
    <w:rsid w:val="008666A2"/>
    <w:rsid w:val="00866765"/>
    <w:rsid w:val="0086680B"/>
    <w:rsid w:val="00866DF7"/>
    <w:rsid w:val="00866FDA"/>
    <w:rsid w:val="00867008"/>
    <w:rsid w:val="00867253"/>
    <w:rsid w:val="00870780"/>
    <w:rsid w:val="00871200"/>
    <w:rsid w:val="0087154A"/>
    <w:rsid w:val="0087177A"/>
    <w:rsid w:val="00871B85"/>
    <w:rsid w:val="00872B7B"/>
    <w:rsid w:val="00872DF7"/>
    <w:rsid w:val="00873C3F"/>
    <w:rsid w:val="008742D5"/>
    <w:rsid w:val="008743D8"/>
    <w:rsid w:val="0087523D"/>
    <w:rsid w:val="00875240"/>
    <w:rsid w:val="00875261"/>
    <w:rsid w:val="008755D9"/>
    <w:rsid w:val="00875AEC"/>
    <w:rsid w:val="00875FDF"/>
    <w:rsid w:val="00875FFE"/>
    <w:rsid w:val="00876935"/>
    <w:rsid w:val="00876AB1"/>
    <w:rsid w:val="00876B99"/>
    <w:rsid w:val="00876D46"/>
    <w:rsid w:val="00876F9E"/>
    <w:rsid w:val="008773EA"/>
    <w:rsid w:val="00877413"/>
    <w:rsid w:val="0087747D"/>
    <w:rsid w:val="0087755C"/>
    <w:rsid w:val="0088023A"/>
    <w:rsid w:val="00880490"/>
    <w:rsid w:val="0088159F"/>
    <w:rsid w:val="00881EBA"/>
    <w:rsid w:val="008827BC"/>
    <w:rsid w:val="00882EB8"/>
    <w:rsid w:val="00883029"/>
    <w:rsid w:val="00883250"/>
    <w:rsid w:val="00883A25"/>
    <w:rsid w:val="00883F08"/>
    <w:rsid w:val="0088460C"/>
    <w:rsid w:val="0088478F"/>
    <w:rsid w:val="00884CC3"/>
    <w:rsid w:val="0088533D"/>
    <w:rsid w:val="008854DD"/>
    <w:rsid w:val="008859F4"/>
    <w:rsid w:val="00885AAC"/>
    <w:rsid w:val="0088675D"/>
    <w:rsid w:val="008868CB"/>
    <w:rsid w:val="00886CAC"/>
    <w:rsid w:val="0088720F"/>
    <w:rsid w:val="008873A4"/>
    <w:rsid w:val="008907BD"/>
    <w:rsid w:val="0089136C"/>
    <w:rsid w:val="008924A4"/>
    <w:rsid w:val="00892A51"/>
    <w:rsid w:val="00892EE3"/>
    <w:rsid w:val="00893121"/>
    <w:rsid w:val="0089331E"/>
    <w:rsid w:val="00893492"/>
    <w:rsid w:val="00893E1B"/>
    <w:rsid w:val="00893E48"/>
    <w:rsid w:val="008941C8"/>
    <w:rsid w:val="00894355"/>
    <w:rsid w:val="00894BB6"/>
    <w:rsid w:val="00894E30"/>
    <w:rsid w:val="00894E39"/>
    <w:rsid w:val="008957BF"/>
    <w:rsid w:val="0089587E"/>
    <w:rsid w:val="00895A2F"/>
    <w:rsid w:val="00897C7E"/>
    <w:rsid w:val="00897E3F"/>
    <w:rsid w:val="008A0070"/>
    <w:rsid w:val="008A0285"/>
    <w:rsid w:val="008A0F62"/>
    <w:rsid w:val="008A106A"/>
    <w:rsid w:val="008A1EFF"/>
    <w:rsid w:val="008A289A"/>
    <w:rsid w:val="008A2A04"/>
    <w:rsid w:val="008A3322"/>
    <w:rsid w:val="008A34B0"/>
    <w:rsid w:val="008A37FD"/>
    <w:rsid w:val="008A494B"/>
    <w:rsid w:val="008A5D82"/>
    <w:rsid w:val="008A6708"/>
    <w:rsid w:val="008A6B72"/>
    <w:rsid w:val="008A6D60"/>
    <w:rsid w:val="008A78BC"/>
    <w:rsid w:val="008A79CD"/>
    <w:rsid w:val="008A7D79"/>
    <w:rsid w:val="008B0515"/>
    <w:rsid w:val="008B0FBB"/>
    <w:rsid w:val="008B116A"/>
    <w:rsid w:val="008B1922"/>
    <w:rsid w:val="008B1DC3"/>
    <w:rsid w:val="008B27A1"/>
    <w:rsid w:val="008B2989"/>
    <w:rsid w:val="008B41FC"/>
    <w:rsid w:val="008B4341"/>
    <w:rsid w:val="008B4C3F"/>
    <w:rsid w:val="008B5013"/>
    <w:rsid w:val="008B56E5"/>
    <w:rsid w:val="008B5B55"/>
    <w:rsid w:val="008B62E7"/>
    <w:rsid w:val="008B69F0"/>
    <w:rsid w:val="008B76D8"/>
    <w:rsid w:val="008B7DA2"/>
    <w:rsid w:val="008C0993"/>
    <w:rsid w:val="008C184D"/>
    <w:rsid w:val="008C2685"/>
    <w:rsid w:val="008C2789"/>
    <w:rsid w:val="008C3242"/>
    <w:rsid w:val="008C3474"/>
    <w:rsid w:val="008C35B9"/>
    <w:rsid w:val="008C3A72"/>
    <w:rsid w:val="008C4D3B"/>
    <w:rsid w:val="008C5D47"/>
    <w:rsid w:val="008C689B"/>
    <w:rsid w:val="008C6BFF"/>
    <w:rsid w:val="008D0589"/>
    <w:rsid w:val="008D082C"/>
    <w:rsid w:val="008D0877"/>
    <w:rsid w:val="008D0DD0"/>
    <w:rsid w:val="008D1346"/>
    <w:rsid w:val="008D1A01"/>
    <w:rsid w:val="008D2933"/>
    <w:rsid w:val="008D2FB8"/>
    <w:rsid w:val="008D2FFD"/>
    <w:rsid w:val="008D3454"/>
    <w:rsid w:val="008D3975"/>
    <w:rsid w:val="008D3D8D"/>
    <w:rsid w:val="008D3DA2"/>
    <w:rsid w:val="008D412A"/>
    <w:rsid w:val="008D429E"/>
    <w:rsid w:val="008D4817"/>
    <w:rsid w:val="008D4F26"/>
    <w:rsid w:val="008D58A9"/>
    <w:rsid w:val="008D7227"/>
    <w:rsid w:val="008D72B4"/>
    <w:rsid w:val="008D7CA7"/>
    <w:rsid w:val="008D7E9A"/>
    <w:rsid w:val="008E0375"/>
    <w:rsid w:val="008E04F5"/>
    <w:rsid w:val="008E0EC4"/>
    <w:rsid w:val="008E1736"/>
    <w:rsid w:val="008E1B24"/>
    <w:rsid w:val="008E1D46"/>
    <w:rsid w:val="008E1D50"/>
    <w:rsid w:val="008E269F"/>
    <w:rsid w:val="008E2EC9"/>
    <w:rsid w:val="008E2F1D"/>
    <w:rsid w:val="008E3711"/>
    <w:rsid w:val="008E3AFB"/>
    <w:rsid w:val="008E532F"/>
    <w:rsid w:val="008E5816"/>
    <w:rsid w:val="008E61CB"/>
    <w:rsid w:val="008E6A3F"/>
    <w:rsid w:val="008E7363"/>
    <w:rsid w:val="008E751F"/>
    <w:rsid w:val="008E79E8"/>
    <w:rsid w:val="008F0B6D"/>
    <w:rsid w:val="008F1319"/>
    <w:rsid w:val="008F15EA"/>
    <w:rsid w:val="008F16B1"/>
    <w:rsid w:val="008F17CB"/>
    <w:rsid w:val="008F2565"/>
    <w:rsid w:val="008F2E81"/>
    <w:rsid w:val="008F38D2"/>
    <w:rsid w:val="008F3BE4"/>
    <w:rsid w:val="008F4F6E"/>
    <w:rsid w:val="008F5027"/>
    <w:rsid w:val="008F5151"/>
    <w:rsid w:val="008F6144"/>
    <w:rsid w:val="008F62DA"/>
    <w:rsid w:val="008F6839"/>
    <w:rsid w:val="008F6C27"/>
    <w:rsid w:val="008F7B51"/>
    <w:rsid w:val="0090080C"/>
    <w:rsid w:val="009012A1"/>
    <w:rsid w:val="0090210A"/>
    <w:rsid w:val="00902216"/>
    <w:rsid w:val="009026F8"/>
    <w:rsid w:val="00902E51"/>
    <w:rsid w:val="00903A9D"/>
    <w:rsid w:val="00904274"/>
    <w:rsid w:val="00904515"/>
    <w:rsid w:val="00904D80"/>
    <w:rsid w:val="00904FF5"/>
    <w:rsid w:val="0090534E"/>
    <w:rsid w:val="0090542E"/>
    <w:rsid w:val="00905BCF"/>
    <w:rsid w:val="00906113"/>
    <w:rsid w:val="00906356"/>
    <w:rsid w:val="00906519"/>
    <w:rsid w:val="00906B16"/>
    <w:rsid w:val="00906C6C"/>
    <w:rsid w:val="00907068"/>
    <w:rsid w:val="009077EA"/>
    <w:rsid w:val="00907D56"/>
    <w:rsid w:val="009103B3"/>
    <w:rsid w:val="00912106"/>
    <w:rsid w:val="0091236F"/>
    <w:rsid w:val="009131AB"/>
    <w:rsid w:val="00913733"/>
    <w:rsid w:val="0091399C"/>
    <w:rsid w:val="00913D82"/>
    <w:rsid w:val="00913DC2"/>
    <w:rsid w:val="00914534"/>
    <w:rsid w:val="0091670E"/>
    <w:rsid w:val="00916AAE"/>
    <w:rsid w:val="00917B51"/>
    <w:rsid w:val="00917EC3"/>
    <w:rsid w:val="009215D9"/>
    <w:rsid w:val="00922173"/>
    <w:rsid w:val="00922C79"/>
    <w:rsid w:val="00922F66"/>
    <w:rsid w:val="009233C2"/>
    <w:rsid w:val="00923F9F"/>
    <w:rsid w:val="00924450"/>
    <w:rsid w:val="009252BA"/>
    <w:rsid w:val="009258A7"/>
    <w:rsid w:val="00925F6B"/>
    <w:rsid w:val="00926913"/>
    <w:rsid w:val="00927972"/>
    <w:rsid w:val="00927A16"/>
    <w:rsid w:val="00930222"/>
    <w:rsid w:val="00930280"/>
    <w:rsid w:val="00930A31"/>
    <w:rsid w:val="00931B44"/>
    <w:rsid w:val="00933605"/>
    <w:rsid w:val="00933C59"/>
    <w:rsid w:val="0093439B"/>
    <w:rsid w:val="00934640"/>
    <w:rsid w:val="00934769"/>
    <w:rsid w:val="0093504C"/>
    <w:rsid w:val="00935762"/>
    <w:rsid w:val="00936677"/>
    <w:rsid w:val="00937185"/>
    <w:rsid w:val="0093724B"/>
    <w:rsid w:val="009379E3"/>
    <w:rsid w:val="00940849"/>
    <w:rsid w:val="00940953"/>
    <w:rsid w:val="009410CC"/>
    <w:rsid w:val="00941A3A"/>
    <w:rsid w:val="00942C8F"/>
    <w:rsid w:val="00942EB5"/>
    <w:rsid w:val="009430E4"/>
    <w:rsid w:val="00943A46"/>
    <w:rsid w:val="00943B0B"/>
    <w:rsid w:val="00943C88"/>
    <w:rsid w:val="00944629"/>
    <w:rsid w:val="00944BEC"/>
    <w:rsid w:val="00944C72"/>
    <w:rsid w:val="00944F8F"/>
    <w:rsid w:val="00945273"/>
    <w:rsid w:val="00946026"/>
    <w:rsid w:val="00946032"/>
    <w:rsid w:val="00946549"/>
    <w:rsid w:val="009465B6"/>
    <w:rsid w:val="009466F7"/>
    <w:rsid w:val="00947225"/>
    <w:rsid w:val="00947599"/>
    <w:rsid w:val="009501E5"/>
    <w:rsid w:val="00950462"/>
    <w:rsid w:val="00950624"/>
    <w:rsid w:val="00950869"/>
    <w:rsid w:val="009510DF"/>
    <w:rsid w:val="00951894"/>
    <w:rsid w:val="00952C0F"/>
    <w:rsid w:val="009532A7"/>
    <w:rsid w:val="00953453"/>
    <w:rsid w:val="00953888"/>
    <w:rsid w:val="0095397A"/>
    <w:rsid w:val="00953AD4"/>
    <w:rsid w:val="00953F67"/>
    <w:rsid w:val="00955029"/>
    <w:rsid w:val="0095536A"/>
    <w:rsid w:val="00955C91"/>
    <w:rsid w:val="00956661"/>
    <w:rsid w:val="009570E4"/>
    <w:rsid w:val="009574E1"/>
    <w:rsid w:val="00957A36"/>
    <w:rsid w:val="00960D2D"/>
    <w:rsid w:val="00961038"/>
    <w:rsid w:val="00961459"/>
    <w:rsid w:val="00961756"/>
    <w:rsid w:val="00961811"/>
    <w:rsid w:val="00961E01"/>
    <w:rsid w:val="009635E0"/>
    <w:rsid w:val="00963CE1"/>
    <w:rsid w:val="00963E74"/>
    <w:rsid w:val="00963FD7"/>
    <w:rsid w:val="00964066"/>
    <w:rsid w:val="009642D3"/>
    <w:rsid w:val="00965320"/>
    <w:rsid w:val="00965E44"/>
    <w:rsid w:val="00965E5C"/>
    <w:rsid w:val="00966276"/>
    <w:rsid w:val="009672DA"/>
    <w:rsid w:val="009674D7"/>
    <w:rsid w:val="00967A06"/>
    <w:rsid w:val="0097007C"/>
    <w:rsid w:val="00970BB6"/>
    <w:rsid w:val="00971529"/>
    <w:rsid w:val="00971E72"/>
    <w:rsid w:val="00972534"/>
    <w:rsid w:val="00972A30"/>
    <w:rsid w:val="00972EAC"/>
    <w:rsid w:val="00973E8D"/>
    <w:rsid w:val="009741C9"/>
    <w:rsid w:val="00974BD9"/>
    <w:rsid w:val="00975E7B"/>
    <w:rsid w:val="0097674F"/>
    <w:rsid w:val="009771E0"/>
    <w:rsid w:val="009774EA"/>
    <w:rsid w:val="00977782"/>
    <w:rsid w:val="009779C5"/>
    <w:rsid w:val="00980071"/>
    <w:rsid w:val="00980328"/>
    <w:rsid w:val="0098061D"/>
    <w:rsid w:val="00980799"/>
    <w:rsid w:val="00980A0C"/>
    <w:rsid w:val="00980ADD"/>
    <w:rsid w:val="00980FE1"/>
    <w:rsid w:val="00981607"/>
    <w:rsid w:val="00981FCA"/>
    <w:rsid w:val="00982D27"/>
    <w:rsid w:val="00983591"/>
    <w:rsid w:val="00984A9E"/>
    <w:rsid w:val="00984E8F"/>
    <w:rsid w:val="0098620C"/>
    <w:rsid w:val="00986443"/>
    <w:rsid w:val="00986F3D"/>
    <w:rsid w:val="00986FB4"/>
    <w:rsid w:val="00987439"/>
    <w:rsid w:val="009874F9"/>
    <w:rsid w:val="0099050E"/>
    <w:rsid w:val="0099089A"/>
    <w:rsid w:val="00990F52"/>
    <w:rsid w:val="009912E6"/>
    <w:rsid w:val="0099158D"/>
    <w:rsid w:val="009915DF"/>
    <w:rsid w:val="009918F8"/>
    <w:rsid w:val="00991AF5"/>
    <w:rsid w:val="00991B25"/>
    <w:rsid w:val="00991D87"/>
    <w:rsid w:val="00992682"/>
    <w:rsid w:val="0099278D"/>
    <w:rsid w:val="009927B6"/>
    <w:rsid w:val="00993094"/>
    <w:rsid w:val="00993C46"/>
    <w:rsid w:val="00994471"/>
    <w:rsid w:val="009944FA"/>
    <w:rsid w:val="00994694"/>
    <w:rsid w:val="009953E8"/>
    <w:rsid w:val="009958F1"/>
    <w:rsid w:val="00995AE1"/>
    <w:rsid w:val="00995DBF"/>
    <w:rsid w:val="00995F95"/>
    <w:rsid w:val="00997241"/>
    <w:rsid w:val="00997243"/>
    <w:rsid w:val="00997913"/>
    <w:rsid w:val="00997B06"/>
    <w:rsid w:val="009A0FC0"/>
    <w:rsid w:val="009A12CF"/>
    <w:rsid w:val="009A15BF"/>
    <w:rsid w:val="009A16C5"/>
    <w:rsid w:val="009A182B"/>
    <w:rsid w:val="009A1972"/>
    <w:rsid w:val="009A1991"/>
    <w:rsid w:val="009A1A99"/>
    <w:rsid w:val="009A272E"/>
    <w:rsid w:val="009A2F1D"/>
    <w:rsid w:val="009A344F"/>
    <w:rsid w:val="009A3D7D"/>
    <w:rsid w:val="009A4497"/>
    <w:rsid w:val="009A477D"/>
    <w:rsid w:val="009A5625"/>
    <w:rsid w:val="009A5CBF"/>
    <w:rsid w:val="009A6464"/>
    <w:rsid w:val="009A652A"/>
    <w:rsid w:val="009A6F2C"/>
    <w:rsid w:val="009B00C9"/>
    <w:rsid w:val="009B0A92"/>
    <w:rsid w:val="009B2500"/>
    <w:rsid w:val="009B2C57"/>
    <w:rsid w:val="009B3146"/>
    <w:rsid w:val="009B3AC9"/>
    <w:rsid w:val="009B4049"/>
    <w:rsid w:val="009B4226"/>
    <w:rsid w:val="009B4254"/>
    <w:rsid w:val="009B4A7D"/>
    <w:rsid w:val="009B5172"/>
    <w:rsid w:val="009B5C20"/>
    <w:rsid w:val="009B614E"/>
    <w:rsid w:val="009B71FC"/>
    <w:rsid w:val="009B72FE"/>
    <w:rsid w:val="009B7779"/>
    <w:rsid w:val="009B7D34"/>
    <w:rsid w:val="009C0254"/>
    <w:rsid w:val="009C086D"/>
    <w:rsid w:val="009C08EF"/>
    <w:rsid w:val="009C09F3"/>
    <w:rsid w:val="009C0DEB"/>
    <w:rsid w:val="009C0FCF"/>
    <w:rsid w:val="009C1331"/>
    <w:rsid w:val="009C1437"/>
    <w:rsid w:val="009C19A0"/>
    <w:rsid w:val="009C1A68"/>
    <w:rsid w:val="009C1E7D"/>
    <w:rsid w:val="009C2889"/>
    <w:rsid w:val="009C2CC3"/>
    <w:rsid w:val="009C2D6A"/>
    <w:rsid w:val="009C3500"/>
    <w:rsid w:val="009C3AC8"/>
    <w:rsid w:val="009C3ED6"/>
    <w:rsid w:val="009C405A"/>
    <w:rsid w:val="009C42C4"/>
    <w:rsid w:val="009C4599"/>
    <w:rsid w:val="009C4AEE"/>
    <w:rsid w:val="009C4CD5"/>
    <w:rsid w:val="009C4F78"/>
    <w:rsid w:val="009C5EF3"/>
    <w:rsid w:val="009C691B"/>
    <w:rsid w:val="009C6A7E"/>
    <w:rsid w:val="009C7448"/>
    <w:rsid w:val="009C7685"/>
    <w:rsid w:val="009C7A35"/>
    <w:rsid w:val="009C7EEF"/>
    <w:rsid w:val="009D0453"/>
    <w:rsid w:val="009D0770"/>
    <w:rsid w:val="009D0D53"/>
    <w:rsid w:val="009D0FC0"/>
    <w:rsid w:val="009D0FCA"/>
    <w:rsid w:val="009D1C50"/>
    <w:rsid w:val="009D27D3"/>
    <w:rsid w:val="009D2A77"/>
    <w:rsid w:val="009D2ECA"/>
    <w:rsid w:val="009D2F96"/>
    <w:rsid w:val="009D3A1B"/>
    <w:rsid w:val="009D3B5A"/>
    <w:rsid w:val="009D3E5F"/>
    <w:rsid w:val="009D4683"/>
    <w:rsid w:val="009D4805"/>
    <w:rsid w:val="009D4C07"/>
    <w:rsid w:val="009D4C5F"/>
    <w:rsid w:val="009D5AE6"/>
    <w:rsid w:val="009D61E2"/>
    <w:rsid w:val="009D6B24"/>
    <w:rsid w:val="009D74DF"/>
    <w:rsid w:val="009D79DE"/>
    <w:rsid w:val="009E06AB"/>
    <w:rsid w:val="009E141B"/>
    <w:rsid w:val="009E1456"/>
    <w:rsid w:val="009E1833"/>
    <w:rsid w:val="009E1BE7"/>
    <w:rsid w:val="009E1DFC"/>
    <w:rsid w:val="009E3A38"/>
    <w:rsid w:val="009E3D23"/>
    <w:rsid w:val="009E4007"/>
    <w:rsid w:val="009E43C4"/>
    <w:rsid w:val="009E446D"/>
    <w:rsid w:val="009E49C0"/>
    <w:rsid w:val="009E4A00"/>
    <w:rsid w:val="009E4B49"/>
    <w:rsid w:val="009E501E"/>
    <w:rsid w:val="009E5146"/>
    <w:rsid w:val="009E6A69"/>
    <w:rsid w:val="009E6EE2"/>
    <w:rsid w:val="009E7AF4"/>
    <w:rsid w:val="009E7CDC"/>
    <w:rsid w:val="009E7E06"/>
    <w:rsid w:val="009F0AF1"/>
    <w:rsid w:val="009F0E2E"/>
    <w:rsid w:val="009F1F93"/>
    <w:rsid w:val="009F3544"/>
    <w:rsid w:val="009F3E8C"/>
    <w:rsid w:val="009F405C"/>
    <w:rsid w:val="009F47DE"/>
    <w:rsid w:val="009F532B"/>
    <w:rsid w:val="009F5385"/>
    <w:rsid w:val="009F53A0"/>
    <w:rsid w:val="009F5AD2"/>
    <w:rsid w:val="009F664C"/>
    <w:rsid w:val="009F6F09"/>
    <w:rsid w:val="009F7527"/>
    <w:rsid w:val="009F7B1E"/>
    <w:rsid w:val="00A01A32"/>
    <w:rsid w:val="00A0261D"/>
    <w:rsid w:val="00A0352F"/>
    <w:rsid w:val="00A039C4"/>
    <w:rsid w:val="00A04785"/>
    <w:rsid w:val="00A04936"/>
    <w:rsid w:val="00A053E9"/>
    <w:rsid w:val="00A055A5"/>
    <w:rsid w:val="00A06836"/>
    <w:rsid w:val="00A07034"/>
    <w:rsid w:val="00A07BAD"/>
    <w:rsid w:val="00A07D82"/>
    <w:rsid w:val="00A10451"/>
    <w:rsid w:val="00A105F9"/>
    <w:rsid w:val="00A108D4"/>
    <w:rsid w:val="00A10B16"/>
    <w:rsid w:val="00A10D68"/>
    <w:rsid w:val="00A11150"/>
    <w:rsid w:val="00A11B4E"/>
    <w:rsid w:val="00A11C21"/>
    <w:rsid w:val="00A11D5E"/>
    <w:rsid w:val="00A124FA"/>
    <w:rsid w:val="00A12B82"/>
    <w:rsid w:val="00A133DC"/>
    <w:rsid w:val="00A136A9"/>
    <w:rsid w:val="00A13769"/>
    <w:rsid w:val="00A13EB7"/>
    <w:rsid w:val="00A1522E"/>
    <w:rsid w:val="00A1550A"/>
    <w:rsid w:val="00A15905"/>
    <w:rsid w:val="00A17DBC"/>
    <w:rsid w:val="00A201A2"/>
    <w:rsid w:val="00A207F0"/>
    <w:rsid w:val="00A214E6"/>
    <w:rsid w:val="00A21844"/>
    <w:rsid w:val="00A21998"/>
    <w:rsid w:val="00A21A04"/>
    <w:rsid w:val="00A23732"/>
    <w:rsid w:val="00A23D13"/>
    <w:rsid w:val="00A240E8"/>
    <w:rsid w:val="00A2440C"/>
    <w:rsid w:val="00A24472"/>
    <w:rsid w:val="00A25114"/>
    <w:rsid w:val="00A25166"/>
    <w:rsid w:val="00A25434"/>
    <w:rsid w:val="00A258E8"/>
    <w:rsid w:val="00A26013"/>
    <w:rsid w:val="00A2602A"/>
    <w:rsid w:val="00A268DC"/>
    <w:rsid w:val="00A26E9A"/>
    <w:rsid w:val="00A26FE0"/>
    <w:rsid w:val="00A2756D"/>
    <w:rsid w:val="00A275F2"/>
    <w:rsid w:val="00A27DB2"/>
    <w:rsid w:val="00A304F3"/>
    <w:rsid w:val="00A30DE5"/>
    <w:rsid w:val="00A319B7"/>
    <w:rsid w:val="00A319E7"/>
    <w:rsid w:val="00A31BE7"/>
    <w:rsid w:val="00A31EE3"/>
    <w:rsid w:val="00A32393"/>
    <w:rsid w:val="00A32DC5"/>
    <w:rsid w:val="00A332A6"/>
    <w:rsid w:val="00A3394D"/>
    <w:rsid w:val="00A33F33"/>
    <w:rsid w:val="00A340B0"/>
    <w:rsid w:val="00A34326"/>
    <w:rsid w:val="00A34E6A"/>
    <w:rsid w:val="00A35B53"/>
    <w:rsid w:val="00A37697"/>
    <w:rsid w:val="00A378B2"/>
    <w:rsid w:val="00A37C06"/>
    <w:rsid w:val="00A409F0"/>
    <w:rsid w:val="00A40C21"/>
    <w:rsid w:val="00A42387"/>
    <w:rsid w:val="00A42A0A"/>
    <w:rsid w:val="00A4350C"/>
    <w:rsid w:val="00A447FE"/>
    <w:rsid w:val="00A45440"/>
    <w:rsid w:val="00A4546D"/>
    <w:rsid w:val="00A45A2E"/>
    <w:rsid w:val="00A45E59"/>
    <w:rsid w:val="00A46738"/>
    <w:rsid w:val="00A46A0E"/>
    <w:rsid w:val="00A5159A"/>
    <w:rsid w:val="00A517DB"/>
    <w:rsid w:val="00A5201D"/>
    <w:rsid w:val="00A524EC"/>
    <w:rsid w:val="00A52625"/>
    <w:rsid w:val="00A52AA6"/>
    <w:rsid w:val="00A52B94"/>
    <w:rsid w:val="00A53DC6"/>
    <w:rsid w:val="00A53E48"/>
    <w:rsid w:val="00A5436A"/>
    <w:rsid w:val="00A55664"/>
    <w:rsid w:val="00A55A9B"/>
    <w:rsid w:val="00A56164"/>
    <w:rsid w:val="00A57041"/>
    <w:rsid w:val="00A57057"/>
    <w:rsid w:val="00A5705E"/>
    <w:rsid w:val="00A570B1"/>
    <w:rsid w:val="00A57FB8"/>
    <w:rsid w:val="00A60FF6"/>
    <w:rsid w:val="00A6134F"/>
    <w:rsid w:val="00A61939"/>
    <w:rsid w:val="00A61AD4"/>
    <w:rsid w:val="00A62250"/>
    <w:rsid w:val="00A62FC8"/>
    <w:rsid w:val="00A63145"/>
    <w:rsid w:val="00A63442"/>
    <w:rsid w:val="00A646BE"/>
    <w:rsid w:val="00A650C5"/>
    <w:rsid w:val="00A65587"/>
    <w:rsid w:val="00A657B0"/>
    <w:rsid w:val="00A65BA0"/>
    <w:rsid w:val="00A65DFE"/>
    <w:rsid w:val="00A6685C"/>
    <w:rsid w:val="00A669B7"/>
    <w:rsid w:val="00A66FC5"/>
    <w:rsid w:val="00A67A91"/>
    <w:rsid w:val="00A67BA9"/>
    <w:rsid w:val="00A70857"/>
    <w:rsid w:val="00A70F3F"/>
    <w:rsid w:val="00A711EB"/>
    <w:rsid w:val="00A71984"/>
    <w:rsid w:val="00A71DFF"/>
    <w:rsid w:val="00A72F9A"/>
    <w:rsid w:val="00A73472"/>
    <w:rsid w:val="00A7364C"/>
    <w:rsid w:val="00A7509B"/>
    <w:rsid w:val="00A750FF"/>
    <w:rsid w:val="00A7634C"/>
    <w:rsid w:val="00A76BD2"/>
    <w:rsid w:val="00A77A7C"/>
    <w:rsid w:val="00A8068E"/>
    <w:rsid w:val="00A81260"/>
    <w:rsid w:val="00A8156A"/>
    <w:rsid w:val="00A81924"/>
    <w:rsid w:val="00A81947"/>
    <w:rsid w:val="00A820B6"/>
    <w:rsid w:val="00A82566"/>
    <w:rsid w:val="00A8270F"/>
    <w:rsid w:val="00A82D04"/>
    <w:rsid w:val="00A82F3B"/>
    <w:rsid w:val="00A82F47"/>
    <w:rsid w:val="00A838D4"/>
    <w:rsid w:val="00A83BFA"/>
    <w:rsid w:val="00A84061"/>
    <w:rsid w:val="00A845A9"/>
    <w:rsid w:val="00A85D9A"/>
    <w:rsid w:val="00A864E0"/>
    <w:rsid w:val="00A865BC"/>
    <w:rsid w:val="00A86B42"/>
    <w:rsid w:val="00A87074"/>
    <w:rsid w:val="00A87347"/>
    <w:rsid w:val="00A87AF3"/>
    <w:rsid w:val="00A908C9"/>
    <w:rsid w:val="00A9124D"/>
    <w:rsid w:val="00A913CD"/>
    <w:rsid w:val="00A921C6"/>
    <w:rsid w:val="00A93168"/>
    <w:rsid w:val="00A93E14"/>
    <w:rsid w:val="00A9484F"/>
    <w:rsid w:val="00A94AD0"/>
    <w:rsid w:val="00A94C15"/>
    <w:rsid w:val="00A94FF5"/>
    <w:rsid w:val="00A9537A"/>
    <w:rsid w:val="00A95530"/>
    <w:rsid w:val="00A95B24"/>
    <w:rsid w:val="00A96072"/>
    <w:rsid w:val="00A96A02"/>
    <w:rsid w:val="00A9702F"/>
    <w:rsid w:val="00A97D4F"/>
    <w:rsid w:val="00A97E7B"/>
    <w:rsid w:val="00A97F35"/>
    <w:rsid w:val="00AA02B4"/>
    <w:rsid w:val="00AA02C2"/>
    <w:rsid w:val="00AA0436"/>
    <w:rsid w:val="00AA07FA"/>
    <w:rsid w:val="00AA0DAF"/>
    <w:rsid w:val="00AA1316"/>
    <w:rsid w:val="00AA1448"/>
    <w:rsid w:val="00AA2A1A"/>
    <w:rsid w:val="00AA387D"/>
    <w:rsid w:val="00AA39E1"/>
    <w:rsid w:val="00AA3F7F"/>
    <w:rsid w:val="00AA525D"/>
    <w:rsid w:val="00AA61C4"/>
    <w:rsid w:val="00AA63A2"/>
    <w:rsid w:val="00AA675A"/>
    <w:rsid w:val="00AA6AA7"/>
    <w:rsid w:val="00AA6BDF"/>
    <w:rsid w:val="00AA6BFE"/>
    <w:rsid w:val="00AA71AE"/>
    <w:rsid w:val="00AA71D6"/>
    <w:rsid w:val="00AA7C64"/>
    <w:rsid w:val="00AA7CE4"/>
    <w:rsid w:val="00AA7FEB"/>
    <w:rsid w:val="00AB0049"/>
    <w:rsid w:val="00AB0266"/>
    <w:rsid w:val="00AB1413"/>
    <w:rsid w:val="00AB1629"/>
    <w:rsid w:val="00AB1E18"/>
    <w:rsid w:val="00AB1E33"/>
    <w:rsid w:val="00AB21DA"/>
    <w:rsid w:val="00AB22E7"/>
    <w:rsid w:val="00AB22EB"/>
    <w:rsid w:val="00AB31E4"/>
    <w:rsid w:val="00AB3805"/>
    <w:rsid w:val="00AB4970"/>
    <w:rsid w:val="00AB5C44"/>
    <w:rsid w:val="00AB6553"/>
    <w:rsid w:val="00AB6720"/>
    <w:rsid w:val="00AB6B7F"/>
    <w:rsid w:val="00AB6E80"/>
    <w:rsid w:val="00AB7522"/>
    <w:rsid w:val="00AB75FC"/>
    <w:rsid w:val="00AB760F"/>
    <w:rsid w:val="00AB7D2F"/>
    <w:rsid w:val="00AC0F6D"/>
    <w:rsid w:val="00AC1109"/>
    <w:rsid w:val="00AC19F6"/>
    <w:rsid w:val="00AC1B14"/>
    <w:rsid w:val="00AC2702"/>
    <w:rsid w:val="00AC285D"/>
    <w:rsid w:val="00AC2861"/>
    <w:rsid w:val="00AC292E"/>
    <w:rsid w:val="00AC40A8"/>
    <w:rsid w:val="00AC4409"/>
    <w:rsid w:val="00AC4C33"/>
    <w:rsid w:val="00AC5109"/>
    <w:rsid w:val="00AC55D2"/>
    <w:rsid w:val="00AC5861"/>
    <w:rsid w:val="00AC5863"/>
    <w:rsid w:val="00AC63B9"/>
    <w:rsid w:val="00AC648E"/>
    <w:rsid w:val="00AC67A3"/>
    <w:rsid w:val="00AC67AC"/>
    <w:rsid w:val="00AC6F5E"/>
    <w:rsid w:val="00AC722B"/>
    <w:rsid w:val="00AC7329"/>
    <w:rsid w:val="00AC750F"/>
    <w:rsid w:val="00AD0FCB"/>
    <w:rsid w:val="00AD1552"/>
    <w:rsid w:val="00AD17C1"/>
    <w:rsid w:val="00AD2760"/>
    <w:rsid w:val="00AD27F3"/>
    <w:rsid w:val="00AD2BE8"/>
    <w:rsid w:val="00AD352E"/>
    <w:rsid w:val="00AD3BAE"/>
    <w:rsid w:val="00AD3FAF"/>
    <w:rsid w:val="00AD4662"/>
    <w:rsid w:val="00AD4DCE"/>
    <w:rsid w:val="00AD5163"/>
    <w:rsid w:val="00AD52DB"/>
    <w:rsid w:val="00AD5621"/>
    <w:rsid w:val="00AD6848"/>
    <w:rsid w:val="00AD6A55"/>
    <w:rsid w:val="00AD7553"/>
    <w:rsid w:val="00AD7724"/>
    <w:rsid w:val="00AD7BFA"/>
    <w:rsid w:val="00AE03B5"/>
    <w:rsid w:val="00AE04F6"/>
    <w:rsid w:val="00AE0968"/>
    <w:rsid w:val="00AE22E7"/>
    <w:rsid w:val="00AE24B8"/>
    <w:rsid w:val="00AE2D5A"/>
    <w:rsid w:val="00AE2D60"/>
    <w:rsid w:val="00AE3443"/>
    <w:rsid w:val="00AE40A3"/>
    <w:rsid w:val="00AE41D9"/>
    <w:rsid w:val="00AE4C75"/>
    <w:rsid w:val="00AE4F7B"/>
    <w:rsid w:val="00AE5301"/>
    <w:rsid w:val="00AE62B9"/>
    <w:rsid w:val="00AE643D"/>
    <w:rsid w:val="00AE7915"/>
    <w:rsid w:val="00AE7B4B"/>
    <w:rsid w:val="00AF0207"/>
    <w:rsid w:val="00AF02B5"/>
    <w:rsid w:val="00AF05D9"/>
    <w:rsid w:val="00AF090D"/>
    <w:rsid w:val="00AF1017"/>
    <w:rsid w:val="00AF15C4"/>
    <w:rsid w:val="00AF19D3"/>
    <w:rsid w:val="00AF1D32"/>
    <w:rsid w:val="00AF1FA1"/>
    <w:rsid w:val="00AF21BF"/>
    <w:rsid w:val="00AF21FF"/>
    <w:rsid w:val="00AF3BA4"/>
    <w:rsid w:val="00AF3DBC"/>
    <w:rsid w:val="00AF4A3D"/>
    <w:rsid w:val="00AF4ACD"/>
    <w:rsid w:val="00AF4C38"/>
    <w:rsid w:val="00AF4CA1"/>
    <w:rsid w:val="00AF4CB6"/>
    <w:rsid w:val="00AF5D36"/>
    <w:rsid w:val="00AF661C"/>
    <w:rsid w:val="00AF66CF"/>
    <w:rsid w:val="00AF6BD6"/>
    <w:rsid w:val="00AF7647"/>
    <w:rsid w:val="00AF7A14"/>
    <w:rsid w:val="00AF7DE2"/>
    <w:rsid w:val="00B00399"/>
    <w:rsid w:val="00B0142C"/>
    <w:rsid w:val="00B01DDA"/>
    <w:rsid w:val="00B01FEA"/>
    <w:rsid w:val="00B04DA9"/>
    <w:rsid w:val="00B04FA1"/>
    <w:rsid w:val="00B060E0"/>
    <w:rsid w:val="00B07360"/>
    <w:rsid w:val="00B07550"/>
    <w:rsid w:val="00B075B6"/>
    <w:rsid w:val="00B107DC"/>
    <w:rsid w:val="00B10F73"/>
    <w:rsid w:val="00B14D4E"/>
    <w:rsid w:val="00B153AD"/>
    <w:rsid w:val="00B15968"/>
    <w:rsid w:val="00B16113"/>
    <w:rsid w:val="00B16A82"/>
    <w:rsid w:val="00B16FD4"/>
    <w:rsid w:val="00B176C3"/>
    <w:rsid w:val="00B17E90"/>
    <w:rsid w:val="00B17FB7"/>
    <w:rsid w:val="00B20229"/>
    <w:rsid w:val="00B20B4D"/>
    <w:rsid w:val="00B20C63"/>
    <w:rsid w:val="00B215F9"/>
    <w:rsid w:val="00B22AC0"/>
    <w:rsid w:val="00B22C00"/>
    <w:rsid w:val="00B232B0"/>
    <w:rsid w:val="00B23749"/>
    <w:rsid w:val="00B242D3"/>
    <w:rsid w:val="00B2447C"/>
    <w:rsid w:val="00B24F3E"/>
    <w:rsid w:val="00B25A7E"/>
    <w:rsid w:val="00B25F48"/>
    <w:rsid w:val="00B26751"/>
    <w:rsid w:val="00B26F13"/>
    <w:rsid w:val="00B274FE"/>
    <w:rsid w:val="00B27799"/>
    <w:rsid w:val="00B27DCA"/>
    <w:rsid w:val="00B30B4D"/>
    <w:rsid w:val="00B31FFB"/>
    <w:rsid w:val="00B32646"/>
    <w:rsid w:val="00B33210"/>
    <w:rsid w:val="00B3364C"/>
    <w:rsid w:val="00B3392B"/>
    <w:rsid w:val="00B33BEA"/>
    <w:rsid w:val="00B34FC9"/>
    <w:rsid w:val="00B356F3"/>
    <w:rsid w:val="00B3576B"/>
    <w:rsid w:val="00B358BE"/>
    <w:rsid w:val="00B36939"/>
    <w:rsid w:val="00B36C86"/>
    <w:rsid w:val="00B3704E"/>
    <w:rsid w:val="00B371FE"/>
    <w:rsid w:val="00B375EF"/>
    <w:rsid w:val="00B37E9E"/>
    <w:rsid w:val="00B4089E"/>
    <w:rsid w:val="00B40F3B"/>
    <w:rsid w:val="00B43305"/>
    <w:rsid w:val="00B43A27"/>
    <w:rsid w:val="00B43EF2"/>
    <w:rsid w:val="00B441FF"/>
    <w:rsid w:val="00B45E3E"/>
    <w:rsid w:val="00B460CB"/>
    <w:rsid w:val="00B461DD"/>
    <w:rsid w:val="00B46D6D"/>
    <w:rsid w:val="00B471D2"/>
    <w:rsid w:val="00B474B0"/>
    <w:rsid w:val="00B5013A"/>
    <w:rsid w:val="00B503AA"/>
    <w:rsid w:val="00B508FD"/>
    <w:rsid w:val="00B50B97"/>
    <w:rsid w:val="00B519E2"/>
    <w:rsid w:val="00B524EA"/>
    <w:rsid w:val="00B5272F"/>
    <w:rsid w:val="00B5287A"/>
    <w:rsid w:val="00B52D05"/>
    <w:rsid w:val="00B53310"/>
    <w:rsid w:val="00B534A8"/>
    <w:rsid w:val="00B53A52"/>
    <w:rsid w:val="00B53B49"/>
    <w:rsid w:val="00B53EBD"/>
    <w:rsid w:val="00B54478"/>
    <w:rsid w:val="00B5460D"/>
    <w:rsid w:val="00B5563A"/>
    <w:rsid w:val="00B5574D"/>
    <w:rsid w:val="00B561E8"/>
    <w:rsid w:val="00B564D6"/>
    <w:rsid w:val="00B579FD"/>
    <w:rsid w:val="00B60DF8"/>
    <w:rsid w:val="00B60FDD"/>
    <w:rsid w:val="00B61106"/>
    <w:rsid w:val="00B623EF"/>
    <w:rsid w:val="00B62FC3"/>
    <w:rsid w:val="00B631D9"/>
    <w:rsid w:val="00B63720"/>
    <w:rsid w:val="00B63B11"/>
    <w:rsid w:val="00B64692"/>
    <w:rsid w:val="00B65319"/>
    <w:rsid w:val="00B65325"/>
    <w:rsid w:val="00B653F1"/>
    <w:rsid w:val="00B669F6"/>
    <w:rsid w:val="00B66C7B"/>
    <w:rsid w:val="00B66D95"/>
    <w:rsid w:val="00B672D5"/>
    <w:rsid w:val="00B67B18"/>
    <w:rsid w:val="00B67B52"/>
    <w:rsid w:val="00B701AE"/>
    <w:rsid w:val="00B7047E"/>
    <w:rsid w:val="00B706BF"/>
    <w:rsid w:val="00B70905"/>
    <w:rsid w:val="00B7094D"/>
    <w:rsid w:val="00B70F03"/>
    <w:rsid w:val="00B7130E"/>
    <w:rsid w:val="00B71350"/>
    <w:rsid w:val="00B714DE"/>
    <w:rsid w:val="00B7157E"/>
    <w:rsid w:val="00B71BE8"/>
    <w:rsid w:val="00B71F5E"/>
    <w:rsid w:val="00B729BC"/>
    <w:rsid w:val="00B732B4"/>
    <w:rsid w:val="00B734A4"/>
    <w:rsid w:val="00B736AB"/>
    <w:rsid w:val="00B73DC5"/>
    <w:rsid w:val="00B74983"/>
    <w:rsid w:val="00B76817"/>
    <w:rsid w:val="00B77059"/>
    <w:rsid w:val="00B7741E"/>
    <w:rsid w:val="00B77A59"/>
    <w:rsid w:val="00B807EC"/>
    <w:rsid w:val="00B80946"/>
    <w:rsid w:val="00B80D19"/>
    <w:rsid w:val="00B81934"/>
    <w:rsid w:val="00B8209E"/>
    <w:rsid w:val="00B82319"/>
    <w:rsid w:val="00B829D0"/>
    <w:rsid w:val="00B8360C"/>
    <w:rsid w:val="00B83A81"/>
    <w:rsid w:val="00B83C96"/>
    <w:rsid w:val="00B840BB"/>
    <w:rsid w:val="00B8490C"/>
    <w:rsid w:val="00B84994"/>
    <w:rsid w:val="00B84F41"/>
    <w:rsid w:val="00B85721"/>
    <w:rsid w:val="00B8575C"/>
    <w:rsid w:val="00B85979"/>
    <w:rsid w:val="00B85E1C"/>
    <w:rsid w:val="00B86518"/>
    <w:rsid w:val="00B86709"/>
    <w:rsid w:val="00B86C26"/>
    <w:rsid w:val="00B86DCF"/>
    <w:rsid w:val="00B86E99"/>
    <w:rsid w:val="00B876E1"/>
    <w:rsid w:val="00B90D01"/>
    <w:rsid w:val="00B92EBD"/>
    <w:rsid w:val="00B93421"/>
    <w:rsid w:val="00B93773"/>
    <w:rsid w:val="00B94CE5"/>
    <w:rsid w:val="00B94E6B"/>
    <w:rsid w:val="00B956A8"/>
    <w:rsid w:val="00B95D41"/>
    <w:rsid w:val="00B96470"/>
    <w:rsid w:val="00B9729D"/>
    <w:rsid w:val="00B972C3"/>
    <w:rsid w:val="00B97416"/>
    <w:rsid w:val="00B974AD"/>
    <w:rsid w:val="00B97679"/>
    <w:rsid w:val="00B97D66"/>
    <w:rsid w:val="00BA1036"/>
    <w:rsid w:val="00BA1716"/>
    <w:rsid w:val="00BA1AC3"/>
    <w:rsid w:val="00BA1C87"/>
    <w:rsid w:val="00BA1CFE"/>
    <w:rsid w:val="00BA1E1F"/>
    <w:rsid w:val="00BA22BC"/>
    <w:rsid w:val="00BA22C1"/>
    <w:rsid w:val="00BA24F6"/>
    <w:rsid w:val="00BA2ACF"/>
    <w:rsid w:val="00BA2D8B"/>
    <w:rsid w:val="00BA3344"/>
    <w:rsid w:val="00BA4004"/>
    <w:rsid w:val="00BA41AA"/>
    <w:rsid w:val="00BA4C17"/>
    <w:rsid w:val="00BA4E6B"/>
    <w:rsid w:val="00BA72B0"/>
    <w:rsid w:val="00BA7B57"/>
    <w:rsid w:val="00BB018B"/>
    <w:rsid w:val="00BB0A7E"/>
    <w:rsid w:val="00BB0B6B"/>
    <w:rsid w:val="00BB0F52"/>
    <w:rsid w:val="00BB1517"/>
    <w:rsid w:val="00BB19E8"/>
    <w:rsid w:val="00BB2B3F"/>
    <w:rsid w:val="00BB345A"/>
    <w:rsid w:val="00BB3464"/>
    <w:rsid w:val="00BB3CA7"/>
    <w:rsid w:val="00BB4696"/>
    <w:rsid w:val="00BB54D5"/>
    <w:rsid w:val="00BB755E"/>
    <w:rsid w:val="00BB7D8A"/>
    <w:rsid w:val="00BC04F7"/>
    <w:rsid w:val="00BC06ED"/>
    <w:rsid w:val="00BC31F1"/>
    <w:rsid w:val="00BC3210"/>
    <w:rsid w:val="00BC36AE"/>
    <w:rsid w:val="00BC3739"/>
    <w:rsid w:val="00BC37FC"/>
    <w:rsid w:val="00BC38AA"/>
    <w:rsid w:val="00BC3A6A"/>
    <w:rsid w:val="00BC3C0E"/>
    <w:rsid w:val="00BC4A7A"/>
    <w:rsid w:val="00BC4F19"/>
    <w:rsid w:val="00BC4FA6"/>
    <w:rsid w:val="00BC4FDD"/>
    <w:rsid w:val="00BC511D"/>
    <w:rsid w:val="00BC5319"/>
    <w:rsid w:val="00BC53E4"/>
    <w:rsid w:val="00BC56DE"/>
    <w:rsid w:val="00BC621E"/>
    <w:rsid w:val="00BC681D"/>
    <w:rsid w:val="00BC6891"/>
    <w:rsid w:val="00BC7B1F"/>
    <w:rsid w:val="00BD0744"/>
    <w:rsid w:val="00BD0C06"/>
    <w:rsid w:val="00BD0C0D"/>
    <w:rsid w:val="00BD0E31"/>
    <w:rsid w:val="00BD1E6D"/>
    <w:rsid w:val="00BD2B3E"/>
    <w:rsid w:val="00BD32D2"/>
    <w:rsid w:val="00BD36B0"/>
    <w:rsid w:val="00BD3836"/>
    <w:rsid w:val="00BD3B85"/>
    <w:rsid w:val="00BD3CD1"/>
    <w:rsid w:val="00BD4382"/>
    <w:rsid w:val="00BD4E28"/>
    <w:rsid w:val="00BD513F"/>
    <w:rsid w:val="00BD56A9"/>
    <w:rsid w:val="00BD56CD"/>
    <w:rsid w:val="00BD5D6F"/>
    <w:rsid w:val="00BD5D9D"/>
    <w:rsid w:val="00BD6BF3"/>
    <w:rsid w:val="00BD71D5"/>
    <w:rsid w:val="00BD7353"/>
    <w:rsid w:val="00BE035A"/>
    <w:rsid w:val="00BE044A"/>
    <w:rsid w:val="00BE04E2"/>
    <w:rsid w:val="00BE0765"/>
    <w:rsid w:val="00BE0795"/>
    <w:rsid w:val="00BE07DE"/>
    <w:rsid w:val="00BE0D1C"/>
    <w:rsid w:val="00BE121F"/>
    <w:rsid w:val="00BE12EF"/>
    <w:rsid w:val="00BE1718"/>
    <w:rsid w:val="00BE1E17"/>
    <w:rsid w:val="00BE212D"/>
    <w:rsid w:val="00BE361B"/>
    <w:rsid w:val="00BE4895"/>
    <w:rsid w:val="00BE5382"/>
    <w:rsid w:val="00BE5538"/>
    <w:rsid w:val="00BE6385"/>
    <w:rsid w:val="00BE67AC"/>
    <w:rsid w:val="00BE6F45"/>
    <w:rsid w:val="00BE7433"/>
    <w:rsid w:val="00BE78BC"/>
    <w:rsid w:val="00BE7E4F"/>
    <w:rsid w:val="00BF0646"/>
    <w:rsid w:val="00BF1091"/>
    <w:rsid w:val="00BF21E6"/>
    <w:rsid w:val="00BF27B3"/>
    <w:rsid w:val="00BF2A70"/>
    <w:rsid w:val="00BF2F32"/>
    <w:rsid w:val="00BF2FDD"/>
    <w:rsid w:val="00BF3460"/>
    <w:rsid w:val="00BF4325"/>
    <w:rsid w:val="00BF44E1"/>
    <w:rsid w:val="00BF47BB"/>
    <w:rsid w:val="00BF4B91"/>
    <w:rsid w:val="00BF61B2"/>
    <w:rsid w:val="00BF65BF"/>
    <w:rsid w:val="00BF6B7A"/>
    <w:rsid w:val="00BF6E0D"/>
    <w:rsid w:val="00BF7BB4"/>
    <w:rsid w:val="00C004EF"/>
    <w:rsid w:val="00C0063E"/>
    <w:rsid w:val="00C00E9A"/>
    <w:rsid w:val="00C00ED5"/>
    <w:rsid w:val="00C01521"/>
    <w:rsid w:val="00C01DC0"/>
    <w:rsid w:val="00C02661"/>
    <w:rsid w:val="00C02D47"/>
    <w:rsid w:val="00C0362A"/>
    <w:rsid w:val="00C04417"/>
    <w:rsid w:val="00C04C50"/>
    <w:rsid w:val="00C04C89"/>
    <w:rsid w:val="00C055CC"/>
    <w:rsid w:val="00C05A3F"/>
    <w:rsid w:val="00C05E39"/>
    <w:rsid w:val="00C05F7B"/>
    <w:rsid w:val="00C06F2D"/>
    <w:rsid w:val="00C072E1"/>
    <w:rsid w:val="00C100E2"/>
    <w:rsid w:val="00C10AE5"/>
    <w:rsid w:val="00C10E13"/>
    <w:rsid w:val="00C112CA"/>
    <w:rsid w:val="00C11362"/>
    <w:rsid w:val="00C11C99"/>
    <w:rsid w:val="00C11CBC"/>
    <w:rsid w:val="00C12034"/>
    <w:rsid w:val="00C12A0E"/>
    <w:rsid w:val="00C132B1"/>
    <w:rsid w:val="00C1499A"/>
    <w:rsid w:val="00C14CC1"/>
    <w:rsid w:val="00C14F04"/>
    <w:rsid w:val="00C15C23"/>
    <w:rsid w:val="00C15C7A"/>
    <w:rsid w:val="00C164E7"/>
    <w:rsid w:val="00C16886"/>
    <w:rsid w:val="00C16C8F"/>
    <w:rsid w:val="00C16F09"/>
    <w:rsid w:val="00C20074"/>
    <w:rsid w:val="00C20591"/>
    <w:rsid w:val="00C2072E"/>
    <w:rsid w:val="00C20D96"/>
    <w:rsid w:val="00C20E76"/>
    <w:rsid w:val="00C215B4"/>
    <w:rsid w:val="00C217C2"/>
    <w:rsid w:val="00C218AF"/>
    <w:rsid w:val="00C21B5B"/>
    <w:rsid w:val="00C21EF9"/>
    <w:rsid w:val="00C21F71"/>
    <w:rsid w:val="00C22192"/>
    <w:rsid w:val="00C22298"/>
    <w:rsid w:val="00C2243E"/>
    <w:rsid w:val="00C224FA"/>
    <w:rsid w:val="00C2264C"/>
    <w:rsid w:val="00C2291F"/>
    <w:rsid w:val="00C22B74"/>
    <w:rsid w:val="00C238C8"/>
    <w:rsid w:val="00C23BCB"/>
    <w:rsid w:val="00C23EA5"/>
    <w:rsid w:val="00C24190"/>
    <w:rsid w:val="00C24BDE"/>
    <w:rsid w:val="00C24FBA"/>
    <w:rsid w:val="00C263E5"/>
    <w:rsid w:val="00C26C31"/>
    <w:rsid w:val="00C26C7F"/>
    <w:rsid w:val="00C2742F"/>
    <w:rsid w:val="00C2751B"/>
    <w:rsid w:val="00C30668"/>
    <w:rsid w:val="00C30769"/>
    <w:rsid w:val="00C30B16"/>
    <w:rsid w:val="00C314A3"/>
    <w:rsid w:val="00C31793"/>
    <w:rsid w:val="00C32020"/>
    <w:rsid w:val="00C321B2"/>
    <w:rsid w:val="00C32242"/>
    <w:rsid w:val="00C3259C"/>
    <w:rsid w:val="00C32EBB"/>
    <w:rsid w:val="00C32F2F"/>
    <w:rsid w:val="00C33584"/>
    <w:rsid w:val="00C34D94"/>
    <w:rsid w:val="00C361CE"/>
    <w:rsid w:val="00C373C7"/>
    <w:rsid w:val="00C37AC7"/>
    <w:rsid w:val="00C409D5"/>
    <w:rsid w:val="00C40E36"/>
    <w:rsid w:val="00C4116A"/>
    <w:rsid w:val="00C414A7"/>
    <w:rsid w:val="00C421DC"/>
    <w:rsid w:val="00C43052"/>
    <w:rsid w:val="00C438FE"/>
    <w:rsid w:val="00C43DC7"/>
    <w:rsid w:val="00C44812"/>
    <w:rsid w:val="00C44B75"/>
    <w:rsid w:val="00C459F6"/>
    <w:rsid w:val="00C45F93"/>
    <w:rsid w:val="00C46BF2"/>
    <w:rsid w:val="00C46C8A"/>
    <w:rsid w:val="00C46CF4"/>
    <w:rsid w:val="00C46F37"/>
    <w:rsid w:val="00C47A38"/>
    <w:rsid w:val="00C47C0B"/>
    <w:rsid w:val="00C47F54"/>
    <w:rsid w:val="00C47FB4"/>
    <w:rsid w:val="00C50568"/>
    <w:rsid w:val="00C50B50"/>
    <w:rsid w:val="00C510E9"/>
    <w:rsid w:val="00C516A5"/>
    <w:rsid w:val="00C51F8E"/>
    <w:rsid w:val="00C522C5"/>
    <w:rsid w:val="00C5284A"/>
    <w:rsid w:val="00C5301D"/>
    <w:rsid w:val="00C53E0A"/>
    <w:rsid w:val="00C541F9"/>
    <w:rsid w:val="00C54373"/>
    <w:rsid w:val="00C54ACA"/>
    <w:rsid w:val="00C54B72"/>
    <w:rsid w:val="00C556E9"/>
    <w:rsid w:val="00C56AEB"/>
    <w:rsid w:val="00C56FEA"/>
    <w:rsid w:val="00C574EF"/>
    <w:rsid w:val="00C57812"/>
    <w:rsid w:val="00C57AC7"/>
    <w:rsid w:val="00C6014B"/>
    <w:rsid w:val="00C60E12"/>
    <w:rsid w:val="00C61135"/>
    <w:rsid w:val="00C61767"/>
    <w:rsid w:val="00C61C53"/>
    <w:rsid w:val="00C61E26"/>
    <w:rsid w:val="00C61E3E"/>
    <w:rsid w:val="00C61EFD"/>
    <w:rsid w:val="00C62356"/>
    <w:rsid w:val="00C629D6"/>
    <w:rsid w:val="00C632C3"/>
    <w:rsid w:val="00C63924"/>
    <w:rsid w:val="00C646EE"/>
    <w:rsid w:val="00C6498C"/>
    <w:rsid w:val="00C64F0B"/>
    <w:rsid w:val="00C64FCD"/>
    <w:rsid w:val="00C6623B"/>
    <w:rsid w:val="00C66655"/>
    <w:rsid w:val="00C671E7"/>
    <w:rsid w:val="00C6784D"/>
    <w:rsid w:val="00C67A00"/>
    <w:rsid w:val="00C67CDC"/>
    <w:rsid w:val="00C70487"/>
    <w:rsid w:val="00C70518"/>
    <w:rsid w:val="00C70556"/>
    <w:rsid w:val="00C7063A"/>
    <w:rsid w:val="00C70AA1"/>
    <w:rsid w:val="00C714E9"/>
    <w:rsid w:val="00C71682"/>
    <w:rsid w:val="00C71B92"/>
    <w:rsid w:val="00C72B32"/>
    <w:rsid w:val="00C7321E"/>
    <w:rsid w:val="00C73FD9"/>
    <w:rsid w:val="00C744D3"/>
    <w:rsid w:val="00C7468D"/>
    <w:rsid w:val="00C7490C"/>
    <w:rsid w:val="00C74B9A"/>
    <w:rsid w:val="00C74E79"/>
    <w:rsid w:val="00C75BB9"/>
    <w:rsid w:val="00C77790"/>
    <w:rsid w:val="00C80201"/>
    <w:rsid w:val="00C80983"/>
    <w:rsid w:val="00C80FA2"/>
    <w:rsid w:val="00C81E48"/>
    <w:rsid w:val="00C8243A"/>
    <w:rsid w:val="00C82525"/>
    <w:rsid w:val="00C827E4"/>
    <w:rsid w:val="00C82B4A"/>
    <w:rsid w:val="00C82CAD"/>
    <w:rsid w:val="00C82D40"/>
    <w:rsid w:val="00C8468E"/>
    <w:rsid w:val="00C85638"/>
    <w:rsid w:val="00C85848"/>
    <w:rsid w:val="00C864EC"/>
    <w:rsid w:val="00C8691E"/>
    <w:rsid w:val="00C8693D"/>
    <w:rsid w:val="00C87269"/>
    <w:rsid w:val="00C876C2"/>
    <w:rsid w:val="00C87B42"/>
    <w:rsid w:val="00C87B4D"/>
    <w:rsid w:val="00C90313"/>
    <w:rsid w:val="00C9070B"/>
    <w:rsid w:val="00C90A71"/>
    <w:rsid w:val="00C90F0A"/>
    <w:rsid w:val="00C9268B"/>
    <w:rsid w:val="00C92B9C"/>
    <w:rsid w:val="00C92CD8"/>
    <w:rsid w:val="00C92F94"/>
    <w:rsid w:val="00C94274"/>
    <w:rsid w:val="00C94C20"/>
    <w:rsid w:val="00C94D0F"/>
    <w:rsid w:val="00C9511B"/>
    <w:rsid w:val="00C952B8"/>
    <w:rsid w:val="00C95B34"/>
    <w:rsid w:val="00C95DFC"/>
    <w:rsid w:val="00C96F06"/>
    <w:rsid w:val="00C974BB"/>
    <w:rsid w:val="00C97B5C"/>
    <w:rsid w:val="00CA0426"/>
    <w:rsid w:val="00CA0FDC"/>
    <w:rsid w:val="00CA116B"/>
    <w:rsid w:val="00CA11EF"/>
    <w:rsid w:val="00CA279B"/>
    <w:rsid w:val="00CA3316"/>
    <w:rsid w:val="00CA41D9"/>
    <w:rsid w:val="00CA4C93"/>
    <w:rsid w:val="00CA5D2A"/>
    <w:rsid w:val="00CA63D5"/>
    <w:rsid w:val="00CA6525"/>
    <w:rsid w:val="00CA65B9"/>
    <w:rsid w:val="00CA6E4F"/>
    <w:rsid w:val="00CB0525"/>
    <w:rsid w:val="00CB05D8"/>
    <w:rsid w:val="00CB0823"/>
    <w:rsid w:val="00CB09A4"/>
    <w:rsid w:val="00CB17DE"/>
    <w:rsid w:val="00CB1A8D"/>
    <w:rsid w:val="00CB1B4D"/>
    <w:rsid w:val="00CB1CBD"/>
    <w:rsid w:val="00CB1EAB"/>
    <w:rsid w:val="00CB1F7E"/>
    <w:rsid w:val="00CB24B4"/>
    <w:rsid w:val="00CB27CB"/>
    <w:rsid w:val="00CB2DC5"/>
    <w:rsid w:val="00CB3179"/>
    <w:rsid w:val="00CB38B8"/>
    <w:rsid w:val="00CB4081"/>
    <w:rsid w:val="00CB4517"/>
    <w:rsid w:val="00CB4D05"/>
    <w:rsid w:val="00CB4F4C"/>
    <w:rsid w:val="00CB5311"/>
    <w:rsid w:val="00CB5376"/>
    <w:rsid w:val="00CB53D4"/>
    <w:rsid w:val="00CB6137"/>
    <w:rsid w:val="00CB65E5"/>
    <w:rsid w:val="00CB799A"/>
    <w:rsid w:val="00CB79A2"/>
    <w:rsid w:val="00CC0387"/>
    <w:rsid w:val="00CC1C22"/>
    <w:rsid w:val="00CC270F"/>
    <w:rsid w:val="00CC2D07"/>
    <w:rsid w:val="00CC32A4"/>
    <w:rsid w:val="00CC337B"/>
    <w:rsid w:val="00CC3513"/>
    <w:rsid w:val="00CC3E1D"/>
    <w:rsid w:val="00CC434A"/>
    <w:rsid w:val="00CC458C"/>
    <w:rsid w:val="00CC5A70"/>
    <w:rsid w:val="00CC5C1A"/>
    <w:rsid w:val="00CC6481"/>
    <w:rsid w:val="00CC6C28"/>
    <w:rsid w:val="00CC7E40"/>
    <w:rsid w:val="00CD0596"/>
    <w:rsid w:val="00CD0C10"/>
    <w:rsid w:val="00CD1DD4"/>
    <w:rsid w:val="00CD1E53"/>
    <w:rsid w:val="00CD238C"/>
    <w:rsid w:val="00CD32EA"/>
    <w:rsid w:val="00CD355D"/>
    <w:rsid w:val="00CD3E28"/>
    <w:rsid w:val="00CD3EE4"/>
    <w:rsid w:val="00CD45F3"/>
    <w:rsid w:val="00CD5D0D"/>
    <w:rsid w:val="00CD6B12"/>
    <w:rsid w:val="00CD6BBA"/>
    <w:rsid w:val="00CE0079"/>
    <w:rsid w:val="00CE0DA6"/>
    <w:rsid w:val="00CE139F"/>
    <w:rsid w:val="00CE15AF"/>
    <w:rsid w:val="00CE2662"/>
    <w:rsid w:val="00CE2778"/>
    <w:rsid w:val="00CE2823"/>
    <w:rsid w:val="00CE2AB3"/>
    <w:rsid w:val="00CE2F5C"/>
    <w:rsid w:val="00CE3832"/>
    <w:rsid w:val="00CE3AED"/>
    <w:rsid w:val="00CE42ED"/>
    <w:rsid w:val="00CE4964"/>
    <w:rsid w:val="00CE5227"/>
    <w:rsid w:val="00CE5B35"/>
    <w:rsid w:val="00CE63A0"/>
    <w:rsid w:val="00CE6823"/>
    <w:rsid w:val="00CE7114"/>
    <w:rsid w:val="00CE7E54"/>
    <w:rsid w:val="00CE7F74"/>
    <w:rsid w:val="00CF0178"/>
    <w:rsid w:val="00CF0657"/>
    <w:rsid w:val="00CF0809"/>
    <w:rsid w:val="00CF18F2"/>
    <w:rsid w:val="00CF1A17"/>
    <w:rsid w:val="00CF1BCA"/>
    <w:rsid w:val="00CF2EDD"/>
    <w:rsid w:val="00CF3522"/>
    <w:rsid w:val="00CF37A1"/>
    <w:rsid w:val="00CF49E1"/>
    <w:rsid w:val="00CF5DC8"/>
    <w:rsid w:val="00CF633D"/>
    <w:rsid w:val="00CF6850"/>
    <w:rsid w:val="00CF70EB"/>
    <w:rsid w:val="00CF7287"/>
    <w:rsid w:val="00CF74DE"/>
    <w:rsid w:val="00D011EF"/>
    <w:rsid w:val="00D014CC"/>
    <w:rsid w:val="00D01CBF"/>
    <w:rsid w:val="00D01F49"/>
    <w:rsid w:val="00D0285B"/>
    <w:rsid w:val="00D048A5"/>
    <w:rsid w:val="00D04C35"/>
    <w:rsid w:val="00D05E62"/>
    <w:rsid w:val="00D071EE"/>
    <w:rsid w:val="00D07375"/>
    <w:rsid w:val="00D07AE9"/>
    <w:rsid w:val="00D07B73"/>
    <w:rsid w:val="00D11510"/>
    <w:rsid w:val="00D120D1"/>
    <w:rsid w:val="00D12EB1"/>
    <w:rsid w:val="00D12EBC"/>
    <w:rsid w:val="00D13D00"/>
    <w:rsid w:val="00D14F37"/>
    <w:rsid w:val="00D15A32"/>
    <w:rsid w:val="00D15CCE"/>
    <w:rsid w:val="00D15F75"/>
    <w:rsid w:val="00D167C2"/>
    <w:rsid w:val="00D17017"/>
    <w:rsid w:val="00D17A0D"/>
    <w:rsid w:val="00D2019F"/>
    <w:rsid w:val="00D20722"/>
    <w:rsid w:val="00D20FD7"/>
    <w:rsid w:val="00D2100E"/>
    <w:rsid w:val="00D211DA"/>
    <w:rsid w:val="00D21425"/>
    <w:rsid w:val="00D21DA2"/>
    <w:rsid w:val="00D21FBB"/>
    <w:rsid w:val="00D22151"/>
    <w:rsid w:val="00D222E0"/>
    <w:rsid w:val="00D22729"/>
    <w:rsid w:val="00D23BA6"/>
    <w:rsid w:val="00D25492"/>
    <w:rsid w:val="00D25876"/>
    <w:rsid w:val="00D25976"/>
    <w:rsid w:val="00D25B6E"/>
    <w:rsid w:val="00D25DA3"/>
    <w:rsid w:val="00D263D5"/>
    <w:rsid w:val="00D2644B"/>
    <w:rsid w:val="00D26A83"/>
    <w:rsid w:val="00D272E5"/>
    <w:rsid w:val="00D276A6"/>
    <w:rsid w:val="00D30681"/>
    <w:rsid w:val="00D3069E"/>
    <w:rsid w:val="00D30DEB"/>
    <w:rsid w:val="00D30F2E"/>
    <w:rsid w:val="00D313A5"/>
    <w:rsid w:val="00D3209F"/>
    <w:rsid w:val="00D32985"/>
    <w:rsid w:val="00D32CAC"/>
    <w:rsid w:val="00D32DC1"/>
    <w:rsid w:val="00D33A3F"/>
    <w:rsid w:val="00D3408F"/>
    <w:rsid w:val="00D34091"/>
    <w:rsid w:val="00D34E5B"/>
    <w:rsid w:val="00D35072"/>
    <w:rsid w:val="00D357AA"/>
    <w:rsid w:val="00D35D57"/>
    <w:rsid w:val="00D3675A"/>
    <w:rsid w:val="00D368C0"/>
    <w:rsid w:val="00D375BF"/>
    <w:rsid w:val="00D37E2A"/>
    <w:rsid w:val="00D4004B"/>
    <w:rsid w:val="00D40138"/>
    <w:rsid w:val="00D422A4"/>
    <w:rsid w:val="00D42EC0"/>
    <w:rsid w:val="00D43501"/>
    <w:rsid w:val="00D437F1"/>
    <w:rsid w:val="00D43D94"/>
    <w:rsid w:val="00D43FA4"/>
    <w:rsid w:val="00D44FBA"/>
    <w:rsid w:val="00D45A87"/>
    <w:rsid w:val="00D45B15"/>
    <w:rsid w:val="00D4670A"/>
    <w:rsid w:val="00D46CC3"/>
    <w:rsid w:val="00D46D6E"/>
    <w:rsid w:val="00D472FF"/>
    <w:rsid w:val="00D475C0"/>
    <w:rsid w:val="00D47774"/>
    <w:rsid w:val="00D47C76"/>
    <w:rsid w:val="00D51187"/>
    <w:rsid w:val="00D51C22"/>
    <w:rsid w:val="00D51EEB"/>
    <w:rsid w:val="00D5217E"/>
    <w:rsid w:val="00D52F0C"/>
    <w:rsid w:val="00D53227"/>
    <w:rsid w:val="00D53411"/>
    <w:rsid w:val="00D53877"/>
    <w:rsid w:val="00D54B89"/>
    <w:rsid w:val="00D55263"/>
    <w:rsid w:val="00D55363"/>
    <w:rsid w:val="00D55F30"/>
    <w:rsid w:val="00D56AB5"/>
    <w:rsid w:val="00D56BE5"/>
    <w:rsid w:val="00D56CD8"/>
    <w:rsid w:val="00D577CD"/>
    <w:rsid w:val="00D60474"/>
    <w:rsid w:val="00D616BF"/>
    <w:rsid w:val="00D62122"/>
    <w:rsid w:val="00D62F27"/>
    <w:rsid w:val="00D62FFE"/>
    <w:rsid w:val="00D6362A"/>
    <w:rsid w:val="00D636C5"/>
    <w:rsid w:val="00D638F9"/>
    <w:rsid w:val="00D63965"/>
    <w:rsid w:val="00D63A2D"/>
    <w:rsid w:val="00D6411B"/>
    <w:rsid w:val="00D64576"/>
    <w:rsid w:val="00D650EF"/>
    <w:rsid w:val="00D65C10"/>
    <w:rsid w:val="00D66621"/>
    <w:rsid w:val="00D6709E"/>
    <w:rsid w:val="00D67547"/>
    <w:rsid w:val="00D67B33"/>
    <w:rsid w:val="00D709A9"/>
    <w:rsid w:val="00D70A17"/>
    <w:rsid w:val="00D71F3A"/>
    <w:rsid w:val="00D72ECB"/>
    <w:rsid w:val="00D733D5"/>
    <w:rsid w:val="00D73DBC"/>
    <w:rsid w:val="00D747CD"/>
    <w:rsid w:val="00D7638B"/>
    <w:rsid w:val="00D77656"/>
    <w:rsid w:val="00D80675"/>
    <w:rsid w:val="00D80D8C"/>
    <w:rsid w:val="00D80F5C"/>
    <w:rsid w:val="00D80F9D"/>
    <w:rsid w:val="00D8113B"/>
    <w:rsid w:val="00D81C52"/>
    <w:rsid w:val="00D81E26"/>
    <w:rsid w:val="00D82C8B"/>
    <w:rsid w:val="00D82CAB"/>
    <w:rsid w:val="00D83066"/>
    <w:rsid w:val="00D835C4"/>
    <w:rsid w:val="00D8364B"/>
    <w:rsid w:val="00D842AD"/>
    <w:rsid w:val="00D85B59"/>
    <w:rsid w:val="00D866D1"/>
    <w:rsid w:val="00D86798"/>
    <w:rsid w:val="00D86C80"/>
    <w:rsid w:val="00D876E1"/>
    <w:rsid w:val="00D90A7A"/>
    <w:rsid w:val="00D9113B"/>
    <w:rsid w:val="00D913FA"/>
    <w:rsid w:val="00D918C1"/>
    <w:rsid w:val="00D92375"/>
    <w:rsid w:val="00D924CA"/>
    <w:rsid w:val="00D934C7"/>
    <w:rsid w:val="00D941E6"/>
    <w:rsid w:val="00D95580"/>
    <w:rsid w:val="00D95FA8"/>
    <w:rsid w:val="00D960DF"/>
    <w:rsid w:val="00D961B5"/>
    <w:rsid w:val="00D964FE"/>
    <w:rsid w:val="00D96F44"/>
    <w:rsid w:val="00D970B7"/>
    <w:rsid w:val="00D97887"/>
    <w:rsid w:val="00D97C4A"/>
    <w:rsid w:val="00DA0C27"/>
    <w:rsid w:val="00DA0C6B"/>
    <w:rsid w:val="00DA1AF4"/>
    <w:rsid w:val="00DA1D2F"/>
    <w:rsid w:val="00DA2F25"/>
    <w:rsid w:val="00DA346A"/>
    <w:rsid w:val="00DA3635"/>
    <w:rsid w:val="00DA36DE"/>
    <w:rsid w:val="00DA371B"/>
    <w:rsid w:val="00DA3C30"/>
    <w:rsid w:val="00DA4247"/>
    <w:rsid w:val="00DA44D7"/>
    <w:rsid w:val="00DA4C75"/>
    <w:rsid w:val="00DA4DB0"/>
    <w:rsid w:val="00DA5B45"/>
    <w:rsid w:val="00DA5B50"/>
    <w:rsid w:val="00DA5F1D"/>
    <w:rsid w:val="00DA6473"/>
    <w:rsid w:val="00DA672D"/>
    <w:rsid w:val="00DA7324"/>
    <w:rsid w:val="00DA7BC1"/>
    <w:rsid w:val="00DB0054"/>
    <w:rsid w:val="00DB0112"/>
    <w:rsid w:val="00DB02B1"/>
    <w:rsid w:val="00DB073E"/>
    <w:rsid w:val="00DB0FBB"/>
    <w:rsid w:val="00DB1473"/>
    <w:rsid w:val="00DB1AF4"/>
    <w:rsid w:val="00DB2144"/>
    <w:rsid w:val="00DB23E4"/>
    <w:rsid w:val="00DB391B"/>
    <w:rsid w:val="00DB3ED7"/>
    <w:rsid w:val="00DB4076"/>
    <w:rsid w:val="00DB4B1E"/>
    <w:rsid w:val="00DB5953"/>
    <w:rsid w:val="00DB5B8B"/>
    <w:rsid w:val="00DB5F78"/>
    <w:rsid w:val="00DB6458"/>
    <w:rsid w:val="00DB67D2"/>
    <w:rsid w:val="00DB6855"/>
    <w:rsid w:val="00DB72B7"/>
    <w:rsid w:val="00DB7B44"/>
    <w:rsid w:val="00DB7EFA"/>
    <w:rsid w:val="00DC1B5B"/>
    <w:rsid w:val="00DC2378"/>
    <w:rsid w:val="00DC2A90"/>
    <w:rsid w:val="00DC4603"/>
    <w:rsid w:val="00DC4B24"/>
    <w:rsid w:val="00DC507D"/>
    <w:rsid w:val="00DC5B50"/>
    <w:rsid w:val="00DC5C6C"/>
    <w:rsid w:val="00DC5FAD"/>
    <w:rsid w:val="00DC6D47"/>
    <w:rsid w:val="00DD03FE"/>
    <w:rsid w:val="00DD04A3"/>
    <w:rsid w:val="00DD122A"/>
    <w:rsid w:val="00DD1478"/>
    <w:rsid w:val="00DD20C2"/>
    <w:rsid w:val="00DD2367"/>
    <w:rsid w:val="00DD24DB"/>
    <w:rsid w:val="00DD4741"/>
    <w:rsid w:val="00DD53E1"/>
    <w:rsid w:val="00DD54EF"/>
    <w:rsid w:val="00DD69FB"/>
    <w:rsid w:val="00DD70F6"/>
    <w:rsid w:val="00DD73CC"/>
    <w:rsid w:val="00DE053C"/>
    <w:rsid w:val="00DE0A93"/>
    <w:rsid w:val="00DE142D"/>
    <w:rsid w:val="00DE14A4"/>
    <w:rsid w:val="00DE246A"/>
    <w:rsid w:val="00DE26B7"/>
    <w:rsid w:val="00DE2A06"/>
    <w:rsid w:val="00DE2F07"/>
    <w:rsid w:val="00DE30CF"/>
    <w:rsid w:val="00DE3D94"/>
    <w:rsid w:val="00DE4214"/>
    <w:rsid w:val="00DE4585"/>
    <w:rsid w:val="00DE4659"/>
    <w:rsid w:val="00DE4D03"/>
    <w:rsid w:val="00DE505C"/>
    <w:rsid w:val="00DE506C"/>
    <w:rsid w:val="00DE50CE"/>
    <w:rsid w:val="00DE5ADA"/>
    <w:rsid w:val="00DE5B67"/>
    <w:rsid w:val="00DE60AE"/>
    <w:rsid w:val="00DE6ACB"/>
    <w:rsid w:val="00DE711F"/>
    <w:rsid w:val="00DE7433"/>
    <w:rsid w:val="00DE792B"/>
    <w:rsid w:val="00DE7D01"/>
    <w:rsid w:val="00DE7D06"/>
    <w:rsid w:val="00DF0063"/>
    <w:rsid w:val="00DF0176"/>
    <w:rsid w:val="00DF027F"/>
    <w:rsid w:val="00DF030D"/>
    <w:rsid w:val="00DF050C"/>
    <w:rsid w:val="00DF05C7"/>
    <w:rsid w:val="00DF0626"/>
    <w:rsid w:val="00DF07D8"/>
    <w:rsid w:val="00DF0C75"/>
    <w:rsid w:val="00DF0CDC"/>
    <w:rsid w:val="00DF1128"/>
    <w:rsid w:val="00DF157E"/>
    <w:rsid w:val="00DF15D1"/>
    <w:rsid w:val="00DF173B"/>
    <w:rsid w:val="00DF18DB"/>
    <w:rsid w:val="00DF2904"/>
    <w:rsid w:val="00DF2E79"/>
    <w:rsid w:val="00DF330A"/>
    <w:rsid w:val="00DF3B5B"/>
    <w:rsid w:val="00DF41DD"/>
    <w:rsid w:val="00DF46B3"/>
    <w:rsid w:val="00DF4935"/>
    <w:rsid w:val="00DF4BED"/>
    <w:rsid w:val="00DF578F"/>
    <w:rsid w:val="00DF65B9"/>
    <w:rsid w:val="00DF6625"/>
    <w:rsid w:val="00DF6ED8"/>
    <w:rsid w:val="00DF7375"/>
    <w:rsid w:val="00DF75B5"/>
    <w:rsid w:val="00DF79D0"/>
    <w:rsid w:val="00E009C9"/>
    <w:rsid w:val="00E00B43"/>
    <w:rsid w:val="00E00C90"/>
    <w:rsid w:val="00E01520"/>
    <w:rsid w:val="00E0163C"/>
    <w:rsid w:val="00E01D19"/>
    <w:rsid w:val="00E02105"/>
    <w:rsid w:val="00E023AC"/>
    <w:rsid w:val="00E0259F"/>
    <w:rsid w:val="00E0260C"/>
    <w:rsid w:val="00E028F4"/>
    <w:rsid w:val="00E0290F"/>
    <w:rsid w:val="00E0316E"/>
    <w:rsid w:val="00E039A4"/>
    <w:rsid w:val="00E04006"/>
    <w:rsid w:val="00E044F0"/>
    <w:rsid w:val="00E059FC"/>
    <w:rsid w:val="00E06188"/>
    <w:rsid w:val="00E06F32"/>
    <w:rsid w:val="00E07CAC"/>
    <w:rsid w:val="00E10059"/>
    <w:rsid w:val="00E10BDA"/>
    <w:rsid w:val="00E10E2F"/>
    <w:rsid w:val="00E10FDA"/>
    <w:rsid w:val="00E11753"/>
    <w:rsid w:val="00E11B18"/>
    <w:rsid w:val="00E11BAD"/>
    <w:rsid w:val="00E11C61"/>
    <w:rsid w:val="00E120A2"/>
    <w:rsid w:val="00E12558"/>
    <w:rsid w:val="00E1295C"/>
    <w:rsid w:val="00E12C71"/>
    <w:rsid w:val="00E13171"/>
    <w:rsid w:val="00E13366"/>
    <w:rsid w:val="00E13C9F"/>
    <w:rsid w:val="00E1483A"/>
    <w:rsid w:val="00E1525D"/>
    <w:rsid w:val="00E17000"/>
    <w:rsid w:val="00E17290"/>
    <w:rsid w:val="00E1769B"/>
    <w:rsid w:val="00E177B6"/>
    <w:rsid w:val="00E17E60"/>
    <w:rsid w:val="00E17F13"/>
    <w:rsid w:val="00E2010C"/>
    <w:rsid w:val="00E20D3D"/>
    <w:rsid w:val="00E21EA3"/>
    <w:rsid w:val="00E22201"/>
    <w:rsid w:val="00E22C27"/>
    <w:rsid w:val="00E22D9E"/>
    <w:rsid w:val="00E234E3"/>
    <w:rsid w:val="00E23822"/>
    <w:rsid w:val="00E24F7F"/>
    <w:rsid w:val="00E2513A"/>
    <w:rsid w:val="00E25514"/>
    <w:rsid w:val="00E26808"/>
    <w:rsid w:val="00E26BCA"/>
    <w:rsid w:val="00E26F91"/>
    <w:rsid w:val="00E27036"/>
    <w:rsid w:val="00E27CE2"/>
    <w:rsid w:val="00E302B8"/>
    <w:rsid w:val="00E305C3"/>
    <w:rsid w:val="00E3103D"/>
    <w:rsid w:val="00E3159C"/>
    <w:rsid w:val="00E31CE4"/>
    <w:rsid w:val="00E32027"/>
    <w:rsid w:val="00E32413"/>
    <w:rsid w:val="00E32967"/>
    <w:rsid w:val="00E33900"/>
    <w:rsid w:val="00E3394B"/>
    <w:rsid w:val="00E33EFD"/>
    <w:rsid w:val="00E342E2"/>
    <w:rsid w:val="00E348D2"/>
    <w:rsid w:val="00E35233"/>
    <w:rsid w:val="00E35DC9"/>
    <w:rsid w:val="00E367A8"/>
    <w:rsid w:val="00E36848"/>
    <w:rsid w:val="00E375BB"/>
    <w:rsid w:val="00E37DC6"/>
    <w:rsid w:val="00E402E6"/>
    <w:rsid w:val="00E409B8"/>
    <w:rsid w:val="00E40A07"/>
    <w:rsid w:val="00E4224D"/>
    <w:rsid w:val="00E42EDD"/>
    <w:rsid w:val="00E43260"/>
    <w:rsid w:val="00E43502"/>
    <w:rsid w:val="00E435D6"/>
    <w:rsid w:val="00E44388"/>
    <w:rsid w:val="00E44497"/>
    <w:rsid w:val="00E444A0"/>
    <w:rsid w:val="00E4557E"/>
    <w:rsid w:val="00E45719"/>
    <w:rsid w:val="00E45D6D"/>
    <w:rsid w:val="00E4614C"/>
    <w:rsid w:val="00E46B33"/>
    <w:rsid w:val="00E46C02"/>
    <w:rsid w:val="00E477B9"/>
    <w:rsid w:val="00E477FD"/>
    <w:rsid w:val="00E47801"/>
    <w:rsid w:val="00E514B5"/>
    <w:rsid w:val="00E51D9A"/>
    <w:rsid w:val="00E52128"/>
    <w:rsid w:val="00E52264"/>
    <w:rsid w:val="00E529D3"/>
    <w:rsid w:val="00E52E98"/>
    <w:rsid w:val="00E52FCE"/>
    <w:rsid w:val="00E53E55"/>
    <w:rsid w:val="00E54478"/>
    <w:rsid w:val="00E548C0"/>
    <w:rsid w:val="00E55BFA"/>
    <w:rsid w:val="00E5668B"/>
    <w:rsid w:val="00E567DC"/>
    <w:rsid w:val="00E56C9C"/>
    <w:rsid w:val="00E56DD8"/>
    <w:rsid w:val="00E57CAA"/>
    <w:rsid w:val="00E60D03"/>
    <w:rsid w:val="00E60E89"/>
    <w:rsid w:val="00E61396"/>
    <w:rsid w:val="00E614DF"/>
    <w:rsid w:val="00E616C3"/>
    <w:rsid w:val="00E61DD3"/>
    <w:rsid w:val="00E62C59"/>
    <w:rsid w:val="00E64154"/>
    <w:rsid w:val="00E64754"/>
    <w:rsid w:val="00E64A5D"/>
    <w:rsid w:val="00E64D4F"/>
    <w:rsid w:val="00E64DE9"/>
    <w:rsid w:val="00E65C4A"/>
    <w:rsid w:val="00E65EDD"/>
    <w:rsid w:val="00E66876"/>
    <w:rsid w:val="00E66C17"/>
    <w:rsid w:val="00E66FEE"/>
    <w:rsid w:val="00E67110"/>
    <w:rsid w:val="00E675A0"/>
    <w:rsid w:val="00E675DA"/>
    <w:rsid w:val="00E67CA3"/>
    <w:rsid w:val="00E70172"/>
    <w:rsid w:val="00E71656"/>
    <w:rsid w:val="00E720B4"/>
    <w:rsid w:val="00E72F96"/>
    <w:rsid w:val="00E7337C"/>
    <w:rsid w:val="00E7348E"/>
    <w:rsid w:val="00E73699"/>
    <w:rsid w:val="00E74002"/>
    <w:rsid w:val="00E75114"/>
    <w:rsid w:val="00E7560B"/>
    <w:rsid w:val="00E75634"/>
    <w:rsid w:val="00E75D03"/>
    <w:rsid w:val="00E764BC"/>
    <w:rsid w:val="00E76F78"/>
    <w:rsid w:val="00E7766A"/>
    <w:rsid w:val="00E776F7"/>
    <w:rsid w:val="00E77949"/>
    <w:rsid w:val="00E77EDB"/>
    <w:rsid w:val="00E809B3"/>
    <w:rsid w:val="00E80A1F"/>
    <w:rsid w:val="00E8109A"/>
    <w:rsid w:val="00E8120D"/>
    <w:rsid w:val="00E81732"/>
    <w:rsid w:val="00E81790"/>
    <w:rsid w:val="00E819E0"/>
    <w:rsid w:val="00E82E27"/>
    <w:rsid w:val="00E844C0"/>
    <w:rsid w:val="00E85242"/>
    <w:rsid w:val="00E8531C"/>
    <w:rsid w:val="00E853CE"/>
    <w:rsid w:val="00E8597A"/>
    <w:rsid w:val="00E85D38"/>
    <w:rsid w:val="00E85DB7"/>
    <w:rsid w:val="00E8624A"/>
    <w:rsid w:val="00E869C8"/>
    <w:rsid w:val="00E86DD2"/>
    <w:rsid w:val="00E87D76"/>
    <w:rsid w:val="00E87EC4"/>
    <w:rsid w:val="00E90C40"/>
    <w:rsid w:val="00E90CF1"/>
    <w:rsid w:val="00E91380"/>
    <w:rsid w:val="00E91AA6"/>
    <w:rsid w:val="00E91FB4"/>
    <w:rsid w:val="00E9376A"/>
    <w:rsid w:val="00E93A31"/>
    <w:rsid w:val="00E93AB3"/>
    <w:rsid w:val="00E94098"/>
    <w:rsid w:val="00E94CB9"/>
    <w:rsid w:val="00E94E79"/>
    <w:rsid w:val="00E94EAD"/>
    <w:rsid w:val="00E94F4A"/>
    <w:rsid w:val="00E95895"/>
    <w:rsid w:val="00E95C23"/>
    <w:rsid w:val="00E95C95"/>
    <w:rsid w:val="00E95F47"/>
    <w:rsid w:val="00E96242"/>
    <w:rsid w:val="00E96944"/>
    <w:rsid w:val="00E971B8"/>
    <w:rsid w:val="00E9758E"/>
    <w:rsid w:val="00E97CAC"/>
    <w:rsid w:val="00EA01F0"/>
    <w:rsid w:val="00EA03A3"/>
    <w:rsid w:val="00EA08D5"/>
    <w:rsid w:val="00EA1093"/>
    <w:rsid w:val="00EA147A"/>
    <w:rsid w:val="00EA1FE0"/>
    <w:rsid w:val="00EA21EB"/>
    <w:rsid w:val="00EA2D7F"/>
    <w:rsid w:val="00EA4404"/>
    <w:rsid w:val="00EA4844"/>
    <w:rsid w:val="00EA5245"/>
    <w:rsid w:val="00EA53B0"/>
    <w:rsid w:val="00EA5524"/>
    <w:rsid w:val="00EA6E6E"/>
    <w:rsid w:val="00EA719E"/>
    <w:rsid w:val="00EA74AB"/>
    <w:rsid w:val="00EA7A57"/>
    <w:rsid w:val="00EB0599"/>
    <w:rsid w:val="00EB1BE4"/>
    <w:rsid w:val="00EB1D96"/>
    <w:rsid w:val="00EB1E45"/>
    <w:rsid w:val="00EB2741"/>
    <w:rsid w:val="00EB313B"/>
    <w:rsid w:val="00EB3A42"/>
    <w:rsid w:val="00EB4AF5"/>
    <w:rsid w:val="00EB4BAE"/>
    <w:rsid w:val="00EB5648"/>
    <w:rsid w:val="00EB60D5"/>
    <w:rsid w:val="00EB63D1"/>
    <w:rsid w:val="00EB6417"/>
    <w:rsid w:val="00EB6DDC"/>
    <w:rsid w:val="00EB7A85"/>
    <w:rsid w:val="00EC0978"/>
    <w:rsid w:val="00EC0AF5"/>
    <w:rsid w:val="00EC19B1"/>
    <w:rsid w:val="00EC1B45"/>
    <w:rsid w:val="00EC28F6"/>
    <w:rsid w:val="00EC40A5"/>
    <w:rsid w:val="00EC443B"/>
    <w:rsid w:val="00EC4BD9"/>
    <w:rsid w:val="00EC4C42"/>
    <w:rsid w:val="00EC6461"/>
    <w:rsid w:val="00EC6D60"/>
    <w:rsid w:val="00EC702C"/>
    <w:rsid w:val="00EC70B5"/>
    <w:rsid w:val="00EC70FB"/>
    <w:rsid w:val="00ED032E"/>
    <w:rsid w:val="00ED09B2"/>
    <w:rsid w:val="00ED0CB6"/>
    <w:rsid w:val="00ED14DF"/>
    <w:rsid w:val="00ED1CB3"/>
    <w:rsid w:val="00ED1E32"/>
    <w:rsid w:val="00ED23CF"/>
    <w:rsid w:val="00ED2CB3"/>
    <w:rsid w:val="00ED2FEE"/>
    <w:rsid w:val="00ED3982"/>
    <w:rsid w:val="00ED3ACA"/>
    <w:rsid w:val="00ED3C70"/>
    <w:rsid w:val="00ED3F9F"/>
    <w:rsid w:val="00ED446E"/>
    <w:rsid w:val="00ED4731"/>
    <w:rsid w:val="00ED5E92"/>
    <w:rsid w:val="00ED6339"/>
    <w:rsid w:val="00ED638F"/>
    <w:rsid w:val="00ED63E6"/>
    <w:rsid w:val="00ED79DC"/>
    <w:rsid w:val="00ED7B44"/>
    <w:rsid w:val="00EE0146"/>
    <w:rsid w:val="00EE10AD"/>
    <w:rsid w:val="00EE11FC"/>
    <w:rsid w:val="00EE1289"/>
    <w:rsid w:val="00EE15EC"/>
    <w:rsid w:val="00EE1801"/>
    <w:rsid w:val="00EE1898"/>
    <w:rsid w:val="00EE2018"/>
    <w:rsid w:val="00EE291C"/>
    <w:rsid w:val="00EE2E4C"/>
    <w:rsid w:val="00EE34D9"/>
    <w:rsid w:val="00EE3508"/>
    <w:rsid w:val="00EE40D4"/>
    <w:rsid w:val="00EE4645"/>
    <w:rsid w:val="00EE46C1"/>
    <w:rsid w:val="00EE46E9"/>
    <w:rsid w:val="00EE55EF"/>
    <w:rsid w:val="00EE5977"/>
    <w:rsid w:val="00EE6063"/>
    <w:rsid w:val="00EE60C5"/>
    <w:rsid w:val="00EE6A77"/>
    <w:rsid w:val="00EE73D9"/>
    <w:rsid w:val="00EE7746"/>
    <w:rsid w:val="00EF06AE"/>
    <w:rsid w:val="00EF13D7"/>
    <w:rsid w:val="00EF1B58"/>
    <w:rsid w:val="00EF22B1"/>
    <w:rsid w:val="00EF2A3A"/>
    <w:rsid w:val="00EF32BF"/>
    <w:rsid w:val="00EF35F8"/>
    <w:rsid w:val="00EF38E5"/>
    <w:rsid w:val="00EF398D"/>
    <w:rsid w:val="00EF4A12"/>
    <w:rsid w:val="00EF58CA"/>
    <w:rsid w:val="00EF6919"/>
    <w:rsid w:val="00EF706E"/>
    <w:rsid w:val="00EF7A57"/>
    <w:rsid w:val="00EF7ADB"/>
    <w:rsid w:val="00EF7E74"/>
    <w:rsid w:val="00F002DD"/>
    <w:rsid w:val="00F00308"/>
    <w:rsid w:val="00F00591"/>
    <w:rsid w:val="00F00A8D"/>
    <w:rsid w:val="00F00F26"/>
    <w:rsid w:val="00F017A6"/>
    <w:rsid w:val="00F01C03"/>
    <w:rsid w:val="00F0269A"/>
    <w:rsid w:val="00F0360E"/>
    <w:rsid w:val="00F03803"/>
    <w:rsid w:val="00F03812"/>
    <w:rsid w:val="00F03814"/>
    <w:rsid w:val="00F03A37"/>
    <w:rsid w:val="00F04539"/>
    <w:rsid w:val="00F045DE"/>
    <w:rsid w:val="00F04799"/>
    <w:rsid w:val="00F047E8"/>
    <w:rsid w:val="00F04976"/>
    <w:rsid w:val="00F04E6A"/>
    <w:rsid w:val="00F05087"/>
    <w:rsid w:val="00F05C5F"/>
    <w:rsid w:val="00F05C60"/>
    <w:rsid w:val="00F06044"/>
    <w:rsid w:val="00F06A38"/>
    <w:rsid w:val="00F07BDA"/>
    <w:rsid w:val="00F11ACF"/>
    <w:rsid w:val="00F12590"/>
    <w:rsid w:val="00F129CC"/>
    <w:rsid w:val="00F12D5F"/>
    <w:rsid w:val="00F13517"/>
    <w:rsid w:val="00F13588"/>
    <w:rsid w:val="00F135A5"/>
    <w:rsid w:val="00F13766"/>
    <w:rsid w:val="00F13CED"/>
    <w:rsid w:val="00F14633"/>
    <w:rsid w:val="00F14639"/>
    <w:rsid w:val="00F15593"/>
    <w:rsid w:val="00F155D1"/>
    <w:rsid w:val="00F15BAE"/>
    <w:rsid w:val="00F15CE0"/>
    <w:rsid w:val="00F15E36"/>
    <w:rsid w:val="00F160C9"/>
    <w:rsid w:val="00F16DFF"/>
    <w:rsid w:val="00F17354"/>
    <w:rsid w:val="00F1798B"/>
    <w:rsid w:val="00F17B59"/>
    <w:rsid w:val="00F17FF9"/>
    <w:rsid w:val="00F20BA4"/>
    <w:rsid w:val="00F20FD4"/>
    <w:rsid w:val="00F21299"/>
    <w:rsid w:val="00F215FF"/>
    <w:rsid w:val="00F21BA4"/>
    <w:rsid w:val="00F22D28"/>
    <w:rsid w:val="00F23CDC"/>
    <w:rsid w:val="00F2410E"/>
    <w:rsid w:val="00F241ED"/>
    <w:rsid w:val="00F2427E"/>
    <w:rsid w:val="00F2437C"/>
    <w:rsid w:val="00F2473C"/>
    <w:rsid w:val="00F24F0A"/>
    <w:rsid w:val="00F2520E"/>
    <w:rsid w:val="00F25403"/>
    <w:rsid w:val="00F25863"/>
    <w:rsid w:val="00F25C19"/>
    <w:rsid w:val="00F26112"/>
    <w:rsid w:val="00F26567"/>
    <w:rsid w:val="00F26579"/>
    <w:rsid w:val="00F27F48"/>
    <w:rsid w:val="00F308BB"/>
    <w:rsid w:val="00F3118B"/>
    <w:rsid w:val="00F318B6"/>
    <w:rsid w:val="00F33370"/>
    <w:rsid w:val="00F33943"/>
    <w:rsid w:val="00F33BC4"/>
    <w:rsid w:val="00F3481A"/>
    <w:rsid w:val="00F360AB"/>
    <w:rsid w:val="00F36223"/>
    <w:rsid w:val="00F36229"/>
    <w:rsid w:val="00F36274"/>
    <w:rsid w:val="00F36A1F"/>
    <w:rsid w:val="00F36B01"/>
    <w:rsid w:val="00F36B4F"/>
    <w:rsid w:val="00F36F94"/>
    <w:rsid w:val="00F3702A"/>
    <w:rsid w:val="00F37142"/>
    <w:rsid w:val="00F376C2"/>
    <w:rsid w:val="00F37A77"/>
    <w:rsid w:val="00F37DB0"/>
    <w:rsid w:val="00F37E55"/>
    <w:rsid w:val="00F37EE2"/>
    <w:rsid w:val="00F41855"/>
    <w:rsid w:val="00F42EB4"/>
    <w:rsid w:val="00F433B2"/>
    <w:rsid w:val="00F4428C"/>
    <w:rsid w:val="00F442C9"/>
    <w:rsid w:val="00F4526F"/>
    <w:rsid w:val="00F4535B"/>
    <w:rsid w:val="00F4551C"/>
    <w:rsid w:val="00F45E34"/>
    <w:rsid w:val="00F46FD4"/>
    <w:rsid w:val="00F471F1"/>
    <w:rsid w:val="00F47F9C"/>
    <w:rsid w:val="00F50B57"/>
    <w:rsid w:val="00F50E5E"/>
    <w:rsid w:val="00F5187F"/>
    <w:rsid w:val="00F52105"/>
    <w:rsid w:val="00F5218C"/>
    <w:rsid w:val="00F5280E"/>
    <w:rsid w:val="00F54082"/>
    <w:rsid w:val="00F54931"/>
    <w:rsid w:val="00F5563F"/>
    <w:rsid w:val="00F55AC0"/>
    <w:rsid w:val="00F55EAC"/>
    <w:rsid w:val="00F56455"/>
    <w:rsid w:val="00F56DB8"/>
    <w:rsid w:val="00F57147"/>
    <w:rsid w:val="00F57333"/>
    <w:rsid w:val="00F57472"/>
    <w:rsid w:val="00F5786E"/>
    <w:rsid w:val="00F57E75"/>
    <w:rsid w:val="00F6057F"/>
    <w:rsid w:val="00F60E31"/>
    <w:rsid w:val="00F61040"/>
    <w:rsid w:val="00F61517"/>
    <w:rsid w:val="00F6177B"/>
    <w:rsid w:val="00F62C10"/>
    <w:rsid w:val="00F62D1F"/>
    <w:rsid w:val="00F632C9"/>
    <w:rsid w:val="00F63360"/>
    <w:rsid w:val="00F6344E"/>
    <w:rsid w:val="00F63797"/>
    <w:rsid w:val="00F639BB"/>
    <w:rsid w:val="00F640BF"/>
    <w:rsid w:val="00F643FB"/>
    <w:rsid w:val="00F648AD"/>
    <w:rsid w:val="00F648F9"/>
    <w:rsid w:val="00F6556C"/>
    <w:rsid w:val="00F655BB"/>
    <w:rsid w:val="00F657F1"/>
    <w:rsid w:val="00F65B15"/>
    <w:rsid w:val="00F664B1"/>
    <w:rsid w:val="00F70081"/>
    <w:rsid w:val="00F70481"/>
    <w:rsid w:val="00F7084A"/>
    <w:rsid w:val="00F7085B"/>
    <w:rsid w:val="00F7250B"/>
    <w:rsid w:val="00F73405"/>
    <w:rsid w:val="00F737A7"/>
    <w:rsid w:val="00F75880"/>
    <w:rsid w:val="00F75C2F"/>
    <w:rsid w:val="00F76AA2"/>
    <w:rsid w:val="00F77100"/>
    <w:rsid w:val="00F7737E"/>
    <w:rsid w:val="00F778C6"/>
    <w:rsid w:val="00F77B84"/>
    <w:rsid w:val="00F77F45"/>
    <w:rsid w:val="00F808C4"/>
    <w:rsid w:val="00F80D8F"/>
    <w:rsid w:val="00F8169D"/>
    <w:rsid w:val="00F818B1"/>
    <w:rsid w:val="00F82714"/>
    <w:rsid w:val="00F82745"/>
    <w:rsid w:val="00F82968"/>
    <w:rsid w:val="00F83708"/>
    <w:rsid w:val="00F838F7"/>
    <w:rsid w:val="00F84700"/>
    <w:rsid w:val="00F848CC"/>
    <w:rsid w:val="00F849D1"/>
    <w:rsid w:val="00F85715"/>
    <w:rsid w:val="00F85A9B"/>
    <w:rsid w:val="00F86989"/>
    <w:rsid w:val="00F86ABA"/>
    <w:rsid w:val="00F87413"/>
    <w:rsid w:val="00F87973"/>
    <w:rsid w:val="00F87BC7"/>
    <w:rsid w:val="00F87F79"/>
    <w:rsid w:val="00F90C4B"/>
    <w:rsid w:val="00F913AF"/>
    <w:rsid w:val="00F914E1"/>
    <w:rsid w:val="00F91A5F"/>
    <w:rsid w:val="00F91A70"/>
    <w:rsid w:val="00F92650"/>
    <w:rsid w:val="00F93417"/>
    <w:rsid w:val="00F9358D"/>
    <w:rsid w:val="00F93D9A"/>
    <w:rsid w:val="00F93F5A"/>
    <w:rsid w:val="00F93FB7"/>
    <w:rsid w:val="00F943A7"/>
    <w:rsid w:val="00F94FA4"/>
    <w:rsid w:val="00F9556D"/>
    <w:rsid w:val="00F95751"/>
    <w:rsid w:val="00F9598F"/>
    <w:rsid w:val="00F9684E"/>
    <w:rsid w:val="00F9701A"/>
    <w:rsid w:val="00F971D3"/>
    <w:rsid w:val="00F97C38"/>
    <w:rsid w:val="00F97DDF"/>
    <w:rsid w:val="00FA0306"/>
    <w:rsid w:val="00FA0623"/>
    <w:rsid w:val="00FA1C3B"/>
    <w:rsid w:val="00FA2426"/>
    <w:rsid w:val="00FA2CD1"/>
    <w:rsid w:val="00FA357A"/>
    <w:rsid w:val="00FA38E3"/>
    <w:rsid w:val="00FA3E7B"/>
    <w:rsid w:val="00FA4626"/>
    <w:rsid w:val="00FA4A4A"/>
    <w:rsid w:val="00FA5D05"/>
    <w:rsid w:val="00FA5DAF"/>
    <w:rsid w:val="00FA601C"/>
    <w:rsid w:val="00FA6E16"/>
    <w:rsid w:val="00FB0E69"/>
    <w:rsid w:val="00FB0FDF"/>
    <w:rsid w:val="00FB0FEA"/>
    <w:rsid w:val="00FB1154"/>
    <w:rsid w:val="00FB1205"/>
    <w:rsid w:val="00FB158C"/>
    <w:rsid w:val="00FB1793"/>
    <w:rsid w:val="00FB1808"/>
    <w:rsid w:val="00FB2AFB"/>
    <w:rsid w:val="00FB2CD4"/>
    <w:rsid w:val="00FB2FF3"/>
    <w:rsid w:val="00FB3152"/>
    <w:rsid w:val="00FB34A1"/>
    <w:rsid w:val="00FB4824"/>
    <w:rsid w:val="00FB4DD1"/>
    <w:rsid w:val="00FB53FA"/>
    <w:rsid w:val="00FB6427"/>
    <w:rsid w:val="00FB6F1A"/>
    <w:rsid w:val="00FB735C"/>
    <w:rsid w:val="00FB76FC"/>
    <w:rsid w:val="00FB77C6"/>
    <w:rsid w:val="00FB7951"/>
    <w:rsid w:val="00FC00C3"/>
    <w:rsid w:val="00FC0285"/>
    <w:rsid w:val="00FC07B4"/>
    <w:rsid w:val="00FC0B79"/>
    <w:rsid w:val="00FC0F1C"/>
    <w:rsid w:val="00FC15DF"/>
    <w:rsid w:val="00FC166D"/>
    <w:rsid w:val="00FC1DC0"/>
    <w:rsid w:val="00FC2C1E"/>
    <w:rsid w:val="00FC2E7C"/>
    <w:rsid w:val="00FC3600"/>
    <w:rsid w:val="00FC3C68"/>
    <w:rsid w:val="00FC3D66"/>
    <w:rsid w:val="00FC5251"/>
    <w:rsid w:val="00FC5DC2"/>
    <w:rsid w:val="00FC634E"/>
    <w:rsid w:val="00FC67B0"/>
    <w:rsid w:val="00FC68C2"/>
    <w:rsid w:val="00FC73CE"/>
    <w:rsid w:val="00FC7626"/>
    <w:rsid w:val="00FC7B84"/>
    <w:rsid w:val="00FC7E09"/>
    <w:rsid w:val="00FD1A39"/>
    <w:rsid w:val="00FD2F3B"/>
    <w:rsid w:val="00FD32A9"/>
    <w:rsid w:val="00FD368F"/>
    <w:rsid w:val="00FD3BCC"/>
    <w:rsid w:val="00FD3C00"/>
    <w:rsid w:val="00FD3C7C"/>
    <w:rsid w:val="00FD416C"/>
    <w:rsid w:val="00FD42C3"/>
    <w:rsid w:val="00FD4662"/>
    <w:rsid w:val="00FD4BF0"/>
    <w:rsid w:val="00FD5797"/>
    <w:rsid w:val="00FD5A4C"/>
    <w:rsid w:val="00FD5EFE"/>
    <w:rsid w:val="00FD6262"/>
    <w:rsid w:val="00FD67EC"/>
    <w:rsid w:val="00FD6D7F"/>
    <w:rsid w:val="00FD7A6D"/>
    <w:rsid w:val="00FD7EF1"/>
    <w:rsid w:val="00FE0B4F"/>
    <w:rsid w:val="00FE0F2F"/>
    <w:rsid w:val="00FE1C96"/>
    <w:rsid w:val="00FE29C8"/>
    <w:rsid w:val="00FE352A"/>
    <w:rsid w:val="00FE4447"/>
    <w:rsid w:val="00FE4B18"/>
    <w:rsid w:val="00FE4C2B"/>
    <w:rsid w:val="00FE5C5E"/>
    <w:rsid w:val="00FE5F62"/>
    <w:rsid w:val="00FE615B"/>
    <w:rsid w:val="00FE6189"/>
    <w:rsid w:val="00FE6315"/>
    <w:rsid w:val="00FE67B0"/>
    <w:rsid w:val="00FE6DD1"/>
    <w:rsid w:val="00FE7FBD"/>
    <w:rsid w:val="00FF09D7"/>
    <w:rsid w:val="00FF0DEE"/>
    <w:rsid w:val="00FF1349"/>
    <w:rsid w:val="00FF151B"/>
    <w:rsid w:val="00FF19BC"/>
    <w:rsid w:val="00FF2265"/>
    <w:rsid w:val="00FF2901"/>
    <w:rsid w:val="00FF2F05"/>
    <w:rsid w:val="00FF3307"/>
    <w:rsid w:val="00FF34CC"/>
    <w:rsid w:val="00FF3A69"/>
    <w:rsid w:val="00FF3E15"/>
    <w:rsid w:val="00FF4028"/>
    <w:rsid w:val="00FF4107"/>
    <w:rsid w:val="00FF42DB"/>
    <w:rsid w:val="00FF55E4"/>
    <w:rsid w:val="00FF71DC"/>
    <w:rsid w:val="00FF7776"/>
    <w:rsid w:val="00FF7949"/>
    <w:rsid w:val="00FF7D18"/>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5034"/>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26"/>
    <w:rPr>
      <w:rFonts w:asciiTheme="majorHAnsi" w:hAnsiTheme="majorHAnsi"/>
      <w:sz w:val="24"/>
    </w:rPr>
  </w:style>
  <w:style w:type="paragraph" w:styleId="1">
    <w:name w:val="heading 1"/>
    <w:basedOn w:val="a"/>
    <w:next w:val="a"/>
    <w:link w:val="10"/>
    <w:uiPriority w:val="9"/>
    <w:qFormat/>
    <w:rsid w:val="00AF4C38"/>
    <w:pPr>
      <w:keepNext/>
      <w:keepLines/>
      <w:numPr>
        <w:numId w:val="11"/>
      </w:numPr>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AF4C38"/>
    <w:pPr>
      <w:keepNext/>
      <w:keepLines/>
      <w:numPr>
        <w:ilvl w:val="1"/>
        <w:numId w:val="11"/>
      </w:numPr>
      <w:spacing w:before="40" w:after="0"/>
      <w:outlineLvl w:val="1"/>
    </w:pPr>
    <w:rPr>
      <w:rFonts w:eastAsiaTheme="majorEastAsia" w:cstheme="majorBidi"/>
      <w:b/>
      <w:i/>
      <w:sz w:val="26"/>
      <w:szCs w:val="26"/>
    </w:rPr>
  </w:style>
  <w:style w:type="paragraph" w:styleId="3">
    <w:name w:val="heading 3"/>
    <w:basedOn w:val="a"/>
    <w:next w:val="a"/>
    <w:link w:val="30"/>
    <w:uiPriority w:val="9"/>
    <w:unhideWhenUsed/>
    <w:qFormat/>
    <w:rsid w:val="00AF4C38"/>
    <w:pPr>
      <w:keepNext/>
      <w:keepLines/>
      <w:numPr>
        <w:ilvl w:val="2"/>
        <w:numId w:val="11"/>
      </w:numPr>
      <w:spacing w:before="40" w:after="0"/>
      <w:outlineLvl w:val="2"/>
    </w:pPr>
    <w:rPr>
      <w:rFonts w:eastAsiaTheme="majorEastAsia" w:cstheme="majorBidi"/>
      <w:b/>
      <w:i/>
      <w:szCs w:val="24"/>
    </w:rPr>
  </w:style>
  <w:style w:type="paragraph" w:styleId="4">
    <w:name w:val="heading 4"/>
    <w:basedOn w:val="a"/>
    <w:next w:val="a"/>
    <w:link w:val="40"/>
    <w:uiPriority w:val="9"/>
    <w:unhideWhenUsed/>
    <w:qFormat/>
    <w:rsid w:val="008A289A"/>
    <w:pPr>
      <w:keepNext/>
      <w:keepLines/>
      <w:numPr>
        <w:ilvl w:val="3"/>
        <w:numId w:val="14"/>
      </w:numPr>
      <w:spacing w:before="40" w:after="0"/>
      <w:outlineLvl w:val="3"/>
    </w:pPr>
    <w:rPr>
      <w:rFonts w:eastAsiaTheme="majorEastAsia" w:cstheme="majorBidi"/>
      <w:b/>
      <w:i/>
      <w:iCs/>
    </w:rPr>
  </w:style>
  <w:style w:type="paragraph" w:styleId="5">
    <w:name w:val="heading 5"/>
    <w:basedOn w:val="a"/>
    <w:next w:val="a"/>
    <w:link w:val="50"/>
    <w:uiPriority w:val="9"/>
    <w:unhideWhenUsed/>
    <w:qFormat/>
    <w:rsid w:val="00AF4C38"/>
    <w:pPr>
      <w:keepNext/>
      <w:keepLines/>
      <w:numPr>
        <w:ilvl w:val="4"/>
        <w:numId w:val="11"/>
      </w:numPr>
      <w:spacing w:before="40" w:after="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AF4C38"/>
    <w:pPr>
      <w:keepNext/>
      <w:keepLines/>
      <w:numPr>
        <w:ilvl w:val="5"/>
        <w:numId w:val="11"/>
      </w:numPr>
      <w:spacing w:before="40" w:after="0"/>
      <w:outlineLvl w:val="5"/>
    </w:pPr>
    <w:rPr>
      <w:rFonts w:eastAsiaTheme="majorEastAsia" w:cstheme="majorBidi"/>
      <w:color w:val="1F4D78" w:themeColor="accent1" w:themeShade="7F"/>
    </w:rPr>
  </w:style>
  <w:style w:type="paragraph" w:styleId="7">
    <w:name w:val="heading 7"/>
    <w:basedOn w:val="a"/>
    <w:next w:val="a"/>
    <w:link w:val="70"/>
    <w:uiPriority w:val="9"/>
    <w:semiHidden/>
    <w:unhideWhenUsed/>
    <w:qFormat/>
    <w:rsid w:val="00AF4C38"/>
    <w:pPr>
      <w:keepNext/>
      <w:keepLines/>
      <w:numPr>
        <w:ilvl w:val="6"/>
        <w:numId w:val="11"/>
      </w:numPr>
      <w:spacing w:before="40" w:after="0"/>
      <w:outlineLvl w:val="6"/>
    </w:pPr>
    <w:rPr>
      <w:rFonts w:eastAsiaTheme="majorEastAsia" w:cstheme="majorBidi"/>
      <w:i/>
      <w:iCs/>
      <w:color w:val="1F4D78" w:themeColor="accent1" w:themeShade="7F"/>
    </w:rPr>
  </w:style>
  <w:style w:type="paragraph" w:styleId="8">
    <w:name w:val="heading 8"/>
    <w:basedOn w:val="a"/>
    <w:next w:val="a"/>
    <w:link w:val="80"/>
    <w:uiPriority w:val="9"/>
    <w:semiHidden/>
    <w:unhideWhenUsed/>
    <w:qFormat/>
    <w:rsid w:val="00AF4C38"/>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9">
    <w:name w:val="heading 9"/>
    <w:basedOn w:val="a"/>
    <w:next w:val="a"/>
    <w:link w:val="90"/>
    <w:uiPriority w:val="9"/>
    <w:semiHidden/>
    <w:unhideWhenUsed/>
    <w:qFormat/>
    <w:rsid w:val="00AF4C38"/>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C38"/>
    <w:rPr>
      <w:rFonts w:asciiTheme="majorHAnsi" w:eastAsiaTheme="majorEastAsia" w:hAnsiTheme="majorHAnsi" w:cstheme="majorBidi"/>
      <w:b/>
      <w:sz w:val="28"/>
      <w:szCs w:val="32"/>
    </w:rPr>
  </w:style>
  <w:style w:type="character" w:customStyle="1" w:styleId="20">
    <w:name w:val="Заголовок 2 Знак"/>
    <w:basedOn w:val="a0"/>
    <w:link w:val="2"/>
    <w:uiPriority w:val="9"/>
    <w:rsid w:val="00AF4C38"/>
    <w:rPr>
      <w:rFonts w:asciiTheme="majorHAnsi" w:eastAsiaTheme="majorEastAsia" w:hAnsiTheme="majorHAnsi" w:cstheme="majorBidi"/>
      <w:b/>
      <w:i/>
      <w:sz w:val="26"/>
      <w:szCs w:val="26"/>
    </w:rPr>
  </w:style>
  <w:style w:type="paragraph" w:customStyle="1" w:styleId="CharChar1">
    <w:name w:val="Char Char1"/>
    <w:basedOn w:val="a"/>
    <w:rsid w:val="00A136A9"/>
    <w:pPr>
      <w:spacing w:line="240" w:lineRule="exact"/>
      <w:jc w:val="both"/>
    </w:pPr>
    <w:rPr>
      <w:rFonts w:ascii="Arial" w:eastAsia="Batang" w:hAnsi="Arial" w:cs="Arial"/>
      <w:sz w:val="20"/>
      <w:szCs w:val="20"/>
    </w:rPr>
  </w:style>
  <w:style w:type="paragraph" w:customStyle="1" w:styleId="CharChar10">
    <w:name w:val="Char Char1"/>
    <w:basedOn w:val="a"/>
    <w:rsid w:val="00ED2FEE"/>
    <w:pPr>
      <w:spacing w:line="240" w:lineRule="exact"/>
      <w:jc w:val="both"/>
    </w:pPr>
    <w:rPr>
      <w:rFonts w:ascii="Arial" w:eastAsia="Batang" w:hAnsi="Arial" w:cs="Arial"/>
      <w:sz w:val="20"/>
      <w:szCs w:val="20"/>
    </w:rPr>
  </w:style>
  <w:style w:type="table" w:styleId="a3">
    <w:name w:val="Table Grid"/>
    <w:basedOn w:val="a1"/>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C8468E"/>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C8468E"/>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C8468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C8468E"/>
    <w:pPr>
      <w:spacing w:line="240" w:lineRule="exact"/>
    </w:pPr>
    <w:rPr>
      <w:vertAlign w:val="superscript"/>
    </w:rPr>
  </w:style>
  <w:style w:type="table" w:customStyle="1" w:styleId="TableGrid1">
    <w:name w:val="Table Grid1"/>
    <w:basedOn w:val="a1"/>
    <w:next w:val="a3"/>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strikethrough"/>
    <w:basedOn w:val="a"/>
    <w:link w:val="a8"/>
    <w:uiPriority w:val="34"/>
    <w:qFormat/>
    <w:rsid w:val="00AD5621"/>
    <w:pPr>
      <w:ind w:left="720"/>
      <w:contextualSpacing/>
    </w:pPr>
  </w:style>
  <w:style w:type="character" w:customStyle="1" w:styleId="a8">
    <w:name w:val="Абзац списка Знак"/>
    <w:aliases w:val="strikethrough Знак"/>
    <w:link w:val="a7"/>
    <w:uiPriority w:val="34"/>
    <w:rsid w:val="00497FE6"/>
  </w:style>
  <w:style w:type="paragraph" w:styleId="a9">
    <w:name w:val="Normal (Web)"/>
    <w:basedOn w:val="a"/>
    <w:uiPriority w:val="99"/>
    <w:unhideWhenUsed/>
    <w:rsid w:val="00433D9E"/>
    <w:rPr>
      <w:rFonts w:ascii="Times New Roman" w:hAnsi="Times New Roman" w:cs="Times New Roman"/>
      <w:szCs w:val="24"/>
    </w:rPr>
  </w:style>
  <w:style w:type="paragraph" w:styleId="aa">
    <w:name w:val="header"/>
    <w:basedOn w:val="a"/>
    <w:link w:val="ab"/>
    <w:uiPriority w:val="99"/>
    <w:unhideWhenUsed/>
    <w:rsid w:val="00291B94"/>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91B94"/>
  </w:style>
  <w:style w:type="paragraph" w:styleId="ac">
    <w:name w:val="footer"/>
    <w:basedOn w:val="a"/>
    <w:link w:val="ad"/>
    <w:uiPriority w:val="99"/>
    <w:unhideWhenUsed/>
    <w:rsid w:val="00291B94"/>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91B94"/>
  </w:style>
  <w:style w:type="paragraph" w:customStyle="1" w:styleId="CharChar11">
    <w:name w:val="Char Char1"/>
    <w:basedOn w:val="a"/>
    <w:rsid w:val="00BC621E"/>
    <w:pPr>
      <w:spacing w:line="240" w:lineRule="exact"/>
      <w:jc w:val="both"/>
    </w:pPr>
    <w:rPr>
      <w:rFonts w:ascii="Arial" w:eastAsia="Batang" w:hAnsi="Arial" w:cs="Arial"/>
      <w:sz w:val="20"/>
      <w:szCs w:val="20"/>
    </w:rPr>
  </w:style>
  <w:style w:type="paragraph" w:styleId="ae">
    <w:name w:val="TOC Heading"/>
    <w:basedOn w:val="1"/>
    <w:next w:val="a"/>
    <w:uiPriority w:val="39"/>
    <w:unhideWhenUsed/>
    <w:qFormat/>
    <w:rsid w:val="00FB4824"/>
    <w:pPr>
      <w:outlineLvl w:val="9"/>
    </w:pPr>
  </w:style>
  <w:style w:type="paragraph" w:styleId="11">
    <w:name w:val="toc 1"/>
    <w:basedOn w:val="a"/>
    <w:next w:val="a"/>
    <w:autoRedefine/>
    <w:uiPriority w:val="39"/>
    <w:unhideWhenUsed/>
    <w:rsid w:val="00FB4824"/>
    <w:pPr>
      <w:spacing w:after="100"/>
    </w:pPr>
  </w:style>
  <w:style w:type="character" w:styleId="af">
    <w:name w:val="Hyperlink"/>
    <w:basedOn w:val="a0"/>
    <w:uiPriority w:val="99"/>
    <w:unhideWhenUsed/>
    <w:rsid w:val="00FB4824"/>
    <w:rPr>
      <w:color w:val="0563C1" w:themeColor="hyperlink"/>
      <w:u w:val="single"/>
    </w:rPr>
  </w:style>
  <w:style w:type="paragraph" w:styleId="21">
    <w:name w:val="toc 2"/>
    <w:basedOn w:val="a"/>
    <w:next w:val="a"/>
    <w:autoRedefine/>
    <w:uiPriority w:val="39"/>
    <w:unhideWhenUsed/>
    <w:rsid w:val="00671137"/>
    <w:pPr>
      <w:tabs>
        <w:tab w:val="left" w:pos="1100"/>
        <w:tab w:val="right" w:leader="dot" w:pos="9345"/>
      </w:tabs>
      <w:spacing w:after="100"/>
      <w:jc w:val="both"/>
    </w:pPr>
    <w:rPr>
      <w:rFonts w:eastAsia="Times New Roman" w:cstheme="majorHAnsi"/>
      <w:bCs/>
      <w:noProof/>
      <w:lang w:val="ro-MD" w:eastAsia="ru-RU"/>
    </w:rPr>
  </w:style>
  <w:style w:type="paragraph" w:styleId="31">
    <w:name w:val="toc 3"/>
    <w:basedOn w:val="a"/>
    <w:next w:val="a"/>
    <w:autoRedefine/>
    <w:uiPriority w:val="39"/>
    <w:unhideWhenUsed/>
    <w:rsid w:val="00FB1205"/>
    <w:pPr>
      <w:tabs>
        <w:tab w:val="left" w:pos="1320"/>
        <w:tab w:val="right" w:leader="dot" w:pos="9345"/>
      </w:tabs>
      <w:spacing w:after="100"/>
      <w:ind w:left="440"/>
    </w:pPr>
    <w:rPr>
      <w:rFonts w:eastAsiaTheme="minorEastAsia" w:cs="Times New Roman"/>
      <w:noProof/>
    </w:rPr>
  </w:style>
  <w:style w:type="paragraph" w:styleId="af0">
    <w:name w:val="Balloon Text"/>
    <w:basedOn w:val="a"/>
    <w:link w:val="af1"/>
    <w:uiPriority w:val="99"/>
    <w:semiHidden/>
    <w:unhideWhenUsed/>
    <w:rsid w:val="00FB48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B4824"/>
    <w:rPr>
      <w:rFonts w:ascii="Segoe UI" w:hAnsi="Segoe UI" w:cs="Segoe UI"/>
      <w:sz w:val="18"/>
      <w:szCs w:val="18"/>
    </w:rPr>
  </w:style>
  <w:style w:type="character" w:customStyle="1" w:styleId="af2">
    <w:name w:val="_"/>
    <w:basedOn w:val="a0"/>
    <w:rsid w:val="00207DAD"/>
  </w:style>
  <w:style w:type="character" w:customStyle="1" w:styleId="pg-1ff1">
    <w:name w:val="pg-1ff1"/>
    <w:basedOn w:val="a0"/>
    <w:rsid w:val="00207DAD"/>
  </w:style>
  <w:style w:type="table" w:customStyle="1" w:styleId="TableGrid2">
    <w:name w:val="Table Grid2"/>
    <w:basedOn w:val="a1"/>
    <w:next w:val="a3"/>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5324B6"/>
    <w:pPr>
      <w:spacing w:after="0" w:line="240" w:lineRule="auto"/>
    </w:pPr>
  </w:style>
  <w:style w:type="character" w:customStyle="1" w:styleId="af4">
    <w:name w:val="Без интервала Знак"/>
    <w:basedOn w:val="a0"/>
    <w:link w:val="af3"/>
    <w:uiPriority w:val="1"/>
    <w:locked/>
    <w:rsid w:val="008B27A1"/>
  </w:style>
  <w:style w:type="table" w:customStyle="1" w:styleId="TableGrid3">
    <w:name w:val="Table Grid3"/>
    <w:basedOn w:val="a1"/>
    <w:next w:val="a3"/>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rsid w:val="008B27A1"/>
    <w:rPr>
      <w:rFonts w:ascii="Courier New" w:hAnsi="Courier New" w:cs="Courier New"/>
    </w:rPr>
  </w:style>
  <w:style w:type="paragraph" w:customStyle="1" w:styleId="cn">
    <w:name w:val="cn"/>
    <w:basedOn w:val="a"/>
    <w:rsid w:val="002A5137"/>
    <w:pPr>
      <w:spacing w:after="0" w:line="240" w:lineRule="auto"/>
      <w:jc w:val="center"/>
    </w:pPr>
    <w:rPr>
      <w:rFonts w:ascii="Times New Roman" w:eastAsia="Times New Roman" w:hAnsi="Times New Roman" w:cs="Times New Roman"/>
      <w:szCs w:val="24"/>
    </w:rPr>
  </w:style>
  <w:style w:type="paragraph" w:customStyle="1" w:styleId="rg">
    <w:name w:val="rg"/>
    <w:basedOn w:val="a"/>
    <w:rsid w:val="002A5137"/>
    <w:pPr>
      <w:spacing w:after="0" w:line="240" w:lineRule="auto"/>
      <w:jc w:val="right"/>
    </w:pPr>
    <w:rPr>
      <w:rFonts w:ascii="Times New Roman" w:eastAsia="Times New Roman" w:hAnsi="Times New Roman" w:cs="Times New Roman"/>
      <w:szCs w:val="24"/>
    </w:rPr>
  </w:style>
  <w:style w:type="paragraph" w:customStyle="1" w:styleId="tt">
    <w:name w:val="tt"/>
    <w:basedOn w:val="a"/>
    <w:rsid w:val="002A5137"/>
    <w:pPr>
      <w:spacing w:after="0" w:line="240" w:lineRule="auto"/>
      <w:jc w:val="center"/>
    </w:pPr>
    <w:rPr>
      <w:rFonts w:ascii="Times New Roman" w:eastAsia="Times New Roman" w:hAnsi="Times New Roman" w:cs="Times New Roman"/>
      <w:b/>
      <w:bCs/>
      <w:szCs w:val="24"/>
    </w:rPr>
  </w:style>
  <w:style w:type="character" w:styleId="af5">
    <w:name w:val="annotation reference"/>
    <w:basedOn w:val="a0"/>
    <w:uiPriority w:val="99"/>
    <w:semiHidden/>
    <w:unhideWhenUsed/>
    <w:rsid w:val="00657D98"/>
    <w:rPr>
      <w:sz w:val="16"/>
      <w:szCs w:val="16"/>
    </w:rPr>
  </w:style>
  <w:style w:type="paragraph" w:styleId="af6">
    <w:name w:val="annotation text"/>
    <w:basedOn w:val="a"/>
    <w:link w:val="af7"/>
    <w:uiPriority w:val="99"/>
    <w:unhideWhenUsed/>
    <w:rsid w:val="00657D98"/>
    <w:pPr>
      <w:spacing w:line="240" w:lineRule="auto"/>
    </w:pPr>
    <w:rPr>
      <w:sz w:val="20"/>
      <w:szCs w:val="20"/>
    </w:rPr>
  </w:style>
  <w:style w:type="character" w:customStyle="1" w:styleId="af7">
    <w:name w:val="Текст примечания Знак"/>
    <w:basedOn w:val="a0"/>
    <w:link w:val="af6"/>
    <w:uiPriority w:val="99"/>
    <w:rsid w:val="00657D98"/>
    <w:rPr>
      <w:sz w:val="20"/>
      <w:szCs w:val="20"/>
    </w:rPr>
  </w:style>
  <w:style w:type="table" w:customStyle="1" w:styleId="TableGrid6">
    <w:name w:val="Table Grid6"/>
    <w:basedOn w:val="a1"/>
    <w:next w:val="a3"/>
    <w:uiPriority w:val="39"/>
    <w:rsid w:val="00D9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9"/>
    <w:link w:val="13"/>
    <w:autoRedefine/>
    <w:qFormat/>
    <w:rsid w:val="002E0EEC"/>
    <w:pPr>
      <w:spacing w:after="0" w:line="240" w:lineRule="auto"/>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2E0EEC"/>
    <w:rPr>
      <w:rFonts w:asciiTheme="majorHAnsi" w:eastAsia="Times New Roman" w:hAnsiTheme="majorHAnsi" w:cstheme="majorHAnsi"/>
      <w:sz w:val="16"/>
      <w:szCs w:val="16"/>
    </w:rPr>
  </w:style>
  <w:style w:type="table" w:customStyle="1" w:styleId="TableGrid16">
    <w:name w:val="Table Grid16"/>
    <w:basedOn w:val="a1"/>
    <w:next w:val="a3"/>
    <w:uiPriority w:val="39"/>
    <w:rsid w:val="0049401C"/>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673D07"/>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39"/>
    <w:rsid w:val="0046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02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131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3"/>
    <w:uiPriority w:val="39"/>
    <w:rsid w:val="00706AED"/>
    <w:pPr>
      <w:spacing w:after="0" w:line="240" w:lineRule="auto"/>
    </w:pPr>
    <w:rPr>
      <w:rFonts w:ascii="Calibri" w:eastAsia="Calibri" w:hAnsi="Calibri"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53515C"/>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D33A6"/>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a"/>
    <w:rsid w:val="005D33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a"/>
    <w:rsid w:val="005D33A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a"/>
    <w:rsid w:val="005D33A6"/>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a"/>
    <w:rsid w:val="005D33A6"/>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a"/>
    <w:rsid w:val="005D33A6"/>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a"/>
    <w:rsid w:val="005D33A6"/>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a"/>
    <w:rsid w:val="005D33A6"/>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a"/>
    <w:rsid w:val="005D33A6"/>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a"/>
    <w:rsid w:val="00E009C9"/>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E009C9"/>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a0"/>
    <w:rsid w:val="00E009C9"/>
  </w:style>
  <w:style w:type="table" w:customStyle="1" w:styleId="TableGrid11">
    <w:name w:val="Table Grid11"/>
    <w:basedOn w:val="a1"/>
    <w:next w:val="a3"/>
    <w:uiPriority w:val="39"/>
    <w:rsid w:val="007F6FE6"/>
    <w:pPr>
      <w:spacing w:after="0" w:line="240" w:lineRule="auto"/>
    </w:pPr>
    <w:rPr>
      <w:rFonts w:eastAsia="MS Mincho"/>
      <w:sz w:val="21"/>
      <w:szCs w:val="21"/>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8B5B55"/>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C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F4C38"/>
    <w:rPr>
      <w:rFonts w:asciiTheme="majorHAnsi" w:eastAsiaTheme="majorEastAsia" w:hAnsiTheme="majorHAnsi" w:cstheme="majorBidi"/>
      <w:b/>
      <w:i/>
      <w:sz w:val="24"/>
      <w:szCs w:val="24"/>
    </w:rPr>
  </w:style>
  <w:style w:type="character" w:customStyle="1" w:styleId="40">
    <w:name w:val="Заголовок 4 Знак"/>
    <w:basedOn w:val="a0"/>
    <w:link w:val="4"/>
    <w:uiPriority w:val="9"/>
    <w:rsid w:val="008A289A"/>
    <w:rPr>
      <w:rFonts w:asciiTheme="majorHAnsi" w:eastAsiaTheme="majorEastAsia" w:hAnsiTheme="majorHAnsi" w:cstheme="majorBidi"/>
      <w:b/>
      <w:i/>
      <w:iCs/>
      <w:sz w:val="24"/>
    </w:rPr>
  </w:style>
  <w:style w:type="character" w:customStyle="1" w:styleId="50">
    <w:name w:val="Заголовок 5 Знак"/>
    <w:basedOn w:val="a0"/>
    <w:link w:val="5"/>
    <w:uiPriority w:val="9"/>
    <w:rsid w:val="00AF4C38"/>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AF4C38"/>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AF4C38"/>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AF4C3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4C38"/>
    <w:rPr>
      <w:rFonts w:asciiTheme="majorHAnsi" w:eastAsiaTheme="majorEastAsia" w:hAnsiTheme="majorHAnsi" w:cstheme="majorBidi"/>
      <w:i/>
      <w:iCs/>
      <w:color w:val="272727" w:themeColor="text1" w:themeTint="D8"/>
      <w:sz w:val="21"/>
      <w:szCs w:val="21"/>
    </w:rPr>
  </w:style>
  <w:style w:type="table" w:customStyle="1" w:styleId="TableGrid13">
    <w:name w:val="Table Grid13"/>
    <w:basedOn w:val="a1"/>
    <w:next w:val="a3"/>
    <w:uiPriority w:val="39"/>
    <w:rsid w:val="00AE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BA17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1"/>
    <w:next w:val="14"/>
    <w:uiPriority w:val="41"/>
    <w:rsid w:val="00F42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1">
    <w:name w:val="Table Grid131"/>
    <w:basedOn w:val="a1"/>
    <w:next w:val="a3"/>
    <w:uiPriority w:val="39"/>
    <w:rsid w:val="004D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6"/>
    <w:next w:val="af6"/>
    <w:link w:val="af9"/>
    <w:uiPriority w:val="99"/>
    <w:semiHidden/>
    <w:unhideWhenUsed/>
    <w:rsid w:val="00D12EB1"/>
    <w:rPr>
      <w:b/>
      <w:bCs/>
    </w:rPr>
  </w:style>
  <w:style w:type="character" w:customStyle="1" w:styleId="af9">
    <w:name w:val="Тема примечания Знак"/>
    <w:basedOn w:val="af7"/>
    <w:link w:val="af8"/>
    <w:uiPriority w:val="99"/>
    <w:semiHidden/>
    <w:rsid w:val="00D12EB1"/>
    <w:rPr>
      <w:rFonts w:asciiTheme="majorHAnsi" w:hAnsiTheme="majorHAnsi"/>
      <w:b/>
      <w:bCs/>
      <w:sz w:val="20"/>
      <w:szCs w:val="20"/>
    </w:rPr>
  </w:style>
  <w:style w:type="numbering" w:customStyle="1" w:styleId="NoList1">
    <w:name w:val="No List1"/>
    <w:next w:val="a2"/>
    <w:uiPriority w:val="99"/>
    <w:semiHidden/>
    <w:unhideWhenUsed/>
    <w:rsid w:val="00775FB0"/>
  </w:style>
  <w:style w:type="character" w:styleId="afa">
    <w:name w:val="FollowedHyperlink"/>
    <w:basedOn w:val="a0"/>
    <w:uiPriority w:val="99"/>
    <w:semiHidden/>
    <w:unhideWhenUsed/>
    <w:rsid w:val="00775FB0"/>
    <w:rPr>
      <w:color w:val="954F72"/>
      <w:u w:val="single"/>
    </w:rPr>
  </w:style>
  <w:style w:type="paragraph" w:customStyle="1" w:styleId="font6">
    <w:name w:val="font6"/>
    <w:basedOn w:val="a"/>
    <w:rsid w:val="00775FB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a"/>
    <w:rsid w:val="00775FB0"/>
    <w:pPr>
      <w:spacing w:before="100" w:beforeAutospacing="1" w:after="100" w:afterAutospacing="1" w:line="240" w:lineRule="auto"/>
    </w:pPr>
    <w:rPr>
      <w:rFonts w:ascii="Times New Roman" w:eastAsia="Times New Roman" w:hAnsi="Times New Roman" w:cs="Times New Roman"/>
      <w:sz w:val="20"/>
      <w:szCs w:val="20"/>
    </w:rPr>
  </w:style>
  <w:style w:type="numbering" w:customStyle="1" w:styleId="NoList2">
    <w:name w:val="No List2"/>
    <w:next w:val="a2"/>
    <w:uiPriority w:val="99"/>
    <w:semiHidden/>
    <w:unhideWhenUsed/>
    <w:rsid w:val="005A65E3"/>
  </w:style>
  <w:style w:type="table" w:customStyle="1" w:styleId="TableGrid121">
    <w:name w:val="Table Grid121"/>
    <w:basedOn w:val="a1"/>
    <w:next w:val="a3"/>
    <w:uiPriority w:val="39"/>
    <w:rsid w:val="001200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3"/>
    <w:uiPriority w:val="39"/>
    <w:rsid w:val="00E1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43955"/>
    <w:pPr>
      <w:pBdr>
        <w:bottom w:val="single" w:sz="8" w:space="0" w:color="000000"/>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18"/>
      <w:szCs w:val="18"/>
    </w:rPr>
  </w:style>
  <w:style w:type="paragraph" w:customStyle="1" w:styleId="Default">
    <w:name w:val="Default"/>
    <w:rsid w:val="00D26A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74280606">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14256928">
      <w:bodyDiv w:val="1"/>
      <w:marLeft w:val="0"/>
      <w:marRight w:val="0"/>
      <w:marTop w:val="0"/>
      <w:marBottom w:val="0"/>
      <w:divBdr>
        <w:top w:val="none" w:sz="0" w:space="0" w:color="auto"/>
        <w:left w:val="none" w:sz="0" w:space="0" w:color="auto"/>
        <w:bottom w:val="none" w:sz="0" w:space="0" w:color="auto"/>
        <w:right w:val="none" w:sz="0" w:space="0" w:color="auto"/>
      </w:divBdr>
      <w:divsChild>
        <w:div w:id="390661898">
          <w:marLeft w:val="0"/>
          <w:marRight w:val="0"/>
          <w:marTop w:val="0"/>
          <w:marBottom w:val="0"/>
          <w:divBdr>
            <w:top w:val="none" w:sz="0" w:space="0" w:color="auto"/>
            <w:left w:val="none" w:sz="0" w:space="0" w:color="auto"/>
            <w:bottom w:val="none" w:sz="0" w:space="0" w:color="auto"/>
            <w:right w:val="none" w:sz="0" w:space="0" w:color="auto"/>
          </w:divBdr>
        </w:div>
      </w:divsChild>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50603911">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35087992">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295261473">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4204522">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40104031">
      <w:bodyDiv w:val="1"/>
      <w:marLeft w:val="0"/>
      <w:marRight w:val="0"/>
      <w:marTop w:val="0"/>
      <w:marBottom w:val="0"/>
      <w:divBdr>
        <w:top w:val="none" w:sz="0" w:space="0" w:color="auto"/>
        <w:left w:val="none" w:sz="0" w:space="0" w:color="auto"/>
        <w:bottom w:val="none" w:sz="0" w:space="0" w:color="auto"/>
        <w:right w:val="none" w:sz="0" w:space="0" w:color="auto"/>
      </w:divBdr>
    </w:div>
    <w:div w:id="458650607">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82893448">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1695665">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637228901">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07355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08206906">
      <w:bodyDiv w:val="1"/>
      <w:marLeft w:val="0"/>
      <w:marRight w:val="0"/>
      <w:marTop w:val="0"/>
      <w:marBottom w:val="0"/>
      <w:divBdr>
        <w:top w:val="none" w:sz="0" w:space="0" w:color="auto"/>
        <w:left w:val="none" w:sz="0" w:space="0" w:color="auto"/>
        <w:bottom w:val="none" w:sz="0" w:space="0" w:color="auto"/>
        <w:right w:val="none" w:sz="0" w:space="0" w:color="auto"/>
      </w:divBdr>
    </w:div>
    <w:div w:id="814445436">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6988702">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66814851">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23676930">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39283026">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46832154">
      <w:bodyDiv w:val="1"/>
      <w:marLeft w:val="0"/>
      <w:marRight w:val="0"/>
      <w:marTop w:val="0"/>
      <w:marBottom w:val="0"/>
      <w:divBdr>
        <w:top w:val="none" w:sz="0" w:space="0" w:color="auto"/>
        <w:left w:val="none" w:sz="0" w:space="0" w:color="auto"/>
        <w:bottom w:val="none" w:sz="0" w:space="0" w:color="auto"/>
        <w:right w:val="none" w:sz="0" w:space="0" w:color="auto"/>
      </w:divBdr>
    </w:div>
    <w:div w:id="1056780596">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09355298">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50093900">
      <w:bodyDiv w:val="1"/>
      <w:marLeft w:val="0"/>
      <w:marRight w:val="0"/>
      <w:marTop w:val="0"/>
      <w:marBottom w:val="0"/>
      <w:divBdr>
        <w:top w:val="none" w:sz="0" w:space="0" w:color="auto"/>
        <w:left w:val="none" w:sz="0" w:space="0" w:color="auto"/>
        <w:bottom w:val="none" w:sz="0" w:space="0" w:color="auto"/>
        <w:right w:val="none" w:sz="0" w:space="0" w:color="auto"/>
      </w:divBdr>
    </w:div>
    <w:div w:id="1154643752">
      <w:bodyDiv w:val="1"/>
      <w:marLeft w:val="0"/>
      <w:marRight w:val="0"/>
      <w:marTop w:val="0"/>
      <w:marBottom w:val="0"/>
      <w:divBdr>
        <w:top w:val="none" w:sz="0" w:space="0" w:color="auto"/>
        <w:left w:val="none" w:sz="0" w:space="0" w:color="auto"/>
        <w:bottom w:val="none" w:sz="0" w:space="0" w:color="auto"/>
        <w:right w:val="none" w:sz="0" w:space="0" w:color="auto"/>
      </w:divBdr>
    </w:div>
    <w:div w:id="1155099867">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19047726">
      <w:bodyDiv w:val="1"/>
      <w:marLeft w:val="0"/>
      <w:marRight w:val="0"/>
      <w:marTop w:val="0"/>
      <w:marBottom w:val="0"/>
      <w:divBdr>
        <w:top w:val="none" w:sz="0" w:space="0" w:color="auto"/>
        <w:left w:val="none" w:sz="0" w:space="0" w:color="auto"/>
        <w:bottom w:val="none" w:sz="0" w:space="0" w:color="auto"/>
        <w:right w:val="none" w:sz="0" w:space="0" w:color="auto"/>
      </w:divBdr>
    </w:div>
    <w:div w:id="1230995337">
      <w:bodyDiv w:val="1"/>
      <w:marLeft w:val="0"/>
      <w:marRight w:val="0"/>
      <w:marTop w:val="0"/>
      <w:marBottom w:val="0"/>
      <w:divBdr>
        <w:top w:val="none" w:sz="0" w:space="0" w:color="auto"/>
        <w:left w:val="none" w:sz="0" w:space="0" w:color="auto"/>
        <w:bottom w:val="none" w:sz="0" w:space="0" w:color="auto"/>
        <w:right w:val="none" w:sz="0" w:space="0" w:color="auto"/>
      </w:divBdr>
    </w:div>
    <w:div w:id="1242063377">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06341293">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26220282">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80867293">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5894545">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0486820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50158263">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69429745">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790856023">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1562901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1978215717">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 w:id="21330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18A6-BADA-4773-996D-C8907510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16207</Words>
  <Characters>92381</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Paiu Eugenia</cp:lastModifiedBy>
  <cp:revision>2</cp:revision>
  <cp:lastPrinted>2024-06-03T09:10:00Z</cp:lastPrinted>
  <dcterms:created xsi:type="dcterms:W3CDTF">2024-06-03T13:03:00Z</dcterms:created>
  <dcterms:modified xsi:type="dcterms:W3CDTF">2024-06-03T13:03:00Z</dcterms:modified>
</cp:coreProperties>
</file>